
<file path=[Content_Types].xml><?xml version="1.0" encoding="utf-8"?>
<Types xmlns="http://schemas.openxmlformats.org/package/2006/content-types">
  <Default Extension="bin" ContentType="application/vnd.openxmlformats-officedocument.oleObject"/>
  <Default Extension="emf" ContentType="image/x-emf"/>
  <Default Extension="odttf" ContentType="application/vnd.openxmlformats-officedocument.obfuscatedFont"/>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8417D4" w14:textId="77777777" w:rsidR="00F62C8B" w:rsidRPr="00270DD5" w:rsidRDefault="000F3A41" w:rsidP="004C531E">
      <w:pPr>
        <w:pStyle w:val="RSCM01ReceivedAccepted"/>
      </w:pPr>
      <w:r w:rsidRPr="00270DD5">
        <mc:AlternateContent>
          <mc:Choice Requires="wps">
            <w:drawing>
              <wp:anchor distT="180340" distB="0" distL="114300" distR="114300" simplePos="0" relativeHeight="251662336" behindDoc="1" locked="1" layoutInCell="0" allowOverlap="0" wp14:anchorId="5B54B28E" wp14:editId="5B52E845">
                <wp:simplePos x="0" y="0"/>
                <wp:positionH relativeFrom="column">
                  <wp:posOffset>-58</wp:posOffset>
                </wp:positionH>
                <wp:positionV relativeFrom="margin">
                  <wp:align>bottom</wp:align>
                </wp:positionV>
                <wp:extent cx="3158837" cy="1627909"/>
                <wp:effectExtent l="0" t="0" r="3810" b="0"/>
                <wp:wrapTopAndBottom/>
                <wp:docPr id="7" name="Text Box 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3158837" cy="1627909"/>
                        </a:xfrm>
                        <a:prstGeom prst="rect">
                          <a:avLst/>
                        </a:prstGeom>
                        <a:solidFill>
                          <a:srgbClr val="FFFFFF"/>
                        </a:solidFill>
                        <a:ln w="9525">
                          <a:noFill/>
                          <a:miter lim="800000"/>
                          <a:headEnd/>
                          <a:tailEnd/>
                        </a:ln>
                      </wps:spPr>
                      <wps:txbx>
                        <w:txbxContent>
                          <w:p w14:paraId="75131571" w14:textId="1F485233" w:rsidR="00BC3FBA" w:rsidRPr="00C405FD" w:rsidRDefault="0098679F" w:rsidP="00BC3FBA">
                            <w:pPr>
                              <w:pStyle w:val="RSCF01FootnoteAuthorAddress"/>
                            </w:pPr>
                            <w:r w:rsidRPr="0098679F">
                              <w:rPr>
                                <w:lang w:val="es-ES"/>
                              </w:rPr>
                              <w:t xml:space="preserve">Departamento de Química Orgánica I, Facultad de CC. Químicas, Universidad Complutense de Madrid, Madrid 28040, </w:t>
                            </w:r>
                            <w:proofErr w:type="spellStart"/>
                            <w:r w:rsidRPr="0098679F">
                              <w:rPr>
                                <w:lang w:val="es-ES"/>
                              </w:rPr>
                              <w:t>Spain</w:t>
                            </w:r>
                            <w:proofErr w:type="spellEnd"/>
                            <w:r w:rsidRPr="0098679F">
                              <w:rPr>
                                <w:lang w:val="es-ES"/>
                              </w:rPr>
                              <w:t xml:space="preserve">. </w:t>
                            </w:r>
                            <w:r w:rsidRPr="0098679F">
                              <w:t xml:space="preserve">E-mail: </w:t>
                            </w:r>
                            <w:hyperlink r:id="rId8" w:history="1">
                              <w:r w:rsidR="00BC3FBA" w:rsidRPr="00683247">
                                <w:rPr>
                                  <w:rStyle w:val="Hipervnculo"/>
                                </w:rPr>
                                <w:t>segura@ucm.es</w:t>
                              </w:r>
                            </w:hyperlink>
                            <w:r w:rsidR="00BC3FBA">
                              <w:t xml:space="preserve"> </w:t>
                            </w:r>
                          </w:p>
                          <w:p w14:paraId="4BB84593" w14:textId="339E0B5E" w:rsidR="00BC3FBA" w:rsidRPr="00BC3FBA" w:rsidRDefault="00BC3FBA" w:rsidP="00C405FD">
                            <w:pPr>
                              <w:pStyle w:val="RSCF01FootnoteAuthorAddress"/>
                              <w:rPr>
                                <w:lang w:val="es-ES"/>
                              </w:rPr>
                            </w:pPr>
                            <w:r w:rsidRPr="00BC3FBA">
                              <w:rPr>
                                <w:lang w:val="es-ES"/>
                              </w:rPr>
                              <w:t xml:space="preserve">Departamento de Inorgánica, Facultad de Ciencias, Universidad Autónoma de Madrid, Madrid 28049, </w:t>
                            </w:r>
                            <w:proofErr w:type="spellStart"/>
                            <w:r w:rsidRPr="00BC3FBA">
                              <w:rPr>
                                <w:lang w:val="es-ES"/>
                              </w:rPr>
                              <w:t>Spain</w:t>
                            </w:r>
                            <w:proofErr w:type="spellEnd"/>
                            <w:r w:rsidRPr="00BC3FBA">
                              <w:rPr>
                                <w:lang w:val="es-ES"/>
                              </w:rPr>
                              <w:t xml:space="preserve">. E-mail: </w:t>
                            </w:r>
                            <w:hyperlink r:id="rId9" w:history="1">
                              <w:r w:rsidRPr="00BC3FBA">
                                <w:rPr>
                                  <w:rStyle w:val="Hipervnculo"/>
                                  <w:lang w:val="es-ES"/>
                                </w:rPr>
                                <w:t>felix.zamora@uam.es</w:t>
                              </w:r>
                            </w:hyperlink>
                          </w:p>
                          <w:p w14:paraId="53E1C83B" w14:textId="47DA63CA" w:rsidR="005E17D5" w:rsidRDefault="00E10B8C" w:rsidP="00C405FD">
                            <w:pPr>
                              <w:pStyle w:val="RSCF01FootnoteAuthorAddress"/>
                              <w:rPr>
                                <w:lang w:val="es-ES"/>
                              </w:rPr>
                            </w:pPr>
                            <w:r w:rsidRPr="00E10B8C">
                              <w:rPr>
                                <w:lang w:val="es-ES"/>
                              </w:rPr>
                              <w:t xml:space="preserve">Departamento de Nanoestructuras Superficies Recubrimientos y Astrofísica Molecular Instituto de Ciencia de Materiales de Madrid (ICMM-CSIC) 28049 Madrid, </w:t>
                            </w:r>
                            <w:proofErr w:type="spellStart"/>
                            <w:r w:rsidRPr="00E10B8C">
                              <w:rPr>
                                <w:lang w:val="es-ES"/>
                              </w:rPr>
                              <w:t>Spain</w:t>
                            </w:r>
                            <w:proofErr w:type="spellEnd"/>
                            <w:r w:rsidRPr="00E10B8C">
                              <w:rPr>
                                <w:lang w:val="es-ES"/>
                              </w:rPr>
                              <w:t>.</w:t>
                            </w:r>
                          </w:p>
                          <w:p w14:paraId="2033084A" w14:textId="203393B5" w:rsidR="00E10B8C" w:rsidRDefault="00580F0A" w:rsidP="00C405FD">
                            <w:pPr>
                              <w:pStyle w:val="RSCF01FootnoteAuthorAddress"/>
                              <w:rPr>
                                <w:lang w:val="es-ES"/>
                              </w:rPr>
                            </w:pPr>
                            <w:r w:rsidRPr="00580F0A">
                              <w:rPr>
                                <w:lang w:val="es-ES"/>
                              </w:rPr>
                              <w:t xml:space="preserve">Instituto Madrileño de Estudios Avanzados en Nanociencia (IMDEA-Nanociencia), Cantoblanco, Madrid E-28049, </w:t>
                            </w:r>
                            <w:proofErr w:type="spellStart"/>
                            <w:r w:rsidRPr="00580F0A">
                              <w:rPr>
                                <w:lang w:val="es-ES"/>
                              </w:rPr>
                              <w:t>Spain</w:t>
                            </w:r>
                            <w:proofErr w:type="spellEnd"/>
                            <w:r w:rsidRPr="00580F0A">
                              <w:rPr>
                                <w:lang w:val="es-ES"/>
                              </w:rPr>
                              <w:t>.</w:t>
                            </w:r>
                          </w:p>
                          <w:p w14:paraId="75B6555A" w14:textId="714E0D34" w:rsidR="00580F0A" w:rsidRDefault="00F65221" w:rsidP="00C405FD">
                            <w:pPr>
                              <w:pStyle w:val="RSCF01FootnoteAuthorAddress"/>
                            </w:pPr>
                            <w:r w:rsidRPr="00F65221">
                              <w:t>Institute for Advanced Research in Chemical Sciences (</w:t>
                            </w:r>
                            <w:proofErr w:type="spellStart"/>
                            <w:r w:rsidRPr="00F65221">
                              <w:t>IAdChem</w:t>
                            </w:r>
                            <w:proofErr w:type="spellEnd"/>
                            <w:r w:rsidRPr="00F65221">
                              <w:t xml:space="preserve">), Universidad </w:t>
                            </w:r>
                            <w:proofErr w:type="spellStart"/>
                            <w:r w:rsidRPr="00F65221">
                              <w:t>Autónoma</w:t>
                            </w:r>
                            <w:proofErr w:type="spellEnd"/>
                            <w:r w:rsidRPr="00F65221">
                              <w:t xml:space="preserve"> de Madrid, 28049 Madrid, Spain.</w:t>
                            </w:r>
                          </w:p>
                          <w:p w14:paraId="5A5D77CE" w14:textId="610994BD" w:rsidR="00F65221" w:rsidRPr="00303448" w:rsidRDefault="00303448" w:rsidP="00C405FD">
                            <w:pPr>
                              <w:pStyle w:val="RSCF01FootnoteAuthorAddress"/>
                              <w:rPr>
                                <w:lang w:val="es-ES"/>
                              </w:rPr>
                            </w:pPr>
                            <w:r w:rsidRPr="00303448">
                              <w:rPr>
                                <w:lang w:val="es-ES"/>
                              </w:rPr>
                              <w:t xml:space="preserve">Condensed </w:t>
                            </w:r>
                            <w:proofErr w:type="spellStart"/>
                            <w:r w:rsidRPr="00303448">
                              <w:rPr>
                                <w:lang w:val="es-ES"/>
                              </w:rPr>
                              <w:t>Matter</w:t>
                            </w:r>
                            <w:proofErr w:type="spellEnd"/>
                            <w:r w:rsidRPr="00303448">
                              <w:rPr>
                                <w:lang w:val="es-ES"/>
                              </w:rPr>
                              <w:t xml:space="preserve"> </w:t>
                            </w:r>
                            <w:proofErr w:type="spellStart"/>
                            <w:r w:rsidRPr="00303448">
                              <w:rPr>
                                <w:lang w:val="es-ES"/>
                              </w:rPr>
                              <w:t>Physics</w:t>
                            </w:r>
                            <w:proofErr w:type="spellEnd"/>
                            <w:r w:rsidRPr="00303448">
                              <w:rPr>
                                <w:lang w:val="es-ES"/>
                              </w:rPr>
                              <w:t xml:space="preserve"> Center (IFIMAC), Universidad Autónoma de Madrid, 28049 Madrid, </w:t>
                            </w:r>
                            <w:proofErr w:type="spellStart"/>
                            <w:r w:rsidRPr="00303448">
                              <w:rPr>
                                <w:lang w:val="es-ES"/>
                              </w:rPr>
                              <w:t>Spain</w:t>
                            </w:r>
                            <w:proofErr w:type="spellEnd"/>
                            <w:r w:rsidRPr="00303448">
                              <w:rPr>
                                <w:lang w:val="es-ES"/>
                              </w:rPr>
                              <w:t>.</w:t>
                            </w:r>
                          </w:p>
                          <w:p w14:paraId="71856912" w14:textId="2FF47A20" w:rsidR="005E17D5" w:rsidRPr="00241ACD" w:rsidRDefault="005E17D5" w:rsidP="00241ACD">
                            <w:pPr>
                              <w:pStyle w:val="RSCF02FootnotestoTitleAuthors"/>
                            </w:pPr>
                            <w:r w:rsidRPr="00241ACD">
                              <w:t xml:space="preserve">Electronic Supplementary Information (ESI) available: </w:t>
                            </w:r>
                            <w:r w:rsidR="00C154E1">
                              <w:t>A</w:t>
                            </w:r>
                            <w:r w:rsidR="008D444A">
                              <w:t xml:space="preserve">dditional </w:t>
                            </w:r>
                            <w:r w:rsidR="000E0DA4">
                              <w:t>e</w:t>
                            </w:r>
                            <w:r w:rsidR="008D444A">
                              <w:t xml:space="preserve">xperimental </w:t>
                            </w:r>
                            <w:r w:rsidR="00C154E1">
                              <w:t>d</w:t>
                            </w:r>
                            <w:r w:rsidR="008D444A">
                              <w:t xml:space="preserve">etails, supplementary Tables and </w:t>
                            </w:r>
                            <w:r w:rsidR="00C154E1">
                              <w:t>Figures.</w:t>
                            </w:r>
                            <w:r w:rsidRPr="00241ACD">
                              <w:t xml:space="preserve"> See DOI: 10.1039/x0xx00000x</w:t>
                            </w:r>
                          </w:p>
                        </w:txbxContent>
                      </wps:txbx>
                      <wps:bodyPr rot="0" vert="horz" wrap="square" lIns="0" tIns="36000" rIns="0" bIns="36000" anchor="b" anchorCtr="0">
                        <a:spAutoFit/>
                      </wps:bodyPr>
                    </wps:wsp>
                  </a:graphicData>
                </a:graphic>
                <wp14:sizeRelH relativeFrom="margin">
                  <wp14:pctWidth>0</wp14:pctWidth>
                </wp14:sizeRelH>
                <wp14:sizeRelV relativeFrom="margin">
                  <wp14:pctHeight>20000</wp14:pctHeight>
                </wp14:sizeRelV>
              </wp:anchor>
            </w:drawing>
          </mc:Choice>
          <mc:Fallback>
            <w:pict>
              <v:shapetype w14:anchorId="5B54B28E" id="_x0000_t202" coordsize="21600,21600" o:spt="202" path="m,l,21600r21600,l21600,xe">
                <v:stroke joinstyle="miter"/>
                <v:path gradientshapeok="t" o:connecttype="rect"/>
              </v:shapetype>
              <v:shape id="Text Box 2" o:spid="_x0000_s1026" type="#_x0000_t202" style="position:absolute;margin-left:0;margin-top:0;width:248.75pt;height:128.2pt;z-index:-251654144;visibility:visible;mso-wrap-style:square;mso-width-percent:0;mso-height-percent:200;mso-wrap-distance-left:9pt;mso-wrap-distance-top:14.2pt;mso-wrap-distance-right:9pt;mso-wrap-distance-bottom:0;mso-position-horizontal:absolute;mso-position-horizontal-relative:text;mso-position-vertical:bottom;mso-position-vertical-relative:margin;mso-width-percent:0;mso-height-percent:20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PlHIgIAACcEAAAOAAAAZHJzL2Uyb0RvYy54bWysU9uO2yAQfa/Uf0C8N3YSJZtYcVbbbFNV&#10;2m4r7fYDMMYxKjAUSOz06zvg3Nq+VeUBDcNw5syZYXXfa0UOwnkJpqTjUU6JMBxqaXYl/fa6fbeg&#10;xAdmaqbAiJIehaf367dvVp0txARaULVwBEGMLzpb0jYEW2SZ563QzI/ACoOXDTjNAh7dLqsd6xBd&#10;q2yS5/OsA1dbB1x4j97H4ZKuE37TCB6+NI0XgaiSIreQdpf2Ku7ZesWKnWO2lfxEg/0DC82kwaQX&#10;qEcWGNk7+ReUltyBhyaMOOgMmkZykWrAasb5H9W8tMyKVAuK4+1FJv//YPnz4asjsi7pHSWGaWzR&#10;q+gDeQ89mUR1OusLDHqxGBZ6dGOXU6XePgH/7omBTcvMTjx4i2rH26vLOehawWokPI5g2Q3aAO0j&#10;btV9hhozs32AhN03Tkc1UR+CCbFxx0uzIjuOzul4tlhMkTXHu/F8crfMlykHK87PrfPhowBNolFS&#10;h/wSPDs8+RDpsOIcErN5ULLeSqXSwe2qjXLkwHBytmmd0H8LU4Z0JV3OJrOEbCC+T0OlZcDJVlKX&#10;dJHHFZ+zIsrxwdTJDkyqwUYmypz0iZIM4oS+6jEwilZBfUSlHAwTjD8OjRbcT0o6nN6S+h975gQl&#10;6pNBteOoJ2M6j5mJO3urWy8zHCFKWlEymJuQvkaq3z5gN7Yy6XRlcOKI05jkO/2cOO635xR1/d/r&#10;XwAAAP//AwBQSwMEFAAGAAgAAAAhADo2lsPdAAAABQEAAA8AAABkcnMvZG93bnJldi54bWxMj1FL&#10;w0AQhN8F/8Oxgi/SXixtatNcigi1YKXU6g/Y5NYkmNuLuUsa/72nL/qyMMww8226GU0jBupcbVnB&#10;7TQCQVxYXXOp4O11O7kD4TyyxsYyKfgiB5vs8iLFRNszv9Bw8qUIJewSVFB53yZSuqIig25qW+Lg&#10;vdvOoA+yK6Xu8BzKTSNnURRLgzWHhQpbeqio+Dj1RsHjsJe0OxwlRp95vN31aG+en5S6vhrv1yA8&#10;jf4vDD/4AR2ywJTbnrUTjYLwiP+9wZuvlgsQuYLZIp6DzFL5nz77BgAA//8DAFBLAQItABQABgAI&#10;AAAAIQC2gziS/gAAAOEBAAATAAAAAAAAAAAAAAAAAAAAAABbQ29udGVudF9UeXBlc10ueG1sUEsB&#10;Ai0AFAAGAAgAAAAhADj9If/WAAAAlAEAAAsAAAAAAAAAAAAAAAAALwEAAF9yZWxzLy5yZWxzUEsB&#10;Ai0AFAAGAAgAAAAhANJU+UciAgAAJwQAAA4AAAAAAAAAAAAAAAAALgIAAGRycy9lMm9Eb2MueG1s&#10;UEsBAi0AFAAGAAgAAAAhADo2lsPdAAAABQEAAA8AAAAAAAAAAAAAAAAAfAQAAGRycy9kb3ducmV2&#10;LnhtbFBLBQYAAAAABAAEAPMAAACGBQAAAAA=&#10;" o:allowincell="f" o:allowoverlap="f" stroked="f">
                <o:lock v:ext="edit" aspectratio="t"/>
                <v:textbox style="mso-fit-shape-to-text:t" inset="0,1mm,0,1mm">
                  <w:txbxContent>
                    <w:p w14:paraId="75131571" w14:textId="1F485233" w:rsidR="00BC3FBA" w:rsidRPr="00C405FD" w:rsidRDefault="0098679F" w:rsidP="00BC3FBA">
                      <w:pPr>
                        <w:pStyle w:val="RSCF01FootnoteAuthorAddress"/>
                      </w:pPr>
                      <w:r w:rsidRPr="0098679F">
                        <w:rPr>
                          <w:lang w:val="es-ES"/>
                        </w:rPr>
                        <w:t xml:space="preserve">Departamento de Química Orgánica I, Facultad de CC. Químicas, Universidad Complutense de Madrid, Madrid 28040, </w:t>
                      </w:r>
                      <w:proofErr w:type="spellStart"/>
                      <w:r w:rsidRPr="0098679F">
                        <w:rPr>
                          <w:lang w:val="es-ES"/>
                        </w:rPr>
                        <w:t>Spain</w:t>
                      </w:r>
                      <w:proofErr w:type="spellEnd"/>
                      <w:r w:rsidRPr="0098679F">
                        <w:rPr>
                          <w:lang w:val="es-ES"/>
                        </w:rPr>
                        <w:t xml:space="preserve">. </w:t>
                      </w:r>
                      <w:r w:rsidRPr="0098679F">
                        <w:t xml:space="preserve">E-mail: </w:t>
                      </w:r>
                      <w:hyperlink r:id="rId10" w:history="1">
                        <w:r w:rsidR="00BC3FBA" w:rsidRPr="00683247">
                          <w:rPr>
                            <w:rStyle w:val="Hipervnculo"/>
                          </w:rPr>
                          <w:t>segura@ucm.es</w:t>
                        </w:r>
                      </w:hyperlink>
                      <w:r w:rsidR="00BC3FBA">
                        <w:t xml:space="preserve"> </w:t>
                      </w:r>
                    </w:p>
                    <w:p w14:paraId="4BB84593" w14:textId="339E0B5E" w:rsidR="00BC3FBA" w:rsidRPr="00BC3FBA" w:rsidRDefault="00BC3FBA" w:rsidP="00C405FD">
                      <w:pPr>
                        <w:pStyle w:val="RSCF01FootnoteAuthorAddress"/>
                        <w:rPr>
                          <w:lang w:val="es-ES"/>
                        </w:rPr>
                      </w:pPr>
                      <w:r w:rsidRPr="00BC3FBA">
                        <w:rPr>
                          <w:lang w:val="es-ES"/>
                        </w:rPr>
                        <w:t xml:space="preserve">Departamento de Inorgánica, Facultad de Ciencias, Universidad Autónoma de Madrid, Madrid 28049, </w:t>
                      </w:r>
                      <w:proofErr w:type="spellStart"/>
                      <w:r w:rsidRPr="00BC3FBA">
                        <w:rPr>
                          <w:lang w:val="es-ES"/>
                        </w:rPr>
                        <w:t>Spain</w:t>
                      </w:r>
                      <w:proofErr w:type="spellEnd"/>
                      <w:r w:rsidRPr="00BC3FBA">
                        <w:rPr>
                          <w:lang w:val="es-ES"/>
                        </w:rPr>
                        <w:t xml:space="preserve">. E-mail: </w:t>
                      </w:r>
                      <w:hyperlink r:id="rId11" w:history="1">
                        <w:r w:rsidRPr="00BC3FBA">
                          <w:rPr>
                            <w:rStyle w:val="Hipervnculo"/>
                            <w:lang w:val="es-ES"/>
                          </w:rPr>
                          <w:t>felix.zamora@uam.es</w:t>
                        </w:r>
                      </w:hyperlink>
                    </w:p>
                    <w:p w14:paraId="53E1C83B" w14:textId="47DA63CA" w:rsidR="005E17D5" w:rsidRDefault="00E10B8C" w:rsidP="00C405FD">
                      <w:pPr>
                        <w:pStyle w:val="RSCF01FootnoteAuthorAddress"/>
                        <w:rPr>
                          <w:lang w:val="es-ES"/>
                        </w:rPr>
                      </w:pPr>
                      <w:r w:rsidRPr="00E10B8C">
                        <w:rPr>
                          <w:lang w:val="es-ES"/>
                        </w:rPr>
                        <w:t xml:space="preserve">Departamento de Nanoestructuras Superficies Recubrimientos y Astrofísica Molecular Instituto de Ciencia de Materiales de Madrid (ICMM-CSIC) 28049 Madrid, </w:t>
                      </w:r>
                      <w:proofErr w:type="spellStart"/>
                      <w:r w:rsidRPr="00E10B8C">
                        <w:rPr>
                          <w:lang w:val="es-ES"/>
                        </w:rPr>
                        <w:t>Spain</w:t>
                      </w:r>
                      <w:proofErr w:type="spellEnd"/>
                      <w:r w:rsidRPr="00E10B8C">
                        <w:rPr>
                          <w:lang w:val="es-ES"/>
                        </w:rPr>
                        <w:t>.</w:t>
                      </w:r>
                    </w:p>
                    <w:p w14:paraId="2033084A" w14:textId="203393B5" w:rsidR="00E10B8C" w:rsidRDefault="00580F0A" w:rsidP="00C405FD">
                      <w:pPr>
                        <w:pStyle w:val="RSCF01FootnoteAuthorAddress"/>
                        <w:rPr>
                          <w:lang w:val="es-ES"/>
                        </w:rPr>
                      </w:pPr>
                      <w:r w:rsidRPr="00580F0A">
                        <w:rPr>
                          <w:lang w:val="es-ES"/>
                        </w:rPr>
                        <w:t xml:space="preserve">Instituto Madrileño de Estudios Avanzados en Nanociencia (IMDEA-Nanociencia), Cantoblanco, Madrid E-28049, </w:t>
                      </w:r>
                      <w:proofErr w:type="spellStart"/>
                      <w:r w:rsidRPr="00580F0A">
                        <w:rPr>
                          <w:lang w:val="es-ES"/>
                        </w:rPr>
                        <w:t>Spain</w:t>
                      </w:r>
                      <w:proofErr w:type="spellEnd"/>
                      <w:r w:rsidRPr="00580F0A">
                        <w:rPr>
                          <w:lang w:val="es-ES"/>
                        </w:rPr>
                        <w:t>.</w:t>
                      </w:r>
                    </w:p>
                    <w:p w14:paraId="75B6555A" w14:textId="714E0D34" w:rsidR="00580F0A" w:rsidRDefault="00F65221" w:rsidP="00C405FD">
                      <w:pPr>
                        <w:pStyle w:val="RSCF01FootnoteAuthorAddress"/>
                      </w:pPr>
                      <w:r w:rsidRPr="00F65221">
                        <w:t>Institute for Advanced Research in Chemical Sciences (</w:t>
                      </w:r>
                      <w:proofErr w:type="spellStart"/>
                      <w:r w:rsidRPr="00F65221">
                        <w:t>IAdChem</w:t>
                      </w:r>
                      <w:proofErr w:type="spellEnd"/>
                      <w:r w:rsidRPr="00F65221">
                        <w:t xml:space="preserve">), Universidad </w:t>
                      </w:r>
                      <w:proofErr w:type="spellStart"/>
                      <w:r w:rsidRPr="00F65221">
                        <w:t>Autónoma</w:t>
                      </w:r>
                      <w:proofErr w:type="spellEnd"/>
                      <w:r w:rsidRPr="00F65221">
                        <w:t xml:space="preserve"> de Madrid, 28049 Madrid, Spain.</w:t>
                      </w:r>
                    </w:p>
                    <w:p w14:paraId="5A5D77CE" w14:textId="610994BD" w:rsidR="00F65221" w:rsidRPr="00303448" w:rsidRDefault="00303448" w:rsidP="00C405FD">
                      <w:pPr>
                        <w:pStyle w:val="RSCF01FootnoteAuthorAddress"/>
                        <w:rPr>
                          <w:lang w:val="es-ES"/>
                        </w:rPr>
                      </w:pPr>
                      <w:r w:rsidRPr="00303448">
                        <w:rPr>
                          <w:lang w:val="es-ES"/>
                        </w:rPr>
                        <w:t xml:space="preserve">Condensed </w:t>
                      </w:r>
                      <w:proofErr w:type="spellStart"/>
                      <w:r w:rsidRPr="00303448">
                        <w:rPr>
                          <w:lang w:val="es-ES"/>
                        </w:rPr>
                        <w:t>Matter</w:t>
                      </w:r>
                      <w:proofErr w:type="spellEnd"/>
                      <w:r w:rsidRPr="00303448">
                        <w:rPr>
                          <w:lang w:val="es-ES"/>
                        </w:rPr>
                        <w:t xml:space="preserve"> </w:t>
                      </w:r>
                      <w:proofErr w:type="spellStart"/>
                      <w:r w:rsidRPr="00303448">
                        <w:rPr>
                          <w:lang w:val="es-ES"/>
                        </w:rPr>
                        <w:t>Physics</w:t>
                      </w:r>
                      <w:proofErr w:type="spellEnd"/>
                      <w:r w:rsidRPr="00303448">
                        <w:rPr>
                          <w:lang w:val="es-ES"/>
                        </w:rPr>
                        <w:t xml:space="preserve"> Center (IFIMAC), Universidad Autónoma de Madrid, 28049 Madrid, </w:t>
                      </w:r>
                      <w:proofErr w:type="spellStart"/>
                      <w:r w:rsidRPr="00303448">
                        <w:rPr>
                          <w:lang w:val="es-ES"/>
                        </w:rPr>
                        <w:t>Spain</w:t>
                      </w:r>
                      <w:proofErr w:type="spellEnd"/>
                      <w:r w:rsidRPr="00303448">
                        <w:rPr>
                          <w:lang w:val="es-ES"/>
                        </w:rPr>
                        <w:t>.</w:t>
                      </w:r>
                    </w:p>
                    <w:p w14:paraId="71856912" w14:textId="2FF47A20" w:rsidR="005E17D5" w:rsidRPr="00241ACD" w:rsidRDefault="005E17D5" w:rsidP="00241ACD">
                      <w:pPr>
                        <w:pStyle w:val="RSCF02FootnotestoTitleAuthors"/>
                      </w:pPr>
                      <w:r w:rsidRPr="00241ACD">
                        <w:t xml:space="preserve">Electronic Supplementary Information (ESI) available: </w:t>
                      </w:r>
                      <w:r w:rsidR="00C154E1">
                        <w:t>A</w:t>
                      </w:r>
                      <w:r w:rsidR="008D444A">
                        <w:t xml:space="preserve">dditional </w:t>
                      </w:r>
                      <w:r w:rsidR="000E0DA4">
                        <w:t>e</w:t>
                      </w:r>
                      <w:r w:rsidR="008D444A">
                        <w:t xml:space="preserve">xperimental </w:t>
                      </w:r>
                      <w:r w:rsidR="00C154E1">
                        <w:t>d</w:t>
                      </w:r>
                      <w:r w:rsidR="008D444A">
                        <w:t xml:space="preserve">etails, supplementary Tables and </w:t>
                      </w:r>
                      <w:r w:rsidR="00C154E1">
                        <w:t>Figures.</w:t>
                      </w:r>
                      <w:r w:rsidRPr="00241ACD">
                        <w:t xml:space="preserve"> See DOI: 10.1039/x0xx00000x</w:t>
                      </w:r>
                    </w:p>
                  </w:txbxContent>
                </v:textbox>
                <w10:wrap type="topAndBottom" anchory="margin"/>
                <w10:anchorlock/>
              </v:shape>
            </w:pict>
          </mc:Fallback>
        </mc:AlternateContent>
      </w:r>
      <w:r w:rsidR="00F62C8B" w:rsidRPr="00270DD5">
        <w:t>Received 00th January 20</w:t>
      </w:r>
      <w:r w:rsidR="00F15F90" w:rsidRPr="00270DD5">
        <w:t>xx</w:t>
      </w:r>
      <w:r w:rsidR="00F62C8B" w:rsidRPr="00270DD5">
        <w:t>,</w:t>
      </w:r>
    </w:p>
    <w:p w14:paraId="5E930491" w14:textId="77777777" w:rsidR="00F62C8B" w:rsidRPr="00270DD5" w:rsidRDefault="00F62C8B" w:rsidP="004C531E">
      <w:pPr>
        <w:pStyle w:val="RSCM01ReceivedAccepted"/>
      </w:pPr>
      <w:r w:rsidRPr="00270DD5">
        <w:t>Accepted 00th January 20</w:t>
      </w:r>
      <w:r w:rsidR="00F15F90" w:rsidRPr="00270DD5">
        <w:t>xx</w:t>
      </w:r>
    </w:p>
    <w:p w14:paraId="492325BD" w14:textId="77777777" w:rsidR="00F62C8B" w:rsidRPr="00794787" w:rsidRDefault="00F62C8B" w:rsidP="004C531E">
      <w:pPr>
        <w:pStyle w:val="RSCM02DOI"/>
      </w:pPr>
      <w:r w:rsidRPr="00794787">
        <w:t>DOI: 10.1039/x0xx00000x</w:t>
      </w:r>
    </w:p>
    <w:p w14:paraId="646B8F30" w14:textId="77777777" w:rsidR="00A9649E" w:rsidRPr="00794787" w:rsidRDefault="00A9649E" w:rsidP="004C531E">
      <w:pPr>
        <w:pStyle w:val="RSCM03Website"/>
      </w:pPr>
    </w:p>
    <w:p w14:paraId="0D6101E0" w14:textId="411BC11B" w:rsidR="004414A5" w:rsidRPr="00C32EDF" w:rsidRDefault="00F62C8B" w:rsidP="00C32EDF">
      <w:pPr>
        <w:pStyle w:val="RSCH01PaperTitle"/>
      </w:pPr>
      <w:r w:rsidRPr="004414A5">
        <w:br w:type="column"/>
      </w:r>
      <w:r w:rsidR="006E18C7">
        <w:t xml:space="preserve">Following the light: </w:t>
      </w:r>
      <w:r w:rsidR="006F15EF" w:rsidRPr="006F15EF">
        <w:t xml:space="preserve">3D-printed </w:t>
      </w:r>
      <w:proofErr w:type="spellStart"/>
      <w:r w:rsidR="006F15EF" w:rsidRPr="006F15EF">
        <w:t>COF</w:t>
      </w:r>
      <w:r w:rsidR="0016727B">
        <w:t>@</w:t>
      </w:r>
      <w:proofErr w:type="gramStart"/>
      <w:r w:rsidR="006F15EF" w:rsidRPr="006F15EF">
        <w:t>poly</w:t>
      </w:r>
      <w:proofErr w:type="spellEnd"/>
      <w:r w:rsidR="006F15EF" w:rsidRPr="006F15EF">
        <w:t>(</w:t>
      </w:r>
      <w:proofErr w:type="gramEnd"/>
      <w:r w:rsidR="006F15EF" w:rsidRPr="006F15EF">
        <w:t>2-hydroxyethyl methacrylate) dual emissive composite with response to polarity and acidity</w:t>
      </w:r>
      <w:r w:rsidR="004414A5" w:rsidRPr="00C32EDF">
        <w:t xml:space="preserve"> </w:t>
      </w:r>
    </w:p>
    <w:p w14:paraId="5D91B541" w14:textId="6146EF35" w:rsidR="008125A0" w:rsidRPr="00EC7515" w:rsidRDefault="006F15EF" w:rsidP="008125A0">
      <w:pPr>
        <w:pStyle w:val="RSCB01ARTAbstract"/>
        <w:rPr>
          <w:rFonts w:cs="Times New Roman"/>
          <w:sz w:val="20"/>
          <w:vertAlign w:val="superscript"/>
          <w:lang w:val="es-ES"/>
        </w:rPr>
      </w:pPr>
      <w:r w:rsidRPr="00EC7515">
        <w:rPr>
          <w:rFonts w:cs="Times New Roman"/>
          <w:sz w:val="20"/>
          <w:lang w:val="es-ES"/>
        </w:rPr>
        <w:t>Marcos Martínez-Fernández,</w:t>
      </w:r>
      <w:r w:rsidRPr="00EC7515">
        <w:rPr>
          <w:rFonts w:cs="Times New Roman"/>
          <w:sz w:val="20"/>
          <w:vertAlign w:val="superscript"/>
          <w:lang w:val="es-ES"/>
        </w:rPr>
        <w:t>a</w:t>
      </w:r>
      <w:r w:rsidRPr="00EC7515">
        <w:rPr>
          <w:rFonts w:cs="Times New Roman"/>
          <w:sz w:val="20"/>
          <w:lang w:val="es-ES"/>
        </w:rPr>
        <w:t xml:space="preserve"> Raquel Gavara,</w:t>
      </w:r>
      <w:r w:rsidRPr="00EC7515">
        <w:rPr>
          <w:rFonts w:cs="Times New Roman"/>
          <w:sz w:val="20"/>
          <w:vertAlign w:val="superscript"/>
          <w:lang w:val="es-ES"/>
        </w:rPr>
        <w:t>b</w:t>
      </w:r>
      <w:r w:rsidRPr="00EC7515">
        <w:rPr>
          <w:rFonts w:cs="Times New Roman"/>
          <w:sz w:val="20"/>
          <w:lang w:val="es-ES"/>
        </w:rPr>
        <w:t xml:space="preserve"> Sergio Royuela,</w:t>
      </w:r>
      <w:r w:rsidRPr="00EC7515">
        <w:rPr>
          <w:rFonts w:cs="Times New Roman"/>
          <w:sz w:val="20"/>
          <w:vertAlign w:val="superscript"/>
          <w:lang w:val="es-ES"/>
        </w:rPr>
        <w:t>b</w:t>
      </w:r>
      <w:r w:rsidRPr="00EC7515">
        <w:rPr>
          <w:rFonts w:cs="Times New Roman"/>
          <w:sz w:val="20"/>
          <w:lang w:val="es-ES"/>
        </w:rPr>
        <w:t xml:space="preserve"> Laura Fernández</w:t>
      </w:r>
      <w:r w:rsidR="0037590E">
        <w:rPr>
          <w:rFonts w:cs="Times New Roman"/>
          <w:sz w:val="20"/>
          <w:lang w:val="es-ES"/>
        </w:rPr>
        <w:t>-Ecija</w:t>
      </w:r>
      <w:r w:rsidRPr="00EC7515">
        <w:rPr>
          <w:rFonts w:cs="Times New Roman"/>
          <w:sz w:val="20"/>
          <w:lang w:val="es-ES"/>
        </w:rPr>
        <w:t>,</w:t>
      </w:r>
      <w:r w:rsidRPr="00EC7515">
        <w:rPr>
          <w:rFonts w:cs="Times New Roman"/>
          <w:sz w:val="20"/>
          <w:vertAlign w:val="superscript"/>
          <w:lang w:val="es-ES"/>
        </w:rPr>
        <w:t>b</w:t>
      </w:r>
      <w:r w:rsidRPr="00EC7515">
        <w:rPr>
          <w:rFonts w:cs="Times New Roman"/>
          <w:sz w:val="20"/>
          <w:lang w:val="es-ES"/>
        </w:rPr>
        <w:t xml:space="preserve"> José Ignacio Martínez,</w:t>
      </w:r>
      <w:r w:rsidRPr="00EC7515">
        <w:rPr>
          <w:rFonts w:cs="Times New Roman"/>
          <w:sz w:val="20"/>
          <w:vertAlign w:val="superscript"/>
          <w:lang w:val="es-ES"/>
        </w:rPr>
        <w:t>c</w:t>
      </w:r>
      <w:r w:rsidRPr="00EC7515">
        <w:rPr>
          <w:rFonts w:cs="Times New Roman"/>
          <w:sz w:val="20"/>
          <w:lang w:val="es-ES"/>
        </w:rPr>
        <w:t xml:space="preserve"> Félix Zamora</w:t>
      </w:r>
      <w:r w:rsidRPr="00EC7515">
        <w:rPr>
          <w:rFonts w:cs="Times New Roman"/>
          <w:sz w:val="20"/>
          <w:vertAlign w:val="superscript"/>
          <w:lang w:val="es-ES"/>
        </w:rPr>
        <w:t>*b</w:t>
      </w:r>
      <w:r w:rsidR="00CF08E6" w:rsidRPr="00EC7515">
        <w:rPr>
          <w:rFonts w:cs="Times New Roman"/>
          <w:sz w:val="20"/>
          <w:vertAlign w:val="superscript"/>
          <w:lang w:val="es-ES"/>
        </w:rPr>
        <w:t>,</w:t>
      </w:r>
      <w:r w:rsidRPr="00EC7515">
        <w:rPr>
          <w:rFonts w:cs="Times New Roman"/>
          <w:sz w:val="20"/>
          <w:vertAlign w:val="superscript"/>
          <w:lang w:val="es-ES"/>
        </w:rPr>
        <w:t>d</w:t>
      </w:r>
      <w:r w:rsidR="00CF08E6" w:rsidRPr="00EC7515">
        <w:rPr>
          <w:rFonts w:cs="Times New Roman"/>
          <w:sz w:val="20"/>
          <w:vertAlign w:val="superscript"/>
          <w:lang w:val="es-ES"/>
        </w:rPr>
        <w:t>,</w:t>
      </w:r>
      <w:r w:rsidRPr="00EC7515">
        <w:rPr>
          <w:rFonts w:cs="Times New Roman"/>
          <w:sz w:val="20"/>
          <w:vertAlign w:val="superscript"/>
          <w:lang w:val="es-ES"/>
        </w:rPr>
        <w:t>e</w:t>
      </w:r>
      <w:r w:rsidR="00CF08E6" w:rsidRPr="00EC7515">
        <w:rPr>
          <w:rFonts w:cs="Times New Roman"/>
          <w:sz w:val="20"/>
          <w:vertAlign w:val="superscript"/>
          <w:lang w:val="es-ES"/>
        </w:rPr>
        <w:t>,</w:t>
      </w:r>
      <w:r w:rsidRPr="00EC7515">
        <w:rPr>
          <w:rFonts w:cs="Times New Roman"/>
          <w:sz w:val="20"/>
          <w:vertAlign w:val="superscript"/>
          <w:lang w:val="es-ES"/>
        </w:rPr>
        <w:t>f</w:t>
      </w:r>
      <w:r w:rsidRPr="00EC7515">
        <w:rPr>
          <w:rFonts w:cs="Times New Roman"/>
          <w:sz w:val="20"/>
          <w:lang w:val="es-ES"/>
        </w:rPr>
        <w:t xml:space="preserve"> and José Luis Segura*</w:t>
      </w:r>
      <w:r w:rsidRPr="00EC7515">
        <w:rPr>
          <w:rFonts w:cs="Times New Roman"/>
          <w:sz w:val="20"/>
          <w:vertAlign w:val="superscript"/>
          <w:lang w:val="es-ES"/>
        </w:rPr>
        <w:t>a</w:t>
      </w:r>
    </w:p>
    <w:p w14:paraId="39E3785F" w14:textId="4B86349C" w:rsidR="00FA2DA2" w:rsidRPr="00FA2DA2" w:rsidRDefault="00095B4C" w:rsidP="00FA2DA2">
      <w:pPr>
        <w:pStyle w:val="RSCB01ARTAbstract"/>
        <w:sectPr w:rsidR="00FA2DA2" w:rsidRPr="00FA2DA2" w:rsidSect="00514CBA">
          <w:headerReference w:type="even" r:id="rId12"/>
          <w:headerReference w:type="default" r:id="rId13"/>
          <w:footerReference w:type="even" r:id="rId14"/>
          <w:footerReference w:type="default" r:id="rId15"/>
          <w:headerReference w:type="first" r:id="rId16"/>
          <w:footerReference w:type="first" r:id="rId17"/>
          <w:pgSz w:w="11907" w:h="16840" w:code="9"/>
          <w:pgMar w:top="1009" w:right="851" w:bottom="1758" w:left="851" w:header="851" w:footer="1049" w:gutter="0"/>
          <w:cols w:num="2" w:space="227" w:equalWidth="0">
            <w:col w:w="1985" w:space="227"/>
            <w:col w:w="7993"/>
          </w:cols>
          <w:titlePg/>
          <w:docGrid w:linePitch="360"/>
        </w:sectPr>
      </w:pPr>
      <w:r w:rsidRPr="00DA2272">
        <w:t xml:space="preserve">A new imine-based </w:t>
      </w:r>
      <w:r w:rsidR="00F518BE" w:rsidRPr="00DA2272">
        <w:t>covalent organic framework</w:t>
      </w:r>
      <w:r w:rsidR="009D6B48" w:rsidRPr="00DA2272">
        <w:t xml:space="preserve"> </w:t>
      </w:r>
      <w:r w:rsidR="007D020E" w:rsidRPr="00DA2272">
        <w:t>(COF) functionalized in its cavities with moi</w:t>
      </w:r>
      <w:r w:rsidR="00DA2272" w:rsidRPr="00DA2272">
        <w:t>eties of the chromophore Nile Red has been synthesized and characterized.</w:t>
      </w:r>
      <w:r w:rsidR="00363AE6">
        <w:t xml:space="preserve"> </w:t>
      </w:r>
      <w:r w:rsidR="00020AF9">
        <w:t>Using mechanical (ultrasonics) and chemical (acid-self-exfoliation) methods, exfoliation of the COF powder</w:t>
      </w:r>
      <w:r w:rsidR="00180BB4">
        <w:t xml:space="preserve"> has been explored</w:t>
      </w:r>
      <w:r w:rsidR="005A0C17">
        <w:t xml:space="preserve"> in water and water/organic </w:t>
      </w:r>
      <w:r w:rsidR="00E06D4C">
        <w:t>media</w:t>
      </w:r>
      <w:r w:rsidR="005A0C17">
        <w:t xml:space="preserve">. </w:t>
      </w:r>
      <w:r w:rsidR="00367123">
        <w:t xml:space="preserve">In the latter, the colloids obtained exhibit dual emission </w:t>
      </w:r>
      <w:r w:rsidR="00C01269">
        <w:t>or</w:t>
      </w:r>
      <w:r w:rsidR="00020AF9">
        <w:t>i</w:t>
      </w:r>
      <w:r w:rsidR="00C01269">
        <w:t xml:space="preserve">ginated from the Nile Red units (red) and </w:t>
      </w:r>
      <w:r w:rsidR="007E1B7D">
        <w:t>the COF framework  (green)</w:t>
      </w:r>
      <w:r w:rsidR="00300DA2">
        <w:t xml:space="preserve"> that can be empl</w:t>
      </w:r>
      <w:r w:rsidR="00325A02">
        <w:t xml:space="preserve">oyed to prepare ratiometric sensors of polarity and acidity. </w:t>
      </w:r>
      <w:r w:rsidR="005F00B3">
        <w:t xml:space="preserve">Thus, taking profit of the exfoliation </w:t>
      </w:r>
      <w:r w:rsidR="00237324" w:rsidRPr="00927A73">
        <w:rPr>
          <w:i/>
          <w:iCs/>
        </w:rPr>
        <w:t>in situ</w:t>
      </w:r>
      <w:r w:rsidR="00237324">
        <w:t xml:space="preserve"> </w:t>
      </w:r>
      <w:r w:rsidR="005F00B3">
        <w:t>of the material in</w:t>
      </w:r>
      <w:r w:rsidR="00FA6089">
        <w:t xml:space="preserve"> </w:t>
      </w:r>
      <w:r w:rsidR="00FD2279">
        <w:t>methac</w:t>
      </w:r>
      <w:r w:rsidR="00DD3D86">
        <w:t>rylic monomers</w:t>
      </w:r>
      <w:r w:rsidR="00C43A1B">
        <w:t>,</w:t>
      </w:r>
      <w:r w:rsidR="00DD3D86">
        <w:t xml:space="preserve"> free-standing</w:t>
      </w:r>
      <w:r w:rsidR="00C43A1B">
        <w:t xml:space="preserve"> polymeric films that preserve the </w:t>
      </w:r>
      <w:r w:rsidR="00E47265">
        <w:t>optical properties of the exfoliated COF</w:t>
      </w:r>
      <w:r w:rsidR="00EA2C0E">
        <w:t xml:space="preserve"> have been prepared. </w:t>
      </w:r>
      <w:r w:rsidR="001136A2">
        <w:t xml:space="preserve">Finally, </w:t>
      </w:r>
      <w:r w:rsidR="00EF677C">
        <w:t xml:space="preserve">3D </w:t>
      </w:r>
      <w:r w:rsidR="00B93136">
        <w:t>liquid crystal displa</w:t>
      </w:r>
      <w:r w:rsidR="00B41A93">
        <w:t>y</w:t>
      </w:r>
      <w:r w:rsidR="00237324">
        <w:t xml:space="preserve"> (</w:t>
      </w:r>
      <w:r w:rsidR="00B41A93">
        <w:t>LCD</w:t>
      </w:r>
      <w:r w:rsidR="00237324">
        <w:t>)</w:t>
      </w:r>
      <w:r w:rsidR="00273B83">
        <w:t xml:space="preserve"> </w:t>
      </w:r>
      <w:r w:rsidR="00EF677C">
        <w:t>add</w:t>
      </w:r>
      <w:r w:rsidR="00D93422">
        <w:t>i</w:t>
      </w:r>
      <w:r w:rsidR="00EF677C">
        <w:t>tive manufacturing</w:t>
      </w:r>
      <w:r w:rsidR="00AE409B">
        <w:t xml:space="preserve"> </w:t>
      </w:r>
      <w:r w:rsidR="00273B83">
        <w:t>has been employed to prepare the dual emissive composites</w:t>
      </w:r>
      <w:r w:rsidR="00237324">
        <w:t xml:space="preserve"> as tailored 3D-printed objects.</w:t>
      </w:r>
    </w:p>
    <w:p w14:paraId="668DB4B8" w14:textId="57ED5967" w:rsidR="00FA2DA2" w:rsidRDefault="00FA2DA2" w:rsidP="00FA2DA2">
      <w:pPr>
        <w:pStyle w:val="RSCB04AHeadingSection"/>
      </w:pPr>
      <w:r w:rsidRPr="00017239">
        <w:t>Introduction</w:t>
      </w:r>
    </w:p>
    <w:p w14:paraId="72BC4D9F" w14:textId="62040EEE" w:rsidR="00020AF9" w:rsidRDefault="00817221" w:rsidP="007E54CA">
      <w:pPr>
        <w:pStyle w:val="RSCB02ArticleText"/>
      </w:pPr>
      <w:r w:rsidRPr="00817221">
        <w:rPr>
          <w:lang w:val="en-US"/>
        </w:rPr>
        <w:t xml:space="preserve">Covalent organic frameworks (COFs) are crystalline porous organic materials known since 2005 with the publication of the prominent work by </w:t>
      </w:r>
      <w:proofErr w:type="spellStart"/>
      <w:r w:rsidRPr="00817221">
        <w:rPr>
          <w:lang w:val="en-US"/>
        </w:rPr>
        <w:t>Yaghi</w:t>
      </w:r>
      <w:proofErr w:type="spellEnd"/>
      <w:r w:rsidRPr="00817221">
        <w:rPr>
          <w:lang w:val="en-US"/>
        </w:rPr>
        <w:t xml:space="preserve"> and co-workers.</w:t>
      </w:r>
      <w:r w:rsidRPr="00817221">
        <w:rPr>
          <w:lang w:val="en-US"/>
        </w:rPr>
        <w:fldChar w:fldCharType="begin" w:fldLock="1"/>
      </w:r>
      <w:r w:rsidRPr="00817221">
        <w:rPr>
          <w:lang w:val="en-US"/>
        </w:rPr>
        <w:instrText>ADDIN CSL_CITATION {"citationItems":[{"id":"ITEM-1","itemData":{"author":[{"dropping-particle":"","family":"Ockwig","given":"Nathan W","non-dropping-particle":"","parse-names":false,"suffix":""},{"dropping-particle":"","family":"Co","given":"Adrien P","non-dropping-particle":"","parse-names":false,"suffix":""},{"dropping-particle":"","family":"Keeffe","given":"Michael O","non-dropping-particle":"","parse-names":false,"suffix":""},{"dropping-particle":"","family":"Matzger","given":"Adam J","non-dropping-particle":"","parse-names":false,"suffix":""},{"dropping-particle":"","family":"Yaghi","given":"Omar M","non-dropping-particle":"","parse-names":false,"suffix":""}],"container-title":"Science","id":"ITEM-1","issue":"November","issued":{"date-parts":[["2005"]]},"page":"1166-1171","title":"Porous , Crystalline , Covalent Organic Frameworks","type":"article-journal","volume":"310"},"uris":["http://www.mendeley.com/documents/?uuid=3dca4ce3-6498-42c9-9ca4-1e398ddb5289"]}],"mendeley":{"formattedCitation":"&lt;sup&gt;1&lt;/sup&gt;","plainTextFormattedCitation":"1","previouslyFormattedCitation":"&lt;sup&gt;1&lt;/sup&gt;"},"properties":{"noteIndex":0},"schema":"https://github.com/citation-style-language/schema/raw/master/csl-citation.json"}</w:instrText>
      </w:r>
      <w:r w:rsidRPr="00817221">
        <w:rPr>
          <w:lang w:val="en-US"/>
        </w:rPr>
        <w:fldChar w:fldCharType="separate"/>
      </w:r>
      <w:r w:rsidRPr="00817221">
        <w:rPr>
          <w:noProof/>
          <w:vertAlign w:val="superscript"/>
          <w:lang w:val="en-US"/>
        </w:rPr>
        <w:t>1</w:t>
      </w:r>
      <w:r w:rsidRPr="00817221">
        <w:fldChar w:fldCharType="end"/>
      </w:r>
      <w:r w:rsidRPr="00817221">
        <w:rPr>
          <w:lang w:val="en-US"/>
        </w:rPr>
        <w:t xml:space="preserve"> Unlike classical organic polymers, COFs present a highly ordered structure based on the topologically directed connection of organic monomers. The </w:t>
      </w:r>
      <w:r w:rsidR="000919E4">
        <w:rPr>
          <w:lang w:val="en-US"/>
        </w:rPr>
        <w:t>dynamic nature</w:t>
      </w:r>
      <w:r w:rsidRPr="00817221">
        <w:rPr>
          <w:lang w:val="en-US"/>
        </w:rPr>
        <w:t xml:space="preserve"> of the covalent bonds formed during the synthesis enables self-healing and error correction of the structures and is a key factor determining the high crystallinity exhibited by these materials.</w:t>
      </w:r>
      <w:r w:rsidRPr="00817221">
        <w:rPr>
          <w:lang w:val="en-US"/>
        </w:rPr>
        <w:fldChar w:fldCharType="begin" w:fldLock="1"/>
      </w:r>
      <w:r w:rsidR="00F05665">
        <w:rPr>
          <w:lang w:val="en-US"/>
        </w:rPr>
        <w:instrText>ADDIN CSL_CITATION {"citationItems":[{"id":"ITEM-1","itemData":{"DOI":"10.1021/acs.chemrev.9b00550","ISSN":"15206890","PMID":"31967791","abstract":"Covalent organic frameworks (COFs) are a class of crystalline porous organic polymers with permanent porosity and highly ordered structures. Unlike other polymers, a significant feature of COFs is that they are structurally predesignable, synthetically controllable, and functionally manageable. In principle, the topological design diagram offers geometric guidance for the structural tiling of extended porous polygons, and the polycondensation reactions provide synthetic ways to construct the predesigned primary and high-order structures. Progress over the past decade in the chemistry of these two aspects undoubtedly established the base of the COF field. By virtue of the availability of organic units and the diversity of topologies and linkages, COFs have emerged as a new field of organic materials that offer a powerful molecular platform for complex structural design and tailor-made functional development. Here we target a comprehensive review of the COF field, provide a historic overview of the chemistry of the COF field, survey the advances in the topology design and synthetic reactions, illustrate the structural features and diversities, scrutinize the development and potential of various functions through elucidating structure-function correlations based on interactions with photons, electrons, holes, spins, ions, and molecules, discuss the key fundamental and challenging issues that need to be addressed, and predict the future directions from chemistry, physics, and materials perspectives.","author":[{"dropping-particle":"","family":"Geng","given":"Keyu","non-dropping-particle":"","parse-names":false,"suffix":""},{"dropping-particle":"","family":"He","given":"Ting","non-dropping-particle":"","parse-names":false,"suffix":""},{"dropping-particle":"","family":"Liu","given":"Ruoyang","non-dropping-particle":"","parse-names":false,"suffix":""},{"dropping-particle":"","family":"Dalapati","given":"Sasanka","non-dropping-particle":"","parse-names":false,"suffix":""},{"dropping-particle":"","family":"Tan","given":"Ke Tian","non-dropping-particle":"","parse-names":false,"suffix":""},{"dropping-particle":"","family":"Li","given":"Zhongping","non-dropping-particle":"","parse-names":false,"suffix":""},{"dropping-particle":"","family":"Tao","given":"Shanshan","non-dropping-particle":"","parse-names":false,"suffix":""},{"dropping-particle":"","family":"Gong","given":"Yifan","non-dropping-particle":"","parse-names":false,"suffix":""},{"dropping-particle":"","family":"Jiang","given":"Qiuhong","non-dropping-particle":"","parse-names":false,"suffix":""},{"dropping-particle":"","family":"Jiang","given":"Donglin","non-dropping-particle":"","parse-names":false,"suffix":""}],"container-title":"Chemical Reviews","id":"ITEM-1","issue":"16","issued":{"date-parts":[["2020"]]},"page":"8814-8933","title":"Covalent Organic Frameworks: Design, Synthesis, and Functions","type":"article-journal","volume":"120"},"uris":["http://www.mendeley.com/documents/?uuid=fbd2497f-c706-43ba-b732-a4520196b63c"]},{"id":"ITEM-2","itemData":{"DOI":"10.1002/anie.201904291","ISSN":"15213773","PMID":"31144373","abstract":"A new approach has been developed to design organic polymers using topology diagrams. This strategy enables covalent integration of organic units into ordered topologies and creates a new polymer form, that is, covalent organic frameworks. This is a breakthrough in chemistry because it sets a molecular platform for synthesizing polymers with predesignable primary and high-order structures, which has been a central aim for over a century but unattainable with traditional design principles. This new field has its own features that are distinct from conventional polymers. This Review summarizes the fundamentals as well as major progress by focusing on the chemistry used to design structures, including the principles, synthetic strategies, and control methods. We scrutinize built-in functions that are specific to the structures by revealing various interplays and mechanisms involved in the expression of function. We propose major fundamental issues to be addressed in chemistry as well as future directions from physics, materials, and application perspectives.","author":[{"dropping-particle":"","family":"Chen","given":"Xinyi","non-dropping-particle":"","parse-names":false,"suffix":""},{"dropping-particle":"","family":"Geng","given":"Keyu","non-dropping-particle":"","parse-names":false,"suffix":""},{"dropping-particle":"","family":"Liu","given":"Ruoyang","non-dropping-particle":"","parse-names":false,"suffix":""},{"dropping-particle":"","family":"Tan","given":"Ke Tian","non-dropping-particle":"","parse-names":false,"suffix":""},{"dropping-particle":"","family":"Gong","given":"Yifan","non-dropping-particle":"","parse-names":false,"suffix":""},{"dropping-particle":"","family":"Li","given":"Zhongping","non-dropping-particle":"","parse-names":false,"suffix":""},{"dropping-particle":"","family":"Tao","given":"Shanshan","non-dropping-particle":"","parse-names":false,"suffix":""},{"dropping-particle":"","family":"Jiang","given":"Qiuhong","non-dropping-particle":"","parse-names":false,"suffix":""},{"dropping-particle":"","family":"Jiang","given":"Donglin","non-dropping-particle":"","parse-names":false,"suffix":""}],"container-title":"Angewandte Chemie - International Edition","id":"ITEM-2","issue":"13","issued":{"date-parts":[["2020"]]},"page":"5050-5091","title":"Covalent Organic Frameworks: Chemical Approaches to Designer Structures and Built-In Functions","type":"article-journal","volume":"59"},"uris":["http://www.mendeley.com/documents/?uuid=94e27c9d-d117-437c-8bdb-a3be4cd62dfb"]},{"id":"ITEM-3","itemData":{"DOI":"10.1002/smll.202100918","ISSN":"16136829","abstract":"Covalent–organic frameworks (COFs) are especially interesting and unique as their highly ordered topological structures entirely built from plentiful π-conjugated units through covalent bonds. Arranging tailorable organic building blocks into periodically reticular skeleton bestows predictable lattices and various properties upon COFs in respect of topology diagrams, pore size, properties of channel wall interfaces, etc. Indeed, these peculiar features in terms of crystallinity, conjugation degree, and topology diagrams fundamentally decide the applications of COFs including heterogeneous catalysis, energy conversion, proton conduction, light emission, and optoelectronic devices. Additionally, this research field has attracted widespread attention and is of importance with a major breakthrough in recent year. However, this research field is running with the lack of summaries about tailorable construction of 2D COFs for targeted functionalities. This review first covers some crucial polymeric strategies of preparing COFs, containing boron ester condensation, amine-aldehyde condensation, Knoevenagel condensation, trimerization reaction, Suzuki C-C coupling reaction, and hybrid polycondensation. Subsequently, a summary is made of some representative building blocks, and then underlines how the electronic and molecular structures of building blocks can strongly influence the functional performance of COFs. Finally, conclusion and perspectives on 2D COFs for further study are proposed.","author":[{"dropping-particle":"","family":"Li","given":"Chenyu","non-dropping-particle":"","parse-names":false,"suffix":""},{"dropping-particle":"","family":"Yu","given":"Gui","non-dropping-particle":"","parse-names":false,"suffix":""}],"container-title":"Small","id":"ITEM-3","issued":{"date-parts":[["2021"]]},"page":"1-39","title":"Controllable Synthesis and Performance Modulation of 2D Covalent–Organic Frameworks","type":"article-journal","volume":"2100918"},"uris":["http://www.mendeley.com/documents/?uuid=90003235-b41e-4c14-9b05-10290fd69505"]},{"id":"ITEM-4","itemData":{"DOI":"10.1002/adfm.201705553","ISSN":"16163028","abstract":"Covalent organic frameworks (COFs) are crystalline porous polymers formed by a bottom-up approach from molecular building units having a predesigned geometry that are connected through covalent bonds. They offer positional control over their building blocks in two and three dimensions. This control enables the synthesis of rigid porous structures with a high regularity and the ability to fine-tune the chemical and physical properties of the network. This Feature Article provides a comprehensive overview over the structures realized to date in the fast growing field of covalent organic framework development. Different synthesis strategies to meet diverse demands, such as high crystallinity, straightforward processability, or the formation of thin films are discussed. Furthermore, insights into the growing fields of COF applications, including gas storage and separations, sensing, electrochemical energy storage, and optoelectronics are provided.","author":[{"dropping-particle":"","family":"Lohse","given":"Maria S.","non-dropping-particle":"","parse-names":false,"suffix":""},{"dropping-particle":"","family":"Bein","given":"Thomas","non-dropping-particle":"","parse-names":false,"suffix":""}],"container-title":"Advanced Functional Materials","id":"ITEM-4","issue":"33","issued":{"date-parts":[["2018"]]},"page":"1705553","title":"Covalent Organic Frameworks: Structures, Synthesis, and Applications","type":"article-journal","volume":"28"},"uris":["http://www.mendeley.com/documents/?uuid=3f852859-97b0-4aa5-8bf8-d6a8cbc89dac"]},{"id":"ITEM-5","itemData":{"DOI":"10.1021/acscentsci.7b00127","ISSN":"23747951","abstract":"The simultaneous polymerization and crystallization of monomers featuring directional bonding designs provides covalent organic frameworks (COFs), which are periodic polymer networks with robust covalent bonds arranged in two- or three-dimensional topologies. The range of properties characterized in COFs has rapidly expanded to include those of interest for heterogeneous catalysis, energy storage and photovoltaic devices, and proton-conducting membranes. Yet many of these applications will require materials quality, morphological control, and synthetic efficiency exceeding the capabilities of contemporary synthetic methods. This level of control will emerge from an improved fundamental understanding of COF nucleation and growth processes. More powerful characterization of structure and defects, improved syntheses guided by mechanistic understanding, and accessing diverse isolated forms, ranging from single crystals to thin films to colloidal suspensions, remain important frontier problems.","author":[{"dropping-particle":"","family":"Bisbey","given":"Ryan P.","non-dropping-particle":"","parse-names":false,"suffix":""},{"dropping-particle":"","family":"Dichtel","given":"William R.","non-dropping-particle":"","parse-names":false,"suffix":""}],"container-title":"ACS Central Science","id":"ITEM-5","issue":"6","issued":{"date-parts":[["2017"]]},"page":"533-543","title":"Covalent Organic Frameworks as a Platform for Multidimensional Polymerization","type":"article-journal","volume":"3"},"uris":["http://www.mendeley.com/documents/?uuid=7e199476-e6bc-400a-8d50-3050be794e03"]},{"id":"ITEM-6","itemData":{"DOI":"10.1039/c5cs00878f","ISSN":"14604744","abstract":"Covalent organic-frameworks (COFs) are an emerging class of porous and ordered materials formed by condensation reactions of organic molecules. Recently, the Schiff-base chemistry or dynamic imine-chemistry has been widely explored for the synthesis of COFs. The main reason for this new tendency is based on their high chemical stability, porosity and crystallinity in comparison to previously reported COFs. This critical review article summarizes the current state-of-the-art on the design principles and synthetic strategies toward COFs based on Schiff-base chemistry, collects and rationalizes their physicochemical properties, as well as aims to provide perspectives of potential applications which are at the forefront of research in materials science.","author":[{"dropping-particle":"","family":"Segura","given":"José L.","non-dropping-particle":"","parse-names":false,"suffix":""},{"dropping-particle":"","family":"Mancheño","given":"María J.","non-dropping-particle":"","parse-names":false,"suffix":""},{"dropping-particle":"","family":"Zamora","given":"Félix","non-dropping-particle":"","parse-names":false,"suffix":""}],"container-title":"Chemical Society Reviews","id":"ITEM-6","issue":"20","issued":{"date-parts":[["2016"]]},"page":"5635-5671","title":"Covalent organic frameworks based on Schiff-base chemistry: Synthesis, properties and potential applications","type":"article-journal","volume":"45"},"uris":["http://www.mendeley.com/documents/?uuid=6cc308e0-7778-4476-98f5-83133464338f"]}],"mendeley":{"formattedCitation":"&lt;sup&gt;2–7&lt;/sup&gt;","plainTextFormattedCitation":"2–7","previouslyFormattedCitation":"&lt;sup&gt;2–7&lt;/sup&gt;"},"properties":{"noteIndex":0},"schema":"https://github.com/citation-style-language/schema/raw/master/csl-citation.json"}</w:instrText>
      </w:r>
      <w:r w:rsidRPr="00817221">
        <w:rPr>
          <w:lang w:val="en-US"/>
        </w:rPr>
        <w:fldChar w:fldCharType="separate"/>
      </w:r>
      <w:r w:rsidRPr="00817221">
        <w:rPr>
          <w:noProof/>
          <w:vertAlign w:val="superscript"/>
          <w:lang w:val="en-US"/>
        </w:rPr>
        <w:t>2–7</w:t>
      </w:r>
      <w:r w:rsidRPr="00817221">
        <w:fldChar w:fldCharType="end"/>
      </w:r>
      <w:r w:rsidRPr="00817221">
        <w:rPr>
          <w:lang w:val="en-US"/>
        </w:rPr>
        <w:t xml:space="preserve"> The intrinsic porosity, crystallinity, and chemical stability exhibited by COFs, together with the incorporation of appropriate functional groups, make these materials very attractive in a wide range of applications</w:t>
      </w:r>
      <w:r w:rsidR="00020AF9">
        <w:rPr>
          <w:lang w:val="en-US"/>
        </w:rPr>
        <w:t>,</w:t>
      </w:r>
      <w:r w:rsidRPr="00817221">
        <w:rPr>
          <w:lang w:val="en-US"/>
        </w:rPr>
        <w:t xml:space="preserve"> including gas storage and separation,</w:t>
      </w:r>
      <w:r w:rsidRPr="00817221">
        <w:rPr>
          <w:lang w:val="en-US"/>
        </w:rPr>
        <w:fldChar w:fldCharType="begin" w:fldLock="1"/>
      </w:r>
      <w:r w:rsidRPr="00817221">
        <w:rPr>
          <w:lang w:val="en-US"/>
        </w:rPr>
        <w:instrText>ADDIN CSL_CITATION {"citationItems":[{"id":"ITEM-1","itemData":{"DOI":"10.3390/molecules22071149","ISSN":"14203049","PMID":"28698519","abstract":"Covalent organic frameworks (COFs) have emerged as a new class of crystalline porous materials prepared by integrating organic molecular building blocks into predetermined network structures entirely through strong covalent bonds. The consequently encountered \"crystallization problem\" has been conquered by dynamic covalent chemistry in syntheses and reticular chemistry in materials design. In this contribution, we have reviewed the progress in the crystallization of COF materials and their hydrogen, methane and carbon dioxide gas storage properties for clean energy applications.","author":[{"dropping-particle":"","family":"Zhu","given":"Lijuan","non-dropping-particle":"","parse-names":false,"suffix":""},{"dropping-particle":"","family":"Zhang","given":"Yue Biao","non-dropping-particle":"","parse-names":false,"suffix":""}],"container-title":"Molecules (Basel, Switzerland)","id":"ITEM-1","issue":"7","issued":{"date-parts":[["2017"]]},"page":"1149","title":"Crystallization of Covalent Organic Frameworks for Gas Storage Applications","type":"article-journal","volume":"22"},"uris":["http://www.mendeley.com/documents/?uuid=9e6674a1-8ebb-428d-bc66-c1b8fbfddb74"]}],"mendeley":{"formattedCitation":"&lt;sup&gt;8&lt;/sup&gt;","plainTextFormattedCitation":"8","previouslyFormattedCitation":"&lt;sup&gt;8&lt;/sup&gt;"},"properties":{"noteIndex":0},"schema":"https://github.com/citation-style-language/schema/raw/master/csl-citation.json"}</w:instrText>
      </w:r>
      <w:r w:rsidRPr="00817221">
        <w:rPr>
          <w:lang w:val="en-US"/>
        </w:rPr>
        <w:fldChar w:fldCharType="separate"/>
      </w:r>
      <w:r w:rsidRPr="00817221">
        <w:rPr>
          <w:noProof/>
          <w:vertAlign w:val="superscript"/>
          <w:lang w:val="en-US"/>
        </w:rPr>
        <w:t>8</w:t>
      </w:r>
      <w:r w:rsidRPr="00817221">
        <w:fldChar w:fldCharType="end"/>
      </w:r>
      <w:r w:rsidRPr="00817221">
        <w:rPr>
          <w:lang w:val="en-US"/>
        </w:rPr>
        <w:t xml:space="preserve"> renewable energy applications,</w:t>
      </w:r>
      <w:r w:rsidRPr="00817221">
        <w:rPr>
          <w:lang w:val="en-US"/>
        </w:rPr>
        <w:fldChar w:fldCharType="begin" w:fldLock="1"/>
      </w:r>
      <w:r w:rsidRPr="00817221">
        <w:rPr>
          <w:lang w:val="en-US"/>
        </w:rPr>
        <w:instrText>ADDIN CSL_CITATION {"citationItems":[{"id":"ITEM-1","itemData":{"DOI":"10.1002/adma.201703646","ISSN":"15214095","PMID":"29171919","abstract":"Covalent organic frameworks (COFs) are promising for catalysis, sensing, gas storage, adsorption, optoelectricity, etc. owning to the unprecedented combination of large surface area, high crystallinity, tunable pore size, and unique molecular architecture. Although COFs are in their initial research stage, progress has been made in the design and synthesis of COF-based electrocatalysis for the oxygen reduction reaction, oxygen evolution reaction, hydrogen evolution reaction, and CO2 reduction in energy conversion and fuel generation. Design principles are also established for some of the COF materials toward rational design and rapid screening of the best electrocatalysts for a specific application. Herein, the recent advances in the design and synthesis of COF-based catalysts for clean energy conversion and storage are presented. Future research directions and perspectives are also being discussed for the development of efficient COF-based electrocatalysts.","author":[{"dropping-particle":"","family":"Lin","given":"Chun Yu","non-dropping-particle":"","parse-names":false,"suffix":""},{"dropping-particle":"","family":"Zhang","given":"Detao","non-dropping-particle":"","parse-names":false,"suffix":""},{"dropping-particle":"","family":"Zhao","given":"Zhenghang","non-dropping-particle":"","parse-names":false,"suffix":""},{"dropping-particle":"","family":"Xia","given":"Zhenhai","non-dropping-particle":"","parse-names":false,"suffix":""}],"container-title":"Advanced Materials","id":"ITEM-1","issue":"5","issued":{"date-parts":[["2018"]]},"page":"1-16","title":"Covalent Organic Framework Electrocatalysts for Clean Energy Conversion","type":"article-journal","volume":"30"},"uris":["http://www.mendeley.com/documents/?uuid=9cc312c4-8b79-4621-b716-71cb1e61a604"]}],"mendeley":{"formattedCitation":"&lt;sup&gt;9&lt;/sup&gt;","plainTextFormattedCitation":"9","previouslyFormattedCitation":"&lt;sup&gt;9&lt;/sup&gt;"},"properties":{"noteIndex":0},"schema":"https://github.com/citation-style-language/schema/raw/master/csl-citation.json"}</w:instrText>
      </w:r>
      <w:r w:rsidRPr="00817221">
        <w:rPr>
          <w:lang w:val="en-US"/>
        </w:rPr>
        <w:fldChar w:fldCharType="separate"/>
      </w:r>
      <w:r w:rsidRPr="00817221">
        <w:rPr>
          <w:noProof/>
          <w:vertAlign w:val="superscript"/>
          <w:lang w:val="en-US"/>
        </w:rPr>
        <w:t>9</w:t>
      </w:r>
      <w:r w:rsidRPr="00817221">
        <w:fldChar w:fldCharType="end"/>
      </w:r>
      <w:r w:rsidRPr="00817221">
        <w:rPr>
          <w:lang w:val="en-US"/>
        </w:rPr>
        <w:t xml:space="preserve"> development of lithium batteries,</w:t>
      </w:r>
      <w:r w:rsidRPr="00817221">
        <w:rPr>
          <w:lang w:val="en-US"/>
        </w:rPr>
        <w:fldChar w:fldCharType="begin" w:fldLock="1"/>
      </w:r>
      <w:r w:rsidRPr="00817221">
        <w:rPr>
          <w:lang w:val="en-US"/>
        </w:rPr>
        <w:instrText>ADDIN CSL_CITATION {"citationItems":[{"id":"ITEM-1","itemData":{"DOI":"10.1002/batt.202000094","ISSN":"2566-6223","abstract":"Metal–organic frameworks (MOFs) or covalent–organic frameworks (COFs) have gained increasing attentions due to their high surface area, tunable structure, highly ordered pores and functional composition. Besides their applications in gas adsorption and separation, hydrogen storage, optics, magnetism and drug delivery, they have been widely employed as cathodes, anodes and separators for the research and development in lithium‐ion batteries (LIBs) due to the tunable structure, multi‐electron transfer, short pathway, and robust structural stability, etc. This review summarizes the general applied strategies and cases of MOF, COF and their composites as well as derivatives in LIBs. Compared to inorganic materials, the advantages of MOF/COF materials have made it possible to witness various successful cases with enhanced electrochemical performances. Moreover, this review provides some guidance for the controllable preparation and modification of MOF‐ and COF‐derived nanostructures through molecular engineering, rational design, and doping, as well as functional group modifications. In addition, we highlight timely progresses of the application of organic frameworks in LIBs, and also summarize many strategies of MOF/COF materials and their derivatives on enhancing the energy density, diffusion coefficient, rate performance and cycling stability for next‐generation LIBs with attractive features of high energy density, good rate performance, and superior cyclability.","author":[{"dropping-particle":"","family":"Cui","given":"Xiang","non-dropping-particle":"","parse-names":false,"suffix":""},{"dropping-particle":"","family":"Dong","given":"Hanghang","non-dropping-particle":"","parse-names":false,"suffix":""},{"dropping-particle":"","family":"Chen","given":"Shuangqiang","non-dropping-particle":"","parse-names":false,"suffix":""},{"dropping-particle":"","family":"Wu","given":"Minghong","non-dropping-particle":"","parse-names":false,"suffix":""},{"dropping-particle":"","family":"Wang","given":"Yong","non-dropping-particle":"","parse-names":false,"suffix":""}],"container-title":"Batteries &amp; Supercaps","id":"ITEM-1","issue":"1","issued":{"date-parts":[["2021"]]},"page":"72-97","title":"Progress and Perspective of Metal‐ and Covalent‐Organic Frameworks and their Derivatives for Lithium‐Ion Batteries","type":"article-journal","volume":"4"},"uris":["http://www.mendeley.com/documents/?uuid=cfdd3e5b-0e0f-4245-8c3c-a922676612fa"]}],"mendeley":{"formattedCitation":"&lt;sup&gt;10&lt;/sup&gt;","plainTextFormattedCitation":"10","previouslyFormattedCitation":"&lt;sup&gt;10&lt;/sup&gt;"},"properties":{"noteIndex":0},"schema":"https://github.com/citation-style-language/schema/raw/master/csl-citation.json"}</w:instrText>
      </w:r>
      <w:r w:rsidRPr="00817221">
        <w:rPr>
          <w:lang w:val="en-US"/>
        </w:rPr>
        <w:fldChar w:fldCharType="separate"/>
      </w:r>
      <w:r w:rsidRPr="00817221">
        <w:rPr>
          <w:noProof/>
          <w:vertAlign w:val="superscript"/>
          <w:lang w:val="en-US"/>
        </w:rPr>
        <w:t>10</w:t>
      </w:r>
      <w:r w:rsidRPr="00817221">
        <w:fldChar w:fldCharType="end"/>
      </w:r>
      <w:r w:rsidRPr="00817221">
        <w:rPr>
          <w:lang w:val="en-US"/>
        </w:rPr>
        <w:t xml:space="preserve"> environmental remediation</w:t>
      </w:r>
      <w:r w:rsidR="00020AF9">
        <w:rPr>
          <w:lang w:val="en-US"/>
        </w:rPr>
        <w:t>s</w:t>
      </w:r>
      <w:r w:rsidRPr="00817221">
        <w:rPr>
          <w:lang w:val="en-US"/>
        </w:rPr>
        <w:t>,</w:t>
      </w:r>
      <w:r w:rsidRPr="00817221">
        <w:rPr>
          <w:lang w:val="en-US"/>
        </w:rPr>
        <w:fldChar w:fldCharType="begin" w:fldLock="1"/>
      </w:r>
      <w:r w:rsidRPr="00817221">
        <w:rPr>
          <w:lang w:val="en-US"/>
        </w:rPr>
        <w:instrText>ADDIN CSL_CITATION {"citationItems":[{"id":"ITEM-1","itemData":{"DOI":"10.1016/j.jclepro.2020.123360","ISSN":"09596526","abstract":"Adsorption is considered to be the most effective method for removing environmental pollutants. Covalent organic frameworks (COFs, state-of-art 2D or 3D crystalline porous polymers linked by covalent bonds) have been widely used in environmental remediation due to the superior physicochemical properties such as huge specific surface area, high porosity, admirable physicochemical stability, fast charge-carrier mobility, tunable functionality. However, few investigation on the progress of COFs in environmental remediation are available. In this review, recent signs of progresses of COFs as superior materials for the efficient capture of gases, organics, heavy metals and radionuclides are critically reviewed. Finally, the current challenges and further research (e.g., large-scale synthesis, detoxification, sustainability and cost evaluation) were discussed. Hopefully, this review could contribute to exploit the extensive application of COFs on the removal of various environmental contaminants in environmental cleanup.","author":[{"dropping-particle":"","family":"Zhang","given":"Ning","non-dropping-particle":"","parse-names":false,"suffix":""},{"dropping-particle":"","family":"Ishag","given":"Alhadi","non-dropping-particle":"","parse-names":false,"suffix":""},{"dropping-particle":"","family":"Li","given":"Ying","non-dropping-particle":"","parse-names":false,"suffix":""},{"dropping-particle":"","family":"Wang","given":"Huihui","non-dropping-particle":"","parse-names":false,"suffix":""},{"dropping-particle":"","family":"Guo","given":"Han","non-dropping-particle":"","parse-names":false,"suffix":""},{"dropping-particle":"","family":"Mei","given":"Peng","non-dropping-particle":"","parse-names":false,"suffix":""},{"dropping-particle":"","family":"Meng","given":"Qiang","non-dropping-particle":"","parse-names":false,"suffix":""},{"dropping-particle":"","family":"Sun","given":"Yubing","non-dropping-particle":"","parse-names":false,"suffix":""}],"container-title":"Journal of Cleaner Production","id":"ITEM-1","issued":{"date-parts":[["2020"]]},"page":"123360","publisher":"Elsevier Ltd","title":"Recent investigations and progress in environmental remediation by using covalent organic framework-based adsorption method: A review","type":"article-journal","volume":"277"},"uris":["http://www.mendeley.com/documents/?uuid=c356726a-f321-4f13-b9b6-8a44dac50307"]},{"id":"ITEM-2","itemData":{"DOI":"10.1016/j.ccr.2019.213046","ISSN":"00108545","abstract":"Covalent organic frameworks (COFs) is a type of newly developed crystals known for chemical stability, ordered porous structure, and tunable skeleton, as well as luminescence in some cases. By virtue of their advantages, stable COFs play diverse roles in the field of environmental applications, such as adsorbing, separating, sensing and catalytically degrading pollutants. This review mainly focused on the state-of-the-art development of stable COFs in environmental applications, such as adsorption, membrane separation and detection of various environmental pollutants, including heavy metals and radionuclides (Hg2+, UO22+, I2, Nd3+ and TcO4−), toxic organic pollutants (organic dyes, pharmaceuticals, organophosphorus flame retardants, per- and poly-fluorinated alkyl substances and endocrine-disrupting chemicals), as well as the catalytic degradation/conversion and CO2 capture. Their structural characteristics, functional design approaches and specific environmental applications were introduced, and concluding remarks and future research directions were proposed.","author":[{"dropping-particle":"","family":"Wang","given":"Jianlong","non-dropping-particle":"","parse-names":false,"suffix":""},{"dropping-particle":"","family":"Zhuang","given":"Shuting","non-dropping-particle":"","parse-names":false,"suffix":""}],"container-title":"Coordination Chemistry Reviews","id":"ITEM-2","issued":{"date-parts":[["2019"]]},"page":"213046","publisher":"Elsevier B.V.","title":"Covalent organic frameworks (COFs) for environmental applications","type":"article-journal","volume":"400"},"uris":["http://www.mendeley.com/documents/?uuid=a18e87fd-41c9-4832-a56e-148e4149b19c"]}],"mendeley":{"formattedCitation":"&lt;sup&gt;11,12&lt;/sup&gt;","plainTextFormattedCitation":"11,12","previouslyFormattedCitation":"&lt;sup&gt;11,12&lt;/sup&gt;"},"properties":{"noteIndex":0},"schema":"https://github.com/citation-style-language/schema/raw/master/csl-citation.json"}</w:instrText>
      </w:r>
      <w:r w:rsidRPr="00817221">
        <w:rPr>
          <w:lang w:val="en-US"/>
        </w:rPr>
        <w:fldChar w:fldCharType="separate"/>
      </w:r>
      <w:r w:rsidRPr="00817221">
        <w:rPr>
          <w:noProof/>
          <w:vertAlign w:val="superscript"/>
          <w:lang w:val="en-US"/>
        </w:rPr>
        <w:t>11,12</w:t>
      </w:r>
      <w:r w:rsidRPr="00817221">
        <w:fldChar w:fldCharType="end"/>
      </w:r>
      <w:r w:rsidRPr="00817221">
        <w:rPr>
          <w:lang w:val="en-US"/>
        </w:rPr>
        <w:t xml:space="preserve"> catalysis,</w:t>
      </w:r>
      <w:r w:rsidRPr="00817221">
        <w:rPr>
          <w:lang w:val="en-US"/>
        </w:rPr>
        <w:fldChar w:fldCharType="begin" w:fldLock="1"/>
      </w:r>
      <w:r w:rsidRPr="00817221">
        <w:rPr>
          <w:lang w:val="en-US"/>
        </w:rPr>
        <w:instrText>ADDIN CSL_CITATION {"citationItems":[{"id":"ITEM-1","itemData":{"DOI":"10.1039/c8ta00494c","ISSN":"20507496","abstract":"Since the discovery of metal-organic frameworks (MOFs), covalent-organic frameworks (COFs) and zeolite-imidazole frameworks (ZIFs), many of their outstanding properties have been explored such as their large specific surface area, significant gas adsorption, and high catalytic activity. Some kinds of porous coordination polymers (PCPs) and their derivatives have shown high photocatalytic or electrocatalytic activity; thus, they may be able to catalyze the degeneration of organic molecules, the production of hydrogen and oxygen, carbon dioxide reduction, and so on. This review mainly focuses on the electrocatalytic, photocatalytic and photoelectrocatalytic properties of PCPs including MOFs, ZIFs and COFs. Several experiments have been reported in this article to compare their catalyst properties. Moreover, the reasons why they show these differences have been analyzed. These PCPs can be applied for tackling environmental pollution in water, carbon dioxide reduction and the production of hydrogen, which can help solve the energy crisis, the greenhouse effect and facilitate the utilization of solar energy.","author":[{"dropping-particle":"","family":"Zhu","given":"Haolin","non-dropping-particle":"","parse-names":false,"suffix":""},{"dropping-particle":"","family":"Liu","given":"Dingxin","non-dropping-particle":"","parse-names":false,"suffix":""},{"dropping-particle":"","family":"Zou","given":"Dianting","non-dropping-particle":"","parse-names":false,"suffix":""},{"dropping-particle":"","family":"Zhang","given":"Jianyong","non-dropping-particle":"","parse-names":false,"suffix":""}],"container-title":"Journal of Materials Chemistry A","id":"ITEM-1","issue":"15","issued":{"date-parts":[["2018"]]},"page":"6130-6154","publisher":"Royal Society of Chemistry","title":"The photo-, electro- and photoelectro-catalytic properties and application prospects of porous coordinate polymers","type":"article-journal","volume":"6"},"uris":["http://www.mendeley.com/documents/?uuid=e7db653c-28b0-4329-86bd-61d90322cab1"]}],"mendeley":{"formattedCitation":"&lt;sup&gt;13&lt;/sup&gt;","plainTextFormattedCitation":"13","previouslyFormattedCitation":"&lt;sup&gt;13&lt;/sup&gt;"},"properties":{"noteIndex":0},"schema":"https://github.com/citation-style-language/schema/raw/master/csl-citation.json"}</w:instrText>
      </w:r>
      <w:r w:rsidRPr="00817221">
        <w:rPr>
          <w:lang w:val="en-US"/>
        </w:rPr>
        <w:fldChar w:fldCharType="separate"/>
      </w:r>
      <w:r w:rsidRPr="00817221">
        <w:rPr>
          <w:noProof/>
          <w:vertAlign w:val="superscript"/>
          <w:lang w:val="en-US"/>
        </w:rPr>
        <w:t>13</w:t>
      </w:r>
      <w:r w:rsidRPr="00817221">
        <w:fldChar w:fldCharType="end"/>
      </w:r>
      <w:r w:rsidRPr="00817221">
        <w:rPr>
          <w:lang w:val="en-US"/>
        </w:rPr>
        <w:t xml:space="preserve"> fluorescence</w:t>
      </w:r>
      <w:r w:rsidR="00CC6D16">
        <w:rPr>
          <w:lang w:val="en-US"/>
        </w:rPr>
        <w:t xml:space="preserve"> </w:t>
      </w:r>
      <w:r w:rsidR="00A642B5">
        <w:rPr>
          <w:lang w:val="en-US"/>
        </w:rPr>
        <w:t>and color</w:t>
      </w:r>
      <w:r w:rsidR="00976A58">
        <w:rPr>
          <w:lang w:val="en-US"/>
        </w:rPr>
        <w:t>i</w:t>
      </w:r>
      <w:r w:rsidR="00A642B5">
        <w:rPr>
          <w:lang w:val="en-US"/>
        </w:rPr>
        <w:t xml:space="preserve">metric </w:t>
      </w:r>
      <w:r w:rsidRPr="00817221">
        <w:rPr>
          <w:lang w:val="en-US"/>
        </w:rPr>
        <w:t>based sensing</w:t>
      </w:r>
      <w:r w:rsidRPr="00817221">
        <w:rPr>
          <w:lang w:val="en-US"/>
        </w:rPr>
        <w:fldChar w:fldCharType="begin" w:fldLock="1"/>
      </w:r>
      <w:r w:rsidR="00AC3263">
        <w:rPr>
          <w:lang w:val="en-US"/>
        </w:rPr>
        <w:instrText>ADDIN CSL_CITATION {"citationItems":[{"id":"ITEM-1","itemData":{"DOI":"10.1021/acssensors.1c00183","ISSN":"23793694","PMID":"33825458","abstract":"Following the advancements and diversification in synthetic strategies for porous covalent materials in the literature, the materials science community started to investigate the performance of covalent organic polymers (COPs) and covalent organic frameworks (COFs) in applications that require large surface areas for interaction with other molecules, chemical stability, and insolubility. Sensorics is an area where COPs and COFs have demonstrated immense potential and achieved high levels of sensitivity and selectivity on account of their tunable structures. In this review, we focus on those covalent polymeric systems that use fluorescence spectroscopy as a method of detection. After briefly reviewing the physical basis of fluorescence-based sensors, we delve into various kinds of analytes that have been explored with COPs and COFs, namely, heavy metal ions, explosives, biological molecules, amines, pH, volatile organic compounds and solvents, iodine, enantiomers, gases, and anions. Throughout this work, we discuss the mechanisms involved in each sensing application and aim to quantify the potency of the discussed sensors by providing limits of detection and quenching constants when available. This review concludes with a summary of the surveyed literature and raises a few concerns that should be addressed in the future development of COP and COF fluorescence-based sensors.","author":[{"dropping-particle":"","family":"Skorjanc","given":"Tina","non-dropping-particle":"","parse-names":false,"suffix":""},{"dropping-particle":"","family":"Shetty","given":"Dinesh","non-dropping-particle":"","parse-names":false,"suffix":""},{"dropping-particle":"","family":"Valant","given":"Matjaz","non-dropping-particle":"","parse-names":false,"suffix":""}],"container-title":"ACS Sensors","id":"ITEM-1","issue":"4","issued":{"date-parts":[["2021"]]},"page":"1461-1481","title":"Covalent Organic Polymers and Frameworks for Fluorescence-Based Sensors","type":"article-journal","volume":"6"},"uris":["http://www.mendeley.com/documents/?uuid=f8109c4d-3d63-4854-91f5-e4adec83accd"]},{"id":"ITEM-2","itemData":{"DOI":"10.1016/j.ccr.2021.213957","ISSN":"00108545","abstract":"Covalent-organic frameworks (COFs) is composed of organic units connected by strong covalent bonds. COFs have diverse structure, high porosity, high thermal and mechanical stability and controllable pore, good flexible and highly conjugated crystalline structure. Two-dimensional (2D) COFs nanosheet is similar to graphene, but it has periodic pores and lots of designable functional groups. The 2D COFs nanosheet also has a large specific surface area and good electrical conductivity owing to its highly conjugated crystalline structure. At the same time, COFs have the ability to replicate multiple identical binding sites through the whole extended frameworks. This ability shows that the signal can be effectively transduced and amplified through the framework to achieve high sensitivity when a single binding event occurs at one of the binding sites. Plenty of interesting investigations on the fluorescent sensors based on COFs have been reported through fluorescence enhancement or quenching resulted from this ability. So, the flexible 2D COFs nanosheets should be an excellent candidate to construct fluorescent sensors. This review first introduces the classification of COFs according to different connection units, and then analyzes and summarizes the structure and characterization methods of COFs. The application of COFs in fluorescent sensors is highlighted and the major challenges and limitations are further explored. The review in this paper is helpful to study the wide application of COFs in fluorescent sensors.","author":[{"dropping-particle":"","family":"Guo","given":"Lulu","non-dropping-particle":"","parse-names":false,"suffix":""},{"dropping-particle":"","family":"Yang","given":"Li","non-dropping-particle":"","parse-names":false,"suffix":""},{"dropping-particle":"","family":"Li","given":"Mengyao","non-dropping-particle":"","parse-names":false,"suffix":""},{"dropping-particle":"","family":"Kuang","given":"Lijuan","non-dropping-particle":"","parse-names":false,"suffix":""},{"dropping-particle":"","family":"Song","given":"Yonghai","non-dropping-particle":"","parse-names":false,"suffix":""},{"dropping-particle":"","family":"Wang","given":"Li","non-dropping-particle":"","parse-names":false,"suffix":""}],"container-title":"Coordination Chemistry Reviews","id":"ITEM-2","issued":{"date-parts":[["2021"]]},"page":"213957","publisher":"Elsevier B.V.","title":"Covalent organic frameworks for fluorescent sensing: Recent developments and future challenges","type":"article-journal","volume":"440"},"uris":["http://www.mendeley.com/documents/?uuid=44ca31d0-15ff-468e-a623-5438afbead70"]},{"id":"ITEM-3","itemData":{"DOI":"10.1039/c9cs00299e","ISSN":"14604744","PMID":"31468053","abstract":"As a newly emerging kind of porous material, covalent organic frameworks (COFs) have drawn much attention because of their fascinating structural features (e.g., divinable structure, adjustable porosity and total organic backbone). Since the seminal work of Yaghi and co-workers reported in 2005, the COF materials have shown superior potential in diverse applications, such as gas storage, adsorption, optoelectronics, catalysis, etc. Recently, COF materials have shown a new trend in sensing fields. This critical review briefly describes the synthesis routes for COF powders and thin films. What's more, the most fascinating and significant applications of COFs in sensing fields including explosive sensing, humidity sensing, pH detection, biosensing, gas sensing, metal ion sensing, and other substance sensing are summarized and highlighted. Finally, the major challenges and future trends of COFs with respect to their preparation and sensing applications are discussed.","author":[{"dropping-particle":"","family":"Liu","given":"Xigui","non-dropping-particle":"","parse-names":false,"suffix":""},{"dropping-particle":"","family":"Huang","given":"Danlian","non-dropping-particle":"","parse-names":false,"suffix":""},{"dropping-particle":"","family":"Lai","given":"Cui","non-dropping-particle":"","parse-names":false,"suffix":""},{"dropping-particle":"","family":"Zeng","given":"Guangming","non-dropping-particle":"","parse-names":false,"suffix":""},{"dropping-particle":"","family":"Qin","given":"Lei","non-dropping-particle":"","parse-names":false,"suffix":""},{"dropping-particle":"","family":"Wang","given":"Han","non-dropping-particle":"","parse-names":false,"suffix":""},{"dropping-particle":"","family":"Yi","given":"Huan","non-dropping-particle":"","parse-names":false,"suffix":""},{"dropping-particle":"","family":"Li","given":"Bisheng","non-dropping-particle":"","parse-names":false,"suffix":""},{"dropping-particle":"","family":"Liu","given":"Shiyu","non-dropping-particle":"","parse-names":false,"suffix":""},{"dropping-particle":"","family":"Zhang","given":"Mingming","non-dropping-particle":"","parse-names":false,"suffix":""},{"dropping-particle":"","family":"Deng","given":"Rui","non-dropping-particle":"","parse-names":false,"suffix":""},{"dropping-particle":"","family":"Fu","given":"Yukui","non-dropping-particle":"","parse-names":false,"suffix":""},{"dropping-particle":"","family":"Li","given":"Ling","non-dropping-particle":"","parse-names":false,"suffix":""},{"dropping-particle":"","family":"Xue","given":"Wenjing","non-dropping-particle":"","parse-names":false,"suffix":""},{"dropping-particle":"","family":"Chen","given":"Sha","non-dropping-particle":"","parse-names":false,"suffix":""}],"container-title":"Chemical Society Reviews","id":"ITEM-3","issue":"20","issued":{"date-parts":[["2019"]]},"page":"5266-5302","publisher":"Royal Society of Chemistry","title":"Recent advances in covalent organic frameworks (COFs) as a smart sensing material","type":"article-journal","volume":"48"},"uris":["http://www.mendeley.com/documents/?uuid=8c3d06ad-2729-4d81-bacc-1e86b2c39cb8"]},{"id":"ITEM-4","itemData":{"DOI":"10.1021/jacs.1c07148","author":[{"dropping-particle":"","family":"Gilmanova","given":"Leisan","non-dropping-particle":"","parse-names":false,"suffix":""},{"dropping-particle":"","family":"Bon","given":"Volodymyr","non-dropping-particle":"","parse-names":false,"suffix":""},{"dropping-particle":"","family":"Shupletsov","given":"Leonid","non-dropping-particle":"","parse-names":false,"suffix":""},{"dropping-particle":"","family":"Pohl","given":"Darius","non-dropping-particle":"","parse-names":false,"suffix":""},{"dropping-particle":"","family":"Rauche","given":"Marcus","non-dropping-particle":"","parse-names":false,"suffix":""},{"dropping-particle":"","family":"Brunner","given":"Eike","non-dropping-particle":"","parse-names":false,"suffix":""},{"dropping-particle":"","family":"Kaskel","given":"Stefan","non-dropping-particle":"","parse-names":false,"suffix":""}],"container-title":"Journal of the American Chemical Society","id":"ITEM-4","issued":{"date-parts":[["0"]]},"title":"Chemically Stable Carbazole-Based Imine Covalent Organic Frameworks with Acidochromic Response for Humidity Control Applications","type":"article-journal"},"uris":["http://www.mendeley.com/documents/?uuid=e01865c9-5c25-485c-b071-a0f6b81bb80c"]}],"mendeley":{"formattedCitation":"&lt;sup&gt;14–17&lt;/sup&gt;","plainTextFormattedCitation":"14–17","previouslyFormattedCitation":"&lt;sup&gt;14–17&lt;/sup&gt;"},"properties":{"noteIndex":0},"schema":"https://github.com/citation-style-language/schema/raw/master/csl-citation.json"}</w:instrText>
      </w:r>
      <w:r w:rsidRPr="00817221">
        <w:rPr>
          <w:lang w:val="en-US"/>
        </w:rPr>
        <w:fldChar w:fldCharType="separate"/>
      </w:r>
      <w:r w:rsidR="00976A58" w:rsidRPr="00976A58">
        <w:rPr>
          <w:noProof/>
          <w:vertAlign w:val="superscript"/>
          <w:lang w:val="en-US"/>
        </w:rPr>
        <w:t>14–17</w:t>
      </w:r>
      <w:r w:rsidRPr="00817221">
        <w:fldChar w:fldCharType="end"/>
      </w:r>
      <w:r w:rsidRPr="00817221">
        <w:rPr>
          <w:lang w:val="en-US"/>
        </w:rPr>
        <w:t xml:space="preserve"> and development of light-emitting materials.</w:t>
      </w:r>
      <w:r w:rsidRPr="00817221">
        <w:rPr>
          <w:lang w:val="en-US"/>
        </w:rPr>
        <w:fldChar w:fldCharType="begin" w:fldLock="1"/>
      </w:r>
      <w:r w:rsidR="00976A58">
        <w:rPr>
          <w:lang w:val="en-US"/>
        </w:rPr>
        <w:instrText>ADDIN CSL_CITATION {"citationItems":[{"id":"ITEM-1","itemData":{"DOI":"10.1016/j.mtener.2020.100635","ISSN":"24686069","abstract":"As an emerging class of crystalline materials, covalent organic frameworks (COFs) have drawn numerous attentions owing to their light weight and highly ordered porous structure. Compared with one-dimensional conjugated polymers, conjugated COFs are able to extend the conjugation in two- or even three-dimensional directions, which endows them as promising candidates of light-emitting materials. In this review, the recent progress in photoluminescent COFs will be discussed from the mechanisms to the proposed design strategies and finally to the corresponding applications. Most recent developments (especially from 2019 to now) will be highlighted. Moreover, the summary and perspective of COFs as light-emitting materials will be presented, aiming to provide some guidelines for the development of luminescent COFs.","author":[{"dropping-particle":"","family":"Xu","given":"S.","non-dropping-particle":"","parse-names":false,"suffix":""},{"dropping-particle":"","family":"Zhang","given":"Q.","non-dropping-particle":"","parse-names":false,"suffix":""}],"container-title":"Materials Today Energy","id":"ITEM-1","issued":{"date-parts":[["2021"]]},"page":"100635","title":"Recent progress in covalent organic frameworks as light-emitting materials","type":"article-journal","volume":"20"},"uris":["http://www.mendeley.com/documents/?uuid=6f2b5a21-43ad-463f-8209-c691cb0c675b"]},{"id":"ITEM-2","itemData":{"DOI":"10.1002/chem.202001105","ISSN":"15213765","PMID":"32320099","abstract":"Covalent organic frameworks (COFs) are an emerging kind of crystalline porous polymers that present the precise integration of organic building blocks into extensible structures with regular pores and periodic skeletons. The diversity of organic units and covalent linkages makes COFs a rising materials platform for the design of structure and functionality. Herein, recent research progress in developing COFs for photoluminescent materials is summarised. Structural and functional design strategies are highlighted and fundamental problems that need to be solved are identified, in conjunction with potential applications from perspectives of photoluminescent materials.","author":[{"dropping-particle":"","family":"Zeng","given":"Jin Yue","non-dropping-particle":"","parse-names":false,"suffix":""},{"dropping-particle":"","family":"Wang","given":"Xiao Shuang","non-dropping-particle":"","parse-names":false,"suffix":""},{"dropping-particle":"","family":"Zhang","given":"Xian Zheng","non-dropping-particle":"","parse-names":false,"suffix":""}],"container-title":"Chemistry - A European Journal","id":"ITEM-2","issue":"70","issued":{"date-parts":[["2020"]]},"page":"16568-16581","title":"Research Progress in Covalent Organic Frameworks for Photoluminescent Materials","type":"article-journal","volume":"26"},"uris":["http://www.mendeley.com/documents/?uuid=589f6002-dfe5-4a6f-bccd-eb25b7413e9d"]}],"mendeley":{"formattedCitation":"&lt;sup&gt;18,19&lt;/sup&gt;","plainTextFormattedCitation":"18,19","previouslyFormattedCitation":"&lt;sup&gt;18,19&lt;/sup&gt;"},"properties":{"noteIndex":0},"schema":"https://github.com/citation-style-language/schema/raw/master/csl-citation.json"}</w:instrText>
      </w:r>
      <w:r w:rsidRPr="00817221">
        <w:rPr>
          <w:lang w:val="en-US"/>
        </w:rPr>
        <w:fldChar w:fldCharType="separate"/>
      </w:r>
      <w:r w:rsidR="00976A58" w:rsidRPr="00976A58">
        <w:rPr>
          <w:noProof/>
          <w:vertAlign w:val="superscript"/>
          <w:lang w:val="en-US"/>
        </w:rPr>
        <w:t>18,19</w:t>
      </w:r>
      <w:r w:rsidRPr="00817221">
        <w:fldChar w:fldCharType="end"/>
      </w:r>
    </w:p>
    <w:p w14:paraId="544435C4" w14:textId="2293E2B0" w:rsidR="00020AF9" w:rsidRDefault="00D775F3" w:rsidP="00020AF9">
      <w:pPr>
        <w:pStyle w:val="RSCI02FigureSchemeChartwithtopbar"/>
        <w:jc w:val="center"/>
        <w:rPr>
          <w:rStyle w:val="06CHeading"/>
          <w:rFonts w:asciiTheme="minorHAnsi" w:hAnsiTheme="minorHAnsi"/>
          <w:b w:val="0"/>
          <w:smallCaps w:val="0"/>
        </w:rPr>
      </w:pPr>
      <w:r w:rsidRPr="00D0379C">
        <w:rPr>
          <w:sz w:val="18"/>
          <w:lang w:val="es-ES"/>
        </w:rPr>
        <w:object w:dxaOrig="11620" w:dyaOrig="23750" w14:anchorId="74E019A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4.1pt;height:290.95pt" o:ole="">
            <v:imagedata r:id="rId18" o:title=""/>
          </v:shape>
          <o:OLEObject Type="Embed" ProgID="ChemDraw.Document.6.0" ShapeID="_x0000_i1025" DrawAspect="Content" ObjectID="_1703670628" r:id="rId19"/>
        </w:object>
      </w:r>
    </w:p>
    <w:p w14:paraId="57CF78D8" w14:textId="77777777" w:rsidR="00020AF9" w:rsidRPr="00112A6A" w:rsidRDefault="00020AF9" w:rsidP="00020AF9">
      <w:pPr>
        <w:pStyle w:val="RSCI01FigureSchemeChartwithbottombar"/>
      </w:pPr>
      <w:r w:rsidRPr="00ED1A5D">
        <w:rPr>
          <w:b/>
        </w:rPr>
        <w:t>Scheme 1.</w:t>
      </w:r>
      <w:r w:rsidRPr="00ED1A5D">
        <w:t xml:space="preserve"> Representation of the synthesis of NR</w:t>
      </w:r>
      <w:r w:rsidRPr="00ED1A5D">
        <w:rPr>
          <w:vertAlign w:val="subscript"/>
        </w:rPr>
        <w:t>0,17</w:t>
      </w:r>
      <w:r w:rsidRPr="00ED1A5D">
        <w:t>-COF.</w:t>
      </w:r>
    </w:p>
    <w:p w14:paraId="55118D30" w14:textId="02AFDFED" w:rsidR="002A142E" w:rsidRPr="002A142E" w:rsidRDefault="005B2B5B" w:rsidP="007E54CA">
      <w:pPr>
        <w:pStyle w:val="RSCB02ArticleText"/>
      </w:pPr>
      <w:r>
        <w:rPr>
          <w:lang w:val="en-US"/>
        </w:rPr>
        <w:t>Concerning</w:t>
      </w:r>
      <w:r w:rsidRPr="00817221">
        <w:rPr>
          <w:lang w:val="en-US"/>
        </w:rPr>
        <w:t xml:space="preserve"> fluorescence-based applications, it is important to note that, usually, </w:t>
      </w:r>
      <w:r>
        <w:rPr>
          <w:lang w:val="en-US"/>
        </w:rPr>
        <w:t xml:space="preserve">imine-based </w:t>
      </w:r>
      <w:r w:rsidR="002A142E" w:rsidRPr="00817221">
        <w:rPr>
          <w:lang w:val="en-US"/>
        </w:rPr>
        <w:t xml:space="preserve">COF materials present in bulk little or no fluorescence, due to the strong inter-layer π-π stacking which is responsible </w:t>
      </w:r>
      <w:r w:rsidR="002A142E">
        <w:rPr>
          <w:lang w:val="en-US"/>
        </w:rPr>
        <w:t>for</w:t>
      </w:r>
      <w:r w:rsidR="002A142E" w:rsidRPr="00817221">
        <w:rPr>
          <w:lang w:val="en-US"/>
        </w:rPr>
        <w:t xml:space="preserve"> an aggregation-caused quenching (ACQ) mechanism of the emission. An important strategy to reduce the π-π stacking and, consequently, to </w:t>
      </w:r>
      <w:r w:rsidR="002A142E" w:rsidRPr="00817221">
        <w:rPr>
          <w:lang w:val="en-US"/>
        </w:rPr>
        <w:lastRenderedPageBreak/>
        <w:t>enhance the emission</w:t>
      </w:r>
      <w:r w:rsidR="00D93422">
        <w:rPr>
          <w:lang w:val="en-US"/>
        </w:rPr>
        <w:t>,</w:t>
      </w:r>
      <w:r w:rsidR="002A142E" w:rsidRPr="00817221">
        <w:rPr>
          <w:lang w:val="en-US"/>
        </w:rPr>
        <w:t xml:space="preserve"> consists o</w:t>
      </w:r>
      <w:r w:rsidR="002A142E">
        <w:rPr>
          <w:lang w:val="en-US"/>
        </w:rPr>
        <w:t>f</w:t>
      </w:r>
      <w:r w:rsidR="002A142E" w:rsidRPr="00817221">
        <w:rPr>
          <w:lang w:val="en-US"/>
        </w:rPr>
        <w:t xml:space="preserve"> exfoliat</w:t>
      </w:r>
      <w:r w:rsidR="002A142E">
        <w:rPr>
          <w:lang w:val="en-US"/>
        </w:rPr>
        <w:t>ing</w:t>
      </w:r>
      <w:r w:rsidR="002A142E" w:rsidRPr="00817221">
        <w:rPr>
          <w:lang w:val="en-US"/>
        </w:rPr>
        <w:t xml:space="preserve"> the material in COF nanosheets</w:t>
      </w:r>
      <w:r w:rsidR="002A142E">
        <w:rPr>
          <w:lang w:val="en-US"/>
        </w:rPr>
        <w:t>, also named</w:t>
      </w:r>
      <w:r w:rsidR="002A142E" w:rsidRPr="00817221">
        <w:rPr>
          <w:lang w:val="en-US"/>
        </w:rPr>
        <w:t xml:space="preserve"> CONs.</w:t>
      </w:r>
      <w:r w:rsidR="002A142E" w:rsidRPr="00817221">
        <w:rPr>
          <w:lang w:val="en-US"/>
        </w:rPr>
        <w:fldChar w:fldCharType="begin" w:fldLock="1"/>
      </w:r>
      <w:r w:rsidR="002A142E">
        <w:rPr>
          <w:lang w:val="en-US"/>
        </w:rPr>
        <w:instrText>ADDIN CSL_CITATION {"citationItems":[{"id":"ITEM-1","itemData":{"DOI":"10.1002/chem.202001105","ISSN":"15213765","PMID":"32320099","abstract":"Covalent organic frameworks (COFs) are an emerging kind of crystalline porous polymers that present the precise integration of organic building blocks into extensible structures with regular pores and periodic skeletons. The diversity of organic units and covalent linkages makes COFs a rising materials platform for the design of structure and functionality. Herein, recent research progress in developing COFs for photoluminescent materials is summarised. Structural and functional design strategies are highlighted and fundamental problems that need to be solved are identified, in conjunction with potential applications from perspectives of photoluminescent materials.","author":[{"dropping-particle":"","family":"Zeng","given":"Jin Yue","non-dropping-particle":"","parse-names":false,"suffix":""},{"dropping-particle":"","family":"Wang","given":"Xiao Shuang","non-dropping-particle":"","parse-names":false,"suffix":""},{"dropping-particle":"","family":"Zhang","given":"Xian Zheng","non-dropping-particle":"","parse-names":false,"suffix":""}],"container-title":"Chemistry - A European Journal","id":"ITEM-1","issue":"70","issued":{"date-parts":[["2020"]]},"page":"16568-16581","title":"Research Progress in Covalent Organic Frameworks for Photoluminescent Materials","type":"article-journal","volume":"26"},"uris":["http://www.mendeley.com/documents/?uuid=aa68a775-7139-4e83-8f07-b10dedbb0373"]},{"id":"ITEM-2","itemData":{"DOI":"10.1039/c9cs00890j","ISSN":"14604744","PMID":"32182308","abstract":"Covalent organic frameworks (COFs) are crystalline and porous materials with bi- or three-dimensional structures built up by connecting their molecular precursors by dynamic covalent bonds. Using bottom-up or top-down strategies, bi-dimensional COFs can be obtained as single- or few-layer materials, thus enlarging the family of 2D-materials based on graphene. The main advantage of 2D-materials based on COFs is the fact that they can be chemically designed, thus allowing the formation of á la carte materials with well-designed functionalities including their size and features of their pores. The aim of this perspective review is to illustrate in a rational way the current state-of-the-art in the field of COF nanosheet formation using the two general approaches of material nano-structuring. This article reviews a selected collection of samples that illustrates the essential concepts, strategies of preparation following the two general approaches, bottom-up and top-down, and a selection of COF nanolayers showing seminal properties and potential material applications. Finally, we provide some perspectives of this novel research field.","author":[{"dropping-particle":"","family":"Rodríguez-San-Miguel","given":"D.","non-dropping-particle":"","parse-names":false,"suffix":""},{"dropping-particle":"","family":"Montoro","given":"C.","non-dropping-particle":"","parse-names":false,"suffix":""},{"dropping-particle":"","family":"Zamora","given":"F.","non-dropping-particle":"","parse-names":false,"suffix":""}],"container-title":"Chemical Society Reviews","id":"ITEM-2","issue":"8","issued":{"date-parts":[["2020"]]},"page":"2291-2302","title":"Covalent organic framework nanosheets: Preparation, properties and applications","type":"article-journal","volume":"49"},"uris":["http://www.mendeley.com/documents/?uuid=5382e043-af35-4636-a9a6-559c11ba14f3"]}],"mendeley":{"formattedCitation":"&lt;sup&gt;19,20&lt;/sup&gt;","plainTextFormattedCitation":"19,20","previouslyFormattedCitation":"&lt;sup&gt;19,20&lt;/sup&gt;"},"properties":{"noteIndex":0},"schema":"https://github.com/citation-style-language/schema/raw/master/csl-citation.json"}</w:instrText>
      </w:r>
      <w:r w:rsidR="002A142E" w:rsidRPr="00817221">
        <w:rPr>
          <w:lang w:val="en-US"/>
        </w:rPr>
        <w:fldChar w:fldCharType="separate"/>
      </w:r>
      <w:r w:rsidR="002A142E" w:rsidRPr="00976A58">
        <w:rPr>
          <w:noProof/>
          <w:vertAlign w:val="superscript"/>
          <w:lang w:val="en-US"/>
        </w:rPr>
        <w:t>19,20</w:t>
      </w:r>
      <w:r w:rsidR="002A142E" w:rsidRPr="00817221">
        <w:fldChar w:fldCharType="end"/>
      </w:r>
      <w:r w:rsidR="002A142E" w:rsidRPr="00817221">
        <w:rPr>
          <w:lang w:val="en-US"/>
        </w:rPr>
        <w:t xml:space="preserve"> This strategy has been employed</w:t>
      </w:r>
      <w:r w:rsidR="002A142E">
        <w:rPr>
          <w:lang w:val="en-US"/>
        </w:rPr>
        <w:t>,</w:t>
      </w:r>
      <w:r w:rsidR="002A142E" w:rsidRPr="00817221">
        <w:rPr>
          <w:lang w:val="en-US"/>
        </w:rPr>
        <w:t xml:space="preserve"> for example</w:t>
      </w:r>
      <w:r w:rsidR="002A142E">
        <w:rPr>
          <w:lang w:val="en-US"/>
        </w:rPr>
        <w:t>,</w:t>
      </w:r>
      <w:r w:rsidR="002A142E" w:rsidRPr="00817221">
        <w:rPr>
          <w:lang w:val="en-US"/>
        </w:rPr>
        <w:t xml:space="preserve"> to prepare emissive </w:t>
      </w:r>
      <w:r w:rsidR="002A142E">
        <w:rPr>
          <w:lang w:val="en-US"/>
        </w:rPr>
        <w:t xml:space="preserve">imine-based </w:t>
      </w:r>
      <w:r w:rsidR="002A142E" w:rsidRPr="00817221">
        <w:rPr>
          <w:lang w:val="en-US"/>
        </w:rPr>
        <w:t xml:space="preserve">COF colloids for the chemical sensing of explosives </w:t>
      </w:r>
      <w:r w:rsidR="002A142E">
        <w:rPr>
          <w:lang w:val="en-US"/>
        </w:rPr>
        <w:t xml:space="preserve">or </w:t>
      </w:r>
      <w:r w:rsidR="002A142E" w:rsidRPr="00817221">
        <w:rPr>
          <w:lang w:val="en-US"/>
        </w:rPr>
        <w:t>pollutants.</w:t>
      </w:r>
      <w:r w:rsidR="002A142E" w:rsidRPr="00817221">
        <w:rPr>
          <w:lang w:val="en-US"/>
        </w:rPr>
        <w:fldChar w:fldCharType="begin" w:fldLock="1"/>
      </w:r>
      <w:r w:rsidR="00F372C3">
        <w:rPr>
          <w:lang w:val="en-US"/>
        </w:rPr>
        <w:instrText>ADDIN CSL_CITATION {"citationItems":[{"id":"ITEM-1","itemData":{"DOI":"10.1039/c8cc08307j","author":[{"dropping-particle":"","family":"Albacete","given":"Pablo","non-dropping-particle":"","parse-names":false,"suffix":""},{"dropping-particle":"","family":"López-Moreno","given":"Alejandro","non-dropping-particle":"","parse-names":false,"suffix":""},{"dropping-particle":"","family":"Mena-Hernando","given":"Sofía","non-dropping-particle":"","parse-names":false,"suffix":""},{"dropping-particle":"","family":"Platero-Prats","given":"Ana E.","non-dropping-particle":"","parse-names":false,"suffix":""},{"dropping-particle":"","family":"Pérez","given":"Emilio M.","non-dropping-particle":"","parse-names":false,"suffix":""},{"dropping-particle":"","family":"Zamora","given":"Félix","non-dropping-particle":"","parse-names":false,"suffix":""}],"container-title":"Chemical Communications","id":"ITEM-1","issued":{"date-parts":[["2019"]]},"page":"1382-1385","title":"Chemical sensing of water contaminants by a colloid of a fluorescent imine-linked covalent organic framework","type":"article-journal","volume":"55"},"uris":["http://www.mendeley.com/documents/?uuid=8519be53-30ba-4e50-8175-359c45533a26"]},{"id":"ITEM-2","itemData":{"DOI":"10.1021/acsami.6b16423","ISSN":"19448252","PMID":"28375606","abstract":"A new fluorescent polyimide covalent organic framework (PI-COF) has been successfully synthesized through solvothermal route using tetra(4-aminophenyl) porphyrin and perylenetracarboxylic dianhydride, which possesses porous crystalline and excellent thermal stability (&gt;500 °C). Furthermore, few-layered PI covalent organic nanosheets (PI-CONs) can be easily obtained from the fluorescent PI-COF through a facile liquid phase exfoliation approach, which were confirmed by atomic force microscopy and transmission electron microscopy analysis. It is interesting that the fluorescent intensity of PI-CONs is obviously enhanced relative to that of PI-COF. The PI-CONs have been successfully utilized as an efficient fluorescent probe for the highly sensitive and selective detection of 2,4,6-trinitrophenol (TNP). The mechanism might be attributed to the combination of electron transfer and inner filter effect based on DFT calculations and spectral overlap data. The system exhibits a good linear response toward TNP over the range from 0.5 to 10 μM with a detection limit of 0.25 μM.","author":[{"dropping-particle":"","family":"Zhang","given":"Cuiling","non-dropping-particle":"","parse-names":false,"suffix":""},{"dropping-particle":"","family":"Zhang","given":"Shiming","non-dropping-particle":"","parse-names":false,"suffix":""},{"dropping-particle":"","family":"Yan","given":"Yinghan","non-dropping-particle":"","parse-names":false,"suffix":""},{"dropping-particle":"","family":"Xia","given":"Fei","non-dropping-particle":"","parse-names":false,"suffix":""},{"dropping-particle":"","family":"Huang","given":"Anni","non-dropping-particle":"","parse-names":false,"suffix":""},{"dropping-particle":"","family":"Xian","given":"Yuezhong","non-dropping-particle":"","parse-names":false,"suffix":""}],"container-title":"ACS Applied Materials and Interfaces","id":"ITEM-2","issue":"15","issued":{"date-parts":[["2017"]]},"page":"13415-13421","title":"Highly Fluorescent Polyimide Covalent Organic Nanosheets as Sensing Probes for the Detection of 2,4,6-Trinitrophenol","type":"article-journal","volume":"9"},"uris":["http://www.mendeley.com/documents/?uuid=e97eb36b-5ceb-490e-9481-18dc3f155127"]}],"mendeley":{"formattedCitation":"&lt;sup&gt;21,22&lt;/sup&gt;","plainTextFormattedCitation":"21,22","previouslyFormattedCitation":"&lt;sup&gt;21,22&lt;/sup&gt;"},"properties":{"noteIndex":0},"schema":"https://github.com/citation-style-language/schema/raw/master/csl-citation.json"}</w:instrText>
      </w:r>
      <w:r w:rsidR="002A142E" w:rsidRPr="00817221">
        <w:rPr>
          <w:lang w:val="en-US"/>
        </w:rPr>
        <w:fldChar w:fldCharType="separate"/>
      </w:r>
      <w:r w:rsidR="002A142E" w:rsidRPr="00976A58">
        <w:rPr>
          <w:noProof/>
          <w:vertAlign w:val="superscript"/>
          <w:lang w:val="en-US"/>
        </w:rPr>
        <w:t>21,22</w:t>
      </w:r>
      <w:r w:rsidR="002A142E" w:rsidRPr="00817221">
        <w:fldChar w:fldCharType="end"/>
      </w:r>
      <w:r w:rsidR="002A142E" w:rsidRPr="00817221">
        <w:rPr>
          <w:lang w:val="en-US"/>
        </w:rPr>
        <w:t xml:space="preserve"> An important drawback of the majority of COF-based chemical sensors reported to date is that, in fact, they are used in solvent suspensions, which limits their use in day-to-day applications.</w:t>
      </w:r>
      <w:r w:rsidR="002A142E" w:rsidRPr="00817221">
        <w:rPr>
          <w:lang w:val="en-US"/>
        </w:rPr>
        <w:fldChar w:fldCharType="begin" w:fldLock="1"/>
      </w:r>
      <w:r w:rsidR="002A142E" w:rsidRPr="00817221">
        <w:rPr>
          <w:lang w:val="en-US"/>
        </w:rPr>
        <w:instrText>ADDIN CSL_CITATION {"citationItems":[{"id":"ITEM-1","itemData":{"DOI":"10.1021/acssensors.1c00183","ISSN":"23793694","PMID":"33825458","abstract":"Following the advancements and diversification in synthetic strategies for porous covalent materials in the literature, the materials science community started to investigate the performance of covalent organic polymers (COPs) and covalent organic frameworks (COFs) in applications that require large surface areas for interaction with other molecules, chemical stability, and insolubility. Sensorics is an area where COPs and COFs have demonstrated immense potential and achieved high levels of sensitivity and selectivity on account of their tunable structures. In this review, we focus on those covalent polymeric systems that use fluorescence spectroscopy as a method of detection. After briefly reviewing the physical basis of fluorescence-based sensors, we delve into various kinds of analytes that have been explored with COPs and COFs, namely, heavy metal ions, explosives, biological molecules, amines, pH, volatile organic compounds and solvents, iodine, enantiomers, gases, and anions. Throughout this work, we discuss the mechanisms involved in each sensing application and aim to quantify the potency of the discussed sensors by providing limits of detection and quenching constants when available. This review concludes with a summary of the surveyed literature and raises a few concerns that should be addressed in the future development of COP and COF fluorescence-based sensors.","author":[{"dropping-particle":"","family":"Skorjanc","given":"Tina","non-dropping-particle":"","parse-names":false,"suffix":""},{"dropping-particle":"","family":"Shetty","given":"Dinesh","non-dropping-particle":"","parse-names":false,"suffix":""},{"dropping-particle":"","family":"Valant","given":"Matjaz","non-dropping-particle":"","parse-names":false,"suffix":""}],"container-title":"ACS Sensors","id":"ITEM-1","issue":"4","issued":{"date-parts":[["2021"]]},"page":"1461-1481","title":"Covalent Organic Polymers and Frameworks for Fluorescence-Based Sensors","type":"article-journal","volume":"6"},"uris":["http://www.mendeley.com/documents/?uuid=f8109c4d-3d63-4854-91f5-e4adec83accd"]}],"mendeley":{"formattedCitation":"&lt;sup&gt;14&lt;/sup&gt;","plainTextFormattedCitation":"14","previouslyFormattedCitation":"&lt;sup&gt;14&lt;/sup&gt;"},"properties":{"noteIndex":0},"schema":"https://github.com/citation-style-language/schema/raw/master/csl-citation.json"}</w:instrText>
      </w:r>
      <w:r w:rsidR="002A142E" w:rsidRPr="00817221">
        <w:rPr>
          <w:lang w:val="en-US"/>
        </w:rPr>
        <w:fldChar w:fldCharType="separate"/>
      </w:r>
      <w:r w:rsidR="002A142E" w:rsidRPr="00817221">
        <w:rPr>
          <w:noProof/>
          <w:vertAlign w:val="superscript"/>
          <w:lang w:val="en-US"/>
        </w:rPr>
        <w:t>14</w:t>
      </w:r>
      <w:r w:rsidR="002A142E" w:rsidRPr="00817221">
        <w:fldChar w:fldCharType="end"/>
      </w:r>
    </w:p>
    <w:p w14:paraId="78F9875F" w14:textId="1588F3FD" w:rsidR="00E26009" w:rsidRDefault="00817221" w:rsidP="007E54CA">
      <w:pPr>
        <w:pStyle w:val="RSCB02ArticleText"/>
        <w:rPr>
          <w:lang w:val="en-US"/>
        </w:rPr>
      </w:pPr>
      <w:r w:rsidRPr="00817221">
        <w:rPr>
          <w:lang w:val="en-US"/>
        </w:rPr>
        <w:t>A practical way to overcome this issue consists o</w:t>
      </w:r>
      <w:r w:rsidR="00020AF9">
        <w:rPr>
          <w:lang w:val="en-US"/>
        </w:rPr>
        <w:t>f immobilizing</w:t>
      </w:r>
      <w:r w:rsidRPr="00817221">
        <w:rPr>
          <w:lang w:val="en-US"/>
        </w:rPr>
        <w:t xml:space="preserve"> the COF particles in suitable organic matrices</w:t>
      </w:r>
      <w:r w:rsidR="0020456B">
        <w:rPr>
          <w:lang w:val="en-US"/>
        </w:rPr>
        <w:t xml:space="preserve">. </w:t>
      </w:r>
      <w:r w:rsidR="00FE7CAD">
        <w:rPr>
          <w:lang w:val="en-US"/>
        </w:rPr>
        <w:t xml:space="preserve">This strategy </w:t>
      </w:r>
      <w:r w:rsidR="008A005B">
        <w:rPr>
          <w:lang w:val="en-US"/>
        </w:rPr>
        <w:t xml:space="preserve">has </w:t>
      </w:r>
      <w:r w:rsidR="00FE7CAD">
        <w:rPr>
          <w:lang w:val="en-US"/>
        </w:rPr>
        <w:t xml:space="preserve">allowed the </w:t>
      </w:r>
      <w:r w:rsidR="008A005B">
        <w:rPr>
          <w:lang w:val="en-US"/>
        </w:rPr>
        <w:t>design</w:t>
      </w:r>
      <w:r w:rsidR="00FE7CAD">
        <w:rPr>
          <w:lang w:val="en-US"/>
        </w:rPr>
        <w:t xml:space="preserve"> of fluorescent films,</w:t>
      </w:r>
      <w:r w:rsidR="0020456B">
        <w:rPr>
          <w:lang w:val="en-US"/>
        </w:rPr>
        <w:fldChar w:fldCharType="begin" w:fldLock="1"/>
      </w:r>
      <w:r w:rsidR="00976A58">
        <w:rPr>
          <w:lang w:val="en-US"/>
        </w:rPr>
        <w:instrText>ADDIN CSL_CITATION {"citationItems":[{"id":"ITEM-1","itemData":{"DOI":"10.1021/jacs.8b08312","ISSN":"15205126","PMID":"30256624","abstract":"The ordered modular structure of a covalent organic framework (COF) facilitates the selective incorporation of electronically active segments that can be tuned to function cooperatively. This designability inspires developing COF-based single-source white light emitters, required in next-generation solid-state lighting. Here, we present a new anthracene-resorcinol-based COF exhibiting white light emission. The keto-enol tautomers present in the COF give rise to dual emission, which can be tuned by the O-donor and N-donor solvents. Importantly, when suspended in a solid polymer matrix, this dual emission is retained as both tautomers coexist. A mere 0.32 wt % loading of the COF in poly(methyl methacrylate) (PMMA) gives a solvent-free film with intense white light emission (CIE coordinates (0.35, 0.36)). From steady-state and time-resolved studies, the mechanism of the white light emission has been unambiguously assigned to fluorescence, with the blue emission originating from the π-stacked columns of anthracene, and the mixture of red and green from the keto-enol tautomerized resorcinol units. The study introduces the COF as a new class of readily processable, single-source white light emitter.","author":[{"dropping-particle":"","family":"Haldar","given":"Sattwick","non-dropping-particle":"","parse-names":false,"suffix":""},{"dropping-particle":"","family":"Chakraborty","given":"Debanjan","non-dropping-particle":"","parse-names":false,"suffix":""},{"dropping-particle":"","family":"Roy","given":"Bibhisan","non-dropping-particle":"","parse-names":false,"suffix":""},{"dropping-particle":"","family":"Banappanavar","given":"Gangadhar","non-dropping-particle":"","parse-names":false,"suffix":""},{"dropping-particle":"","family":"Rinku","given":"Kushwaha","non-dropping-particle":"","parse-names":false,"suffix":""},{"dropping-particle":"","family":"Mullangi","given":"Dinesh","non-dropping-particle":"","parse-names":false,"suffix":""},{"dropping-particle":"","family":"Hazra","given":"Partha","non-dropping-particle":"","parse-names":false,"suffix":""},{"dropping-particle":"","family":"Kabra","given":"Dinesh","non-dropping-particle":"","parse-names":false,"suffix":""},{"dropping-particle":"","family":"Vaidhyanathan","given":"Ramanathan","non-dropping-particle":"","parse-names":false,"suffix":""}],"container-title":"Journal of the American Chemical Society","id":"ITEM-1","issue":"41","issued":{"date-parts":[["2018"]]},"page":"13367-13374","title":"Anthracene-Resorcinol Derived Covalent Organic Framework as Flexible White Light Emitter","type":"article-journal","volume":"140"},"uris":["http://www.mendeley.com/documents/?uuid=c29b2fa3-57b6-43f5-965e-f634ee0d73a4"]}],"mendeley":{"formattedCitation":"&lt;sup&gt;23&lt;/sup&gt;","plainTextFormattedCitation":"23","previouslyFormattedCitation":"&lt;sup&gt;23&lt;/sup&gt;"},"properties":{"noteIndex":0},"schema":"https://github.com/citation-style-language/schema/raw/master/csl-citation.json"}</w:instrText>
      </w:r>
      <w:r w:rsidR="0020456B">
        <w:rPr>
          <w:lang w:val="en-US"/>
        </w:rPr>
        <w:fldChar w:fldCharType="separate"/>
      </w:r>
      <w:r w:rsidR="00976A58" w:rsidRPr="00976A58">
        <w:rPr>
          <w:noProof/>
          <w:vertAlign w:val="superscript"/>
          <w:lang w:val="en-US"/>
        </w:rPr>
        <w:t>23</w:t>
      </w:r>
      <w:r w:rsidR="0020456B">
        <w:rPr>
          <w:lang w:val="en-US"/>
        </w:rPr>
        <w:fldChar w:fldCharType="end"/>
      </w:r>
      <w:r w:rsidR="00FE7CAD">
        <w:rPr>
          <w:lang w:val="en-US"/>
        </w:rPr>
        <w:t xml:space="preserve"> a</w:t>
      </w:r>
      <w:r w:rsidR="00020AF9">
        <w:rPr>
          <w:lang w:val="en-US"/>
        </w:rPr>
        <w:t>ctive antioxidant</w:t>
      </w:r>
      <w:r w:rsidR="00FE7CAD">
        <w:rPr>
          <w:lang w:val="en-US"/>
        </w:rPr>
        <w:t xml:space="preserve"> layers for packaging</w:t>
      </w:r>
      <w:r w:rsidR="00221FE1">
        <w:rPr>
          <w:lang w:val="en-US"/>
        </w:rPr>
        <w:t>,</w:t>
      </w:r>
      <w:r w:rsidR="00221FE1">
        <w:rPr>
          <w:lang w:val="en-US"/>
        </w:rPr>
        <w:fldChar w:fldCharType="begin" w:fldLock="1"/>
      </w:r>
      <w:r w:rsidR="009D24A1">
        <w:rPr>
          <w:lang w:val="en-US"/>
        </w:rPr>
        <w:instrText>ADDIN CSL_CITATION {"citationItems":[{"id":"ITEM-1","itemData":{"DOI":"10.1016/j.polymer.2020.122466","ISSN":"00323861","abstract":"A 2D Covalent Organic Framework (named [HC≡C]0.5-TPB-DMTP-COF) was synthesized and post synthetically functionalized with dopamine via Copper-catalyzed azide–alkyne cycloaddition (CuAAC) reaction (COFDOPA) to obtain 2D nanoparticles with antioxidant activity. COFDOPA nanoparticles were exfoliated into nanosheets (COFDOPA-e) and incorporated into plasticized poly(lactic acid) (PLA) matrix with 15 wt% of acetyl trybutyl citrate (ATBC) to develop non-migratory sustainable packaging. The effect of COFDOPA and exfoliated COFDOPA-e (in 0.5, 1 and 3 wt%) on the structural, thermal and mechanical properties of PLA-ATBC was studied. The bionanocomposites loaded with low amounts of COFDOPA-e (0.5 wt% and 1 wt%) resulted optically transparent and showed good interfacial adhesion, increased crystallinity, thermal and mechanical performance. Moreover, the overall migration level assayed in a fatty food simulant was below the migration limits required for food packaging materials and showed effective antioxidant activity. Thus, these bionanocomposites show great potential as non-migration antioxidant materials with interest in the sustainable food packaging field.","author":[{"dropping-particle":"","family":"García-Arroyo","given":"Paloma","non-dropping-particle":"","parse-names":false,"suffix":""},{"dropping-particle":"","family":"Arrieta","given":"Marina P.","non-dropping-particle":"","parse-names":false,"suffix":""},{"dropping-particle":"","family":"Garcia-Garcia","given":"Daniel","non-dropping-particle":"","parse-names":false,"suffix":""},{"dropping-particle":"","family":"Cuervo-Rodríguez","given":"Rocío","non-dropping-particle":"","parse-names":false,"suffix":""},{"dropping-particle":"","family":"Fombuena","given":"Vicent","non-dropping-particle":"","parse-names":false,"suffix":""},{"dropping-particle":"","family":"Mancheño","given":"María J.","non-dropping-particle":"","parse-names":false,"suffix":""},{"dropping-particle":"","family":"Segura","given":"José L.","non-dropping-particle":"","parse-names":false,"suffix":""}],"container-title":"Polymer","id":"ITEM-1","issue":"February","issued":{"date-parts":[["2020"]]},"page":"122466","title":"Plasticized poly(lactic acid) reinforced with antioxidant covalent organic frameworks (COFs) as novel nanofillers designed for non-migrating active packaging applications","type":"article-journal","volume":"196"},"uris":["http://www.mendeley.com/documents/?uuid=d43da170-1542-4521-999d-13f31ee488f4"]}],"mendeley":{"formattedCitation":"&lt;sup&gt;24&lt;/sup&gt;","plainTextFormattedCitation":"24","previouslyFormattedCitation":"&lt;sup&gt;24&lt;/sup&gt;"},"properties":{"noteIndex":0},"schema":"https://github.com/citation-style-language/schema/raw/master/csl-citation.json"}</w:instrText>
      </w:r>
      <w:r w:rsidR="00221FE1">
        <w:rPr>
          <w:lang w:val="en-US"/>
        </w:rPr>
        <w:fldChar w:fldCharType="separate"/>
      </w:r>
      <w:r w:rsidR="00976A58" w:rsidRPr="00976A58">
        <w:rPr>
          <w:noProof/>
          <w:vertAlign w:val="superscript"/>
          <w:lang w:val="en-US"/>
        </w:rPr>
        <w:t>24</w:t>
      </w:r>
      <w:r w:rsidR="00221FE1">
        <w:rPr>
          <w:lang w:val="en-US"/>
        </w:rPr>
        <w:fldChar w:fldCharType="end"/>
      </w:r>
      <w:r w:rsidR="00FE7CAD">
        <w:rPr>
          <w:lang w:val="en-US"/>
        </w:rPr>
        <w:t xml:space="preserve"> enhancement of fire resistance</w:t>
      </w:r>
      <w:r w:rsidR="00020AF9">
        <w:rPr>
          <w:lang w:val="en-US"/>
        </w:rPr>
        <w:t>,</w:t>
      </w:r>
      <w:r w:rsidR="00FE7CAD">
        <w:rPr>
          <w:lang w:val="en-US"/>
        </w:rPr>
        <w:t xml:space="preserve"> and mechanical performance</w:t>
      </w:r>
      <w:r w:rsidR="001E6462">
        <w:rPr>
          <w:lang w:val="en-US"/>
        </w:rPr>
        <w:fldChar w:fldCharType="begin" w:fldLock="1"/>
      </w:r>
      <w:r w:rsidR="00976A58">
        <w:rPr>
          <w:lang w:val="en-US"/>
        </w:rPr>
        <w:instrText>ADDIN CSL_CITATION {"citationItems":[{"id":"ITEM-1","itemData":{"DOI":"10.1016/j.compositesa.2021.106453","ISBN":"8415683111","ISSN":"1359835X","abstract":"In this study, we decided to synthesize a flame-retardant triazine-based covalent organic framework (FT-COF) via solvothermal reaction, to improve the fire safety and mechanical properties of thermoplastic polyurethane (TPU). By adding 3.0 wt% of FT-COF, the tensile strength and elongation of TPU increased by 69% and 12%, respectively. After incorporating of FT-COF nanoparticles, the thermal stability of TPU was significantly improved that resulted in the increasing of char residue up to 158% for TPU/FT-COF 3%. With addition of 3.0 wt% FT-COF, the peak heat release rate, total heat release of TPU composite were dramatically decreased by 51.6% and 47.3%, respectively. Besides, the TPU/FT-COF 3% indicated distinct reductions in the total smoke release (41.1%) and the peak of carbon monoxide production rate (43.53%). This study offers a new plan to outstandingly reducing the flammability of TPU, thus developing its industrial usage.","author":[{"dropping-particle":"","family":"Afshari","given":"Mohaddeseh","non-dropping-particle":"","parse-names":false,"suffix":""},{"dropping-particle":"","family":"Dinari","given":"Mohammad","non-dropping-particle":"","parse-names":false,"suffix":""}],"container-title":"Composites Part A: Applied Science and Manufacturing","id":"ITEM-1","issue":"April","issued":{"date-parts":[["2021"]]},"page":"106453","publisher":"Elsevier Ltd","title":"A novel triazine-based covalent organic framework: Enhancement fire resistance and mechanical performances of thermoplastic polyurethanes","type":"article-journal","volume":"147"},"uris":["http://www.mendeley.com/documents/?uuid=a87e30a4-c546-4d00-b5d1-c36327d2b5a8"]}],"mendeley":{"formattedCitation":"&lt;sup&gt;25&lt;/sup&gt;","plainTextFormattedCitation":"25","previouslyFormattedCitation":"&lt;sup&gt;25&lt;/sup&gt;"},"properties":{"noteIndex":0},"schema":"https://github.com/citation-style-language/schema/raw/master/csl-citation.json"}</w:instrText>
      </w:r>
      <w:r w:rsidR="001E6462">
        <w:rPr>
          <w:lang w:val="en-US"/>
        </w:rPr>
        <w:fldChar w:fldCharType="separate"/>
      </w:r>
      <w:r w:rsidR="00976A58" w:rsidRPr="00976A58">
        <w:rPr>
          <w:noProof/>
          <w:vertAlign w:val="superscript"/>
          <w:lang w:val="en-US"/>
        </w:rPr>
        <w:t>25</w:t>
      </w:r>
      <w:r w:rsidR="001E6462">
        <w:rPr>
          <w:lang w:val="en-US"/>
        </w:rPr>
        <w:fldChar w:fldCharType="end"/>
      </w:r>
      <w:r w:rsidR="001E6462">
        <w:rPr>
          <w:lang w:val="en-US"/>
        </w:rPr>
        <w:t xml:space="preserve"> or</w:t>
      </w:r>
      <w:r w:rsidR="00E33EFF">
        <w:rPr>
          <w:lang w:val="en-US"/>
        </w:rPr>
        <w:t xml:space="preserve"> CO</w:t>
      </w:r>
      <w:r w:rsidR="00E33EFF" w:rsidRPr="00E33EFF">
        <w:rPr>
          <w:vertAlign w:val="subscript"/>
          <w:lang w:val="en-US"/>
        </w:rPr>
        <w:t>2</w:t>
      </w:r>
      <w:r w:rsidR="001E6462">
        <w:rPr>
          <w:lang w:val="en-US"/>
        </w:rPr>
        <w:t xml:space="preserve"> </w:t>
      </w:r>
      <w:r w:rsidR="00FE7CAD">
        <w:rPr>
          <w:lang w:val="en-US"/>
        </w:rPr>
        <w:t>capture</w:t>
      </w:r>
      <w:r w:rsidR="00445A74">
        <w:rPr>
          <w:lang w:val="en-US"/>
        </w:rPr>
        <w:fldChar w:fldCharType="begin" w:fldLock="1"/>
      </w:r>
      <w:r w:rsidR="00976A58">
        <w:rPr>
          <w:lang w:val="en-US"/>
        </w:rPr>
        <w:instrText>ADDIN CSL_CITATION {"citationItems":[{"id":"ITEM-1","itemData":{"DOI":"10.1016/j.memsci.2021.119384","ISSN":"18733123","abstract":"Thin film composite membranes (TFCMs) have displayed attractive CO2 capture performance, in which a critical gutter layer with small transport resistance is needed to prevent the penetration of the top separation layer into the bottom porous support for realizing high CO2 permeance. However, traditional and recently developed gutter layer materials face some issues such as physical aging, thickness-dependent permeability, instability, or poor compatibility. Herein, wholly organic, orientated, two-dimensional covalent organic framework (COF) films, for the first time, are used as the novel gutter layers due to the ideal pore size, intrinsic porosity, small transport resistance, good compatibility with polymer matrix, good anti-aging capability and high stability. Commercial or photo-initiated crosslinked polymer can be deposited compatiblely on the COF gutter layer with a thickness as thin as 55 nm, an ultrathin thickness that traditional gutter layers are challenging to attain. As a result, one optimized TFCM realizes high CO2 capture performance with CO2 permeance of 1843 gas permeation units (GPU) and CO2/N2 separation selectivity of 28.2, which displays unique advantages over other gutter layer-based TFCMs and meets the performance target for CO2 capture (CO2 permeance &gt; 1000 GPU, CO2/N2 selectivity &gt; 20).","author":[{"dropping-particle":"","family":"Ying","given":"Yunpan","non-dropping-particle":"","parse-names":false,"suffix":""},{"dropping-particle":"","family":"Yang","given":"Ziqi","non-dropping-particle":"","parse-names":false,"suffix":""},{"dropping-particle":"","family":"Shi","given":"Dongchen","non-dropping-particle":"","parse-names":false,"suffix":""},{"dropping-particle":"","family":"Peh","given":"Shing Bo","non-dropping-particle":"","parse-names":false,"suffix":""},{"dropping-particle":"","family":"Wang","given":"Yuxiang","non-dropping-particle":"","parse-names":false,"suffix":""},{"dropping-particle":"","family":"Yu","given":"Xin","non-dropping-particle":"","parse-names":false,"suffix":""},{"dropping-particle":"","family":"Yang","given":"Hao","non-dropping-particle":"","parse-names":false,"suffix":""},{"dropping-particle":"","family":"Chai","given":"Kungang","non-dropping-particle":"","parse-names":false,"suffix":""},{"dropping-particle":"","family":"Zhao","given":"Dan","non-dropping-particle":"","parse-names":false,"suffix":""}],"container-title":"Journal of Membrane Science","id":"ITEM-1","issue":"April","issued":{"date-parts":[["2021"]]},"page":"119384","publisher":"Elsevier B.V.","title":"Ultrathin covalent organic framework film as membrane gutter layer for high-permeance CO2 capture","type":"article-journal","volume":"632"},"uris":["http://www.mendeley.com/documents/?uuid=72948503-b82b-40d4-96cc-3e4f07d4ab1e"]}],"mendeley":{"formattedCitation":"&lt;sup&gt;26&lt;/sup&gt;","plainTextFormattedCitation":"26","previouslyFormattedCitation":"&lt;sup&gt;26&lt;/sup&gt;"},"properties":{"noteIndex":0},"schema":"https://github.com/citation-style-language/schema/raw/master/csl-citation.json"}</w:instrText>
      </w:r>
      <w:r w:rsidR="00445A74">
        <w:rPr>
          <w:lang w:val="en-US"/>
        </w:rPr>
        <w:fldChar w:fldCharType="separate"/>
      </w:r>
      <w:r w:rsidR="00976A58" w:rsidRPr="00976A58">
        <w:rPr>
          <w:noProof/>
          <w:vertAlign w:val="superscript"/>
          <w:lang w:val="en-US"/>
        </w:rPr>
        <w:t>26</w:t>
      </w:r>
      <w:r w:rsidR="00445A74">
        <w:rPr>
          <w:lang w:val="en-US"/>
        </w:rPr>
        <w:fldChar w:fldCharType="end"/>
      </w:r>
      <w:r w:rsidR="008A005B">
        <w:rPr>
          <w:lang w:val="en-US"/>
        </w:rPr>
        <w:t>, among others.</w:t>
      </w:r>
    </w:p>
    <w:p w14:paraId="69EDC1F1" w14:textId="4A020B92" w:rsidR="004D39F9" w:rsidRPr="009B14C6" w:rsidRDefault="00E26009" w:rsidP="0036421A">
      <w:pPr>
        <w:pStyle w:val="RSCB02ArticleText"/>
        <w:rPr>
          <w:b/>
          <w:bCs/>
          <w:i/>
          <w:iCs/>
        </w:rPr>
      </w:pPr>
      <w:r>
        <w:t>Beyond the COF immobilization onto free-standing films, there is a need for improv</w:t>
      </w:r>
      <w:r w:rsidR="00887CD6">
        <w:t>ing</w:t>
      </w:r>
      <w:r>
        <w:t xml:space="preserve"> the shaping of th</w:t>
      </w:r>
      <w:r w:rsidR="00020AF9">
        <w:t>ese</w:t>
      </w:r>
      <w:r>
        <w:t xml:space="preserve"> polymeric </w:t>
      </w:r>
      <w:r w:rsidR="00E45F54">
        <w:t>composites</w:t>
      </w:r>
      <w:r w:rsidR="005B3659">
        <w:t xml:space="preserve">. In this way, </w:t>
      </w:r>
      <w:r w:rsidR="005B3659" w:rsidRPr="00CB765D">
        <w:t>3D</w:t>
      </w:r>
      <w:r w:rsidR="00020AF9" w:rsidRPr="00CB765D">
        <w:t xml:space="preserve"> </w:t>
      </w:r>
      <w:r w:rsidR="005B3659" w:rsidRPr="00CB765D">
        <w:t>printing</w:t>
      </w:r>
      <w:r w:rsidR="00932892" w:rsidRPr="00CB765D">
        <w:t xml:space="preserve"> </w:t>
      </w:r>
      <w:r w:rsidR="00C40D1B" w:rsidRPr="00CB765D">
        <w:t>(or layer-by-layer</w:t>
      </w:r>
      <w:r w:rsidR="00784055" w:rsidRPr="00CB765D">
        <w:t xml:space="preserve"> </w:t>
      </w:r>
      <w:r w:rsidR="00C40D1B" w:rsidRPr="00CB765D">
        <w:t>deposition</w:t>
      </w:r>
      <w:r w:rsidR="00C40D1B" w:rsidRPr="00A848E6">
        <w:t>)</w:t>
      </w:r>
      <w:r w:rsidR="005B3659">
        <w:t xml:space="preserve"> is </w:t>
      </w:r>
      <w:r w:rsidR="00F30ABE">
        <w:t>a</w:t>
      </w:r>
      <w:r w:rsidR="00893C74">
        <w:t xml:space="preserve"> </w:t>
      </w:r>
      <w:r w:rsidR="00F30ABE">
        <w:t>unique</w:t>
      </w:r>
      <w:r w:rsidR="005B3659">
        <w:t xml:space="preserve"> technique </w:t>
      </w:r>
      <w:r w:rsidR="00020AF9">
        <w:t>that</w:t>
      </w:r>
      <w:r w:rsidR="00F30ABE">
        <w:t xml:space="preserve"> has been an area of increasing</w:t>
      </w:r>
      <w:r w:rsidR="00C40D1B">
        <w:t xml:space="preserve"> interest</w:t>
      </w:r>
      <w:r w:rsidR="00F30ABE">
        <w:t>.</w:t>
      </w:r>
      <w:r w:rsidR="003F703D">
        <w:fldChar w:fldCharType="begin" w:fldLock="1"/>
      </w:r>
      <w:r w:rsidR="00976A58">
        <w:instrText>ADDIN CSL_CITATION {"citationItems":[{"id":"ITEM-1","itemData":{"DOI":"10.1039/d0cs01062f","ISSN":"14604744","PMID":"33470252","abstract":"3D printing (also called “additive manufacturing” or “rapid prototyping”) is able to translate computer-aided and designed virtual 3D models into 3D tangible constructs/objects through a layer-by-layer deposition approach. Since its introduction, 3D printing has aroused enormous interest among researchers and engineers to understand the fabrication process and composition-structure-property correlation of printed 3D objects and unleash its great potential for application in a variety of industrial sectors. Because of its unique technological advantages, 3D printing can definitely benefit the field of microrobotics and advance the design and development of functional microrobots in a customized manner. This review aims to present a generic overview of 3D printing for functional microrobots. The most applicable 3D printing techniques, with a focus on laser-based printing, are introduced for the 3D microfabrication of microrobots. 3D-printable materials for fabricating microrobots are reviewed in detail, including photopolymers, photo-crosslinkable hydrogels, and cell-laden hydrogels. The representative applications of 3D-printed microrobots with rational designs heretofore give evidence of how these printed microrobots are being exploited in the medical, environmental, and other relevant fields. A future outlook on the 3D printing of microrobots is also provided.","author":[{"dropping-particle":"","family":"Li","given":"Jinhua","non-dropping-particle":"","parse-names":false,"suffix":""},{"dropping-particle":"","family":"Pumera","given":"Martin","non-dropping-particle":"","parse-names":false,"suffix":""}],"container-title":"Chemical Society Reviews","id":"ITEM-1","issue":"4","issued":{"date-parts":[["2021"]]},"page":"2794-2838","publisher":"Royal Society of Chemistry","title":"3D printing of functional microrobots","type":"article-journal","volume":"50"},"uris":["http://www.mendeley.com/documents/?uuid=18e4b699-ba4b-4d1e-9b2d-ac261ba5a47d"]}],"mendeley":{"formattedCitation":"&lt;sup&gt;27&lt;/sup&gt;","plainTextFormattedCitation":"27","previouslyFormattedCitation":"&lt;sup&gt;27&lt;/sup&gt;"},"properties":{"noteIndex":0},"schema":"https://github.com/citation-style-language/schema/raw/master/csl-citation.json"}</w:instrText>
      </w:r>
      <w:r w:rsidR="003F703D">
        <w:fldChar w:fldCharType="separate"/>
      </w:r>
      <w:r w:rsidR="00976A58" w:rsidRPr="00976A58">
        <w:rPr>
          <w:noProof/>
          <w:vertAlign w:val="superscript"/>
        </w:rPr>
        <w:t>27</w:t>
      </w:r>
      <w:r w:rsidR="003F703D">
        <w:fldChar w:fldCharType="end"/>
      </w:r>
      <w:r w:rsidR="00F30ABE">
        <w:t xml:space="preserve"> This tool</w:t>
      </w:r>
      <w:r w:rsidR="006C7020">
        <w:t xml:space="preserve"> is</w:t>
      </w:r>
      <w:r w:rsidR="005B3659" w:rsidRPr="005B3659">
        <w:t xml:space="preserve"> useful for </w:t>
      </w:r>
      <w:r w:rsidR="005B3659">
        <w:t>fast and</w:t>
      </w:r>
      <w:r w:rsidR="005B3659" w:rsidRPr="005B3659">
        <w:t xml:space="preserve"> low-cost prototyping</w:t>
      </w:r>
      <w:r w:rsidR="005B3659">
        <w:t>,</w:t>
      </w:r>
      <w:r w:rsidR="00787A95">
        <w:fldChar w:fldCharType="begin" w:fldLock="1"/>
      </w:r>
      <w:r w:rsidR="00183CF9">
        <w:instrText>ADDIN CSL_CITATION {"citationItems":[{"id":"ITEM-1","itemData":{"DOI":"10.1002/adbi.202100994","ISSN":"2701-0198","author":[{"dropping-particle":"","family":"Rosario","given":"Mario","non-dropping-particle":"Del","parse-names":false,"suffix":""},{"dropping-particle":"","family":"Heil","given":"Hannah S.","non-dropping-particle":"","parse-names":false,"suffix":""},{"dropping-particle":"","family":"Mendes","given":"Afonso","non-dropping-particle":"","parse-names":false,"suffix":""},{"dropping-particle":"","family":"Saggiomo","given":"Vittorio","non-dropping-particle":"","parse-names":false,"suffix":""},{"dropping-particle":"","family":"Henriques","given":"Ricardo","non-dropping-particle":"","parse-names":false,"suffix":""}],"container-title":"Advanced Biology","id":"ITEM-1","issued":{"date-parts":[["2021"]]},"page":"2100994","title":"The Field Guide to 3D Printing in Optical Microscopy for Life Sciences","type":"article-journal"},"uris":["http://www.mendeley.com/documents/?uuid=518bb6d2-127d-4847-a218-8652530db33b"]}],"mendeley":{"formattedCitation":"&lt;sup&gt;28&lt;/sup&gt;","plainTextFormattedCitation":"28","previouslyFormattedCitation":"&lt;sup&gt;28&lt;/sup&gt;"},"properties":{"noteIndex":0},"schema":"https://github.com/citation-style-language/schema/raw/master/csl-citation.json"}</w:instrText>
      </w:r>
      <w:r w:rsidR="00787A95">
        <w:fldChar w:fldCharType="separate"/>
      </w:r>
      <w:r w:rsidR="00976A58" w:rsidRPr="00976A58">
        <w:rPr>
          <w:noProof/>
          <w:vertAlign w:val="superscript"/>
        </w:rPr>
        <w:t>28</w:t>
      </w:r>
      <w:r w:rsidR="00787A95">
        <w:fldChar w:fldCharType="end"/>
      </w:r>
      <w:r w:rsidR="0019652E">
        <w:t xml:space="preserve"> versatile</w:t>
      </w:r>
      <w:r w:rsidR="005B3659">
        <w:t xml:space="preserve"> </w:t>
      </w:r>
      <w:r w:rsidR="0019652E">
        <w:t>production</w:t>
      </w:r>
      <w:r w:rsidR="00020AF9">
        <w:t>s,</w:t>
      </w:r>
      <w:r w:rsidR="003C2D66">
        <w:fldChar w:fldCharType="begin" w:fldLock="1"/>
      </w:r>
      <w:r w:rsidR="00976A58">
        <w:instrText>ADDIN CSL_CITATION {"citationItems":[{"id":"ITEM-1","itemData":{"DOI":"10.1021/nl5033292","ISSN":"15306992","abstract":"Developing the ability to 3D print various classes of materials possessing distinct properties could enable the freeform generation of active electronics in unique functional, interwoven architectures. Achieving seamless integration of diverse materials with 3D printing is a significant challenge that requires overcoming discrepancies in material properties in addition to ensuring that all the materials are compatible with the 3D printing process. To date, 3D printing has been limited to specific plastics, passive conductors, and a few biological materials. Here, we show that diverse classes of materials can be 3D printed and fully integrated into device components with active properties. Specifically, we demonstrate the seamless interweaving of five different materials, including (1) emissive semiconducting inorganic nanoparticles, (2) an elastomeric matrix, (3) organic polymers as charge transport layers, (4) solid and liquid metal leads, and (5) a UV-adhesive transparent substrate layer. As a proof of concept for demonstrating the integrated functionality of these materials, we 3D printed quantum dot-based light-emitting diodes (QD-LEDs) that exhibit pure and tunable color emission properties. By further incorporating the 3D scanning of surface topologies, we demonstrate the ability to conformally print devices onto curvilinear surfaces, such as contact lenses. Finally, we show that novel architectures that are not easily accessed using standard microfabrication techniques can be constructed, by 3D printing a 2 × 2 × 2 cube of encapsulated LEDs, in which every component of the cube and electronics are 3D printed. Overall, these results suggest that 3D printing is more versatile than has been demonstrated to date and is capable of integrating many distinct classes of materials.","author":[{"dropping-particle":"","family":"Kong","given":"Yong Lin","non-dropping-particle":"","parse-names":false,"suffix":""},{"dropping-particle":"","family":"Tamargo","given":"Ian A.","non-dropping-particle":"","parse-names":false,"suffix":""},{"dropping-particle":"","family":"Kim","given":"Hyoungsoo","non-dropping-particle":"","parse-names":false,"suffix":""},{"dropping-particle":"","family":"Johnson","given":"Blake N.","non-dropping-particle":"","parse-names":false,"suffix":""},{"dropping-particle":"","family":"Gupta","given":"Maneesh K.","non-dropping-particle":"","parse-names":false,"suffix":""},{"dropping-particle":"","family":"Koh","given":"Tae Wook","non-dropping-particle":"","parse-names":false,"suffix":""},{"dropping-particle":"","family":"Chin","given":"Huai An","non-dropping-particle":"","parse-names":false,"suffix":""},{"dropping-particle":"","family":"Steingart","given":"Daniel A.","non-dropping-particle":"","parse-names":false,"suffix":""},{"dropping-particle":"","family":"Rand","given":"Barry P.","non-dropping-particle":"","parse-names":false,"suffix":""},{"dropping-particle":"","family":"McAlpine","given":"Michael C.","non-dropping-particle":"","parse-names":false,"suffix":""}],"container-title":"Nano Letters","id":"ITEM-1","issue":"12","issued":{"date-parts":[["2014"]]},"page":"7017-7023","title":"3D printed quantum dot light-emitting diodes","type":"article-journal","volume":"14"},"uris":["http://www.mendeley.com/documents/?uuid=17da1ede-96ee-43d7-b6a0-91f75d101c14"]}],"mendeley":{"formattedCitation":"&lt;sup&gt;29&lt;/sup&gt;","plainTextFormattedCitation":"29","previouslyFormattedCitation":"&lt;sup&gt;29&lt;/sup&gt;"},"properties":{"noteIndex":0},"schema":"https://github.com/citation-style-language/schema/raw/master/csl-citation.json"}</w:instrText>
      </w:r>
      <w:r w:rsidR="003C2D66">
        <w:fldChar w:fldCharType="separate"/>
      </w:r>
      <w:r w:rsidR="00976A58" w:rsidRPr="00976A58">
        <w:rPr>
          <w:noProof/>
          <w:vertAlign w:val="superscript"/>
        </w:rPr>
        <w:t>29</w:t>
      </w:r>
      <w:r w:rsidR="003C2D66">
        <w:fldChar w:fldCharType="end"/>
      </w:r>
      <w:r w:rsidR="0019652E">
        <w:t xml:space="preserve"> or </w:t>
      </w:r>
      <w:r w:rsidR="00893C74">
        <w:t>geometry customization</w:t>
      </w:r>
      <w:r w:rsidR="00A00639">
        <w:t>.</w:t>
      </w:r>
      <w:r w:rsidR="00A00639">
        <w:fldChar w:fldCharType="begin" w:fldLock="1"/>
      </w:r>
      <w:r w:rsidR="00976A58">
        <w:instrText>ADDIN CSL_CITATION {"citationItems":[{"id":"ITEM-1","itemData":{"DOI":"10.1016/j.compositesb.2016.11.034","ISSN":"13598368","abstract":"The use of 3D printing for rapid tooling and manufacturing has promised to produce components with complex geometries according to computer designs. Due to the intrinsically limited mechanical properties and functionalities of printed pure polymer parts, there is a critical need to develop printable polymer composites with high performance. 3D printing offers many advantages in the fabrication of composites, including high precision, cost effective and customized geometry. This article gives an overview on 3D printing techniques of polymer composite materials and the properties and performance of 3D printed composite parts as well as their potential applications in the fields of biomedical, electronics and aerospace engineering. Common 3D printing techniques such as fused deposition modeling, selective laser sintering, inkjet 3D printing, stereolithography, and 3D plotting are introduced. The formation methodology and the performance of particle-, fiber- and nanomaterial-reinforced polymer composites are emphasized. Finally, important limitations are identified to motivate the future research of 3D printing.","author":[{"dropping-particle":"","family":"Wang","given":"Xin","non-dropping-particle":"","parse-names":false,"suffix":""},{"dropping-particle":"","family":"Jiang","given":"Man","non-dropping-particle":"","parse-names":false,"suffix":""},{"dropping-particle":"","family":"Zhou","given":"Zuowan","non-dropping-particle":"","parse-names":false,"suffix":""},{"dropping-particle":"","family":"Gou","given":"Jihua","non-dropping-particle":"","parse-names":false,"suffix":""},{"dropping-particle":"","family":"Hui","given":"David","non-dropping-particle":"","parse-names":false,"suffix":""}],"container-title":"Composites Part B: Engineering","id":"ITEM-1","issued":{"date-parts":[["2017"]]},"page":"442-458","publisher":"Elsevier Ltd","title":"3D printing of polymer matrix composites: A review and prospective","type":"article-journal","volume":"110"},"uris":["http://www.mendeley.com/documents/?uuid=213d4d0e-65f5-4b5e-b3f0-330430fedb32"]}],"mendeley":{"formattedCitation":"&lt;sup&gt;30&lt;/sup&gt;","plainTextFormattedCitation":"30","previouslyFormattedCitation":"&lt;sup&gt;30&lt;/sup&gt;"},"properties":{"noteIndex":0},"schema":"https://github.com/citation-style-language/schema/raw/master/csl-citation.json"}</w:instrText>
      </w:r>
      <w:r w:rsidR="00A00639">
        <w:fldChar w:fldCharType="separate"/>
      </w:r>
      <w:r w:rsidR="00976A58" w:rsidRPr="00976A58">
        <w:rPr>
          <w:noProof/>
          <w:vertAlign w:val="superscript"/>
        </w:rPr>
        <w:t>30</w:t>
      </w:r>
      <w:r w:rsidR="00A00639">
        <w:fldChar w:fldCharType="end"/>
      </w:r>
      <w:r w:rsidR="00893C74">
        <w:t xml:space="preserve"> The key advantages of </w:t>
      </w:r>
      <w:r w:rsidR="00020AF9">
        <w:t xml:space="preserve">the </w:t>
      </w:r>
      <w:r w:rsidR="00893C74">
        <w:t>3D-print</w:t>
      </w:r>
      <w:r w:rsidR="00802058">
        <w:t>ing technique to produce</w:t>
      </w:r>
      <w:r w:rsidR="00893C74">
        <w:t xml:space="preserve"> </w:t>
      </w:r>
      <w:r w:rsidR="00802058">
        <w:t>flexible</w:t>
      </w:r>
      <w:r w:rsidR="00E36A8A">
        <w:t xml:space="preserve">, </w:t>
      </w:r>
      <w:r w:rsidR="00802058">
        <w:t>tailored</w:t>
      </w:r>
      <w:r w:rsidR="00D61FC0">
        <w:t>,</w:t>
      </w:r>
      <w:r w:rsidR="00E36A8A">
        <w:t xml:space="preserve"> or</w:t>
      </w:r>
      <w:r w:rsidR="00893C74">
        <w:t xml:space="preserve"> room</w:t>
      </w:r>
      <w:r w:rsidR="00802058">
        <w:t>-</w:t>
      </w:r>
      <w:r w:rsidR="00893C74">
        <w:t>temperature process</w:t>
      </w:r>
      <w:r w:rsidR="00802058">
        <w:t>able materials</w:t>
      </w:r>
      <w:r w:rsidR="00E36A8A">
        <w:t>,</w:t>
      </w:r>
      <w:r w:rsidR="00BA31C7">
        <w:fldChar w:fldCharType="begin" w:fldLock="1"/>
      </w:r>
      <w:r w:rsidR="00976A58">
        <w:instrText>ADDIN CSL_CITATION {"citationItems":[{"id":"ITEM-1","itemData":{"DOI":"10.1021/acsapm.8b00165","ISSN":"2637-6105","abstract":"The field of 3D printing is continuing its rapid development in both academic and industrial research environments. The development of 3D printing technologies has opened new implementations in rapid prototyping, tooling, dentistry, microfluidics, biomedical devices, tissue engineering, drug delivery, etc. Among different 3D printing techniques, photopolymerization-based process (such as stereolithography and digital light processing) offers flexibility over the final properties of the 3D printed materials (such as optical, chemical, and mechanical properties) using versatile polymer chemistry. The strategy behind the 3D photopolymerization is based on using monomers/oligomers in liquid state (in the presence of photoinitiators) that can be photopolymerized (via radical or cationic mechanism) upon exposure to light source of different wavelengths (depending on the photoinitiator system). An overview of recent evolutions in the field of photopolymerization-based 3D printing and highlights of novel 3D printable photopolymers is provided herein. Challenges that limit the use of conventional photopolymers (i.e., initiation under UV light) together with prospective solutions such as incorporation of photosensitive initiators with red-shifted absorptions are also discussed in detail. This review also spotlights recent progress on the use of controlled living radical photopolymerization techniques (i.e., reversible addition-fragmentation chain-transfer polymerization) in 3D printing, which will pave the way for widespread growth of new generations of 3D materials with living features and possibility for postprinting modifications.","author":[{"dropping-particle":"","family":"Bagheri","given":"Ali","non-dropping-particle":"","parse-names":false,"suffix":""},{"dropping-particle":"","family":"Jin","given":"Jianyong","non-dropping-particle":"","parse-names":false,"suffix":""}],"container-title":"ACS Applied Polymer Materials","id":"ITEM-1","issue":"4","issued":{"date-parts":[["2019"]]},"page":"593-611","title":"Photopolymerization in 3D Printing","type":"article-journal","volume":"1"},"uris":["http://www.mendeley.com/documents/?uuid=1e8342a3-1c21-4173-900b-966c6c8c085b"]}],"mendeley":{"formattedCitation":"&lt;sup&gt;31&lt;/sup&gt;","plainTextFormattedCitation":"31","previouslyFormattedCitation":"&lt;sup&gt;31&lt;/sup&gt;"},"properties":{"noteIndex":0},"schema":"https://github.com/citation-style-language/schema/raw/master/csl-citation.json"}</w:instrText>
      </w:r>
      <w:r w:rsidR="00BA31C7">
        <w:fldChar w:fldCharType="separate"/>
      </w:r>
      <w:r w:rsidR="00976A58" w:rsidRPr="00976A58">
        <w:rPr>
          <w:noProof/>
          <w:vertAlign w:val="superscript"/>
        </w:rPr>
        <w:t>31</w:t>
      </w:r>
      <w:r w:rsidR="00BA31C7">
        <w:fldChar w:fldCharType="end"/>
      </w:r>
      <w:r w:rsidR="00E36A8A">
        <w:t xml:space="preserve"> </w:t>
      </w:r>
      <w:r w:rsidR="00E36A8A" w:rsidRPr="00E36A8A">
        <w:rPr>
          <w:lang w:val="en"/>
        </w:rPr>
        <w:t>ha</w:t>
      </w:r>
      <w:r w:rsidR="00802058">
        <w:rPr>
          <w:lang w:val="en"/>
        </w:rPr>
        <w:t>s</w:t>
      </w:r>
      <w:r w:rsidR="00E36A8A" w:rsidRPr="00E36A8A">
        <w:rPr>
          <w:lang w:val="en"/>
        </w:rPr>
        <w:t xml:space="preserve"> put </w:t>
      </w:r>
      <w:r w:rsidR="00802058">
        <w:rPr>
          <w:lang w:val="en"/>
        </w:rPr>
        <w:t>it</w:t>
      </w:r>
      <w:r w:rsidR="00E36A8A" w:rsidRPr="00E36A8A">
        <w:rPr>
          <w:lang w:val="en"/>
        </w:rPr>
        <w:t xml:space="preserve"> in the spotlight for applications such as robotics</w:t>
      </w:r>
      <w:r w:rsidR="00E36A8A">
        <w:t>,</w:t>
      </w:r>
      <w:r w:rsidR="004D1EAC">
        <w:fldChar w:fldCharType="begin" w:fldLock="1"/>
      </w:r>
      <w:r w:rsidR="00976A58">
        <w:instrText>ADDIN CSL_CITATION {"citationItems":[{"id":"ITEM-1","itemData":{"DOI":"10.1039/d0cs01062f","ISSN":"14604744","PMID":"33470252","abstract":"3D printing (also called “additive manufacturing” or “rapid prototyping”) is able to translate computer-aided and designed virtual 3D models into 3D tangible constructs/objects through a layer-by-layer deposition approach. Since its introduction, 3D printing has aroused enormous interest among researchers and engineers to understand the fabrication process and composition-structure-property correlation of printed 3D objects and unleash its great potential for application in a variety of industrial sectors. Because of its unique technological advantages, 3D printing can definitely benefit the field of microrobotics and advance the design and development of functional microrobots in a customized manner. This review aims to present a generic overview of 3D printing for functional microrobots. The most applicable 3D printing techniques, with a focus on laser-based printing, are introduced for the 3D microfabrication of microrobots. 3D-printable materials for fabricating microrobots are reviewed in detail, including photopolymers, photo-crosslinkable hydrogels, and cell-laden hydrogels. The representative applications of 3D-printed microrobots with rational designs heretofore give evidence of how these printed microrobots are being exploited in the medical, environmental, and other relevant fields. A future outlook on the 3D printing of microrobots is also provided.","author":[{"dropping-particle":"","family":"Li","given":"Jinhua","non-dropping-particle":"","parse-names":false,"suffix":""},{"dropping-particle":"","family":"Pumera","given":"Martin","non-dropping-particle":"","parse-names":false,"suffix":""}],"container-title":"Chemical Society Reviews","id":"ITEM-1","issue":"4","issued":{"date-parts":[["2021"]]},"page":"2794-2838","publisher":"Royal Society of Chemistry","title":"3D printing of functional microrobots","type":"article-journal","volume":"50"},"uris":["http://www.mendeley.com/documents/?uuid=18e4b699-ba4b-4d1e-9b2d-ac261ba5a47d"]}],"mendeley":{"formattedCitation":"&lt;sup&gt;27&lt;/sup&gt;","plainTextFormattedCitation":"27","previouslyFormattedCitation":"&lt;sup&gt;27&lt;/sup&gt;"},"properties":{"noteIndex":0},"schema":"https://github.com/citation-style-language/schema/raw/master/csl-citation.json"}</w:instrText>
      </w:r>
      <w:r w:rsidR="004D1EAC">
        <w:fldChar w:fldCharType="separate"/>
      </w:r>
      <w:r w:rsidR="00976A58" w:rsidRPr="00976A58">
        <w:rPr>
          <w:noProof/>
          <w:vertAlign w:val="superscript"/>
          <w:lang w:val="es-ES"/>
        </w:rPr>
        <w:t>27</w:t>
      </w:r>
      <w:r w:rsidR="004D1EAC">
        <w:fldChar w:fldCharType="end"/>
      </w:r>
      <w:r w:rsidR="00E36A8A" w:rsidRPr="00AA0154">
        <w:rPr>
          <w:lang w:val="es-ES"/>
        </w:rPr>
        <w:t xml:space="preserve"> medicine,</w:t>
      </w:r>
      <w:r w:rsidR="00AA0154">
        <w:fldChar w:fldCharType="begin" w:fldLock="1"/>
      </w:r>
      <w:r w:rsidR="0041344B">
        <w:rPr>
          <w:lang w:val="es-ES"/>
        </w:rPr>
        <w:instrText>ADDIN CSL_CITATION {"citationItems":[{"id":"ITEM-1","itemData":{"DOI":"10.1208/s12249-020-01905-8","ISSN":"15309932","PMID":"33458797","abstract":"Personalized medicine has the potential to revolutionize the healthcare sector, its goal being to tailor medication to a particular individual by taking into consideration the physiology, drug response, and genetic profile of that individual. There are many technologies emerging to cause this paradigm shift from the conventional “one size fits all” to personalized medicine, the major one being three-dimensional (3D) printing. 3D printing involves the establishment of a three-dimensional object, in a layer upon layer manner using various computer software. 3D printing can be used to construct a wide variety of pharmaceutical dosage forms varying in shape, release profile, and drug combination. The major technological platforms of 3D printing researched on in the pharmaceutical sector include inkjet printing, binder jetting, fused filament fabrication, selective laser sintering, stereolithography, and pressure-assisted microsyringe. A possible future application of this technology could be in a clinical setting, where prescriptions could be dispensed based on individual needs. This manuscript points out the various 3D printing technologies and their applications in research for fabricating pharmaceutical products, along with their pros and cons. It also presents its potential in personalized medicine by individualizing the dose, release profiles, and incorporating multiple drugs in a polypill. An insight on how it tends to various populations is also provided. An approach of how it can be used in a clinical setting is also highlighted. Also, various challenges faced are pointed out, which must be overcome for the success of this technology in personalized medicine.","author":[{"dropping-particle":"","family":"Vaz","given":"Vanessa Marcia","non-dropping-particle":"","parse-names":false,"suffix":""},{"dropping-particle":"","family":"Kumar","given":"Lalit","non-dropping-particle":"","parse-names":false,"suffix":""}],"container-title":"AAPS PharmSciTech","id":"ITEM-1","issue":"1","issued":{"date-parts":[["2021"]]},"page":"49","publisher":"AAPS PharmSciTech","title":"3D Printing as a Promising Tool in Personalized Medicine","type":"article-journal","volume":"22"},"uris":["http://www.mendeley.com/documents/?uuid=4f0a2f4d-3c57-40d6-85e4-4cd0e84b95b0"]}],"mendeley":{"formattedCitation":"&lt;sup&gt;32&lt;/sup&gt;","plainTextFormattedCitation":"32","previouslyFormattedCitation":"&lt;sup&gt;32&lt;/sup&gt;"},"properties":{"noteIndex":0},"schema":"https://github.com/citation-style-language/schema/raw/master/csl-citation.json"}</w:instrText>
      </w:r>
      <w:r w:rsidR="00AA0154">
        <w:fldChar w:fldCharType="separate"/>
      </w:r>
      <w:r w:rsidR="00976A58" w:rsidRPr="00976A58">
        <w:rPr>
          <w:noProof/>
          <w:vertAlign w:val="superscript"/>
          <w:lang w:val="es-ES"/>
        </w:rPr>
        <w:t>32</w:t>
      </w:r>
      <w:r w:rsidR="00AA0154">
        <w:fldChar w:fldCharType="end"/>
      </w:r>
      <w:r w:rsidR="00E36A8A" w:rsidRPr="008611FB">
        <w:rPr>
          <w:lang w:val="es-ES"/>
        </w:rPr>
        <w:t xml:space="preserve"> microscopy</w:t>
      </w:r>
      <w:r w:rsidR="00D00B71">
        <w:rPr>
          <w:lang w:val="es-ES"/>
        </w:rPr>
        <w:fldChar w:fldCharType="begin" w:fldLock="1"/>
      </w:r>
      <w:r w:rsidR="00183CF9">
        <w:rPr>
          <w:lang w:val="es-ES"/>
        </w:rPr>
        <w:instrText>ADDIN CSL_CITATION {"citationItems":[{"id":"ITEM-1","itemData":{"DOI":"10.1002/adbi.202100994","ISSN":"2701-0198","author":[{"dropping-particle":"","family":"Rosario","given":"Mario","non-dropping-particle":"Del","parse-names":false,"suffix":""},{"dropping-particle":"","family":"Heil","given":"Hannah S.","non-dropping-particle":"","parse-names":false,"suffix":""},{"dropping-particle":"","family":"Mendes","given":"Afonso","non-dropping-particle":"","parse-names":false,"suffix":""},{"dropping-particle":"","family":"Saggiomo","given":"Vittorio","non-dropping-particle":"","parse-names":false,"suffix":""},{"dropping-particle":"","family":"Henriques","given":"Ricardo","non-dropping-particle":"","parse-names":false,"suffix":""}],"container-title":"Advanced Biology","id":"ITEM-1","issued":{"date-parts":[["2021"]]},"page":"2100994","title":"The Field Guide to 3D Printing in Optical Microscopy for Life Sciences","type":"article-journal"},"uris":["http://www.mendeley.com/documents/?uuid=518bb6d2-127d-4847-a218-8652530db33b"]}],"mendeley":{"formattedCitation":"&lt;sup&gt;28&lt;/sup&gt;","plainTextFormattedCitation":"28","previouslyFormattedCitation":"&lt;sup&gt;28&lt;/sup&gt;"},"properties":{"noteIndex":0},"schema":"https://github.com/citation-style-language/schema/raw/master/csl-citation.json"}</w:instrText>
      </w:r>
      <w:r w:rsidR="00D00B71">
        <w:rPr>
          <w:lang w:val="es-ES"/>
        </w:rPr>
        <w:fldChar w:fldCharType="separate"/>
      </w:r>
      <w:r w:rsidR="00976A58" w:rsidRPr="00976A58">
        <w:rPr>
          <w:noProof/>
          <w:vertAlign w:val="superscript"/>
          <w:lang w:val="es-ES"/>
        </w:rPr>
        <w:t>28</w:t>
      </w:r>
      <w:r w:rsidR="00D00B71">
        <w:rPr>
          <w:lang w:val="es-ES"/>
        </w:rPr>
        <w:fldChar w:fldCharType="end"/>
      </w:r>
      <w:r w:rsidR="00E36A8A" w:rsidRPr="008611FB">
        <w:rPr>
          <w:lang w:val="es-ES"/>
        </w:rPr>
        <w:t xml:space="preserve"> </w:t>
      </w:r>
      <w:r w:rsidR="00802058" w:rsidRPr="00BA67E6">
        <w:t xml:space="preserve">or </w:t>
      </w:r>
      <w:r w:rsidR="009913B4" w:rsidRPr="00BA67E6">
        <w:t>electronics.</w:t>
      </w:r>
      <w:r w:rsidR="00053B30">
        <w:rPr>
          <w:lang w:val="es-ES"/>
        </w:rPr>
        <w:fldChar w:fldCharType="begin" w:fldLock="1"/>
      </w:r>
      <w:r w:rsidR="00976A58">
        <w:rPr>
          <w:lang w:val="es-ES"/>
        </w:rPr>
        <w:instrText>ADDIN CSL_CITATION {"citationItems":[{"id":"ITEM-1","itemData":{"DOI":"10.1002/aelm.202100445","ISSN":"2199160X","abstract":"3D printing, also known as additive manufacturing, is a manufacturing process in which the materials are deposited layer by layer in an additive manner. With the advancement in materials and manufacturing technology, 3D printing has found its applications in the field of electronics manufacturing. Initially, 3D printing is used for the fabrication of electronic components with single material designs such as resistors, inductors, circuits, antennas, strain gauges, etc. Recently, there are many works involving the use of 3D printing fabrication techniques for advanced electronic components and devices such as parallel plate capacitors, inductors, organic light-emitting diodes, photovoltaics, transistors, displays, etc. which involve multilayer multimaterial printing. Despite these many works, there has been no review on the design and fabrication consideration for the 3D printing of multilayered and multimaterial (MLMM) electronics. As such, this review aims to su</w:instrText>
      </w:r>
      <w:r w:rsidR="00976A58" w:rsidRPr="00976A58">
        <w:instrText>mmarize the current landscape of 3D printing of MLMM electronics and provide some insights on the design consideration, fabrication strategies, and challenges of 3D printing of MLMM electronics. In particular, the focus will be placed on discussing the interface conditions between different materials such as surface wettability, surface roughness, material compatibility, and the considerations for postprocessing treatments.","author":[{"dropping-particle":"","family":"Goh","given":"Guo Liang","non-dropping-particle":"","parse-names":false,"suffix":""},{"dropping-particle":"","family":"Zhang","given":"Haining","non-dropping-particle":"","parse-names":false,"suffix":""},{"dropping-particle":"","family":"Chong","given":"Tzyy Haur","non-dropping-particle":"","parse-names":false,"suffix":""},{"dropping-particle":"","family":"Yeong","given":"Wai Yee","non-dropping-particle":"","parse-names":false,"suffix":""}],"container-title":"Advanced Electronic Materials","id":"ITEM-1","issue":"10","issued":{"date-parts":[["2021"]]},"page":"1-28","title":"3D Printing of Multilayered and Multimaterial Electronics: A Review","type":"article-journal","volume":"7"},"uris":["http://www.mendeley.com/documents/?uuid=e3c3cbe4-53b2-46d8-877a-1edb1c601c48"]}],"mendeley":{"formattedCitation":"&lt;sup&gt;33&lt;/sup&gt;","plainTextFormattedCitation":"33","previouslyFormattedCitation":"&lt;sup&gt;33&lt;/sup&gt;"},"properties":{"noteIndex":0},"schema":"https://github.com/citation-style-language/schema/raw/master/csl-citation.json"}</w:instrText>
      </w:r>
      <w:r w:rsidR="00053B30">
        <w:rPr>
          <w:lang w:val="es-ES"/>
        </w:rPr>
        <w:fldChar w:fldCharType="separate"/>
      </w:r>
      <w:r w:rsidR="00976A58" w:rsidRPr="00976A58">
        <w:rPr>
          <w:noProof/>
          <w:vertAlign w:val="superscript"/>
        </w:rPr>
        <w:t>33</w:t>
      </w:r>
      <w:r w:rsidR="00053B30">
        <w:rPr>
          <w:lang w:val="es-ES"/>
        </w:rPr>
        <w:fldChar w:fldCharType="end"/>
      </w:r>
      <w:r w:rsidR="009913B4" w:rsidRPr="00053B30">
        <w:t xml:space="preserve"> </w:t>
      </w:r>
      <w:r w:rsidR="009913B4">
        <w:t>Recent advances have been made in 3D-printed materials based on COFs</w:t>
      </w:r>
      <w:r w:rsidR="00262797">
        <w:fldChar w:fldCharType="begin" w:fldLock="1"/>
      </w:r>
      <w:r w:rsidR="00976A58">
        <w:instrText>ADDIN CSL_CITATION {"citationItems":[{"id":"ITEM-1","itemData":{"DOI":"10.1016/j.cej.2020.126333","ISSN":"13858947","abstract":"Covalent organic frameworks (COFs) present a large group of crystalline porous polymeric materials, which are formed with organic building blocks by strong covalent bonds. They have great potential in energy, environment, and biotechnology areas due to their high surface areas, tunable pore size distribution, and versatile functionality. However, they are largely synthesized in powder form only. The recent 3D printing technology requires the addition of binders. For the targeted applications in gas separation and adsorption, the existence of any binders not only increases the cost, but also reduces the surface area of the active materials and adds on dummy weight, which is especially harmful to functional porous materials where the retention of surface functionality and surface area is paramount. Herein, we report a binder-free, 3D printing process for COF materials (SNW-1 and ATFG-COF), capable of producing free-standing, crack-free 3D COF monoliths by the control of the solvent choices and their diffusion and evaporation among the different parts of the monoliths. Compared to SNW-1 with F127 binder added, the binder-free 3D monolith shows a larger surface area of 794 m2/g, which is similar to SNW-1 powder. The higher CO2 adsorption and CO2/N2 sorption selectivity compared to monoliths made with F127 binder further demonstrate the advantage of binder-free, 3D printing technology applied to COFs.","author":[{"dropping-particle":"","family":"Liu","given":"Ximeng","non-dropping-particle":"","parse-names":false,"suffix":""},{"dropping-particle":"","family":"Lim","given":"Gwendolyn J.H.","non-dropping-particle":"","parse-names":false,"suffix":""},{"dropping-particle":"","family":"Wang","given":"Yuxiang","non-dropping-particle":"","parse-names":false,"suffix":""},{"dropping-particle":"","family":"Zhang","given":"Lei","non-dropping-particle":"","parse-names":false,"suffix":""},{"dropping-particle":"","family":"Mullangi","given":"Dinesh","non-dropping-particle":"","parse-names":false,"suffix":""},{"dropping-particle":"","family":"Wu","given":"Yue","non-dropping-particle":"","parse-names":false,"suffix":""},{"dropping-particle":"","family":"Zhao","given":"Dan","non-dropping-particle":"","parse-names":false,"suffix":""},{"dropping-particle":"","family":"Ding","given":"Jun","non-dropping-particle":"","parse-names":false,"suffix":""},{"dropping-particle":"","family":"Cheetham","given":"Anthony K.","non-dropping-particle":"","parse-names":false,"suffix":""},{"dropping-particle":"","family":"Wang","given":"John","non-dropping-particle":"","parse-names":false,"suffix":""}],"container-title":"Chemical Engineering Journal","id":"ITEM-1","issue":"July 2020","issued":{"date-parts":[["2021"]]},"page":"126333","publisher":"Elsevier","title":"Binder-free 3D printing of covalent organic framework (COF) monoliths for CO2 adsorption","type":"article-journal","volume":"403"},"uris":["http://www.mendeley.com/documents/?uuid=5ca508d4-84b5-4716-9dd3-1bbd881a0519"]},{"id":"ITEM-2","itemData":{"DOI":"10.1039/d1tc03189a","ISSN":"2050-7526","abstract":"Multi-material in-air coalescence inkjet printing technique and the patterned COF using this printing method.In this work, we have demonstrated the creation of monolithic covalent organic frameworks (COFs) through the use of in-air coalescence and reaction of inkjet printed monomer droplets. This method circumvents issues that would reduce printability of the COF using conventional inkjet printing approaches, and shows excellent consistency and spatial uniformity of the fabricated COF.","author":[{"dropping-particle":"","family":"Teo","given":"Mei Ying","non-dropping-particle":"","parse-names":false,"suffix":""},{"dropping-particle":"","family":"Kee","given":"Seyoung","non-dropping-particle":"","parse-names":false,"suffix":""},{"dropping-particle":"","family":"Stuart","given":"Logan","non-dropping-particle":"","parse-names":false,"suffix":""},{"dropping-particle":"","family":"Stringer","given":"Jonathan","non-dropping-particle":"","parse-names":false,"suffix":""},{"dropping-particle":"","family":"Aw","given":"Kean C.","non-dropping-particle":"","parse-names":false,"suffix":""}],"container-title":"Journal of Materials Chemistry C","id":"ITEM-2","issued":{"date-parts":[["2021"]]},"publisher":"Royal Society of Chemistry","title":"Printing of covalent organic frameworks using multi-material in-air coalescence inkjet printing technique","type":"article-journal"},"uris":["http://www.mendeley.com/documents/?uuid=f56dcca1-3b20-405e-9730-4c0fb502a291"]},{"id":"ITEM-3","itemData":{"DOI":"10.1021/jacs.9b01561","ISSN":"15205126","PMID":"30912659","abstract":"Covalent organic frameworks (COFs) are crystalline polymers with permanent porosity. They are usually synthesized as micrometer-sized powders or two-dimensional thin films and membranes for applications in molecular storage, separation, and catalysis. In this work, we report a general method to integrate COFs with imine or β-ketoenamine linkages into three-dimensional (3D)-printing materials. A 3D-printing template, Pluronic F127, was introduced to coassemble with imine polymers in an aqueous environment. By limitation of the degree of imine polycondensation during COF formation, the amorphous imine polymer and F127 form coassembled 3D-printable hydrogels with suitable shear thinning and rapid self-healing properties. After the removal of F127 followed by an amorphous-to-crystalline transformation, three β-ketoenamine- and imine-based COFs were fabricated into 3D monoliths possessing high crystallinity, hierarchical pores with high surface areas, good structural integrity, and robust mechanical stability. Moreover, when multiple COF precursor inks were employed for 3D printing, heterogeneous dual-component COF monoliths were fabricated with high spatial precision. This method not only enables the development of COFs with sophisticated 3D macrostructure but also facilitates the heterogeneous integration of COFs into devices with interconnected interfaces at the molecular level.","author":[{"dropping-particle":"","family":"Zhang","given":"Mingshi","non-dropping-particle":"","parse-names":false,"suffix":""},{"dropping-particle":"","family":"Li","given":"Longyu","non-dropping-particle":"","parse-names":false,"suffix":""},{"dropping-particle":"","family":"Lin","given":"Qianming","non-dropping-particle":"","parse-names":false,"suffix":""},{"dropping-particle":"","family":"Tang","given":"Miao","non-dropping-particle":"","parse-names":false,"suffix":""},{"dropping-particle":"","family":"Wu","given":"Yuyang","non-dropping-particle":"","parse-names":false,"suffix":""},{"dropping-particle":"","family":"Ke","given":"Chenfeng","non-dropping-particle":"","parse-names":false,"suffix":""}],"container-title":"Journal of the American Chemical Society","id":"ITEM-3","issue":"13","issued":{"date-parts":[["2019"]]},"page":"5154-5158","title":"Hierarchical-Coassembly-Enabled 3D-Printing of Homogeneous and Heterogeneous Covalent Organic Frameworks","type":"article-journal","volume":"141"},"uris":["http://www.mendeley.com/documents/?uuid=24edb947-d6eb-411c-87e1-dc4b54426298"]}],"mendeley":{"formattedCitation":"&lt;sup&gt;34–36&lt;/sup&gt;","plainTextFormattedCitation":"34–36","previouslyFormattedCitation":"&lt;sup&gt;34–36&lt;/sup&gt;"},"properties":{"noteIndex":0},"schema":"https://github.com/citation-style-language/schema/raw/master/csl-citation.json"}</w:instrText>
      </w:r>
      <w:r w:rsidR="00262797">
        <w:fldChar w:fldCharType="separate"/>
      </w:r>
      <w:r w:rsidR="00976A58" w:rsidRPr="00976A58">
        <w:rPr>
          <w:noProof/>
          <w:vertAlign w:val="superscript"/>
        </w:rPr>
        <w:t>34–36</w:t>
      </w:r>
      <w:r w:rsidR="00262797">
        <w:fldChar w:fldCharType="end"/>
      </w:r>
      <w:r w:rsidR="00C47A98">
        <w:t xml:space="preserve"> </w:t>
      </w:r>
      <w:r w:rsidR="006C7020">
        <w:t>or nanomaterials@</w:t>
      </w:r>
      <w:r w:rsidR="006C7020" w:rsidRPr="00986A34">
        <w:t>3D</w:t>
      </w:r>
      <w:r w:rsidR="00CB765D" w:rsidRPr="00986A34">
        <w:t xml:space="preserve"> </w:t>
      </w:r>
      <w:r w:rsidR="006C7020" w:rsidRPr="00986A34">
        <w:t>printed</w:t>
      </w:r>
      <w:r w:rsidR="006C7020">
        <w:t xml:space="preserve"> composites</w:t>
      </w:r>
      <w:r w:rsidR="00020AF9">
        <w:t>,</w:t>
      </w:r>
      <w:r w:rsidR="00FF40F2">
        <w:fldChar w:fldCharType="begin" w:fldLock="1"/>
      </w:r>
      <w:r w:rsidR="00976A58">
        <w:instrText>ADDIN CSL_CITATION {"citationItems":[{"id":"ITEM-1","itemData":{"DOI":"10.1039/d1ra01987b","ISSN":"20462069","abstract":"3D-printing or additive manufacturing is presently an emerging technology in the fourth industrial revolution that promises to reshape traditional manufacturing processes. The electrochemistry field can undoubtedly take advantage of this technology to fabricate electrodes to create a new generation of electrode sensor devices that could replace conventionally manufactured electrodes; glassy carbon, screen-printed carbon and carbon composite electrodes. In the electrochemistry research area, studies to date show that there is a demand for electrically 3D printable conductive polymer/carbon nanomaterial filaments where these materials can be printed out through an extrusion process based upon the fused deposition modelling (FDM) method. FDM could be used to manufacture novel electrochemical 3D printed electrode sensing devices for electrochemical sensor and biosensor applications. This is due to the FDM method being the most affordable 3D printing technique since conductive and non-conductive thermoplastic filaments are commercially available. Therefore, in this minireview, we focus on only the most outstanding studies that have been published since 2018. We believe this to be a highly-valuable research area to the scientific community, both in academia and industry, to enable novel ideas, materials, designs and methods relating to electroanalytical sensing devices to be generated. This approach has the potential to create a new generation of electrochemical sensing devices based upon additive manufacturing. This minireview also provides insight into how the research community could improve the electrochemical performance of 3D-printed electrodes to significantly increase the sensitivity of the 3D-printed electrodes as electrode sensing devices.","author":[{"dropping-particle":"","family":"Omar","given":"Muhamad Huzaifah","non-dropping-particle":"","parse-names":false,"suffix":""},{"dropping-particle":"","family":"Razak","given":"Khairunisak Abdul","non-dropping-particle":"","parse-names":false,"suffix":""},{"dropping-particle":"","family":"Ab Wahab","given":"Mohd Nadhir","non-dropping-particle":"","parse-names":false,"suffix":""},{"dropping-particle":"","family":"Hamzah","given":"Hairul Hisham","non-dropping-particle":"","parse-names":false,"suffix":""}],"container-title":"RSC Advances","id":"ITEM-1","issue":"27","issued":{"date-parts":[["2021"]]},"page":"16557-16571","publisher":"Royal Society of Chemistry","title":"Recent progress of conductive 3D-printed electrodes based upon polymers/carbon nanomaterials using a fused deposition modelling (FDM) method as emerging electrochemical sensing devices","type":"article-journal","volume":"11"},"uris":["http://www.mendeley.com/documents/?uuid=0ef51acd-ec84-4490-bfd7-b07aa8d442b4"]},{"id":"ITEM-2","itemData":{"DOI":"10.1080/14686996.2021.1924044","ISSN":"18785514","abstract":"Photothermal therapy (PTT) has attracted broad attention as a promising method for cancer therapy with less severe side effects than conventional radiation therapy, chemotherapy and surgical resection. PTT relies on the photoconversion capacity of photothermal agents (PTAs), and a wide variety of nanomaterials have been employed as PTAs for cancer therapy due to their excellent photothermal properties. The PTAs are systematically or locally administered and become enriched in cancer cells to increase ablation efficiency. In recent years, PTAs and three-dimensional scaffolds have been hybridized to realize the local delivery of PTAs for the repeated ablation of cancer cells. Meanwhile, the composite scaffolds can stimulate the reconstruction and regeneration of the functional tissues and organs after ablation of cancer cells. A variety of composite scaffolds of photothermal nanomaterials have been prepared to combine the advantages of different modalities to maximize their therapeutic efficacy with minimal side effects. The synergistic effects make the composite scaffolds attractive for biomedical applications. This review summarizes these latest advances and discusses the future prospects.","author":[{"dropping-particle":"","family":"Sun","given":"Rui","non-dropping-particle":"","parse-names":false,"suffix":""},{"dropping-particle":"","family":"Chen","given":"Huajian","non-dropping-particle":"","parse-names":false,"suffix":""},{"dropping-particle":"","family":"Sutrisno","given":"Linawati","non-dropping-particle":"","parse-names":false,"suffix":""},{"dropping-particle":"","family":"Kawazoe","given":"Naoki","non-dropping-particle":"","parse-names":false,"suffix":""},{"dropping-particle":"","family":"Chen","given":"Guoping","non-dropping-particle":"","parse-names":false,"suffix":""}],"container-title":"Science and Technology of Advanced Materials","id":"ITEM-2","issue":"1","issued":{"date-parts":[["2021"]]},"page":"404-428","publisher":"Taylor &amp; Francis","title":"Nanomaterials and their composite scaffolds for photothermal therapy and tissue engineering applications","type":"article-journal","volume":"22"},"uris":["http://www.mendeley.com/documents/?uuid=0e504b1c-5136-4cca-80f3-996b97827716"]}],"mendeley":{"formattedCitation":"&lt;sup&gt;37,38&lt;/sup&gt;","plainTextFormattedCitation":"37,38","previouslyFormattedCitation":"&lt;sup&gt;37,38&lt;/sup&gt;"},"properties":{"noteIndex":0},"schema":"https://github.com/citation-style-language/schema/raw/master/csl-citation.json"}</w:instrText>
      </w:r>
      <w:r w:rsidR="00FF40F2">
        <w:fldChar w:fldCharType="separate"/>
      </w:r>
      <w:r w:rsidR="00976A58" w:rsidRPr="00976A58">
        <w:rPr>
          <w:noProof/>
          <w:vertAlign w:val="superscript"/>
        </w:rPr>
        <w:t>37,38</w:t>
      </w:r>
      <w:r w:rsidR="00FF40F2">
        <w:fldChar w:fldCharType="end"/>
      </w:r>
      <w:r w:rsidR="00DC688D">
        <w:t xml:space="preserve"> </w:t>
      </w:r>
      <w:r w:rsidR="00C90F52">
        <w:t>including carbon based-materials such as graphene</w:t>
      </w:r>
      <w:r w:rsidR="00C61DB2">
        <w:fldChar w:fldCharType="begin" w:fldLock="1"/>
      </w:r>
      <w:r w:rsidR="00976A58">
        <w:instrText>ADDIN CSL_CITATION {"citationItems":[{"id":"ITEM-1","itemData":{"DOI":"10.1016/j.jconrel.2019.06.011","ISSN":"18734995","PMID":"31185232","abstract":"Graphene-based nanomaterials, such as graphene oxide (GO) and reduced graphene oxide (rGO), have shown great potentials in drug delivery and photodynamic/photothermal therapy due to their featured structure and physicochemical properties. In recent years, their antibacterial potentials have also been exploited. The commonly recognized antibacterial mechanisms include sharp edge-mediated cutting effect, oxidative stress and cell entrapment. This antibacterial activity is very important for human health. As we know, infection with the pathogenic bacteria, especially the drug-resistant ones, is a great threat to human lives. Thus, the development of the antibiotics-independent and drug-free antibacterial agents is of great importance and significance. Graphene-based nanomaterials are a kind of such antibacterial agents. An insight into their properties and antibacterial mechanisms is necessary before they are developed into real products. Herein, we provide a comprehensive understanding of the antibacterial application of graphene-based nanomaterials via summarizing their antibacterial activities against some typical microbial species and discussing their unique mechanisms. In addition, the side-effects and problems in using these nanomaterials are also discussed.","author":[{"dropping-particle":"","family":"Xia","given":"Meng Ying","non-dropping-particle":"","parse-names":false,"suffix":""},{"dropping-particle":"","family":"Xie","given":"Yu","non-dropping-particle":"","parse-names":false,"suffix":""},{"dropping-particle":"","family":"Yu","given":"Chen Hao","non-dropping-particle":"","parse-names":false,"suffix":""},{"dropping-particle":"","family":"Chen","given":"Ge Yun","non-dropping-particle":"","parse-names":false,"suffix":""},{"dropping-particle":"","family":"Li","given":"Yuan Hong","non-dropping-particle":"","parse-names":false,"suffix":""},{"dropping-particle":"","family":"Zhang","given":"Ting","non-dropping-particle":"","parse-names":false,"suffix":""},{"dropping-particle":"","family":"Peng","given":"Qiang","non-dropping-particle":"","parse-names":false,"suffix":""}],"container-title":"Journal of Controlled Release","id":"ITEM-1","issue":"May","issued":{"date-parts":[["2019"]]},"page":"16-31","publisher":"Elsevier","title":"Graphene-based nanomaterials: the promising active agents for antibiotics-independent antibacterial applications","type":"article-journal","volume":"307"},"uris":["http://www.mendeley.com/documents/?uuid=f7bcaa86-15f5-4516-8ad0-19a433d75320"]}],"mendeley":{"formattedCitation":"&lt;sup&gt;39&lt;/sup&gt;","plainTextFormattedCitation":"39","previouslyFormattedCitation":"&lt;sup&gt;39&lt;/sup&gt;"},"properties":{"noteIndex":0},"schema":"https://github.com/citation-style-language/schema/raw/master/csl-citation.json"}</w:instrText>
      </w:r>
      <w:r w:rsidR="00C61DB2">
        <w:fldChar w:fldCharType="separate"/>
      </w:r>
      <w:r w:rsidR="00976A58" w:rsidRPr="00976A58">
        <w:rPr>
          <w:noProof/>
          <w:vertAlign w:val="superscript"/>
        </w:rPr>
        <w:t>39</w:t>
      </w:r>
      <w:r w:rsidR="00C61DB2">
        <w:fldChar w:fldCharType="end"/>
      </w:r>
      <w:r w:rsidR="002934F6">
        <w:t xml:space="preserve"> </w:t>
      </w:r>
      <w:r w:rsidR="009C30AF">
        <w:t>or</w:t>
      </w:r>
      <w:r w:rsidR="002934F6">
        <w:t xml:space="preserve"> </w:t>
      </w:r>
      <w:r w:rsidR="00C90F52">
        <w:t>carbon nanotubes</w:t>
      </w:r>
      <w:r w:rsidR="009C30AF">
        <w:t>.</w:t>
      </w:r>
      <w:r w:rsidR="00B23EFD">
        <w:fldChar w:fldCharType="begin" w:fldLock="1"/>
      </w:r>
      <w:r w:rsidR="00976A58">
        <w:instrText>ADDIN CSL_CITATION {"citationItems":[{"id":"ITEM-1","itemData":{"DOI":"10.1016/j.biomaterials.2018.12.025","ISSN":"18785905","PMID":"30599289","abstract":"Pancreatic cancer is one of the most lethal malignancies worldwide. The existing therapeutic regimen in the clinic for advanced inoperable carcinomas are far from satisfactory, thus it is urgent to seek more effective anticancer strategies. In the pursuit of novel, more effective interventions, photothermal therapy (PTT) based on nanomaterials has attracted increased attention. Recent advances in related fields have catalyzed the generation of novel nanoprobes, such as organic dyes, metal nanoparticles. However, organic dyes are poorly stable and easy to quench while metal nanoparticles with potential metal toxicity are difficult to degrade, both of which have low light-to-heat conversion efficiency, broad spectrum of anti-tumor effects, and lack of tumor targeting specificity. Single-walled carbon nanotubes (SWNTs) can remedy the above inadequacies. Herein, we report our water-soluble, bio-stable and low-toxicity SWNTs with excellent photothermal conversion efficiency. Specific modifications can enable visualization of the aggregate characteristics of SWNTs at the macroscopic or microscopic level in tumors. The dye-conjugated SWNTs bound with targeting antibodies that can induce them specifically targeting to pancreatic tumors for purposes of performing dyes imaging-guided cytotoxic PTT. PTT using this method achieves precise and excellent curative effects with minimal adverse effects, thus providing a promising strategy for anticancer therapy.","author":[{"dropping-particle":"","family":"Lu","given":"Guan Hua","non-dropping-particle":"","parse-names":false,"suffix":""},{"dropping-particle":"","family":"Shang","given":"Wen Ting","non-dropping-particle":"","parse-names":false,"suffix":""},{"dropping-particle":"","family":"Deng","given":"Han","non-dropping-particle":"","parse-names":false,"suffix":""},{"dropping-particle":"","family":"Han","given":"Zi Yu","non-dropping-particle":"","parse-names":false,"suffix":""},{"dropping-particle":"","family":"Hu","given":"Min","non-dropping-particle":"","parse-names":false,"suffix":""},{"dropping-particle":"","family":"Liang","given":"Xiao Yuan","non-dropping-particle":"","parse-names":false,"suffix":""},{"dropping-particle":"","family":"Fang","given":"Chi Hua","non-dropping-particle":"","parse-names":false,"suffix":""},{"dropping-particle":"","family":"Zhu","given":"Xin Hong","non-dropping-particle":"","parse-names":false,"suffix":""},{"dropping-particle":"","family":"Fan","given":"Ying Fang","non-dropping-particle":"","parse-names":false,"suffix":""},{"dropping-particle":"","family":"Tian","given":"Jie","non-dropping-particle":"","parse-names":false,"suffix":""}],"container-title":"Biomaterials","id":"ITEM-1","issue":"September 2018","issued":{"date-parts":[["2019"]]},"page":"13-22","publisher":"Elsevier","title":"Targeting carbon nanotubes based on IGF-1R for photothermal therapy of orthotopic pancreatic cancer guided by optical imaging","type":"article-journal","volume":"195"},"uris":["http://www.mendeley.com/documents/?uuid=2a6e63e0-6fbd-4400-a666-fddb3429954e"]}],"mendeley":{"formattedCitation":"&lt;sup&gt;40&lt;/sup&gt;","plainTextFormattedCitation":"40","previouslyFormattedCitation":"&lt;sup&gt;40&lt;/sup&gt;"},"properties":{"noteIndex":0},"schema":"https://github.com/citation-style-language/schema/raw/master/csl-citation.json"}</w:instrText>
      </w:r>
      <w:r w:rsidR="00B23EFD">
        <w:fldChar w:fldCharType="separate"/>
      </w:r>
      <w:r w:rsidR="00976A58" w:rsidRPr="00976A58">
        <w:rPr>
          <w:noProof/>
          <w:vertAlign w:val="superscript"/>
        </w:rPr>
        <w:t>40</w:t>
      </w:r>
      <w:r w:rsidR="00B23EFD">
        <w:fldChar w:fldCharType="end"/>
      </w:r>
      <w:r w:rsidR="009C30AF">
        <w:t xml:space="preserve"> Nevertheless, COF 3D</w:t>
      </w:r>
      <w:r w:rsidR="00020AF9">
        <w:t xml:space="preserve"> </w:t>
      </w:r>
      <w:r w:rsidR="009C30AF">
        <w:t xml:space="preserve">printing is limited by </w:t>
      </w:r>
      <w:r w:rsidR="00020AF9">
        <w:t xml:space="preserve">the </w:t>
      </w:r>
      <w:r w:rsidR="009C30AF">
        <w:t>solubility of the starting materials before the reaction between the monomers</w:t>
      </w:r>
      <w:r w:rsidR="00523E9C">
        <w:fldChar w:fldCharType="begin" w:fldLock="1"/>
      </w:r>
      <w:r w:rsidR="00976A58">
        <w:instrText>ADDIN CSL_CITATION {"citationItems":[{"id":"ITEM-1","itemData":{"DOI":"10.1021/jacs.9b01561","ISSN":"15205126","PMID":"30912659","abstract":"Covalent organic frameworks (COFs) are crystalline polymers with permanent porosity. They are usually synthesized as micrometer-sized powders or two-dimensional thin films and membranes for applications in molecular storage, separation, and catalysis. In this work, we report a general method to integrate COFs with imine or β-ketoenamine linkages into three-dimensional (3D)-printing materials. A 3D-printing template, Pluronic F127, was introduced to coassemble with imine polymers in an aqueous environment. By limitation of the degree of imine polycondensation during COF formation, the amorphous imine polymer and F127 form coassembled 3D-printable hydrogels with suitable shear thinning and rapid self-healing properties. After the removal of F127 followed by an amorphous-to-crystalline transformation, three β-ketoenamine- and imine-based COFs were fabricated into 3D monoliths possessing high crystallinity, hierarchical pores with high surface areas, good structural integrity, and robust mechanical stability. Moreover, when multiple COF precursor inks were employed for 3D printing, heterogeneous dual-component COF monoliths were fabricated with high spatial precision. This method not only enables the development of COFs with sophisticated 3D macrostructure but also facilitates the heterogeneous integration of COFs into devices with interconnected interfaces at the molecular level.","author":[{"dropping-particle":"","family":"Zhang","given":"Mingshi","non-dropping-particle":"","parse-names":false,"suffix":""},{"dropping-particle":"","family":"Li","given":"Longyu","non-dropping-particle":"","parse-names":false,"suffix":""},{"dropping-particle":"","family":"Lin","given":"Qianming","non-dropping-particle":"","parse-names":false,"suffix":""},{"dropping-particle":"","family":"Tang","given":"Miao","non-dropping-particle":"","parse-names":false,"suffix":""},{"dropping-particle":"","family":"Wu","given":"Yuyang","non-dropping-particle":"","parse-names":false,"suffix":""},{"dropping-particle":"","family":"Ke","given":"Chenfeng","non-dropping-particle":"","parse-names":false,"suffix":""}],"container-title":"Journal of the American Chemical Society","id":"ITEM-1","issue":"13","issued":{"date-parts":[["2019"]]},"page":"5154-5158","title":"Hierarchical-Coassembly-Enabled 3D-Printing of Homogeneous and Heterogeneous Covalent Organic Frameworks","type":"article-journal","volume":"141"},"uris":["http://www.mendeley.com/documents/?uuid=24edb947-d6eb-411c-87e1-dc4b54426298"]}],"mendeley":{"formattedCitation":"&lt;sup&gt;36&lt;/sup&gt;","plainTextFormattedCitation":"36","previouslyFormattedCitation":"&lt;sup&gt;36&lt;/sup&gt;"},"properties":{"noteIndex":0},"schema":"https://github.com/citation-style-language/schema/raw/master/csl-citation.json"}</w:instrText>
      </w:r>
      <w:r w:rsidR="00523E9C">
        <w:fldChar w:fldCharType="separate"/>
      </w:r>
      <w:r w:rsidR="00976A58" w:rsidRPr="00976A58">
        <w:rPr>
          <w:noProof/>
          <w:vertAlign w:val="superscript"/>
        </w:rPr>
        <w:t>36</w:t>
      </w:r>
      <w:r w:rsidR="00523E9C">
        <w:fldChar w:fldCharType="end"/>
      </w:r>
      <w:r w:rsidR="009C30AF">
        <w:t xml:space="preserve"> </w:t>
      </w:r>
      <w:r w:rsidR="00D93422">
        <w:t xml:space="preserve">and requires an </w:t>
      </w:r>
      <w:r w:rsidR="00214259">
        <w:t>strict control of printing parameters (viscosity</w:t>
      </w:r>
      <w:r w:rsidR="00020AF9">
        <w:t xml:space="preserve"> of the solvent</w:t>
      </w:r>
      <w:r w:rsidR="00214259">
        <w:t xml:space="preserve"> and surface tension, drop diameter</w:t>
      </w:r>
      <w:r w:rsidR="00EB1952">
        <w:t>, number of printheads</w:t>
      </w:r>
      <w:r w:rsidR="00214259">
        <w:t>…)</w:t>
      </w:r>
      <w:r w:rsidR="003E55E7">
        <w:fldChar w:fldCharType="begin" w:fldLock="1"/>
      </w:r>
      <w:r w:rsidR="00976A58">
        <w:instrText>ADDIN CSL_CITATION {"citationItems":[{"id":"ITEM-1","itemData":{"DOI":"10.1039/d1tc03189a","ISSN":"2050-7526","abstract":"Multi-material in-air coalescence inkjet printing technique and the patterned COF using this printing method.In this work, we have demonstrated the creation of monolithic covalent organic frameworks (COFs) through the use of in-air coalescence and reaction of inkjet printed monomer droplets. This method circumvents issues that would reduce printability of the COF using conventional inkjet printing approaches, and shows excellent consistency and spatial uniformity of the fabricated COF.","author":[{"dropping-particle":"","family":"Teo","given":"Mei Ying","non-dropping-particle":"","parse-names":false,"suffix":""},{"dropping-particle":"","family":"Kee","given":"Seyoung","non-dropping-particle":"","parse-names":false,"suffix":""},{"dropping-particle":"","family":"Stuart","given":"Logan","non-dropping-particle":"","parse-names":false,"suffix":""},{"dropping-particle":"","family":"Stringer","given":"Jonathan","non-dropping-particle":"","parse-names":false,"suffix":""},{"dropping-particle":"","family":"Aw","given":"Kean C.","non-dropping-particle":"","parse-names":false,"suffix":""}],"container-title":"Journal of Materials Chemistry C","id":"ITEM-1","issued":{"date-parts":[["2021"]]},"publisher":"Royal Society of Chemistry","title":"Printing of covalent organic frameworks using multi-material in-air coalescence inkjet printing technique","type":"article-journal"},"uris":["http://www.mendeley.com/documents/?uuid=f56dcca1-3b20-405e-9730-4c0fb502a291"]}],"mendeley":{"formattedCitation":"&lt;sup&gt;35&lt;/sup&gt;","plainTextFormattedCitation":"35","previouslyFormattedCitation":"&lt;sup&gt;35&lt;/sup&gt;"},"properties":{"noteIndex":0},"schema":"https://github.com/citation-style-language/schema/raw/master/csl-citation.json"}</w:instrText>
      </w:r>
      <w:r w:rsidR="003E55E7">
        <w:fldChar w:fldCharType="separate"/>
      </w:r>
      <w:r w:rsidR="00976A58" w:rsidRPr="00976A58">
        <w:rPr>
          <w:noProof/>
          <w:vertAlign w:val="superscript"/>
        </w:rPr>
        <w:t>35</w:t>
      </w:r>
      <w:r w:rsidR="003E55E7">
        <w:fldChar w:fldCharType="end"/>
      </w:r>
      <w:r w:rsidR="003E55E7">
        <w:t xml:space="preserve"> </w:t>
      </w:r>
      <w:r w:rsidR="0036421A" w:rsidRPr="0036421A">
        <w:t>o</w:t>
      </w:r>
      <w:r w:rsidR="0036421A">
        <w:t>r additional post-treatments to allow reticulation processes.</w:t>
      </w:r>
      <w:r w:rsidR="00D13EF6">
        <w:fldChar w:fldCharType="begin" w:fldLock="1"/>
      </w:r>
      <w:r w:rsidR="00976A58">
        <w:instrText>ADDIN CSL_CITATION {"citationItems":[{"id":"ITEM-1","itemData":{"DOI":"10.1021/jacs.9b01561","ISSN":"15205126","PMID":"30912659","abstract":"Covalent organic frameworks (COFs) are crystalline polymers with permanent porosity. They are usually synthesized as micrometer-sized powders or two-dimensional thin films and membranes for applications in molecular storage, separation, and catalysis. In this work, we report a general method to integrate COFs with imine or β-ketoenamine linkages into three-dimensional (3D)-printing materials. A 3D-printing template, Pluronic F127, was introduced to coassemble with imine polymers in an aqueous environment. By limitation of the degree of imine polycondensation during COF formation, the amorphous imine polymer and F127 form coassembled 3D-printable hydrogels with suitable shear thinning and rapid self-healing properties. After the removal of F127 followed by an amorphous-to-crystalline transformation, three β-ketoenamine- and imine-based COFs were fabricated into 3D monoliths possessing high crystallinity, hierarchical pores with high surface areas, good structural integrity, and robust mechanical stability. Moreover, when multiple COF precursor inks were employed for 3D printing, heterogeneous dual-component COF monoliths were fabricated with high spatial precision. This method not only enables the development of COFs with sophisticated 3D macrostructure but also facilitates the heterogeneous integration of COFs into devices with interconnected interfaces at the molecular level.","author":[{"dropping-particle":"","family":"Zhang","given":"Mingshi","non-dropping-particle":"","parse-names":false,"suffix":""},{"dropping-particle":"","family":"Li","given":"Longyu","non-dropping-particle":"","parse-names":false,"suffix":""},{"dropping-particle":"","family":"Lin","given":"Qianming","non-dropping-particle":"","parse-names":false,"suffix":""},{"dropping-particle":"","family":"Tang","given":"Miao","non-dropping-particle":"","parse-names":false,"suffix":""},{"dropping-particle":"","family":"Wu","given":"Yuyang","non-dropping-particle":"","parse-names":false,"suffix":""},{"dropping-particle":"","family":"Ke","given":"Chenfeng","non-dropping-particle":"","parse-names":false,"suffix":""}],"container-title":"Journal of the American Chemical Society","id":"ITEM-1","issue":"13","issued":{"date-parts":[["2019"]]},"page":"5154-5158","title":"Hierarchical-Coassembly-Enabled 3D-Printing of Homogeneous and Heterogeneous Covalent Organic Frameworks","type":"article-journal","volume":"141"},"uris":["http://www.mendeley.com/documents/?uuid=24edb947-d6eb-411c-87e1-dc4b54426298"]},{"id":"ITEM-2","itemData":{"DOI":"10.1016/j.cej.2020.126333","ISSN":"13858947","abstract":"Covalent organic frameworks (COFs) present a large group of crystalline porous polymeric materials, which are formed with organic building blocks by strong covalent bonds. They have great potential in energy, environment, and biotechnology areas due to their high surface areas, tunable pore size distribution, and versatile functionality. However, they are largely synthesized in powder form only. The recent 3D printing technology requires the addition of binders. For the targeted applications in gas separation and adsorption, the existence of any binders not only increases the cost, but also reduces the surface area of the active materials and adds on dummy weight, which is especially harmful to functional porous materials where the retention of surface functionality and surface area is paramount. Herein, we report a binder-free, 3D printing process for COF materials (SNW-1 and ATFG-COF), capable of producing free-standing, crack-free 3D COF monoliths by the control of the solvent choices and their diffusion and evaporation among the different parts of the monoliths. Compared to SNW-1 with F127 binder added, the binder-free 3D monolith shows a larger surface area of 794 m2/g, which is similar to SNW-1 powder. The higher CO2 adsorption and CO2/N2 sorption selectivity compared to monoliths made with F127 binder further demonstrate the advantage of binder-free, 3D printing technology applied to COFs.","author":[{"dropping-particle":"","family":"Liu","given":"Ximeng","non-dropping-particle":"","parse-names":false,"suffix":""},{"dropping-particle":"","family":"Lim","given":"Gwendolyn J.H.","non-dropping-particle":"","parse-names":false,"suffix":""},{"dropping-particle":"","family":"Wang","given":"Yuxiang","non-dropping-particle":"","parse-names":false,"suffix":""},{"dropping-particle":"","family":"Zhang","given":"Lei","non-dropping-particle":"","parse-names":false,"suffix":""},{"dropping-particle":"","family":"Mullangi","given":"Dinesh","non-dropping-particle":"","parse-names":false,"suffix":""},{"dropping-particle":"","family":"Wu","given":"Yue","non-dropping-particle":"","parse-names":false,"suffix":""},{"dropping-particle":"","family":"Zhao","given":"Dan","non-dropping-particle":"","parse-names":false,"suffix":""},{"dropping-particle":"","family":"Ding","given":"Jun","non-dropping-particle":"","parse-names":false,"suffix":""},{"dropping-particle":"","family":"Cheetham","given":"Anthony K.","non-dropping-particle":"","parse-names":false,"suffix":""},{"dropping-particle":"","family":"Wang","given":"John","non-dropping-particle":"","parse-names":false,"suffix":""}],"container-title":"Chemical Engineering Journal","id":"ITEM-2","issue":"July 2020","issued":{"date-parts":[["2021"]]},"page":"126333","publisher":"Elsevier","title":"Binder-free 3D printing of covalent organic framework (COF) monoliths for CO2 adsorption","type":"article-journal","volume":"403"},"uris":["http://www.mendeley.com/documents/?uuid=cc518ba1-95e7-4a6a-a38b-4de44318bcf0"]}],"mendeley":{"formattedCitation":"&lt;sup&gt;34,36&lt;/sup&gt;","plainTextFormattedCitation":"34,36","previouslyFormattedCitation":"&lt;sup&gt;34,36&lt;/sup&gt;"},"properties":{"noteIndex":0},"schema":"https://github.com/citation-style-language/schema/raw/master/csl-citation.json"}</w:instrText>
      </w:r>
      <w:r w:rsidR="00D13EF6">
        <w:fldChar w:fldCharType="separate"/>
      </w:r>
      <w:r w:rsidR="00976A58" w:rsidRPr="00976A58">
        <w:rPr>
          <w:noProof/>
          <w:vertAlign w:val="superscript"/>
        </w:rPr>
        <w:t>34,36</w:t>
      </w:r>
      <w:r w:rsidR="00D13EF6">
        <w:fldChar w:fldCharType="end"/>
      </w:r>
      <w:r w:rsidR="00607850">
        <w:t xml:space="preserve"> </w:t>
      </w:r>
      <w:r w:rsidR="00480310">
        <w:t xml:space="preserve">Moreover, as mentioned </w:t>
      </w:r>
      <w:r w:rsidR="000876A7">
        <w:t>above</w:t>
      </w:r>
      <w:r w:rsidR="00480310">
        <w:t xml:space="preserve">, </w:t>
      </w:r>
      <w:r w:rsidR="00D93422">
        <w:t xml:space="preserve">fluorescence of molecular and macromolecular organic materials based on </w:t>
      </w:r>
      <w:r w:rsidR="00D93422">
        <w:rPr>
          <w:rFonts w:cstheme="minorHAnsi"/>
        </w:rPr>
        <w:t>π</w:t>
      </w:r>
      <w:r w:rsidR="00D93422">
        <w:t xml:space="preserve">-conjugated systems can be quenched </w:t>
      </w:r>
      <w:r w:rsidR="00020AF9">
        <w:t>due to</w:t>
      </w:r>
      <w:r w:rsidR="00211F78">
        <w:t xml:space="preserve"> ACQ mechanisms</w:t>
      </w:r>
      <w:r w:rsidR="00746408">
        <w:t>.</w:t>
      </w:r>
      <w:r w:rsidR="00746408">
        <w:fldChar w:fldCharType="begin" w:fldLock="1"/>
      </w:r>
      <w:r w:rsidR="00976A58">
        <w:instrText>ADDIN CSL_CITATION {"citationItems":[{"id":"ITEM-1","itemData":{"DOI":"10.1016/j.mtener.2020.100635","ISSN":"24686069","abstract":"As an emerging class of crystalline materials, covalent organic frameworks (COFs) have drawn numerous attentions owing to their light weight and highly ordered porous structure. Compared with one-dimensional conjugated polymers, conjugated COFs are able to extend the conjugation in two- or even three-dimensional directions, which endows them as promising candidates of light-emitting materials. In this review, the recent progress in photoluminescent COFs will be discussed from the mechanisms to the proposed design strategies and finally to the corresponding applications. Most recent developments (especially from 2019 to now) will be highlighted. Moreover, the summary and perspective of COFs as light-emitting materials will be presented, aiming to provide some guidelines for the development of luminescent COFs.","author":[{"dropping-particle":"","family":"Xu","given":"S.","non-dropping-particle":"","parse-names":false,"suffix":""},{"dropping-particle":"","family":"Zhang","given":"Q.","non-dropping-particle":"","parse-names":false,"suffix":""}],"container-title":"Materials Today Energy","id":"ITEM-1","issued":{"date-parts":[["2021"]]},"page":"100635","title":"Recent progress in covalent organic frameworks as light-emitting materials","type":"article-journal","volume":"20"},"uris":["http://www.mendeley.com/documents/?uuid=6f2b5a21-43ad-463f-8209-c691cb0c675b"]},{"id":"ITEM-2","itemData":{"DOI":"10.1002/chem.202001105","ISSN":"15213765","PMID":"32320099","abstract":"Covalent organic frameworks (COFs) are an emerging kind of crystalline porous polymers that present the precise integration of organic building blocks into extensible structures with regular pores and periodic skeletons. The diversity of organic units and covalent linkages makes COFs a rising materials platform for the design of structure and functionality. Herein, recent research progress in developing COFs for photoluminescent materials is summarised. Structural and functional design strategies are highlighted and fundamental problems that need to be solved are identified, in conjunction with potential applications from perspectives of photoluminescent materials.","author":[{"dropping-particle":"","family":"Zeng","given":"Jin Yue","non-dropping-particle":"","parse-names":false,"suffix":""},{"dropping-particle":"","family":"Wang","given":"Xiao Shuang","non-dropping-particle":"","parse-names":false,"suffix":""},{"dropping-particle":"","family":"Zhang","given":"Xian Zheng","non-dropping-particle":"","parse-names":false,"suffix":""}],"container-title":"Chemistry - A European Journal","id":"ITEM-2","issue":"70","issued":{"date-parts":[["2020"]]},"page":"16568-16581","title":"Research Progress in Covalent Organic Frameworks for Photoluminescent Materials","type":"article-journal","volume":"26"},"uris":["http://www.mendeley.com/documents/?uuid=589f6002-dfe5-4a6f-bccd-eb25b7413e9d"]}],"mendeley":{"formattedCitation":"&lt;sup&gt;18,19&lt;/sup&gt;","plainTextFormattedCitation":"18,19","previouslyFormattedCitation":"&lt;sup&gt;18,19&lt;/sup&gt;"},"properties":{"noteIndex":0},"schema":"https://github.com/citation-style-language/schema/raw/master/csl-citation.json"}</w:instrText>
      </w:r>
      <w:r w:rsidR="00746408">
        <w:fldChar w:fldCharType="separate"/>
      </w:r>
      <w:r w:rsidR="00976A58" w:rsidRPr="00976A58">
        <w:rPr>
          <w:noProof/>
          <w:vertAlign w:val="superscript"/>
        </w:rPr>
        <w:t>18,19</w:t>
      </w:r>
      <w:r w:rsidR="00746408">
        <w:fldChar w:fldCharType="end"/>
      </w:r>
      <w:r w:rsidR="00746408">
        <w:t xml:space="preserve"> </w:t>
      </w:r>
      <w:r w:rsidR="00DA68C1">
        <w:t xml:space="preserve">The development of </w:t>
      </w:r>
      <w:r w:rsidR="00107544">
        <w:t>CONs@</w:t>
      </w:r>
      <w:r w:rsidR="00107544" w:rsidRPr="00986A34">
        <w:t>3D</w:t>
      </w:r>
      <w:r w:rsidR="00CB765D" w:rsidRPr="00986A34">
        <w:t xml:space="preserve"> </w:t>
      </w:r>
      <w:r w:rsidR="00107544" w:rsidRPr="00986A34">
        <w:t>printed</w:t>
      </w:r>
      <w:r w:rsidR="00107544">
        <w:t xml:space="preserve"> composites</w:t>
      </w:r>
      <w:r w:rsidR="004D39F9">
        <w:t xml:space="preserve"> </w:t>
      </w:r>
      <w:r w:rsidR="00DA68C1">
        <w:t>can be envisaged as an efficient strategy to (</w:t>
      </w:r>
      <w:proofErr w:type="spellStart"/>
      <w:r w:rsidR="00DA68C1">
        <w:t>i</w:t>
      </w:r>
      <w:proofErr w:type="spellEnd"/>
      <w:r w:rsidR="00DA68C1">
        <w:t xml:space="preserve">) </w:t>
      </w:r>
      <w:r w:rsidR="004D39F9">
        <w:t>overcome fluorescence quenching and</w:t>
      </w:r>
      <w:r w:rsidR="00107544">
        <w:t xml:space="preserve"> </w:t>
      </w:r>
      <w:r w:rsidR="00DA68C1">
        <w:t xml:space="preserve">(ii) provide </w:t>
      </w:r>
      <w:r w:rsidR="00912C2B">
        <w:t>attractive material</w:t>
      </w:r>
      <w:r w:rsidR="00443456">
        <w:t>s</w:t>
      </w:r>
      <w:r w:rsidR="00107544">
        <w:t xml:space="preserve"> to transfer sensing </w:t>
      </w:r>
      <w:r w:rsidR="00020AF9">
        <w:t xml:space="preserve">beyond the colloid </w:t>
      </w:r>
      <w:r w:rsidR="00DA68C1">
        <w:t>phase to</w:t>
      </w:r>
      <w:r w:rsidR="00020AF9">
        <w:t xml:space="preserve"> shape truly pieces that</w:t>
      </w:r>
      <w:r w:rsidR="003854E3">
        <w:t xml:space="preserve"> could be integrated in</w:t>
      </w:r>
      <w:r w:rsidR="00020AF9">
        <w:t>to</w:t>
      </w:r>
      <w:r w:rsidR="003854E3">
        <w:t xml:space="preserve"> functional devices.</w:t>
      </w:r>
      <w:r w:rsidR="004D39F9">
        <w:t xml:space="preserve"> </w:t>
      </w:r>
    </w:p>
    <w:p w14:paraId="6DEC9965" w14:textId="6680768E" w:rsidR="00E26009" w:rsidRPr="004C1E85" w:rsidRDefault="00DA68C1" w:rsidP="00893C74">
      <w:pPr>
        <w:pStyle w:val="RSCB02ArticleText"/>
      </w:pPr>
      <w:r>
        <w:t>With this aim in mind</w:t>
      </w:r>
      <w:r w:rsidR="004D39F9">
        <w:t>, we decided to synthe</w:t>
      </w:r>
      <w:r w:rsidR="00020AF9">
        <w:t>s</w:t>
      </w:r>
      <w:r w:rsidR="004D39F9">
        <w:t xml:space="preserve">ize a dual emissive COF by </w:t>
      </w:r>
      <w:r w:rsidR="00020AF9">
        <w:t>combining</w:t>
      </w:r>
      <w:r w:rsidR="004D39F9">
        <w:t xml:space="preserve"> a green emitt</w:t>
      </w:r>
      <w:r>
        <w:t>ing</w:t>
      </w:r>
      <w:r w:rsidR="004D39F9">
        <w:t xml:space="preserve"> </w:t>
      </w:r>
      <w:r w:rsidR="00607477">
        <w:t>organic framework</w:t>
      </w:r>
      <w:r w:rsidR="004D39F9">
        <w:t xml:space="preserve"> and a red fluorophore</w:t>
      </w:r>
      <w:r w:rsidR="002A40CE">
        <w:t xml:space="preserve"> (Nile Red)</w:t>
      </w:r>
      <w:r w:rsidR="004D39F9">
        <w:t xml:space="preserve"> covalently anchored to the COF walls</w:t>
      </w:r>
      <w:r w:rsidR="00175AF9">
        <w:t xml:space="preserve"> (Scheme 1)</w:t>
      </w:r>
      <w:r w:rsidR="004D39F9">
        <w:t>.</w:t>
      </w:r>
      <w:r w:rsidR="004217EF">
        <w:t xml:space="preserve"> T</w:t>
      </w:r>
      <w:r w:rsidR="00317879">
        <w:t>wo methods</w:t>
      </w:r>
      <w:r>
        <w:t xml:space="preserve"> have been explored for the</w:t>
      </w:r>
      <w:r w:rsidR="00317879">
        <w:t xml:space="preserve"> </w:t>
      </w:r>
      <w:r>
        <w:t xml:space="preserve">exfoliation </w:t>
      </w:r>
      <w:r w:rsidR="00317879">
        <w:t>of COF into CONs</w:t>
      </w:r>
      <w:r>
        <w:t>:</w:t>
      </w:r>
      <w:r w:rsidR="00175AF9">
        <w:t xml:space="preserve"> </w:t>
      </w:r>
      <w:r>
        <w:t xml:space="preserve">the </w:t>
      </w:r>
      <w:r w:rsidR="00175AF9">
        <w:t xml:space="preserve">ultrasonic-assisted method (UAM) and </w:t>
      </w:r>
      <w:r>
        <w:t xml:space="preserve">the </w:t>
      </w:r>
      <w:r w:rsidR="00175AF9">
        <w:t>acid self-exfoliation (ASE)</w:t>
      </w:r>
      <w:r>
        <w:t xml:space="preserve">. The </w:t>
      </w:r>
      <w:proofErr w:type="gramStart"/>
      <w:r>
        <w:t xml:space="preserve">differences </w:t>
      </w:r>
      <w:r w:rsidR="00175AF9">
        <w:t xml:space="preserve"> in</w:t>
      </w:r>
      <w:proofErr w:type="gramEnd"/>
      <w:r w:rsidR="00175AF9">
        <w:t xml:space="preserve"> the </w:t>
      </w:r>
      <w:r w:rsidR="00936EE1">
        <w:t xml:space="preserve">CONs morphology and the </w:t>
      </w:r>
      <w:r w:rsidR="00C40D1B">
        <w:t>fluorescent</w:t>
      </w:r>
      <w:r w:rsidR="00175AF9">
        <w:t xml:space="preserve"> </w:t>
      </w:r>
      <w:r w:rsidR="00936EE1">
        <w:t>properties</w:t>
      </w:r>
      <w:r w:rsidR="00175AF9">
        <w:t xml:space="preserve"> of the colloids</w:t>
      </w:r>
      <w:r>
        <w:t xml:space="preserve"> obtained by the two exfoliation methods have been explored</w:t>
      </w:r>
      <w:r w:rsidR="00175AF9">
        <w:t>.</w:t>
      </w:r>
      <w:r w:rsidR="00317879">
        <w:t xml:space="preserve"> </w:t>
      </w:r>
      <w:r w:rsidR="004D39F9">
        <w:t>The</w:t>
      </w:r>
      <w:r w:rsidR="00317879">
        <w:t xml:space="preserve"> inverse</w:t>
      </w:r>
      <w:r w:rsidR="004D39F9">
        <w:t xml:space="preserve"> emissive behaviour of the two </w:t>
      </w:r>
      <w:r w:rsidR="00472F5E">
        <w:t>independent</w:t>
      </w:r>
      <w:r w:rsidR="004D39F9">
        <w:t xml:space="preserve"> </w:t>
      </w:r>
      <w:r w:rsidR="00472F5E">
        <w:t xml:space="preserve">fluorophores </w:t>
      </w:r>
      <w:r w:rsidR="00317879">
        <w:t>with</w:t>
      </w:r>
      <w:r w:rsidR="005852D9">
        <w:t xml:space="preserve"> solvent mixtures of different polarity and acidity</w:t>
      </w:r>
      <w:r w:rsidR="00472F5E">
        <w:t xml:space="preserve"> </w:t>
      </w:r>
      <w:r w:rsidR="005852D9">
        <w:t>together with</w:t>
      </w:r>
      <w:r w:rsidR="00472F5E">
        <w:t xml:space="preserve"> the inherent insolubility of CONs </w:t>
      </w:r>
      <w:r w:rsidR="005852D9">
        <w:t xml:space="preserve">have allowed us </w:t>
      </w:r>
      <w:r w:rsidR="00472F5E">
        <w:t xml:space="preserve">to </w:t>
      </w:r>
      <w:r w:rsidR="00975AB6">
        <w:t>prepare</w:t>
      </w:r>
      <w:r w:rsidR="00472F5E">
        <w:t xml:space="preserve"> </w:t>
      </w:r>
      <w:proofErr w:type="spellStart"/>
      <w:r w:rsidR="00472F5E">
        <w:t>ratiometric</w:t>
      </w:r>
      <w:proofErr w:type="spellEnd"/>
      <w:r w:rsidR="00472F5E">
        <w:t xml:space="preserve"> water</w:t>
      </w:r>
      <w:r w:rsidR="00FE401B">
        <w:t xml:space="preserve">/organic solvent </w:t>
      </w:r>
      <w:r w:rsidR="00472F5E">
        <w:t>sensor</w:t>
      </w:r>
      <w:r w:rsidR="00443456">
        <w:t xml:space="preserve"> films</w:t>
      </w:r>
      <w:r w:rsidR="005852D9">
        <w:t>. With this purpose, we have carried out</w:t>
      </w:r>
      <w:r w:rsidR="00472F5E">
        <w:t xml:space="preserve"> </w:t>
      </w:r>
      <w:r w:rsidR="00443456">
        <w:rPr>
          <w:i/>
          <w:iCs/>
        </w:rPr>
        <w:t>in-situ</w:t>
      </w:r>
      <w:r w:rsidR="00443456">
        <w:rPr>
          <w:i/>
          <w:iCs/>
        </w:rPr>
        <w:softHyphen/>
      </w:r>
      <w:r w:rsidR="00443456">
        <w:t xml:space="preserve"> exfoliation </w:t>
      </w:r>
      <w:r w:rsidR="00697F2B">
        <w:t xml:space="preserve">of the COF </w:t>
      </w:r>
      <w:r w:rsidR="000D7B1E">
        <w:t>in</w:t>
      </w:r>
      <w:r w:rsidR="00D1218F">
        <w:t xml:space="preserve"> </w:t>
      </w:r>
      <w:r w:rsidR="00627B0B">
        <w:t>2-hydroxyethylmethacrylate</w:t>
      </w:r>
      <w:r w:rsidR="005E5868">
        <w:t xml:space="preserve"> (HEMA)-based formulations</w:t>
      </w:r>
      <w:r w:rsidR="00627B0B">
        <w:t xml:space="preserve"> </w:t>
      </w:r>
      <w:r w:rsidR="00443456">
        <w:t>and subsequent</w:t>
      </w:r>
      <w:r w:rsidR="005852D9">
        <w:t>ly</w:t>
      </w:r>
      <w:r w:rsidR="00443456">
        <w:t xml:space="preserve"> polymeriz</w:t>
      </w:r>
      <w:r w:rsidR="005852D9">
        <w:t>ed</w:t>
      </w:r>
      <w:r w:rsidR="00697F2B">
        <w:t xml:space="preserve"> the resulting mixture</w:t>
      </w:r>
      <w:r w:rsidR="00FE401B">
        <w:t>.</w:t>
      </w:r>
      <w:r w:rsidR="00443456">
        <w:t xml:space="preserve"> </w:t>
      </w:r>
      <w:r w:rsidR="00AC3CBC">
        <w:t xml:space="preserve">Finally, to </w:t>
      </w:r>
      <w:r w:rsidR="00AC3CBC" w:rsidRPr="00AC3CBC">
        <w:t>demonstrate the easy processability</w:t>
      </w:r>
      <w:r w:rsidR="009725A0">
        <w:t xml:space="preserve"> of these composites</w:t>
      </w:r>
      <w:r w:rsidR="00AC3CBC" w:rsidRPr="00AC3CBC">
        <w:t xml:space="preserve"> in different formats</w:t>
      </w:r>
      <w:r w:rsidR="009725A0">
        <w:t xml:space="preserve">, we </w:t>
      </w:r>
      <w:r w:rsidR="00C44CFE">
        <w:t>optimized the</w:t>
      </w:r>
      <w:r w:rsidR="008548DE">
        <w:t xml:space="preserve"> </w:t>
      </w:r>
      <w:r w:rsidR="00EF677C">
        <w:t xml:space="preserve">liquid </w:t>
      </w:r>
      <w:r w:rsidR="00D339B1">
        <w:t>crystal display</w:t>
      </w:r>
      <w:r w:rsidR="00B20DEB">
        <w:t xml:space="preserve"> (</w:t>
      </w:r>
      <w:r w:rsidR="00D339B1">
        <w:t>LCD</w:t>
      </w:r>
      <w:r w:rsidR="00B20DEB">
        <w:t>)-3D</w:t>
      </w:r>
      <w:r w:rsidR="00021C10">
        <w:t xml:space="preserve"> printing</w:t>
      </w:r>
      <w:r w:rsidR="00C44CFE">
        <w:t xml:space="preserve"> </w:t>
      </w:r>
      <w:r w:rsidR="00C40D1B">
        <w:t>of</w:t>
      </w:r>
      <w:r w:rsidR="009725A0">
        <w:t xml:space="preserve"> </w:t>
      </w:r>
      <w:proofErr w:type="spellStart"/>
      <w:r w:rsidR="005713DF">
        <w:t>CONs@</w:t>
      </w:r>
      <w:r w:rsidR="000F2DA4">
        <w:t>p</w:t>
      </w:r>
      <w:r w:rsidR="00C62B50">
        <w:t>HEMA</w:t>
      </w:r>
      <w:proofErr w:type="spellEnd"/>
      <w:r w:rsidR="001C5500">
        <w:t xml:space="preserve"> </w:t>
      </w:r>
      <w:r w:rsidR="003D4DA1">
        <w:t xml:space="preserve">to prepare </w:t>
      </w:r>
      <w:r w:rsidR="00C44CFE">
        <w:t>1</w:t>
      </w:r>
      <w:r w:rsidR="00020AF9">
        <w:t xml:space="preserve"> </w:t>
      </w:r>
      <w:r w:rsidR="00C44CFE">
        <w:t>cm</w:t>
      </w:r>
      <w:r w:rsidR="00C44CFE">
        <w:rPr>
          <w:vertAlign w:val="superscript"/>
        </w:rPr>
        <w:t>3</w:t>
      </w:r>
      <w:r w:rsidR="00C44CFE">
        <w:t xml:space="preserve"> </w:t>
      </w:r>
      <w:r w:rsidR="00C44CFE">
        <w:t xml:space="preserve">cubes. </w:t>
      </w:r>
      <w:r w:rsidR="00331AC3" w:rsidRPr="00331AC3">
        <w:t xml:space="preserve">To </w:t>
      </w:r>
      <w:r w:rsidR="00331AC3">
        <w:t>th</w:t>
      </w:r>
      <w:r w:rsidR="00331AC3" w:rsidRPr="00331AC3">
        <w:t>e best of o</w:t>
      </w:r>
      <w:r w:rsidR="00331AC3">
        <w:t>ur knowledge</w:t>
      </w:r>
      <w:r w:rsidR="00BF3E1E">
        <w:t>,</w:t>
      </w:r>
      <w:r w:rsidR="00331AC3">
        <w:t xml:space="preserve"> </w:t>
      </w:r>
      <w:r w:rsidR="00020AF9">
        <w:t>incorporating</w:t>
      </w:r>
      <w:r w:rsidR="00331AC3">
        <w:t xml:space="preserve"> CONs into 3D-printable </w:t>
      </w:r>
      <w:r w:rsidR="006E18C7">
        <w:t>composites</w:t>
      </w:r>
      <w:r w:rsidR="008350DB">
        <w:t xml:space="preserve"> by </w:t>
      </w:r>
      <w:r w:rsidR="008350DB">
        <w:rPr>
          <w:i/>
          <w:iCs/>
        </w:rPr>
        <w:t>in situ</w:t>
      </w:r>
      <w:r w:rsidR="008350DB">
        <w:t xml:space="preserve"> exfoliation</w:t>
      </w:r>
      <w:r w:rsidR="00331AC3">
        <w:t xml:space="preserve"> do</w:t>
      </w:r>
      <w:r w:rsidR="00020AF9">
        <w:t xml:space="preserve">es </w:t>
      </w:r>
      <w:r w:rsidR="00331AC3">
        <w:t>n</w:t>
      </w:r>
      <w:r w:rsidR="00020AF9">
        <w:t>o</w:t>
      </w:r>
      <w:r w:rsidR="00331AC3">
        <w:t>t have any precedent and open</w:t>
      </w:r>
      <w:r w:rsidR="00020AF9">
        <w:t>s</w:t>
      </w:r>
      <w:r w:rsidR="00331AC3">
        <w:t xml:space="preserve"> an </w:t>
      </w:r>
      <w:r w:rsidR="004C1E85">
        <w:t>interesting</w:t>
      </w:r>
      <w:r w:rsidR="00331AC3">
        <w:t xml:space="preserve"> field </w:t>
      </w:r>
      <w:r w:rsidR="004C1E85">
        <w:t xml:space="preserve">to </w:t>
      </w:r>
      <w:r w:rsidR="00A242E2">
        <w:t>shape</w:t>
      </w:r>
      <w:r w:rsidR="004C1E85">
        <w:t xml:space="preserve"> such pre-designable and modulable </w:t>
      </w:r>
      <w:r w:rsidR="00080565">
        <w:t>materials</w:t>
      </w:r>
      <w:r w:rsidR="00A242E2">
        <w:t xml:space="preserve">. </w:t>
      </w:r>
    </w:p>
    <w:p w14:paraId="34BD8D81" w14:textId="51FF884B" w:rsidR="009D0B83" w:rsidRDefault="009D0B83" w:rsidP="009D0B83">
      <w:pPr>
        <w:pStyle w:val="RSCB04AHeadingSection"/>
      </w:pPr>
      <w:r w:rsidRPr="00017239">
        <w:t>Results and discussion</w:t>
      </w:r>
    </w:p>
    <w:p w14:paraId="45F5DFF7" w14:textId="00AD0DD5" w:rsidR="009D0B83" w:rsidRDefault="009D0B83" w:rsidP="009D0B83">
      <w:pPr>
        <w:pStyle w:val="RSCB06BHeadingSub-Section"/>
      </w:pPr>
      <w:r w:rsidRPr="00DC1746">
        <w:t>Synthe</w:t>
      </w:r>
      <w:r w:rsidR="005162F5">
        <w:t>sis</w:t>
      </w:r>
      <w:r w:rsidRPr="00DC1746">
        <w:t xml:space="preserve"> </w:t>
      </w:r>
      <w:r w:rsidR="00280717">
        <w:t>and Characterization</w:t>
      </w:r>
    </w:p>
    <w:p w14:paraId="4C807114" w14:textId="5BD4CACD" w:rsidR="00280717" w:rsidRPr="00EF2936" w:rsidRDefault="007B5DE5" w:rsidP="00280717">
      <w:pPr>
        <w:pStyle w:val="RSCB02ArticleText"/>
        <w:rPr>
          <w:bCs/>
        </w:rPr>
      </w:pPr>
      <w:r w:rsidRPr="00280717">
        <w:t xml:space="preserve">The synthesis of the </w:t>
      </w:r>
      <w:r w:rsidRPr="00280717">
        <w:rPr>
          <w:b/>
        </w:rPr>
        <w:t>Alkyne</w:t>
      </w:r>
      <w:r w:rsidRPr="00280717">
        <w:rPr>
          <w:b/>
          <w:vertAlign w:val="subscript"/>
        </w:rPr>
        <w:t>0,17</w:t>
      </w:r>
      <w:r w:rsidRPr="00280717">
        <w:rPr>
          <w:b/>
        </w:rPr>
        <w:t xml:space="preserve">-COF </w:t>
      </w:r>
      <w:r w:rsidRPr="00280717">
        <w:rPr>
          <w:bCs/>
        </w:rPr>
        <w:t>was carried o</w:t>
      </w:r>
      <w:r>
        <w:rPr>
          <w:bCs/>
        </w:rPr>
        <w:t>ut</w:t>
      </w:r>
      <w:r w:rsidRPr="00280717">
        <w:rPr>
          <w:bCs/>
        </w:rPr>
        <w:t xml:space="preserve"> by the Schiff base condensation reaction between 2,5-</w:t>
      </w:r>
      <w:r>
        <w:rPr>
          <w:bCs/>
        </w:rPr>
        <w:t>d</w:t>
      </w:r>
      <w:r w:rsidRPr="00280717">
        <w:rPr>
          <w:bCs/>
        </w:rPr>
        <w:t>imethoxybenze</w:t>
      </w:r>
      <w:r>
        <w:rPr>
          <w:bCs/>
        </w:rPr>
        <w:t>n</w:t>
      </w:r>
      <w:r w:rsidRPr="00280717">
        <w:rPr>
          <w:bCs/>
        </w:rPr>
        <w:t>e</w:t>
      </w:r>
      <w:r>
        <w:rPr>
          <w:bCs/>
        </w:rPr>
        <w:t>-</w:t>
      </w:r>
      <w:r w:rsidRPr="00280717">
        <w:rPr>
          <w:bCs/>
        </w:rPr>
        <w:t>1,4-dicarboxaldeh</w:t>
      </w:r>
      <w:r>
        <w:rPr>
          <w:bCs/>
        </w:rPr>
        <w:t>y</w:t>
      </w:r>
      <w:r w:rsidRPr="00280717">
        <w:rPr>
          <w:bCs/>
        </w:rPr>
        <w:t>de</w:t>
      </w:r>
      <w:r>
        <w:rPr>
          <w:bCs/>
        </w:rPr>
        <w:t xml:space="preserve"> </w:t>
      </w:r>
      <w:r w:rsidRPr="00280717">
        <w:rPr>
          <w:bCs/>
        </w:rPr>
        <w:t>(DMTA), 2,5</w:t>
      </w:r>
      <w:r>
        <w:rPr>
          <w:bCs/>
        </w:rPr>
        <w:t xml:space="preserve"> </w:t>
      </w:r>
      <w:r w:rsidRPr="00280717">
        <w:rPr>
          <w:bCs/>
        </w:rPr>
        <w:t>bis(</w:t>
      </w:r>
      <w:proofErr w:type="spellStart"/>
      <w:r w:rsidRPr="00280717">
        <w:rPr>
          <w:bCs/>
        </w:rPr>
        <w:t>proparglyoxy</w:t>
      </w:r>
      <w:proofErr w:type="spellEnd"/>
      <w:r w:rsidRPr="00280717">
        <w:rPr>
          <w:bCs/>
        </w:rPr>
        <w:t>)</w:t>
      </w:r>
      <w:proofErr w:type="spellStart"/>
      <w:r w:rsidRPr="00280717">
        <w:rPr>
          <w:bCs/>
        </w:rPr>
        <w:t>terephthalaldehyde</w:t>
      </w:r>
      <w:proofErr w:type="spellEnd"/>
      <w:r w:rsidRPr="00280717">
        <w:rPr>
          <w:bCs/>
        </w:rPr>
        <w:t xml:space="preserve"> (BPTA)</w:t>
      </w:r>
      <w:r w:rsidR="00D61FC0">
        <w:rPr>
          <w:bCs/>
        </w:rPr>
        <w:t>,</w:t>
      </w:r>
      <w:r w:rsidRPr="00280717">
        <w:rPr>
          <w:bCs/>
        </w:rPr>
        <w:t xml:space="preserve"> and 1,3,5-</w:t>
      </w:r>
      <w:r>
        <w:rPr>
          <w:bCs/>
        </w:rPr>
        <w:t>t</w:t>
      </w:r>
      <w:r w:rsidRPr="00280717">
        <w:rPr>
          <w:bCs/>
        </w:rPr>
        <w:t>ris(4-aminophen</w:t>
      </w:r>
      <w:r>
        <w:rPr>
          <w:bCs/>
        </w:rPr>
        <w:t>y</w:t>
      </w:r>
      <w:r w:rsidRPr="00280717">
        <w:rPr>
          <w:bCs/>
        </w:rPr>
        <w:t xml:space="preserve">l)benzene (TAPB) under solvothermal </w:t>
      </w:r>
      <w:r w:rsidR="005852D9">
        <w:rPr>
          <w:bCs/>
        </w:rPr>
        <w:t xml:space="preserve">reaction </w:t>
      </w:r>
      <w:r w:rsidRPr="00280717">
        <w:rPr>
          <w:bCs/>
        </w:rPr>
        <w:t>conditions by following the procedure previously described</w:t>
      </w:r>
      <w:r w:rsidRPr="00280717">
        <w:rPr>
          <w:b/>
        </w:rPr>
        <w:t xml:space="preserve"> </w:t>
      </w:r>
      <w:r w:rsidR="00280717" w:rsidRPr="00280717">
        <w:t>by Jiang et al.</w:t>
      </w:r>
      <w:r w:rsidR="00280717" w:rsidRPr="00280717">
        <w:fldChar w:fldCharType="begin" w:fldLock="1"/>
      </w:r>
      <w:r w:rsidR="00976A58">
        <w:instrText>ADDIN CSL_CITATION {"citationItems":[{"id":"ITEM-1","itemData":{"DOI":"10.1038/nchem.2352","ISSN":"17554349","abstract":"The periodic layers and ordered nanochannels of covalent organic frameworks (COFs) make these materials viable open catalytic nanoreactors, but their low stability has precluded their practical implementation. Here we report the synthesis of a crystalline porous COF that is stable against water, strong acids and strong bases, and we demonstrate its utility as a material platform for structural design and functional development. We endowed a crystalline and porous imine-based COF with stability by incorporating methoxy groups into its pore walls to reinforce interlayer interactions. We subsequently converted the resulting achiral material into two distinct chiral organocatalysts, with the high crystallinity and porosity retained, by appending chiral centres and catalytically active sites on its channel walls. The COFs thus prepared combine catalytic activity, enantioselectivity and recyclability, which are attractive in heterogeneous organocatalysis, and were shown to promote asymmetric C-C bond formation in water under ambient conditions.","author":[{"dropping-particle":"","family":"Xu","given":"Hong","non-dropping-particle":"","parse-names":false,"suffix":""},{"dropping-particle":"","family":"Gao","given":"Jia","non-dropping-particle":"","parse-names":false,"suffix":""},{"dropping-particle":"","family":"Jiang","given":"Donglin","non-dropping-particle":"","parse-names":false,"suffix":""}],"container-title":"Nature Chemistry","id":"ITEM-1","issue":"11","issued":{"date-parts":[["2015"]]},"page":"905-912","publisher":"Nature Publishing Group","title":"Stable, crystalline, porous, covalent organic frameworks as a platform for chiral organocatalysts","type":"article-journal","volume":"7"},"uris":["http://www.mendeley.com/documents/?uuid=22620c7c-ee26-4f91-b988-13f39e6111b2"]}],"mendeley":{"formattedCitation":"&lt;sup&gt;41&lt;/sup&gt;","plainTextFormattedCitation":"41","previouslyFormattedCitation":"&lt;sup&gt;41&lt;/sup&gt;"},"properties":{"noteIndex":0},"schema":"https://github.com/citation-style-language/schema/raw/master/csl-citation.json"}</w:instrText>
      </w:r>
      <w:r w:rsidR="00280717" w:rsidRPr="00280717">
        <w:fldChar w:fldCharType="separate"/>
      </w:r>
      <w:r w:rsidR="00976A58" w:rsidRPr="00976A58">
        <w:rPr>
          <w:noProof/>
          <w:vertAlign w:val="superscript"/>
        </w:rPr>
        <w:t>41</w:t>
      </w:r>
      <w:r w:rsidR="00280717" w:rsidRPr="00280717">
        <w:fldChar w:fldCharType="end"/>
      </w:r>
      <w:r w:rsidR="00280717" w:rsidRPr="00280717">
        <w:t xml:space="preserve"> </w:t>
      </w:r>
      <w:r w:rsidR="00280717" w:rsidRPr="00280717">
        <w:rPr>
          <w:bCs/>
        </w:rPr>
        <w:t xml:space="preserve">On the other side, the </w:t>
      </w:r>
      <w:r w:rsidR="005852D9">
        <w:rPr>
          <w:bCs/>
        </w:rPr>
        <w:t xml:space="preserve">synthesis of the </w:t>
      </w:r>
      <w:r w:rsidR="00280717" w:rsidRPr="00280717">
        <w:rPr>
          <w:bCs/>
        </w:rPr>
        <w:t xml:space="preserve">Nile Red fluorophore </w:t>
      </w:r>
      <w:r w:rsidR="00D70552">
        <w:rPr>
          <w:bCs/>
        </w:rPr>
        <w:t>(</w:t>
      </w:r>
      <w:r w:rsidR="00280717" w:rsidRPr="00280717">
        <w:rPr>
          <w:b/>
        </w:rPr>
        <w:t>NR-N</w:t>
      </w:r>
      <w:r w:rsidR="00280717" w:rsidRPr="00280717">
        <w:rPr>
          <w:b/>
          <w:vertAlign w:val="subscript"/>
        </w:rPr>
        <w:t>3</w:t>
      </w:r>
      <w:r w:rsidR="00D70552" w:rsidRPr="00D70552">
        <w:rPr>
          <w:bCs/>
        </w:rPr>
        <w:t>),</w:t>
      </w:r>
      <w:r w:rsidR="00280717" w:rsidRPr="00280717">
        <w:rPr>
          <w:bCs/>
        </w:rPr>
        <w:t xml:space="preserve"> containing an </w:t>
      </w:r>
      <w:proofErr w:type="spellStart"/>
      <w:r w:rsidR="00280717" w:rsidRPr="00280717">
        <w:rPr>
          <w:bCs/>
        </w:rPr>
        <w:t>azide</w:t>
      </w:r>
      <w:proofErr w:type="spellEnd"/>
      <w:r w:rsidR="00280717" w:rsidRPr="00280717">
        <w:rPr>
          <w:bCs/>
        </w:rPr>
        <w:t xml:space="preserve"> group,</w:t>
      </w:r>
      <w:r w:rsidR="00280717" w:rsidRPr="00280717">
        <w:t xml:space="preserve"> was accomplished by following the procedure previously described </w:t>
      </w:r>
      <w:r w:rsidR="005852D9">
        <w:t xml:space="preserve">by </w:t>
      </w:r>
      <w:proofErr w:type="spellStart"/>
      <w:r w:rsidR="00280717" w:rsidRPr="00280717">
        <w:t>Mannini</w:t>
      </w:r>
      <w:proofErr w:type="spellEnd"/>
      <w:r w:rsidR="00280717" w:rsidRPr="00280717">
        <w:t xml:space="preserve"> </w:t>
      </w:r>
      <w:r w:rsidR="00280717" w:rsidRPr="00D61FC0">
        <w:rPr>
          <w:i/>
          <w:iCs/>
        </w:rPr>
        <w:t>et al</w:t>
      </w:r>
      <w:r w:rsidR="00280717" w:rsidRPr="00280717">
        <w:t>.</w:t>
      </w:r>
      <w:r w:rsidR="00280717" w:rsidRPr="00D70552">
        <w:rPr>
          <w:b/>
          <w:bCs/>
        </w:rPr>
        <w:fldChar w:fldCharType="begin" w:fldLock="1"/>
      </w:r>
      <w:r w:rsidR="00976A58">
        <w:rPr>
          <w:b/>
          <w:bCs/>
        </w:rPr>
        <w:instrText>ADDIN CSL_CITATION {"citationItems":[{"id":"ITEM-1","itemData":{"DOI":"10.1039/b819345b","ISSN":"1744683X","abstract":"A new organogelating moiety, 1, is proposed as a suitable and versatile building block for the production of other gelling compounds. Linking 1 with several different molecular fragments afforded new gels with different properties. A detailed investigation of the ferrocene substituted gelator is reported in this study. © 2009 The Royal Society of Chemistry.","author":[{"dropping-particle":"","family":"Ghini","given":"Giacomo","non-dropping-particle":"","parse-names":false,"suffix":""},{"dropping-particle":"","family":"Lascialfari","given":"Luisa","non-dropping-particle":"","parse-names":false,"suffix":""},{"dropping-particle":"","family":"Vinattieri","given":"Claudia","non-dropping-particle":"","parse-names":false,"suffix":""},{"dropping-particle":"","family":"Cicchi","given":"Stefano","non-dropping-particle":"","parse-names":false,"suffix":""},{"dropping-particle":"","family":"Brandi","given":"Alberto","non-dropping-particle":"","parse-names":false,"suffix":""},{"dropping-particle":"","family":"Berti","given":"Debora","non-dropping-particle":"","parse-names":false,"suffix":""},{"dropping-particle":"","family":"Betti","given":"Francesca","non-dropping-particle":"","parse-names":false,"suffix":""},{"dropping-particle":"","family":"Baglioni","given":"Piero","non-dropping-particle":"","parse-names":false,"suffix":""},{"dropping-particle":"","family":"Mannini","given":"Matteo","non-dropping-particle":"","parse-names":false,"suffix":""}],"container-title":"Soft Matter","id":"ITEM-1","issue":"9","issued":{"date-parts":[["2009"]]},"page":"1863-1869","title":"Towards a general organogelator: Combining a versatile scaffold and an efficient linking process","type":"article-journal","volume":"5"},"uris":["http://www.mendeley.com/documents/?uuid=0805e6fd-5f24-4b65-a801-c85efdc7750a"]}],"mendeley":{"formattedCitation":"&lt;sup&gt;42&lt;/sup&gt;","plainTextFormattedCitation":"42","previouslyFormattedCitation":"&lt;sup&gt;42&lt;/sup&gt;"},"properties":{"noteIndex":0},"schema":"https://github.com/citation-style-language/schema/raw/master/csl-citation.json"}</w:instrText>
      </w:r>
      <w:r w:rsidR="00280717" w:rsidRPr="00D70552">
        <w:rPr>
          <w:b/>
          <w:bCs/>
        </w:rPr>
        <w:fldChar w:fldCharType="separate"/>
      </w:r>
      <w:r w:rsidR="00976A58" w:rsidRPr="00976A58">
        <w:rPr>
          <w:bCs/>
          <w:noProof/>
          <w:vertAlign w:val="superscript"/>
        </w:rPr>
        <w:t>42</w:t>
      </w:r>
      <w:r w:rsidR="00280717" w:rsidRPr="00D70552">
        <w:rPr>
          <w:b/>
          <w:bCs/>
        </w:rPr>
        <w:fldChar w:fldCharType="end"/>
      </w:r>
      <w:r w:rsidR="002C2179">
        <w:t xml:space="preserve"> A</w:t>
      </w:r>
      <w:r w:rsidR="00280717" w:rsidRPr="00280717">
        <w:t xml:space="preserve">ll the characterization data were in concordance with those reported in </w:t>
      </w:r>
      <w:r w:rsidR="00020AF9">
        <w:t xml:space="preserve">the </w:t>
      </w:r>
      <w:r w:rsidR="00280717" w:rsidRPr="00280717">
        <w:t xml:space="preserve">literature (see ESI†). </w:t>
      </w:r>
      <w:r w:rsidR="00280717" w:rsidRPr="00280717">
        <w:rPr>
          <w:b/>
        </w:rPr>
        <w:t>Alkyne</w:t>
      </w:r>
      <w:r w:rsidR="00280717" w:rsidRPr="00280717">
        <w:rPr>
          <w:b/>
          <w:vertAlign w:val="subscript"/>
        </w:rPr>
        <w:t>0,17</w:t>
      </w:r>
      <w:r w:rsidR="00280717" w:rsidRPr="00280717">
        <w:rPr>
          <w:b/>
        </w:rPr>
        <w:t xml:space="preserve">-COF </w:t>
      </w:r>
      <w:r w:rsidR="00280717" w:rsidRPr="00280717">
        <w:rPr>
          <w:bCs/>
        </w:rPr>
        <w:t xml:space="preserve">was post-synthetically modified with </w:t>
      </w:r>
      <w:r w:rsidR="00280717" w:rsidRPr="00280717">
        <w:rPr>
          <w:b/>
          <w:bCs/>
        </w:rPr>
        <w:t>NR-N</w:t>
      </w:r>
      <w:r w:rsidR="00280717" w:rsidRPr="00280717">
        <w:rPr>
          <w:b/>
          <w:bCs/>
          <w:vertAlign w:val="subscript"/>
        </w:rPr>
        <w:t>3</w:t>
      </w:r>
      <w:r w:rsidR="00280717" w:rsidRPr="00280717">
        <w:t xml:space="preserve"> in quantitative yield (Scheme 1) by using the </w:t>
      </w:r>
      <w:proofErr w:type="spellStart"/>
      <w:r w:rsidR="00280717" w:rsidRPr="00280717">
        <w:t>Huisgen’</w:t>
      </w:r>
      <w:r w:rsidR="00280717" w:rsidRPr="00280717">
        <w:rPr>
          <w:rFonts w:hint="eastAsia"/>
        </w:rPr>
        <w:t>s</w:t>
      </w:r>
      <w:proofErr w:type="spellEnd"/>
      <w:r w:rsidR="00280717" w:rsidRPr="00280717">
        <w:t xml:space="preserve"> 1,3-dipolar cycloaddition</w:t>
      </w:r>
      <w:r w:rsidR="005852D9">
        <w:t xml:space="preserve"> reaction</w:t>
      </w:r>
      <w:r w:rsidR="00280717" w:rsidRPr="00280717">
        <w:rPr>
          <w:bCs/>
        </w:rPr>
        <w:t xml:space="preserve">. </w:t>
      </w:r>
      <w:r w:rsidR="005852D9">
        <w:rPr>
          <w:bCs/>
        </w:rPr>
        <w:t xml:space="preserve">The </w:t>
      </w:r>
      <w:r w:rsidR="00280717" w:rsidRPr="00280717">
        <w:t xml:space="preserve">modification </w:t>
      </w:r>
      <w:r w:rsidR="005852D9">
        <w:t xml:space="preserve">of the </w:t>
      </w:r>
      <w:r w:rsidR="005852D9" w:rsidRPr="00280717">
        <w:t xml:space="preserve">network </w:t>
      </w:r>
      <w:r w:rsidR="00280717" w:rsidRPr="00280717">
        <w:t xml:space="preserve">was confirmed </w:t>
      </w:r>
      <w:r>
        <w:t>by Fourier-transform infrared spectroscopy (</w:t>
      </w:r>
      <w:r w:rsidRPr="00280717">
        <w:t>FTIR</w:t>
      </w:r>
      <w:r>
        <w:t>)</w:t>
      </w:r>
      <w:r w:rsidRPr="00280717">
        <w:t xml:space="preserve"> </w:t>
      </w:r>
      <w:r w:rsidR="005852D9">
        <w:t>that shows</w:t>
      </w:r>
      <w:r w:rsidR="00280717" w:rsidRPr="00280717">
        <w:t xml:space="preserve"> the disappearance of the </w:t>
      </w:r>
      <w:r w:rsidR="005852D9">
        <w:t xml:space="preserve">band corresponding to the </w:t>
      </w:r>
      <w:proofErr w:type="spellStart"/>
      <w:r w:rsidR="00280717" w:rsidRPr="00280717">
        <w:t>azide</w:t>
      </w:r>
      <w:proofErr w:type="spellEnd"/>
      <w:r w:rsidR="00280717" w:rsidRPr="00280717">
        <w:t xml:space="preserve"> moiety, </w:t>
      </w:r>
      <w:r w:rsidR="00C90D88">
        <w:t>while</w:t>
      </w:r>
      <w:r w:rsidR="00280717" w:rsidRPr="00280717">
        <w:t xml:space="preserve"> the C=O and C=N stretching bands </w:t>
      </w:r>
      <w:r w:rsidR="00C90D88">
        <w:t xml:space="preserve">remain </w:t>
      </w:r>
      <w:r w:rsidR="00280717" w:rsidRPr="00280717">
        <w:t>at 1622 cm</w:t>
      </w:r>
      <w:r w:rsidR="00280717" w:rsidRPr="00280717">
        <w:rPr>
          <w:vertAlign w:val="superscript"/>
        </w:rPr>
        <w:t>-</w:t>
      </w:r>
      <w:r w:rsidR="00280717" w:rsidRPr="00DD3A0B">
        <w:rPr>
          <w:vertAlign w:val="superscript"/>
        </w:rPr>
        <w:t xml:space="preserve">1 </w:t>
      </w:r>
      <w:r w:rsidR="00280717" w:rsidRPr="00DD3A0B">
        <w:t>(</w:t>
      </w:r>
      <w:r w:rsidR="00BB3792" w:rsidRPr="00322967">
        <w:t>Fig.</w:t>
      </w:r>
      <w:r w:rsidR="00280717" w:rsidRPr="00322967">
        <w:t xml:space="preserve"> 1a).</w:t>
      </w:r>
      <w:r w:rsidR="00280717" w:rsidRPr="00280717">
        <w:t xml:space="preserve"> On the other hand</w:t>
      </w:r>
      <w:r w:rsidRPr="007B5DE5">
        <w:t xml:space="preserve">, </w:t>
      </w:r>
      <w:r w:rsidR="00C90D88">
        <w:t xml:space="preserve">the disappearance of the </w:t>
      </w:r>
      <w:r w:rsidR="00C90D88" w:rsidRPr="00280717">
        <w:t>signals at 80 and 73 ppm</w:t>
      </w:r>
      <w:r w:rsidR="00C90D88">
        <w:t xml:space="preserve"> in </w:t>
      </w:r>
      <w:r w:rsidR="00020AF9">
        <w:t xml:space="preserve">the </w:t>
      </w:r>
      <w:r w:rsidRPr="007B5DE5">
        <w:t>solid</w:t>
      </w:r>
      <w:r w:rsidR="00020AF9">
        <w:t>-</w:t>
      </w:r>
      <w:r w:rsidRPr="007B5DE5">
        <w:t xml:space="preserve">state </w:t>
      </w:r>
      <w:r w:rsidRPr="007B5DE5">
        <w:rPr>
          <w:vertAlign w:val="superscript"/>
        </w:rPr>
        <w:t>13</w:t>
      </w:r>
      <w:r w:rsidRPr="007B5DE5">
        <w:t>C cross-polarization magic angle spinning NMR (</w:t>
      </w:r>
      <w:r w:rsidRPr="007B5DE5">
        <w:rPr>
          <w:vertAlign w:val="superscript"/>
        </w:rPr>
        <w:t>13</w:t>
      </w:r>
      <w:r w:rsidRPr="007B5DE5">
        <w:t xml:space="preserve">C CP/MAS NMR) </w:t>
      </w:r>
      <w:r w:rsidR="00C90D88">
        <w:t xml:space="preserve">confirms the quantitative transformation of the </w:t>
      </w:r>
      <w:r w:rsidR="00C90D88" w:rsidRPr="00280717">
        <w:t xml:space="preserve">alkynyl </w:t>
      </w:r>
      <w:r w:rsidR="00C90D88">
        <w:t xml:space="preserve">groups in the network </w:t>
      </w:r>
      <w:r w:rsidR="00DD3A0B">
        <w:t>(Fig</w:t>
      </w:r>
      <w:r w:rsidR="00280717" w:rsidRPr="00280717">
        <w:t>.</w:t>
      </w:r>
      <w:r w:rsidR="00DD3A0B">
        <w:t xml:space="preserve"> 1b)</w:t>
      </w:r>
      <w:r w:rsidR="00020AF9">
        <w:t>.</w:t>
      </w:r>
      <w:r w:rsidR="00280717" w:rsidRPr="00280717">
        <w:t xml:space="preserve"> Furthermore, </w:t>
      </w:r>
      <w:r w:rsidR="00020AF9">
        <w:t xml:space="preserve">a </w:t>
      </w:r>
      <w:r w:rsidR="00280717" w:rsidRPr="00280717">
        <w:t xml:space="preserve">comparison between </w:t>
      </w:r>
      <w:r w:rsidR="00280717" w:rsidRPr="00280717">
        <w:rPr>
          <w:b/>
        </w:rPr>
        <w:t>NR</w:t>
      </w:r>
      <w:r w:rsidR="00280717" w:rsidRPr="00280717">
        <w:rPr>
          <w:b/>
          <w:vertAlign w:val="subscript"/>
        </w:rPr>
        <w:t>0,17</w:t>
      </w:r>
      <w:r w:rsidR="00280717" w:rsidRPr="00280717">
        <w:rPr>
          <w:b/>
        </w:rPr>
        <w:t xml:space="preserve">-COF </w:t>
      </w:r>
      <w:r w:rsidR="00280717" w:rsidRPr="00280717">
        <w:t xml:space="preserve">and </w:t>
      </w:r>
      <w:r w:rsidR="00280717" w:rsidRPr="00280717">
        <w:rPr>
          <w:b/>
        </w:rPr>
        <w:t>NR-N</w:t>
      </w:r>
      <w:r w:rsidR="00280717" w:rsidRPr="00280717">
        <w:rPr>
          <w:b/>
          <w:vertAlign w:val="subscript"/>
        </w:rPr>
        <w:t>3</w:t>
      </w:r>
      <w:r w:rsidR="00280717" w:rsidRPr="00280717">
        <w:rPr>
          <w:b/>
        </w:rPr>
        <w:t xml:space="preserve"> </w:t>
      </w:r>
      <w:r w:rsidR="00280717" w:rsidRPr="00280717">
        <w:rPr>
          <w:vertAlign w:val="superscript"/>
        </w:rPr>
        <w:t>13</w:t>
      </w:r>
      <w:r w:rsidR="00280717" w:rsidRPr="00280717">
        <w:t>C CP</w:t>
      </w:r>
      <w:r>
        <w:t>/MAS</w:t>
      </w:r>
      <w:r w:rsidR="00280717" w:rsidRPr="00280717">
        <w:t xml:space="preserve"> NMR spectra</w:t>
      </w:r>
      <w:r w:rsidR="00280717" w:rsidRPr="00280717">
        <w:rPr>
          <w:b/>
        </w:rPr>
        <w:t xml:space="preserve"> </w:t>
      </w:r>
      <w:r w:rsidR="00280717" w:rsidRPr="00280717">
        <w:t xml:space="preserve">shows the derivatization of the </w:t>
      </w:r>
      <w:r w:rsidR="00280717" w:rsidRPr="00280717">
        <w:rPr>
          <w:b/>
        </w:rPr>
        <w:t>Alkyne</w:t>
      </w:r>
      <w:r w:rsidR="00280717" w:rsidRPr="00280717">
        <w:rPr>
          <w:b/>
          <w:vertAlign w:val="subscript"/>
        </w:rPr>
        <w:t>0,17</w:t>
      </w:r>
      <w:r w:rsidR="00280717" w:rsidRPr="00280717">
        <w:rPr>
          <w:b/>
        </w:rPr>
        <w:t>-COF</w:t>
      </w:r>
      <w:r w:rsidR="00280717" w:rsidRPr="00280717">
        <w:t xml:space="preserve"> to </w:t>
      </w:r>
      <w:r w:rsidR="00C90D88">
        <w:t xml:space="preserve">afford </w:t>
      </w:r>
      <w:r w:rsidR="00280717" w:rsidRPr="00280717">
        <w:rPr>
          <w:b/>
        </w:rPr>
        <w:t>NR</w:t>
      </w:r>
      <w:r w:rsidR="00280717" w:rsidRPr="00280717">
        <w:rPr>
          <w:b/>
          <w:vertAlign w:val="subscript"/>
        </w:rPr>
        <w:t>0,17</w:t>
      </w:r>
      <w:r w:rsidR="00280717" w:rsidRPr="00280717">
        <w:rPr>
          <w:b/>
        </w:rPr>
        <w:t xml:space="preserve">-COF </w:t>
      </w:r>
      <w:r w:rsidR="00C90D88">
        <w:t>with</w:t>
      </w:r>
      <w:r w:rsidR="00280717" w:rsidRPr="00280717">
        <w:t xml:space="preserve"> </w:t>
      </w:r>
      <w:r w:rsidR="00C90D88">
        <w:t xml:space="preserve">diagnostic signals of the </w:t>
      </w:r>
      <w:proofErr w:type="spellStart"/>
      <w:r w:rsidR="00C90D88">
        <w:t>nile</w:t>
      </w:r>
      <w:proofErr w:type="spellEnd"/>
      <w:r w:rsidR="00C90D88">
        <w:t xml:space="preserve"> red moiety including </w:t>
      </w:r>
      <w:proofErr w:type="gramStart"/>
      <w:r w:rsidR="00C90D88">
        <w:t xml:space="preserve">the </w:t>
      </w:r>
      <w:r w:rsidR="00280717" w:rsidRPr="00280717">
        <w:t xml:space="preserve"> CO</w:t>
      </w:r>
      <w:proofErr w:type="gramEnd"/>
      <w:r w:rsidR="00280717" w:rsidRPr="00280717">
        <w:t xml:space="preserve"> signal at 184 ppm and the aliphatic carbon chains at 17, 47 and 70 ppm (</w:t>
      </w:r>
      <w:r w:rsidR="00BB3792">
        <w:t>Fig.</w:t>
      </w:r>
      <w:r w:rsidR="00280717" w:rsidRPr="00280717">
        <w:t xml:space="preserve"> 1b</w:t>
      </w:r>
      <w:r w:rsidR="00642FFC">
        <w:t>)</w:t>
      </w:r>
      <w:r w:rsidR="00C90D88">
        <w:t>.</w:t>
      </w:r>
      <w:r w:rsidR="00D91839">
        <w:t xml:space="preserve"> </w:t>
      </w:r>
      <w:r w:rsidR="001F255F">
        <w:t xml:space="preserve">UV-vis </w:t>
      </w:r>
      <w:proofErr w:type="spellStart"/>
      <w:r w:rsidR="001F255F">
        <w:t>d</w:t>
      </w:r>
      <w:r w:rsidR="00F665E0">
        <w:t>ifusse</w:t>
      </w:r>
      <w:proofErr w:type="spellEnd"/>
      <w:r w:rsidR="001F255F">
        <w:t xml:space="preserve"> reflectance analysis </w:t>
      </w:r>
      <w:r w:rsidR="00755214">
        <w:t>also reveals the presence of Ni</w:t>
      </w:r>
      <w:r w:rsidR="00EF2936">
        <w:t xml:space="preserve">le Red in </w:t>
      </w:r>
      <w:r w:rsidR="00EF2936" w:rsidRPr="00280717">
        <w:rPr>
          <w:b/>
        </w:rPr>
        <w:t>NR</w:t>
      </w:r>
      <w:r w:rsidR="00EF2936" w:rsidRPr="00280717">
        <w:rPr>
          <w:b/>
          <w:vertAlign w:val="subscript"/>
        </w:rPr>
        <w:t>0,17</w:t>
      </w:r>
      <w:r w:rsidR="00EF2936" w:rsidRPr="00280717">
        <w:rPr>
          <w:b/>
        </w:rPr>
        <w:t>-COF</w:t>
      </w:r>
      <w:r w:rsidR="00EF2936">
        <w:rPr>
          <w:b/>
        </w:rPr>
        <w:t xml:space="preserve">, </w:t>
      </w:r>
      <w:r w:rsidR="00EF2936" w:rsidRPr="00EF2936">
        <w:rPr>
          <w:bCs/>
        </w:rPr>
        <w:t xml:space="preserve">with the characteristic </w:t>
      </w:r>
      <w:r w:rsidR="00EF2936">
        <w:rPr>
          <w:bCs/>
        </w:rPr>
        <w:t>absorption ma</w:t>
      </w:r>
      <w:r w:rsidR="00E203AA">
        <w:rPr>
          <w:bCs/>
        </w:rPr>
        <w:t>ximum at ca. 525 nm</w:t>
      </w:r>
      <w:r w:rsidR="009114BD">
        <w:rPr>
          <w:bCs/>
        </w:rPr>
        <w:t xml:space="preserve"> (Fig. S1</w:t>
      </w:r>
      <w:r w:rsidR="0029238F">
        <w:rPr>
          <w:bCs/>
        </w:rPr>
        <w:t>)</w:t>
      </w:r>
      <w:r w:rsidR="00E203AA">
        <w:rPr>
          <w:bCs/>
        </w:rPr>
        <w:t>.</w:t>
      </w:r>
      <w:r w:rsidR="006F7221" w:rsidRPr="00280717">
        <w:rPr>
          <w:bCs/>
        </w:rPr>
        <w:fldChar w:fldCharType="begin" w:fldLock="1"/>
      </w:r>
      <w:r w:rsidR="00976A58">
        <w:rPr>
          <w:bCs/>
        </w:rPr>
        <w:instrText>ADDIN CSL_CITATION {"citationItems":[{"id":"ITEM-1","itemData":{"DOI":"10.1002/chem.201601570","ISSN":"15213765","PMID":"27406265","abstract":"Nile red and Nile blue are highly fluorescent and photostable organic dyes from the benzo[a]phenoxazine family. They have been used as histological stains for imaging lysosomes and lipids in vitro. The dyes’ high quantum yields and solvent-dependent optical properties make them ideal scaffolds for the development of pH probes and local polarity indicators. Reviews of the literature in this area are scarce with only one review ever published in 2006. It has been 10 years since and the field has evolved. This review aims to expand upon topics covered by the previous reviewers and to report on recent advances in the literature. As authors, we hope to convey a sense of scope and to spark renewed interest in this useful niche of dye chemistry.","author":[{"dropping-particle":"","family":"Martinez","given":"Vincent","non-dropping-particle":"","parse-names":false,"suffix":""},{"dropping-particle":"","family":"Henary","given":"Maged","non-dropping-particle":"","parse-names":false,"suffix":""}],"container-title":"Chemistry - A European Journal","id":"ITEM-1","issue":"39","issued":{"date-parts":[["2016"]]},"page":"13764-13782","title":"Nile Red and Nile Blue: Applications and Syntheses of Structural Analogues","type":"article-journal","volume":"22"},"uris":["http://www.mendeley.com/documents/?uuid=ade4404c-65c8-45b0-8353-b227dec937db"]}],"mendeley":{"formattedCitation":"&lt;sup&gt;43&lt;/sup&gt;","plainTextFormattedCitation":"43","previouslyFormattedCitation":"&lt;sup&gt;43&lt;/sup&gt;"},"properties":{"noteIndex":0},"schema":"https://github.com/citation-style-language/schema/raw/master/csl-citation.json"}</w:instrText>
      </w:r>
      <w:r w:rsidR="006F7221" w:rsidRPr="00280717">
        <w:rPr>
          <w:bCs/>
        </w:rPr>
        <w:fldChar w:fldCharType="separate"/>
      </w:r>
      <w:r w:rsidR="00976A58" w:rsidRPr="00976A58">
        <w:rPr>
          <w:bCs/>
          <w:noProof/>
          <w:vertAlign w:val="superscript"/>
        </w:rPr>
        <w:t>43</w:t>
      </w:r>
      <w:r w:rsidR="006F7221" w:rsidRPr="00280717">
        <w:fldChar w:fldCharType="end"/>
      </w:r>
    </w:p>
    <w:p w14:paraId="7190251C" w14:textId="222C1B49" w:rsidR="00D61FC0" w:rsidRDefault="00D61FC0" w:rsidP="00335E1E">
      <w:pPr>
        <w:pStyle w:val="RSCB02ArticleText"/>
      </w:pPr>
      <w:r>
        <w:t>Nitrogen sorption isotherms evaluated the effect of the NR pendant group on the porosity</w:t>
      </w:r>
      <w:r w:rsidR="00280717" w:rsidRPr="00280717">
        <w:t xml:space="preserve"> </w:t>
      </w:r>
      <w:r>
        <w:t xml:space="preserve">of the materials </w:t>
      </w:r>
      <w:r w:rsidR="00D70552">
        <w:t>at 77 K</w:t>
      </w:r>
      <w:r w:rsidR="00566885">
        <w:t xml:space="preserve"> (Fig. 1c)</w:t>
      </w:r>
      <w:r w:rsidR="00D70552">
        <w:t>.</w:t>
      </w:r>
      <w:r w:rsidR="00737C48">
        <w:t xml:space="preserve"> </w:t>
      </w:r>
      <w:r w:rsidR="0086377A">
        <w:t>On</w:t>
      </w:r>
      <w:r>
        <w:t xml:space="preserve"> the</w:t>
      </w:r>
      <w:r w:rsidR="0086377A">
        <w:t xml:space="preserve"> one hand,</w:t>
      </w:r>
      <w:r w:rsidR="00F02CB4">
        <w:t xml:space="preserve"> </w:t>
      </w:r>
      <w:r w:rsidR="00C90D88">
        <w:t xml:space="preserve">both </w:t>
      </w:r>
      <w:r w:rsidR="00F02CB4" w:rsidRPr="00280717">
        <w:rPr>
          <w:b/>
        </w:rPr>
        <w:t>NR</w:t>
      </w:r>
      <w:r w:rsidR="00F02CB4" w:rsidRPr="00280717">
        <w:rPr>
          <w:b/>
          <w:vertAlign w:val="subscript"/>
        </w:rPr>
        <w:t>0,17</w:t>
      </w:r>
      <w:r w:rsidR="00F02CB4" w:rsidRPr="00280717">
        <w:rPr>
          <w:b/>
        </w:rPr>
        <w:t>-COF</w:t>
      </w:r>
      <w:r w:rsidR="00F02CB4">
        <w:rPr>
          <w:bCs/>
        </w:rPr>
        <w:t xml:space="preserve"> and </w:t>
      </w:r>
      <w:r w:rsidR="00F02CB4" w:rsidRPr="00280717">
        <w:rPr>
          <w:b/>
        </w:rPr>
        <w:t>Alkyne</w:t>
      </w:r>
      <w:r w:rsidR="00F02CB4" w:rsidRPr="00280717">
        <w:rPr>
          <w:b/>
          <w:vertAlign w:val="subscript"/>
        </w:rPr>
        <w:t>0,17</w:t>
      </w:r>
      <w:r w:rsidR="00F02CB4" w:rsidRPr="00280717">
        <w:rPr>
          <w:b/>
        </w:rPr>
        <w:t>-COF</w:t>
      </w:r>
      <w:r w:rsidR="00F02CB4">
        <w:rPr>
          <w:bCs/>
        </w:rPr>
        <w:t xml:space="preserve"> display a type IV isotherm</w:t>
      </w:r>
      <w:r w:rsidR="0086377A">
        <w:rPr>
          <w:bCs/>
        </w:rPr>
        <w:t>, typical of mesoporous materials. On the other hand,</w:t>
      </w:r>
      <w:r w:rsidR="00F02CB4">
        <w:rPr>
          <w:bCs/>
        </w:rPr>
        <w:t xml:space="preserve"> </w:t>
      </w:r>
      <w:r w:rsidR="00D70552" w:rsidRPr="00280717">
        <w:rPr>
          <w:b/>
        </w:rPr>
        <w:t>NR</w:t>
      </w:r>
      <w:r w:rsidR="00D70552" w:rsidRPr="00280717">
        <w:rPr>
          <w:b/>
          <w:vertAlign w:val="subscript"/>
        </w:rPr>
        <w:t>0,17</w:t>
      </w:r>
      <w:r w:rsidR="00D70552" w:rsidRPr="00280717">
        <w:rPr>
          <w:b/>
        </w:rPr>
        <w:t>-COF</w:t>
      </w:r>
      <w:r w:rsidR="0086377A">
        <w:rPr>
          <w:bCs/>
        </w:rPr>
        <w:t>´s</w:t>
      </w:r>
      <w:r w:rsidR="00D70552">
        <w:rPr>
          <w:bCs/>
        </w:rPr>
        <w:t xml:space="preserve"> </w:t>
      </w:r>
      <w:proofErr w:type="spellStart"/>
      <w:r w:rsidR="00D70552">
        <w:t>Brunauer</w:t>
      </w:r>
      <w:proofErr w:type="spellEnd"/>
      <w:r w:rsidR="00D70552">
        <w:t>-Emmet-Teller (BET) surface area, pore</w:t>
      </w:r>
      <w:r>
        <w:t>-</w:t>
      </w:r>
      <w:r w:rsidR="00D70552">
        <w:t>volume</w:t>
      </w:r>
      <w:r>
        <w:t>,</w:t>
      </w:r>
      <w:r w:rsidR="00D70552">
        <w:t xml:space="preserve"> and pore size distribution values were reduced </w:t>
      </w:r>
      <w:r>
        <w:t>with</w:t>
      </w:r>
      <w:r w:rsidR="00D70552">
        <w:t xml:space="preserve"> respect to</w:t>
      </w:r>
      <w:r w:rsidR="00280717" w:rsidRPr="00280717">
        <w:t xml:space="preserve"> </w:t>
      </w:r>
      <w:r w:rsidR="00280717" w:rsidRPr="00280717">
        <w:rPr>
          <w:b/>
        </w:rPr>
        <w:t>Alkyne</w:t>
      </w:r>
      <w:r w:rsidR="00280717" w:rsidRPr="00280717">
        <w:rPr>
          <w:b/>
          <w:vertAlign w:val="subscript"/>
        </w:rPr>
        <w:t>0,17</w:t>
      </w:r>
      <w:r w:rsidR="00280717" w:rsidRPr="00280717">
        <w:rPr>
          <w:b/>
        </w:rPr>
        <w:t>-COF</w:t>
      </w:r>
      <w:r w:rsidR="00737C48">
        <w:rPr>
          <w:bCs/>
        </w:rPr>
        <w:t xml:space="preserve"> </w:t>
      </w:r>
      <w:proofErr w:type="gramStart"/>
      <w:r w:rsidR="00737C48">
        <w:rPr>
          <w:bCs/>
        </w:rPr>
        <w:t>as a consequence of</w:t>
      </w:r>
      <w:proofErr w:type="gramEnd"/>
      <w:r w:rsidR="00737C48">
        <w:rPr>
          <w:bCs/>
        </w:rPr>
        <w:t xml:space="preserve"> the introduction o</w:t>
      </w:r>
      <w:r w:rsidR="00737C48" w:rsidRPr="00737C48">
        <w:rPr>
          <w:bCs/>
        </w:rPr>
        <w:t xml:space="preserve">f </w:t>
      </w:r>
      <w:r w:rsidR="00737C48" w:rsidRPr="00737C48">
        <w:rPr>
          <w:b/>
        </w:rPr>
        <w:t>NR</w:t>
      </w:r>
      <w:r w:rsidR="00737C48" w:rsidRPr="00737C48">
        <w:rPr>
          <w:bCs/>
        </w:rPr>
        <w:t xml:space="preserve"> molecules into the COF cavities</w:t>
      </w:r>
      <w:r w:rsidR="00C90D88">
        <w:rPr>
          <w:bCs/>
        </w:rPr>
        <w:t>. Thus</w:t>
      </w:r>
      <w:r w:rsidR="00737C48">
        <w:rPr>
          <w:bCs/>
        </w:rPr>
        <w:t xml:space="preserve">, </w:t>
      </w:r>
      <w:r w:rsidR="00737C48">
        <w:t>t</w:t>
      </w:r>
      <w:r w:rsidR="00737C48" w:rsidRPr="00280717">
        <w:t>he BET surface area w</w:t>
      </w:r>
      <w:r w:rsidR="00737C48">
        <w:t>as</w:t>
      </w:r>
      <w:r w:rsidR="00737C48" w:rsidRPr="00280717">
        <w:t xml:space="preserve"> estimated to be 617 m</w:t>
      </w:r>
      <w:r w:rsidR="00737C48" w:rsidRPr="00280717">
        <w:rPr>
          <w:vertAlign w:val="superscript"/>
        </w:rPr>
        <w:t>2</w:t>
      </w:r>
      <w:r w:rsidR="00737C48" w:rsidRPr="00280717">
        <w:t xml:space="preserve"> g</w:t>
      </w:r>
      <w:r w:rsidR="00737C48" w:rsidRPr="00280717">
        <w:rPr>
          <w:vertAlign w:val="superscript"/>
        </w:rPr>
        <w:t>-1</w:t>
      </w:r>
      <w:r w:rsidR="00737C48">
        <w:rPr>
          <w:vertAlign w:val="superscript"/>
        </w:rPr>
        <w:t xml:space="preserve"> </w:t>
      </w:r>
      <w:r w:rsidR="00737C48">
        <w:t xml:space="preserve">for </w:t>
      </w:r>
      <w:r w:rsidR="00737C48" w:rsidRPr="00280717">
        <w:rPr>
          <w:b/>
        </w:rPr>
        <w:t>NR</w:t>
      </w:r>
      <w:r w:rsidR="00737C48" w:rsidRPr="00280717">
        <w:rPr>
          <w:b/>
          <w:vertAlign w:val="subscript"/>
        </w:rPr>
        <w:t>0,17</w:t>
      </w:r>
      <w:r w:rsidR="00737C48" w:rsidRPr="00280717">
        <w:rPr>
          <w:b/>
        </w:rPr>
        <w:t>-COF</w:t>
      </w:r>
      <w:r w:rsidR="00737C48">
        <w:rPr>
          <w:b/>
        </w:rPr>
        <w:t xml:space="preserve"> </w:t>
      </w:r>
      <w:r w:rsidR="00737C48">
        <w:rPr>
          <w:bCs/>
        </w:rPr>
        <w:t xml:space="preserve">and 1873 </w:t>
      </w:r>
      <w:r w:rsidR="00737C48" w:rsidRPr="00280717">
        <w:t>m</w:t>
      </w:r>
      <w:r w:rsidR="00737C48" w:rsidRPr="00280717">
        <w:rPr>
          <w:vertAlign w:val="superscript"/>
        </w:rPr>
        <w:t>2</w:t>
      </w:r>
      <w:r w:rsidR="00737C48" w:rsidRPr="00280717">
        <w:t xml:space="preserve"> g</w:t>
      </w:r>
      <w:r w:rsidR="00737C48" w:rsidRPr="00280717">
        <w:rPr>
          <w:vertAlign w:val="superscript"/>
        </w:rPr>
        <w:t>-1</w:t>
      </w:r>
      <w:r w:rsidR="00737C48">
        <w:rPr>
          <w:vertAlign w:val="superscript"/>
        </w:rPr>
        <w:t xml:space="preserve"> </w:t>
      </w:r>
      <w:r w:rsidR="00737C48">
        <w:t xml:space="preserve">for </w:t>
      </w:r>
      <w:r w:rsidR="00737C48" w:rsidRPr="00280717">
        <w:rPr>
          <w:b/>
        </w:rPr>
        <w:t>Alkyne</w:t>
      </w:r>
      <w:r w:rsidR="00737C48" w:rsidRPr="00280717">
        <w:rPr>
          <w:b/>
          <w:vertAlign w:val="subscript"/>
        </w:rPr>
        <w:t>0,17</w:t>
      </w:r>
      <w:r w:rsidR="00737C48" w:rsidRPr="00280717">
        <w:rPr>
          <w:b/>
        </w:rPr>
        <w:t>-COF</w:t>
      </w:r>
      <w:r w:rsidR="0086377A">
        <w:rPr>
          <w:bCs/>
        </w:rPr>
        <w:t xml:space="preserve"> and</w:t>
      </w:r>
      <w:r w:rsidR="002F7D6C">
        <w:rPr>
          <w:bCs/>
        </w:rPr>
        <w:t xml:space="preserve"> </w:t>
      </w:r>
      <w:r w:rsidR="00C90D88">
        <w:rPr>
          <w:bCs/>
        </w:rPr>
        <w:t xml:space="preserve">the </w:t>
      </w:r>
      <w:r w:rsidR="00737C48" w:rsidRPr="00280717">
        <w:t>pore volume</w:t>
      </w:r>
      <w:r w:rsidR="002F7D6C">
        <w:t xml:space="preserve"> </w:t>
      </w:r>
      <w:r w:rsidR="000562DB">
        <w:t>decreases</w:t>
      </w:r>
      <w:r w:rsidR="00626677">
        <w:t xml:space="preserve"> from</w:t>
      </w:r>
      <w:r w:rsidR="000562DB">
        <w:t xml:space="preserve"> 0.92 to </w:t>
      </w:r>
      <w:r w:rsidR="000562DB" w:rsidRPr="000562DB">
        <w:t>0.612 cm</w:t>
      </w:r>
      <w:r w:rsidR="000562DB" w:rsidRPr="000562DB">
        <w:rPr>
          <w:vertAlign w:val="superscript"/>
        </w:rPr>
        <w:t>3</w:t>
      </w:r>
      <w:r w:rsidR="000562DB" w:rsidRPr="000562DB">
        <w:t xml:space="preserve"> g</w:t>
      </w:r>
      <w:r w:rsidR="000562DB" w:rsidRPr="000562DB">
        <w:rPr>
          <w:vertAlign w:val="superscript"/>
        </w:rPr>
        <w:t>-1</w:t>
      </w:r>
      <w:r w:rsidR="002F7D6C">
        <w:t xml:space="preserve">. </w:t>
      </w:r>
      <w:r w:rsidR="00184012">
        <w:t>Lastly</w:t>
      </w:r>
      <w:r w:rsidR="002F7D6C">
        <w:t>, t</w:t>
      </w:r>
      <w:r w:rsidR="002F7D6C" w:rsidRPr="00280717">
        <w:t>he pore size distribution</w:t>
      </w:r>
      <w:r w:rsidR="002F7D6C">
        <w:t>,</w:t>
      </w:r>
      <w:r w:rsidR="002F7D6C" w:rsidRPr="00280717">
        <w:t xml:space="preserve"> calculated by using the non-local density functional theory (NLDFT) method</w:t>
      </w:r>
      <w:r w:rsidR="002F7D6C">
        <w:t>,</w:t>
      </w:r>
      <w:r w:rsidR="002F7D6C" w:rsidRPr="00280717">
        <w:t xml:space="preserve"> resulted in a pore size</w:t>
      </w:r>
      <w:r w:rsidR="002F7D6C">
        <w:t xml:space="preserve"> reduction from 3.2 to</w:t>
      </w:r>
      <w:r w:rsidR="002F7D6C" w:rsidRPr="00280717">
        <w:t xml:space="preserve"> 1.7 nm</w:t>
      </w:r>
      <w:r w:rsidR="00D75263">
        <w:t xml:space="preserve">. All this </w:t>
      </w:r>
      <w:r w:rsidR="0086377A">
        <w:t xml:space="preserve">data </w:t>
      </w:r>
      <w:r w:rsidR="00C90D88">
        <w:t xml:space="preserve">are in agreement </w:t>
      </w:r>
      <w:r w:rsidR="00D70552">
        <w:rPr>
          <w:bCs/>
        </w:rPr>
        <w:t>with</w:t>
      </w:r>
      <w:r w:rsidR="00280717" w:rsidRPr="00280717">
        <w:rPr>
          <w:bCs/>
        </w:rPr>
        <w:t xml:space="preserve"> the original </w:t>
      </w:r>
      <w:r w:rsidR="00C90D88">
        <w:rPr>
          <w:bCs/>
        </w:rPr>
        <w:t>data reported</w:t>
      </w:r>
      <w:r w:rsidR="00280717" w:rsidRPr="00280717">
        <w:rPr>
          <w:bCs/>
        </w:rPr>
        <w:t xml:space="preserve"> </w:t>
      </w:r>
      <w:r w:rsidR="00C90D88">
        <w:rPr>
          <w:bCs/>
        </w:rPr>
        <w:t xml:space="preserve">for </w:t>
      </w:r>
      <w:r w:rsidR="00C90D88" w:rsidRPr="00280717">
        <w:rPr>
          <w:b/>
        </w:rPr>
        <w:t>Alkyne</w:t>
      </w:r>
      <w:r w:rsidR="00C90D88" w:rsidRPr="00280717">
        <w:rPr>
          <w:b/>
          <w:vertAlign w:val="subscript"/>
        </w:rPr>
        <w:t>0,17</w:t>
      </w:r>
      <w:r w:rsidR="00C90D88" w:rsidRPr="00280717">
        <w:rPr>
          <w:b/>
        </w:rPr>
        <w:t>-COF</w:t>
      </w:r>
      <w:r w:rsidR="00C90D88">
        <w:rPr>
          <w:bCs/>
        </w:rPr>
        <w:t xml:space="preserve"> </w:t>
      </w:r>
      <w:r w:rsidR="00280717" w:rsidRPr="00280717">
        <w:rPr>
          <w:bCs/>
        </w:rPr>
        <w:t>by Jiang and co-workers</w:t>
      </w:r>
      <w:r w:rsidR="002F2704">
        <w:rPr>
          <w:bCs/>
        </w:rPr>
        <w:t>.</w:t>
      </w:r>
      <w:r w:rsidR="00280717" w:rsidRPr="00280717">
        <w:fldChar w:fldCharType="begin" w:fldLock="1"/>
      </w:r>
      <w:r w:rsidR="00976A58">
        <w:instrText>ADDIN CSL_CITATION {"citationItems":[{"id":"ITEM-1","itemData":{"DOI":"10.1038/nchem.2352","ISSN":"17554349","abstract":"The periodic layers and ordered nanochannels of covalent organic frameworks (COFs) make these materials viable open catalytic nanoreactors, but their low stability has precluded their practical implementation. Here we report the synthesis of a crystalline porous COF that is stable against water, strong acids and strong bases, and we demonstrate its utility as a material platform for structural design and functional development. We endowed a crystalline and porous imine-based COF with stability by incorporating methoxy groups into its pore walls to reinforce interlayer interactions. We subsequently converted the resulting achiral material into two distinct chiral organocatalysts, with the high crystallinity and porosity retained, by appending chiral centres and catalytically active sites on its channel walls. The COFs thus prepared combine catalytic activity, enantioselectivity and recyclability, which are attractive in heterogeneous organocatalysis, and were shown to promote asymmetric C-C bond formation in water under ambient conditions.","author":[{"dropping-particle":"","family":"Xu","given":"Hong","non-dropping-particle":"","parse-names":false,"suffix":""},{"dropping-particle":"","family":"Gao","given":"Jia","non-dropping-particle":"","parse-names":false,"suffix":""},{"dropping-particle":"","family":"Jiang","given":"Donglin","non-dropping-particle":"","parse-names":false,"suffix":""}],"container-title":"Nature Chemistry","id":"ITEM-1","issue":"11","issued":{"date-parts":[["2015"]]},"page":"905-912","publisher":"Nature Publishing Group","title":"Stable, crystalline, porous, covalent organic frameworks as a platform for chiral organocatalysts","type":"article-journal","volume":"7"},"uris":["http://www.mendeley.com/documents/?uuid=22620c7c-ee26-4f91-b988-13f39e6111b2"]}],"mendeley":{"formattedCitation":"&lt;sup&gt;41&lt;/sup&gt;","plainTextFormattedCitation":"41","previouslyFormattedCitation":"&lt;sup&gt;41&lt;/sup&gt;"},"properties":{"noteIndex":0},"schema":"https://github.com/citation-style-language/schema/raw/master/csl-citation.json"}</w:instrText>
      </w:r>
      <w:r w:rsidR="00280717" w:rsidRPr="00280717">
        <w:fldChar w:fldCharType="separate"/>
      </w:r>
      <w:r w:rsidR="00976A58" w:rsidRPr="00976A58">
        <w:rPr>
          <w:noProof/>
          <w:vertAlign w:val="superscript"/>
        </w:rPr>
        <w:t>41</w:t>
      </w:r>
      <w:r w:rsidR="00280717" w:rsidRPr="00280717">
        <w:fldChar w:fldCharType="end"/>
      </w:r>
      <w:r w:rsidR="00280717" w:rsidRPr="00280717">
        <w:t xml:space="preserve"> </w:t>
      </w:r>
      <w:r w:rsidR="00382F3F">
        <w:t>The t</w:t>
      </w:r>
      <w:r w:rsidR="00280717" w:rsidRPr="00280717">
        <w:t>hermal stability of the frameworks was determined by thermogravimetric analysis (TGA)</w:t>
      </w:r>
      <w:r>
        <w:t>,</w:t>
      </w:r>
      <w:r w:rsidR="00280717" w:rsidRPr="00280717">
        <w:t xml:space="preserve"> revealing that </w:t>
      </w:r>
      <w:r w:rsidR="00382F3F">
        <w:t>they</w:t>
      </w:r>
      <w:r w:rsidR="00280717" w:rsidRPr="00280717">
        <w:t xml:space="preserve"> </w:t>
      </w:r>
      <w:r w:rsidR="00C90D88">
        <w:t>are</w:t>
      </w:r>
      <w:r w:rsidR="00280717" w:rsidRPr="00280717">
        <w:t xml:space="preserve"> stable till 400 °C</w:t>
      </w:r>
      <w:r w:rsidR="0054192C">
        <w:t xml:space="preserve"> as previously reported for other imine-based COFs</w:t>
      </w:r>
      <w:r w:rsidR="00A5421B">
        <w:t xml:space="preserve"> (Fig. S</w:t>
      </w:r>
      <w:r w:rsidR="006124C9">
        <w:t>2</w:t>
      </w:r>
      <w:r w:rsidR="00A5421B">
        <w:t>)</w:t>
      </w:r>
      <w:r w:rsidR="009C0F64">
        <w:t>.</w:t>
      </w:r>
      <w:r w:rsidR="009C0F64">
        <w:fldChar w:fldCharType="begin" w:fldLock="1"/>
      </w:r>
      <w:r w:rsidR="00976A58">
        <w:instrText>ADDIN CSL_CITATION {"citationItems":[{"id":"ITEM-1","itemData":{"DOI":"10.3390/nano8010015","ISBN":"8602224702","ISSN":"20794991","abstract":"Covalent organic frameworks (COFs) are newly emerged crystalline porous polymers with well-defined skeletons and nanopores mainly consisted of light-weight elements (H, B, C, N and O) linked by dynamic covalent bonds. Compared with conventional materials, COFs possess some unique and attractive features, such as large surface area, pre-designable pore geometry, excellent crystallinity, inherent adaptability and high flexibility in structural and functional design, thus exhibiting great potential for various applications. Especially, their large surface area and tunable porosity and π conjugation with unique photoelectric properties will enable COFs to serve as a promising platform for drug delivery, bioimaging, biosensing and theranostic applications. In this review, we trace the evolution of COFs in terms of linkages and highlight the important issues on synthetic method, structural design, morphological control and functionalization. And then we summarize the recent advances of COFs in the biomedical and pharmaceutical sectors and conclude with a discussion of the challenges and opportunities of COFs for biomedical purposes. Although currently still at its infancy stage, COFs as an innovative source have paved a new way to meet future challenges in human healthcare and disease theranostic.","author":[{"dropping-particle":"","family":"Zhao","given":"Fuli","non-dropping-particle":"","parse-names":false,"suffix":""},{"dropping-particle":"","family":"Liu","given":"Huiming","non-dropping-particle":"","parse-names":false,"suffix":""},{"dropping-particle":"","family":"Mathe","given":"Salva D.R.","non-dropping-particle":"","parse-names":false,"suffix":""},{"dropping-particle":"","family":"Dong","given":"Anjie","non-dropping-particle":"","parse-names":false,"suffix":""},{"dropping-particle":"","family":"Zhang","given":"Jianhua","non-dropping-particle":"","parse-names":false,"suffix":""}],"container-title":"Nanomaterials","id":"ITEM-1","issue":"15","issued":{"date-parts":[["2018"]]},"page":"8010015","title":"Covalent organic frameworks: From materials design to biomedical application","type":"article-journal","volume":"8"},"uris":["http://www.mendeley.com/documents/?uuid=480ca928-3907-46a5-8681-735d3b5e2dc0"]}],"mendeley":{"formattedCitation":"&lt;sup&gt;44&lt;/sup&gt;","plainTextFormattedCitation":"44","previouslyFormattedCitation":"&lt;sup&gt;44&lt;/sup&gt;"},"properties":{"noteIndex":0},"schema":"https://github.com/citation-style-language/schema/raw/master/csl-citation.json"}</w:instrText>
      </w:r>
      <w:r w:rsidR="009C0F64">
        <w:fldChar w:fldCharType="separate"/>
      </w:r>
      <w:r w:rsidR="00976A58" w:rsidRPr="00976A58">
        <w:rPr>
          <w:noProof/>
          <w:vertAlign w:val="superscript"/>
        </w:rPr>
        <w:t>44</w:t>
      </w:r>
      <w:r w:rsidR="009C0F64">
        <w:fldChar w:fldCharType="end"/>
      </w:r>
      <w:r w:rsidR="00280717" w:rsidRPr="00280717">
        <w:t xml:space="preserve"> </w:t>
      </w:r>
    </w:p>
    <w:p w14:paraId="2A8E83BD" w14:textId="77777777" w:rsidR="00D61FC0" w:rsidRDefault="00D61FC0" w:rsidP="00335E1E">
      <w:pPr>
        <w:pStyle w:val="RSCB02ArticleText"/>
        <w:sectPr w:rsidR="00D61FC0" w:rsidSect="00514CBA">
          <w:type w:val="continuous"/>
          <w:pgSz w:w="11907" w:h="16840" w:code="9"/>
          <w:pgMar w:top="1009" w:right="851" w:bottom="1758" w:left="851" w:header="851" w:footer="1049" w:gutter="0"/>
          <w:cols w:num="2" w:space="227"/>
          <w:titlePg/>
          <w:docGrid w:linePitch="360"/>
        </w:sectPr>
      </w:pPr>
    </w:p>
    <w:p w14:paraId="0196ABEE" w14:textId="77777777" w:rsidR="00D61FC0" w:rsidRDefault="00D61FC0" w:rsidP="00D61FC0">
      <w:pPr>
        <w:pStyle w:val="RSCI02FigureSchemeChartwithtopbar"/>
        <w:rPr>
          <w:highlight w:val="yellow"/>
        </w:rPr>
      </w:pPr>
      <w:r>
        <w:rPr>
          <w:noProof/>
        </w:rPr>
        <w:lastRenderedPageBreak/>
        <w:drawing>
          <wp:inline distT="0" distB="0" distL="0" distR="0" wp14:anchorId="3977FC3C" wp14:editId="101F4EA1">
            <wp:extent cx="6175450" cy="4901709"/>
            <wp:effectExtent l="0" t="0" r="0" b="0"/>
            <wp:docPr id="11" name="Imagen 11" descr="Diagram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11" descr="Diagrama&#10;&#10;Descripción generada automáticamente con confianza baja"/>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l="4172" t="3870" r="7052"/>
                    <a:stretch/>
                  </pic:blipFill>
                  <pic:spPr bwMode="auto">
                    <a:xfrm>
                      <a:off x="0" y="0"/>
                      <a:ext cx="6230864" cy="4945693"/>
                    </a:xfrm>
                    <a:prstGeom prst="rect">
                      <a:avLst/>
                    </a:prstGeom>
                    <a:noFill/>
                    <a:ln>
                      <a:noFill/>
                    </a:ln>
                    <a:extLst>
                      <a:ext uri="{53640926-AAD7-44D8-BBD7-CCE9431645EC}">
                        <a14:shadowObscured xmlns:a14="http://schemas.microsoft.com/office/drawing/2010/main"/>
                      </a:ext>
                    </a:extLst>
                  </pic:spPr>
                </pic:pic>
              </a:graphicData>
            </a:graphic>
          </wp:inline>
        </w:drawing>
      </w:r>
    </w:p>
    <w:p w14:paraId="0C4E78AB" w14:textId="77777777" w:rsidR="00D61FC0" w:rsidRPr="00FE602C" w:rsidRDefault="00D61FC0" w:rsidP="00D61FC0">
      <w:pPr>
        <w:pStyle w:val="RSCI05CaptiontoFigureSchemeChartwithbottombar"/>
      </w:pPr>
      <w:r w:rsidRPr="00775413">
        <w:rPr>
          <w:b/>
        </w:rPr>
        <w:t>Fig</w:t>
      </w:r>
      <w:r>
        <w:rPr>
          <w:b/>
        </w:rPr>
        <w:t>.</w:t>
      </w:r>
      <w:r w:rsidRPr="00775413">
        <w:rPr>
          <w:b/>
        </w:rPr>
        <w:t xml:space="preserve"> 1</w:t>
      </w:r>
      <w:r>
        <w:t xml:space="preserve"> a) FTIR spectrum of </w:t>
      </w:r>
      <w:r>
        <w:rPr>
          <w:b/>
        </w:rPr>
        <w:t>NR</w:t>
      </w:r>
      <w:r>
        <w:rPr>
          <w:b/>
          <w:vertAlign w:val="subscript"/>
        </w:rPr>
        <w:t>0,17</w:t>
      </w:r>
      <w:r w:rsidRPr="00F75A9A">
        <w:rPr>
          <w:b/>
        </w:rPr>
        <w:t>-COF</w:t>
      </w:r>
      <w:r>
        <w:t xml:space="preserve"> (red), NR-</w:t>
      </w:r>
      <w:r w:rsidRPr="00FE602C">
        <w:t>N</w:t>
      </w:r>
      <w:r w:rsidRPr="00FE602C">
        <w:rPr>
          <w:vertAlign w:val="subscript"/>
        </w:rPr>
        <w:t>3</w:t>
      </w:r>
      <w:r>
        <w:rPr>
          <w:vertAlign w:val="subscript"/>
        </w:rPr>
        <w:t xml:space="preserve"> </w:t>
      </w:r>
      <w:r>
        <w:t xml:space="preserve">(blue), and </w:t>
      </w:r>
      <w:r w:rsidRPr="00FE602C">
        <w:rPr>
          <w:b/>
        </w:rPr>
        <w:t>Alkyne0</w:t>
      </w:r>
      <w:r>
        <w:rPr>
          <w:b/>
          <w:vertAlign w:val="subscript"/>
        </w:rPr>
        <w:t>,17</w:t>
      </w:r>
      <w:r w:rsidRPr="00F75A9A">
        <w:rPr>
          <w:b/>
        </w:rPr>
        <w:t>-COF</w:t>
      </w:r>
      <w:r>
        <w:rPr>
          <w:b/>
        </w:rPr>
        <w:t xml:space="preserve"> </w:t>
      </w:r>
      <w:r>
        <w:t xml:space="preserve">(black), the disappearance of </w:t>
      </w:r>
      <w:proofErr w:type="spellStart"/>
      <w:r>
        <w:t>azide</w:t>
      </w:r>
      <w:proofErr w:type="spellEnd"/>
      <w:r>
        <w:t xml:space="preserve"> signal is highlighted in red. b) </w:t>
      </w:r>
      <w:r w:rsidRPr="005B7433">
        <w:rPr>
          <w:vertAlign w:val="superscript"/>
        </w:rPr>
        <w:t>13</w:t>
      </w:r>
      <w:r w:rsidRPr="00E136D2">
        <w:t>C CP/MAS NMR</w:t>
      </w:r>
      <w:r>
        <w:t xml:space="preserve"> spectrum of </w:t>
      </w:r>
      <w:r>
        <w:rPr>
          <w:b/>
        </w:rPr>
        <w:t>NR</w:t>
      </w:r>
      <w:r>
        <w:rPr>
          <w:b/>
          <w:vertAlign w:val="subscript"/>
        </w:rPr>
        <w:t>0,17</w:t>
      </w:r>
      <w:r w:rsidRPr="00F75A9A">
        <w:rPr>
          <w:b/>
        </w:rPr>
        <w:t>-COF</w:t>
      </w:r>
      <w:r>
        <w:t xml:space="preserve"> (red) and </w:t>
      </w:r>
      <w:r>
        <w:rPr>
          <w:b/>
        </w:rPr>
        <w:t>A</w:t>
      </w:r>
      <w:r w:rsidRPr="00F75A9A">
        <w:rPr>
          <w:b/>
        </w:rPr>
        <w:t>lkyne</w:t>
      </w:r>
      <w:r>
        <w:rPr>
          <w:b/>
          <w:vertAlign w:val="subscript"/>
        </w:rPr>
        <w:t>0,17</w:t>
      </w:r>
      <w:r w:rsidRPr="00F75A9A">
        <w:rPr>
          <w:b/>
        </w:rPr>
        <w:t>-COF</w:t>
      </w:r>
      <w:r>
        <w:rPr>
          <w:b/>
        </w:rPr>
        <w:t xml:space="preserve"> </w:t>
      </w:r>
      <w:r>
        <w:t xml:space="preserve">(black), the disappearance of alkyne signal is highlighted in red. c) </w:t>
      </w:r>
      <w:r w:rsidRPr="008D4A9C">
        <w:t>Comparative N</w:t>
      </w:r>
      <w:r w:rsidRPr="00026017">
        <w:rPr>
          <w:vertAlign w:val="subscript"/>
        </w:rPr>
        <w:t>2</w:t>
      </w:r>
      <w:r w:rsidRPr="008D4A9C">
        <w:t xml:space="preserve"> (77 K) </w:t>
      </w:r>
      <w:r>
        <w:t>ad</w:t>
      </w:r>
      <w:r w:rsidRPr="008D4A9C">
        <w:t>sorption</w:t>
      </w:r>
      <w:r>
        <w:t>-desorption</w:t>
      </w:r>
      <w:r w:rsidRPr="008D4A9C">
        <w:t xml:space="preserve"> isotherms for </w:t>
      </w:r>
      <w:r>
        <w:rPr>
          <w:b/>
        </w:rPr>
        <w:t>A</w:t>
      </w:r>
      <w:r w:rsidRPr="00F75A9A">
        <w:rPr>
          <w:b/>
        </w:rPr>
        <w:t>lkyne</w:t>
      </w:r>
      <w:r>
        <w:rPr>
          <w:b/>
          <w:vertAlign w:val="subscript"/>
        </w:rPr>
        <w:t>0,17</w:t>
      </w:r>
      <w:r w:rsidRPr="00F75A9A">
        <w:rPr>
          <w:b/>
        </w:rPr>
        <w:t>-COF</w:t>
      </w:r>
      <w:r>
        <w:rPr>
          <w:b/>
        </w:rPr>
        <w:t xml:space="preserve"> </w:t>
      </w:r>
      <w:r>
        <w:t xml:space="preserve">(black) and </w:t>
      </w:r>
      <w:r>
        <w:rPr>
          <w:b/>
        </w:rPr>
        <w:t>NR</w:t>
      </w:r>
      <w:r>
        <w:rPr>
          <w:b/>
          <w:vertAlign w:val="subscript"/>
        </w:rPr>
        <w:t>0,17</w:t>
      </w:r>
      <w:r w:rsidRPr="00F75A9A">
        <w:rPr>
          <w:b/>
        </w:rPr>
        <w:t>-COF</w:t>
      </w:r>
      <w:r>
        <w:t xml:space="preserve"> (red). Adsorption branches are represented by solid points and desorption </w:t>
      </w:r>
      <w:r w:rsidRPr="00642FFC">
        <w:t>branches by empty points</w:t>
      </w:r>
      <w:r>
        <w:t xml:space="preserve">. d) PXRD of </w:t>
      </w:r>
      <w:r>
        <w:rPr>
          <w:b/>
        </w:rPr>
        <w:t>NR</w:t>
      </w:r>
      <w:r>
        <w:rPr>
          <w:b/>
          <w:vertAlign w:val="subscript"/>
        </w:rPr>
        <w:t>0,17</w:t>
      </w:r>
      <w:r w:rsidRPr="00F75A9A">
        <w:rPr>
          <w:b/>
        </w:rPr>
        <w:t>-COF</w:t>
      </w:r>
      <w:r>
        <w:t xml:space="preserve"> (red) and </w:t>
      </w:r>
      <w:r w:rsidRPr="00FE602C">
        <w:rPr>
          <w:b/>
        </w:rPr>
        <w:t>Alkyne0</w:t>
      </w:r>
      <w:r>
        <w:rPr>
          <w:b/>
          <w:vertAlign w:val="subscript"/>
        </w:rPr>
        <w:t>,17</w:t>
      </w:r>
      <w:r w:rsidRPr="00F75A9A">
        <w:rPr>
          <w:b/>
        </w:rPr>
        <w:t>-COF</w:t>
      </w:r>
      <w:r>
        <w:rPr>
          <w:b/>
        </w:rPr>
        <w:t xml:space="preserve"> </w:t>
      </w:r>
      <w:r>
        <w:t>(black).</w:t>
      </w:r>
    </w:p>
    <w:p w14:paraId="081DFD9A" w14:textId="77777777" w:rsidR="00D61FC0" w:rsidRDefault="00D61FC0" w:rsidP="00280717">
      <w:pPr>
        <w:pStyle w:val="RSCB02ArticleText"/>
        <w:sectPr w:rsidR="00D61FC0" w:rsidSect="00D61FC0">
          <w:pgSz w:w="11907" w:h="16840" w:code="9"/>
          <w:pgMar w:top="1009" w:right="851" w:bottom="1758" w:left="851" w:header="851" w:footer="1049" w:gutter="0"/>
          <w:cols w:space="227"/>
          <w:titlePg/>
          <w:docGrid w:linePitch="360"/>
        </w:sectPr>
      </w:pPr>
    </w:p>
    <w:p w14:paraId="111F7360" w14:textId="6D1CD09D" w:rsidR="00382F3F" w:rsidRDefault="00382F3F" w:rsidP="00382F3F">
      <w:pPr>
        <w:pStyle w:val="RSCB02ArticleText"/>
      </w:pPr>
      <w:r>
        <w:t>The c</w:t>
      </w:r>
      <w:r w:rsidRPr="00280717">
        <w:t xml:space="preserve">rystallinity of both COFs was evaluated by powder X-ray diffraction (PXRD). </w:t>
      </w:r>
      <w:r>
        <w:t>The</w:t>
      </w:r>
      <w:r w:rsidRPr="00280717">
        <w:t xml:space="preserve"> diffractograms exhibit a diffraction pattern </w:t>
      </w:r>
      <w:r>
        <w:t xml:space="preserve">which are similar </w:t>
      </w:r>
      <w:r w:rsidRPr="00280717">
        <w:t>to those previously reported</w:t>
      </w:r>
      <w:r>
        <w:t>,</w:t>
      </w:r>
      <w:r>
        <w:fldChar w:fldCharType="begin" w:fldLock="1"/>
      </w:r>
      <w:r>
        <w:instrText>ADDIN CSL_CITATION {"citationItems":[{"id":"ITEM-1","itemData":{"DOI":"10.1021/acsami.0c18105","ISSN":"19448252","PMID":"33382578","abstract":"In this study, the covalent bonding of linear poly(ionic liquid)s (PILs) with covalent organic frameworks (COFs) was accessed by copolymerization of a vinyl-decorated COF with 4-vinylbenzyl chloride, followed by quaternization with tertiary amines. The resultant PIL-COF composite by anchoring a proper content of vinyl sites on the COF-based comonomer retains the crystallinity and porosity, thereby facilitating access of the reactants to the catalytic active sites. As a proof of concept, the dehydrative transformation of sorbitol into isosorbide was selected as a benchmark reaction, whose rate improved significantly in the presence of PIL-COF-0.33 compared with those of individual components and the mesoporous PIL counterpart due to uniform pore sizes and flexible linear catalytic chains. In addition, the hybrids bearing a chemical cross-linkage between PILs and COFs are robust, and PIL-COF-0.33 can be recovered and reused for 10 runs without significant reactivity loss. These findings provide the basis for a novel design concept for achieving both efficient and stable IL catalysis.","author":[{"dropping-particle":"","family":"Du","given":"Yi Ran","non-dropping-particle":"","parse-names":false,"suffix":""},{"dropping-particle":"","family":"Xu","given":"Bao Hua","non-dropping-particle":"","parse-names":false,"suffix":""},{"dropping-particle":"","family":"Xia","given":"Shi Ping","non-dropping-particle":"","parse-names":false,"suffix":""},{"dropping-particle":"","family":"Ding","given":"Guang Rong","non-dropping-particle":"","parse-names":false,"suffix":""},{"dropping-particle":"","family":"Zhang","given":"Suo Jiang","non-dropping-particle":"","parse-names":false,"suffix":""}],"container-title":"ACS Applied Materials and Interfaces","id":"ITEM-1","issue":"1","issued":{"date-parts":[["2021"]]},"page":"552-562","title":"Dehydrative Formation of Isosorbide from Sorbitol over Poly(ionic liquid)-Covalent Organic Framework Hybrids","type":"article-journal","volume":"13"},"uris":["http://www.mendeley.com/documents/?uuid=2d49a309-cdfa-4e12-acfc-26b688278c9b"]},{"id":"ITEM-2","itemData":{"DOI":"10.1002/adma.201801991","ISSN":"15214095","abstract":"Progress in chemistry over the past four decades has generated a variety of porous materials for removing iodine—a radioactive emission accompanying nuclear fission. However, most studies are still based on the notion that entangled pores together with specific binding sites are essential for iodine capture. Here, an unraveled physical picture of iodine capture that overturns the preconception by exploring 1D channeled porous materials is disclosed. 2D covalent organic frameworks are constructed in a way so that they are free of interpenetration and binding sites but consist of 1D open channels. As verified with different channels shaping from hexagonal to tetragonal and trigonal and ranging from micropores to mesopores, all the 1D channels enable a full access to iodine, generalizing a new paradigm that the pore volume determines the uptake capacity. These results are of fundamental importance to understanding iodine uptake and designing materials to treat coagulative toxic vapors.","author":[{"dropping-particle":"","family":"Wang","given":"Ping","non-dropping-particle":"","parse-names":false,"suffix":""},{"dropping-particle":"","family":"Xu","given":"Qing","non-dropping-particle":"","parse-names":false,"suffix":""},{"dropping-particle":"","family":"Li","given":"Zhongping","non-dropping-particle":"","parse-names":false,"suffix":""},{"dropping-particle":"","family":"Jiang","given":"Weiming","non-dropping-particle":"","parse-names":false,"suffix":""},{"dropping-particle":"","family":"Jiang","given":"Qiuhong","non-dropping-particle":"","parse-names":false,"suffix":""},{"dropping-particle":"","family":"Jiang","given":"Donglin","non-dropping-particle":"","parse-names":false,"suffix":""}],"container-title":"Advanced Materials","id":"ITEM-2","issue":"29","issued":{"date-parts":[["2018"]]},"page":"1801991","title":"Exceptional Iodine Capture in 2D Covalent Organic Frameworks","type":"article-journal","volume":"30"},"uris":["http://www.mendeley.com/documents/?uuid=7858eb0f-75a9-4f49-954d-d2a6f131220f"]},{"id":"ITEM-3","itemData":{"DOI":"10.1021/acsami.8b14671","ISSN":"19448252","PMID":"30398046","abstract":"Controllable hierarchical reduction of carbon dioxide (CO 2 ) to selectively afford versatile chemicals with specific carbon oxidation state is important but still remains a huge challenge to be realized. Here, we report new zwitterionic covalent organic frameworks ([BE] X% -TD-COFs), prepared by introducing betaine groups (BE) onto the channel walls of presynthesized frameworks via pore surface engineering methodology, as the heterogeneous organocatalysts for CO 2 reduction. The adjustable density of immobilized BE groups as well as good preservation of crystallinity and porosity inherited from their parent COFs endow [BE] X% -TD-COFs with highly ordered catalytic site distribution and one-dimensional mass transport pathway in favor of catalysis. By controlling the reaction temperature and amount of CO 2 , [BE] X% -TD-COFs present high activity in catalyzing reduction of CO 2 with amine and phenylsilane (PhSiH 3 ) to produce formamides, aminals, and methylamines, respectively, with high yield and selectivity. Furthermore, high stability and insolubility bring excellent reusability to [BE] X% -TD-COFs with well-maintained catalytic performance after four cycles of use. Notably, this is a novel example that COFs are developed as heterogeneous catalysts for hierarchical two-, four-, and six-electron reduction of CO 2 with amines and PhSiH 3 to form C-N bonds as well as afford C +II , C 0 , and C -II species efficiently and selectively.","author":[{"dropping-particle":"","family":"Mu","given":"Zhen Jie","non-dropping-particle":"","parse-names":false,"suffix":""},{"dropping-particle":"","family":"Ding","given":"Xuesong","non-dropping-particle":"","parse-names":false,"suffix":""},{"dropping-particle":"","family":"Chen","given":"Zhi Yan","non-dropping-particle":"","parse-names":false,"suffix":""},{"dropping-particle":"","family":"Han","given":"Bao Hang","non-dropping-particle":"","parse-names":false,"suffix":""}],"container-title":"ACS Applied Materials and Interfaces","id":"ITEM-3","issue":"48","issued":{"date-parts":[["2018"]]},"page":"41350-41358","title":"Zwitterionic Covalent Organic Frameworks as Catalysts for Hierarchical Reduction of CO 2 with Amine and Hydrosilane","type":"article-journal","volume":"10"},"uris":["http://www.mendeley.com/documents/?uuid=28fa1be3-879f-4147-830b-20a287b671c9"]}],"mendeley":{"formattedCitation":"&lt;sup&gt;45–47&lt;/sup&gt;","plainTextFormattedCitation":"45–47","previouslyFormattedCitation":"&lt;sup&gt;45–47&lt;/sup&gt;"},"properties":{"noteIndex":0},"schema":"https://github.com/citation-style-language/schema/raw/master/csl-citation.json"}</w:instrText>
      </w:r>
      <w:r>
        <w:fldChar w:fldCharType="separate"/>
      </w:r>
      <w:r w:rsidRPr="00976A58">
        <w:rPr>
          <w:noProof/>
          <w:vertAlign w:val="superscript"/>
        </w:rPr>
        <w:t>45–47</w:t>
      </w:r>
      <w:r>
        <w:fldChar w:fldCharType="end"/>
      </w:r>
      <w:r w:rsidRPr="00280717">
        <w:t xml:space="preserve"> confirming that the lattice remains almost unaltered after</w:t>
      </w:r>
      <w:r>
        <w:t xml:space="preserve"> the</w:t>
      </w:r>
      <w:r w:rsidRPr="00280717">
        <w:t xml:space="preserve"> post-functionalization (</w:t>
      </w:r>
      <w:r w:rsidRPr="00566885">
        <w:t>Fig. 1d</w:t>
      </w:r>
      <w:r w:rsidRPr="00280717">
        <w:t>).</w:t>
      </w:r>
    </w:p>
    <w:p w14:paraId="4E9AAFD3" w14:textId="057C082E" w:rsidR="00280717" w:rsidRPr="00BE0527" w:rsidRDefault="00D61FC0" w:rsidP="00280717">
      <w:pPr>
        <w:pStyle w:val="RSCB02ArticleText"/>
      </w:pPr>
      <w:r>
        <w:t>T</w:t>
      </w:r>
      <w:r w:rsidR="00280717" w:rsidRPr="00280717">
        <w:t xml:space="preserve">he DFT-based theoretical calculations reveal that </w:t>
      </w:r>
      <w:r w:rsidR="00280717" w:rsidRPr="00FE478D">
        <w:t xml:space="preserve">both </w:t>
      </w:r>
      <w:r w:rsidR="00280717" w:rsidRPr="00FE478D">
        <w:rPr>
          <w:b/>
        </w:rPr>
        <w:t>Alkyne</w:t>
      </w:r>
      <w:r w:rsidR="00280717" w:rsidRPr="00FE478D">
        <w:rPr>
          <w:b/>
          <w:vertAlign w:val="subscript"/>
        </w:rPr>
        <w:t>0,17</w:t>
      </w:r>
      <w:r w:rsidR="00280717" w:rsidRPr="00FE478D">
        <w:rPr>
          <w:b/>
        </w:rPr>
        <w:t>-COF</w:t>
      </w:r>
      <w:r w:rsidR="00840D74" w:rsidRPr="00FE478D">
        <w:rPr>
          <w:b/>
        </w:rPr>
        <w:fldChar w:fldCharType="begin" w:fldLock="1"/>
      </w:r>
      <w:r w:rsidR="00976A58">
        <w:rPr>
          <w:b/>
        </w:rPr>
        <w:instrText>ADDIN CSL_CITATION {"citationItems":[{"id":"ITEM-1","itemData":{"DOI":"10.1038/nchem.2352","ISSN":"17554349","abstract":"The periodic layers and ordered nanochannels of covalent organic frameworks (COFs) make these materials viable open catalytic nanoreactors, but their low stability has precluded their practical implementation. Here we report the synthesis of a crystalline porous COF that is stable against water, strong acids and strong bases, and we demonstrate its utility as a material platform for structural design and functional development. We endowed a crystalline and porous imine-based COF with stability by incorporating methoxy groups into its pore walls to reinforce interlayer interactions. We subsequently converted the resulting achiral material into two distinct chiral organocatalysts, with the high crystallinity and porosity retained, by appending chiral centres and catalytically active sites on its channel walls. The COFs thus prepared combine catalytic activity, enantioselectivity and recyclability, which are attractive in heterogeneous organocatalysis, and were shown to promote asymmetric C-C bond formation in water under ambient conditions.","author":[{"dropping-particle":"","family":"Xu","given":"Hong","non-dropping-particle":"","parse-names":false,"suffix":""},{"dropping-particle":"","family":"Gao","given":"Jia","non-dropping-particle":"","parse-names":false,"suffix":""},{"dropping-particle":"","family":"Jiang","given":"Donglin","non-dropping-particle":"","parse-names":false,"suffix":""}],"container-title":"Nature Chemistry","id":"ITEM-1","issue":"11","issued":{"date-parts":[["2015"]]},"page":"905-912","publisher":"Nature Publishing Group","title":"Stable, crystalline, porous, covalent organic frameworks as a platform for chiral organocatalysts","type":"article-journal","volume":"7"},"uris":["http://www.mendeley.com/documents/?uuid=22620c7c-ee26-4f91-b988-13f39e6111b2"]}],"mendeley":{"formattedCitation":"&lt;sup&gt;41&lt;/sup&gt;","plainTextFormattedCitation":"41","previouslyFormattedCitation":"&lt;sup&gt;41&lt;/sup&gt;"},"properties":{"noteIndex":0},"schema":"https://github.com/citation-style-language/schema/raw/master/csl-citation.json"}</w:instrText>
      </w:r>
      <w:r w:rsidR="00840D74" w:rsidRPr="00FE478D">
        <w:rPr>
          <w:b/>
        </w:rPr>
        <w:fldChar w:fldCharType="separate"/>
      </w:r>
      <w:r w:rsidR="00976A58" w:rsidRPr="00976A58">
        <w:rPr>
          <w:noProof/>
          <w:vertAlign w:val="superscript"/>
        </w:rPr>
        <w:t>41</w:t>
      </w:r>
      <w:r w:rsidR="00840D74" w:rsidRPr="00FE478D">
        <w:rPr>
          <w:b/>
        </w:rPr>
        <w:fldChar w:fldCharType="end"/>
      </w:r>
      <w:r w:rsidR="00BE0527" w:rsidRPr="00FE478D">
        <w:rPr>
          <w:b/>
        </w:rPr>
        <w:t xml:space="preserve"> </w:t>
      </w:r>
      <w:r w:rsidR="00280717" w:rsidRPr="00FE478D">
        <w:t xml:space="preserve"> </w:t>
      </w:r>
      <w:r w:rsidR="00280717" w:rsidRPr="00280717">
        <w:t xml:space="preserve">and </w:t>
      </w:r>
      <w:r w:rsidR="00280717" w:rsidRPr="00280717">
        <w:rPr>
          <w:b/>
        </w:rPr>
        <w:t>NR</w:t>
      </w:r>
      <w:r w:rsidR="00280717" w:rsidRPr="00280717">
        <w:rPr>
          <w:b/>
          <w:vertAlign w:val="subscript"/>
        </w:rPr>
        <w:t>0,17</w:t>
      </w:r>
      <w:r w:rsidR="00280717" w:rsidRPr="00280717">
        <w:rPr>
          <w:b/>
        </w:rPr>
        <w:t>-COF</w:t>
      </w:r>
      <w:r w:rsidR="00280717" w:rsidRPr="00280717">
        <w:t xml:space="preserve"> bulk crystals exhibit hexagonal layered structures with </w:t>
      </w:r>
      <w:r w:rsidR="00280717" w:rsidRPr="00280717">
        <w:rPr>
          <w:i/>
          <w:iCs/>
        </w:rPr>
        <w:t>P-6</w:t>
      </w:r>
      <w:r w:rsidR="00280717" w:rsidRPr="00280717">
        <w:t xml:space="preserve"> symmetry, with fully-relaxed lattice parameters of a = b = 37.36 and 37.32 Å, and interlayer spacings of 3.54 and 3.62 Å, respectively</w:t>
      </w:r>
      <w:r w:rsidR="006F7B4E">
        <w:t xml:space="preserve"> </w:t>
      </w:r>
      <w:r w:rsidR="006F7B4E" w:rsidRPr="00D778BC">
        <w:t>(Fi</w:t>
      </w:r>
      <w:r w:rsidR="00D778BC" w:rsidRPr="00D778BC">
        <w:t>gs. S3-S4</w:t>
      </w:r>
      <w:r w:rsidR="006F7B4E" w:rsidRPr="00D778BC">
        <w:t>)</w:t>
      </w:r>
      <w:r w:rsidR="00280717" w:rsidRPr="00D778BC">
        <w:t>. Both</w:t>
      </w:r>
      <w:r w:rsidR="00280717" w:rsidRPr="00280717">
        <w:t xml:space="preserve"> optimized 3D crystal-bulk models show energetically preferential eclipsed (AA) stacking configurations, with favourable total energies 0.36 </w:t>
      </w:r>
      <w:r w:rsidR="00280717" w:rsidRPr="00280717">
        <w:t>(</w:t>
      </w:r>
      <w:r w:rsidR="00280717" w:rsidRPr="00280717">
        <w:rPr>
          <w:b/>
        </w:rPr>
        <w:t>Alkyne</w:t>
      </w:r>
      <w:r w:rsidR="00280717" w:rsidRPr="00280717">
        <w:rPr>
          <w:b/>
          <w:vertAlign w:val="subscript"/>
        </w:rPr>
        <w:t>0,17</w:t>
      </w:r>
      <w:r w:rsidR="00280717" w:rsidRPr="00280717">
        <w:rPr>
          <w:b/>
        </w:rPr>
        <w:t>-COF</w:t>
      </w:r>
      <w:r w:rsidR="00280717" w:rsidRPr="00280717">
        <w:t>) and 0.52 (</w:t>
      </w:r>
      <w:r w:rsidR="00280717" w:rsidRPr="00280717">
        <w:rPr>
          <w:b/>
        </w:rPr>
        <w:t>NR</w:t>
      </w:r>
      <w:r w:rsidR="00280717" w:rsidRPr="00280717">
        <w:rPr>
          <w:b/>
          <w:vertAlign w:val="subscript"/>
        </w:rPr>
        <w:t>0,17</w:t>
      </w:r>
      <w:r w:rsidR="00280717" w:rsidRPr="00280717">
        <w:rPr>
          <w:b/>
        </w:rPr>
        <w:t>-COF</w:t>
      </w:r>
      <w:r w:rsidR="00280717" w:rsidRPr="00280717">
        <w:t xml:space="preserve">) eV lower than their AB-stacked versions. We have also computed the 3D </w:t>
      </w:r>
      <w:proofErr w:type="spellStart"/>
      <w:r w:rsidR="00280717" w:rsidRPr="00280717">
        <w:t>isosurfaces</w:t>
      </w:r>
      <w:proofErr w:type="spellEnd"/>
      <w:r w:rsidR="00280717" w:rsidRPr="00280717">
        <w:t xml:space="preserve"> associated </w:t>
      </w:r>
      <w:r w:rsidR="00731040">
        <w:t>with</w:t>
      </w:r>
      <w:r w:rsidR="00280717" w:rsidRPr="00280717">
        <w:t xml:space="preserve"> their valence and conduction bands. It is important to remark that the </w:t>
      </w:r>
      <w:r w:rsidR="00280717" w:rsidRPr="00280717">
        <w:rPr>
          <w:b/>
        </w:rPr>
        <w:t>NR</w:t>
      </w:r>
      <w:r w:rsidR="00280717" w:rsidRPr="00280717">
        <w:rPr>
          <w:b/>
          <w:vertAlign w:val="subscript"/>
        </w:rPr>
        <w:t>0,17</w:t>
      </w:r>
      <w:r w:rsidR="00280717" w:rsidRPr="00280717">
        <w:rPr>
          <w:b/>
        </w:rPr>
        <w:t>-COF</w:t>
      </w:r>
      <w:r w:rsidR="00280717" w:rsidRPr="00280717">
        <w:t xml:space="preserve"> has its valence band located on the original COF </w:t>
      </w:r>
      <w:r w:rsidR="003E7ECF">
        <w:t>network</w:t>
      </w:r>
      <w:r w:rsidR="00280717" w:rsidRPr="00280717">
        <w:t xml:space="preserve">, while the conduction band is </w:t>
      </w:r>
      <w:r w:rsidR="0085624F">
        <w:t>mainly</w:t>
      </w:r>
      <w:r w:rsidR="00280717" w:rsidRPr="00280717">
        <w:t xml:space="preserve"> located on the </w:t>
      </w:r>
      <w:r w:rsidR="00280717" w:rsidRPr="00794D72">
        <w:rPr>
          <w:b/>
          <w:bCs/>
        </w:rPr>
        <w:t>NR</w:t>
      </w:r>
      <w:r w:rsidR="00280717" w:rsidRPr="00280717">
        <w:t xml:space="preserve"> unit. This finding </w:t>
      </w:r>
      <w:r w:rsidR="003F6046">
        <w:t>confirms</w:t>
      </w:r>
      <w:r w:rsidR="00280717" w:rsidRPr="00280717">
        <w:t xml:space="preserve"> the isolated and decoupled electronic character of the </w:t>
      </w:r>
      <w:r w:rsidR="00280717" w:rsidRPr="00794D72">
        <w:rPr>
          <w:b/>
          <w:bCs/>
        </w:rPr>
        <w:t>NR</w:t>
      </w:r>
      <w:r w:rsidR="00280717" w:rsidRPr="00280717">
        <w:t xml:space="preserve"> ligand with the rest of the </w:t>
      </w:r>
      <w:r w:rsidR="00280717" w:rsidRPr="00794D72">
        <w:rPr>
          <w:b/>
          <w:bCs/>
        </w:rPr>
        <w:t>NR</w:t>
      </w:r>
      <w:r w:rsidR="00794D72">
        <w:rPr>
          <w:b/>
          <w:bCs/>
          <w:vertAlign w:val="subscript"/>
        </w:rPr>
        <w:t>0,17</w:t>
      </w:r>
      <w:r w:rsidR="00280717" w:rsidRPr="00794D72">
        <w:rPr>
          <w:b/>
          <w:bCs/>
        </w:rPr>
        <w:t>-COF</w:t>
      </w:r>
      <w:r w:rsidR="00280717" w:rsidRPr="00280717">
        <w:t xml:space="preserve"> structure, which a priori should permit the profiting of its well-known </w:t>
      </w:r>
      <w:proofErr w:type="spellStart"/>
      <w:r w:rsidR="00280717" w:rsidRPr="00280717">
        <w:t>photoemissive</w:t>
      </w:r>
      <w:proofErr w:type="spellEnd"/>
      <w:r w:rsidR="00280717" w:rsidRPr="00280717">
        <w:t xml:space="preserve"> properties.</w:t>
      </w:r>
      <w:r w:rsidR="00280717" w:rsidRPr="00280717">
        <w:fldChar w:fldCharType="begin" w:fldLock="1"/>
      </w:r>
      <w:r w:rsidR="00976A58">
        <w:instrText>ADDIN CSL_CITATION {"citationItems":[{"id":"ITEM-1","itemData":{"DOI":"10.1002/chem.201601570","ISSN":"15213765","PMID":"27406265","abstract":"Nile red and Nile blue are highly fluorescent and photostable organic dyes from the benzo[a]phenoxazine family. They have been used as histological stains for imaging lysosomes and lipids in vitro. The dyes’ high quantum yields and solvent-dependent optical properties make them ideal scaffolds for the development of pH probes and local polarity indicators. Reviews of the literature in this area are scarce with only one review ever published in 2006. It has been 10 years since and the field has evolved. This review aims to expand upon topics covered by the previous reviewers and to report on recent advances in the literature. As authors, we hope to convey a sense of scope and to spark renewed interest in this useful niche of dye chemistry.","author":[{"dropping-particle":"","family":"Martinez","given":"Vincent","non-dropping-particle":"","parse-names":false,"suffix":""},{"dropping-particle":"","family":"Henary","given":"Maged","non-dropping-particle":"","parse-names":false,"suffix":""}],"container-title":"Chemistry - A European Journal","id":"ITEM-1","issue":"39","issued":{"date-parts":[["2016"]]},"page":"13764-13782","title":"Nile Red and Nile Blue: Applications and Syntheses of Structural Analogues","type":"article-journal","volume":"22"},"uris":["http://www.mendeley.com/documents/?uuid=ade4404c-65c8-45b0-8353-b227dec937db"]}],"mendeley":{"formattedCitation":"&lt;sup&gt;43&lt;/sup&gt;","plainTextFormattedCitation":"43","previouslyFormattedCitation":"&lt;sup&gt;43&lt;/sup&gt;"},"properties":{"noteIndex":0},"schema":"https://github.com/citation-style-language/schema/raw/master/csl-citation.json"}</w:instrText>
      </w:r>
      <w:r w:rsidR="00280717" w:rsidRPr="00280717">
        <w:fldChar w:fldCharType="separate"/>
      </w:r>
      <w:r w:rsidR="00976A58" w:rsidRPr="00976A58">
        <w:rPr>
          <w:noProof/>
          <w:vertAlign w:val="superscript"/>
        </w:rPr>
        <w:t>43</w:t>
      </w:r>
      <w:r w:rsidR="00280717" w:rsidRPr="00280717">
        <w:fldChar w:fldCharType="end"/>
      </w:r>
    </w:p>
    <w:p w14:paraId="085EBEF0" w14:textId="77777777" w:rsidR="00280717" w:rsidRPr="00BE0527" w:rsidRDefault="00280717" w:rsidP="00280717">
      <w:pPr>
        <w:pStyle w:val="RSCB02ArticleText"/>
      </w:pPr>
    </w:p>
    <w:p w14:paraId="33AA707D" w14:textId="77777777" w:rsidR="00382F3F" w:rsidRDefault="00382F3F" w:rsidP="005162F5">
      <w:pPr>
        <w:pStyle w:val="RSCB06BHeadingSub-Section"/>
      </w:pPr>
    </w:p>
    <w:p w14:paraId="4398F742" w14:textId="02528AFB" w:rsidR="005162F5" w:rsidRPr="00280717" w:rsidRDefault="00280717" w:rsidP="005162F5">
      <w:pPr>
        <w:pStyle w:val="RSCB06BHeadingSub-Section"/>
      </w:pPr>
      <w:r w:rsidRPr="00280717">
        <w:lastRenderedPageBreak/>
        <w:t>Exfoliation of the NR</w:t>
      </w:r>
      <w:r w:rsidRPr="00280717">
        <w:rPr>
          <w:vertAlign w:val="subscript"/>
        </w:rPr>
        <w:t>0,17</w:t>
      </w:r>
      <w:r w:rsidRPr="00280717">
        <w:t>-COF material and optical properties</w:t>
      </w:r>
    </w:p>
    <w:p w14:paraId="169C9F68" w14:textId="0B61481A" w:rsidR="0019117E" w:rsidRDefault="00280717" w:rsidP="00280717">
      <w:pPr>
        <w:pStyle w:val="RSCB02ArticleText"/>
      </w:pPr>
      <w:r w:rsidRPr="00280717">
        <w:rPr>
          <w:b/>
        </w:rPr>
        <w:t>NR</w:t>
      </w:r>
      <w:r w:rsidRPr="00280717">
        <w:rPr>
          <w:b/>
          <w:vertAlign w:val="subscript"/>
        </w:rPr>
        <w:t>0,17</w:t>
      </w:r>
      <w:r w:rsidRPr="00280717">
        <w:rPr>
          <w:b/>
        </w:rPr>
        <w:t xml:space="preserve">-COF </w:t>
      </w:r>
      <w:r w:rsidRPr="00280717">
        <w:rPr>
          <w:bCs/>
        </w:rPr>
        <w:t>presents red colour in the solid</w:t>
      </w:r>
      <w:r w:rsidR="00025C42">
        <w:rPr>
          <w:bCs/>
        </w:rPr>
        <w:t>-</w:t>
      </w:r>
      <w:r w:rsidRPr="00280717">
        <w:rPr>
          <w:bCs/>
        </w:rPr>
        <w:t>state due to the presence of the Nile red moieties</w:t>
      </w:r>
      <w:r w:rsidR="009114BD">
        <w:rPr>
          <w:bCs/>
        </w:rPr>
        <w:t>.</w:t>
      </w:r>
      <w:r w:rsidRPr="00280717">
        <w:rPr>
          <w:bCs/>
        </w:rPr>
        <w:t xml:space="preserve"> However, the material is barely fluorescent, which is attributed to the strong π-π interactions between the COF layers that effectively quench the emission</w:t>
      </w:r>
      <w:r w:rsidRPr="00280717">
        <w:t>.</w:t>
      </w:r>
      <w:r w:rsidRPr="00280717">
        <w:fldChar w:fldCharType="begin" w:fldLock="1"/>
      </w:r>
      <w:r w:rsidR="00976A58">
        <w:instrText>ADDIN CSL_CITATION {"citationItems":[{"id":"ITEM-1","itemData":{"DOI":"10.1016/j.mtener.2020.100635","ISSN":"24686069","abstract":"As an emerging class of crystalline materials, covalent organic frameworks (COFs) have drawn numerous attentions owing to their light weight and highly ordered porous structure. Compared with one-dimensional conjugated polymers, conjugated COFs are able to extend the conjugation in two- or even three-dimensional directions, which endows them as promising candidates of light-emitting materials. In this review, the recent progress in photoluminescent COFs will be discussed from the mechanisms to the proposed design strategies and finally to the corresponding applications. Most recent developments (especially from 2019 to now) will be highlighted. Moreover, the summary and perspective of COFs as light-emitting materials will be presented, aiming to provide some guidelines for the development of luminescent COFs.","author":[{"dropping-particle":"","family":"Xu","given":"S.","non-dropping-particle":"","parse-names":false,"suffix":""},{"dropping-particle":"","family":"Zhang","given":"Q.","non-dropping-particle":"","parse-names":false,"suffix":""}],"container-title":"Materials Today Energy","id":"ITEM-1","issued":{"date-parts":[["2021"]]},"page":"100635","title":"Recent progress in covalent organic frameworks as light-emitting materials","type":"article-journal","volume":"20"},"uris":["http://www.mendeley.com/documents/?uuid=6f2b5a21-43ad-463f-8209-c691cb0c675b"]},{"id":"ITEM-2","itemData":{"DOI":"10.1002/chem.202001105","ISSN":"15213765","PMID":"32320099","abstract":"Covalent organic frameworks (COFs) are an emerging kind of crystalline porous polymers that present the precise integration of organic building blocks into extensible structures with regular pores and periodic skeletons. The diversity of organic units and covalent linkages makes COFs a rising materials platform for the design of structure and functionality. Herein, recent research progress in developing COFs for photoluminescent materials is summarised. Structural and functional design strategies are highlighted and fundamental problems that need to be solved are identified, in conjunction with potential applications from perspectives of photoluminescent materials.","author":[{"dropping-particle":"","family":"Zeng","given":"Jin Yue","non-dropping-particle":"","parse-names":false,"suffix":""},{"dropping-particle":"","family":"Wang","given":"Xiao Shuang","non-dropping-particle":"","parse-names":false,"suffix":""},{"dropping-particle":"","family":"Zhang","given":"Xian Zheng","non-dropping-particle":"","parse-names":false,"suffix":""}],"container-title":"Chemistry - A European Journal","id":"ITEM-2","issue":"70","issued":{"date-parts":[["2020"]]},"page":"16568-16581","title":"Research Progress in Covalent Organic Frameworks for Photoluminescent Materials","type":"article-journal","volume":"26"},"uris":["http://www.mendeley.com/documents/?uuid=aa68a775-7139-4e83-8f07-b10dedbb0373"]}],"mendeley":{"formattedCitation":"&lt;sup&gt;18,19&lt;/sup&gt;","plainTextFormattedCitation":"18,19","previouslyFormattedCitation":"&lt;sup&gt;18,19&lt;/sup&gt;"},"properties":{"noteIndex":0},"schema":"https://github.com/citation-style-language/schema/raw/master/csl-citation.json"}</w:instrText>
      </w:r>
      <w:r w:rsidRPr="00280717">
        <w:fldChar w:fldCharType="separate"/>
      </w:r>
      <w:r w:rsidR="00976A58" w:rsidRPr="00976A58">
        <w:rPr>
          <w:noProof/>
          <w:vertAlign w:val="superscript"/>
        </w:rPr>
        <w:t>18,19</w:t>
      </w:r>
      <w:r w:rsidRPr="00280717">
        <w:fldChar w:fldCharType="end"/>
      </w:r>
      <w:r w:rsidRPr="00280717">
        <w:t xml:space="preserve"> An effective way to overcome this aggregation-caused quenching in </w:t>
      </w:r>
      <w:r w:rsidR="00014E67">
        <w:t xml:space="preserve">imine-based </w:t>
      </w:r>
      <w:r w:rsidRPr="00280717">
        <w:t>COFs is the delamination of the bulk material to obtain emissive covalent organic nanosheets (CONs).</w:t>
      </w:r>
      <w:r w:rsidRPr="00280717">
        <w:fldChar w:fldCharType="begin" w:fldLock="1"/>
      </w:r>
      <w:r w:rsidR="00976A58">
        <w:instrText>ADDIN CSL_CITATION {"citationItems":[{"id":"ITEM-1","itemData":{"DOI":"10.1021/acsami.6b16423","ISSN":"19448252","PMID":"28375606","abstract":"A new fluorescent polyimide covalent organic framework (PI-COF) has been successfully synthesized through solvothermal route using tetra(4-aminophenyl) porphyrin and perylenetracarboxylic dianhydride, which possesses porous crystalline and excellent thermal stability (&gt;500 °C). Furthermore, few-layered PI covalent organic nanosheets (PI-CONs) can be easily obtained from the fluorescent PI-COF through a facile liquid phase exfoliation approach, which were confirmed by atomic force microscopy and transmission electron microscopy analysis. It is interesting that the fluorescent intensity of PI-CONs is obviously enhanced relative to that of PI-COF. The PI-CONs have been successfully utilized as an efficient fluorescent probe for the highly sensitive and selective detection of 2,4,6-trinitrophenol (TNP). The mechanism might be attributed to the combination of electron transfer and inner filter effect based on DFT calculations and spectral overlap data. The system exhibits a good linear response toward TNP over the range from 0.5 to 10 μM with a detection limit of 0.25 μM.","author":[{"dropping-particle":"","family":"Zhang","given":"Cuiling","non-dropping-particle":"","parse-names":false,"suffix":""},{"dropping-particle":"","family":"Zhang","given":"Shiming","non-dropping-particle":"","parse-names":false,"suffix":""},{"dropping-particle":"","family":"Yan","given":"Yinghan","non-dropping-particle":"","parse-names":false,"suffix":""},{"dropping-particle":"","family":"Xia","given":"Fei","non-dropping-particle":"","parse-names":false,"suffix":""},{"dropping-particle":"","family":"Huang","given":"Anni","non-dropping-particle":"","parse-names":false,"suffix":""},{"dropping-particle":"","family":"Xian","given":"Yuezhong","non-dropping-particle":"","parse-names":false,"suffix":""}],"container-title":"ACS Applied Materials and Interfaces","id":"ITEM-1","issue":"15","issued":{"date-parts":[["2017"]]},"page":"13415-13421","title":"Highly Fluorescent Polyimide Covalent Organic Nanosheets as Sensing Probes for the Detection of 2,4,6-Trinitrophenol","type":"article-journal","volume":"9"},"uris":["http://www.mendeley.com/documents/?uuid=e97eb36b-5ceb-490e-9481-18dc3f155127"]}],"mendeley":{"formattedCitation":"&lt;sup&gt;22&lt;/sup&gt;","plainTextFormattedCitation":"22","previouslyFormattedCitation":"&lt;sup&gt;22&lt;/sup&gt;"},"properties":{"noteIndex":0},"schema":"https://github.com/citation-style-language/schema/raw/master/csl-citation.json"}</w:instrText>
      </w:r>
      <w:r w:rsidRPr="00280717">
        <w:fldChar w:fldCharType="separate"/>
      </w:r>
      <w:r w:rsidR="00976A58" w:rsidRPr="00976A58">
        <w:rPr>
          <w:noProof/>
          <w:vertAlign w:val="superscript"/>
        </w:rPr>
        <w:t>22</w:t>
      </w:r>
      <w:r w:rsidRPr="00280717">
        <w:fldChar w:fldCharType="end"/>
      </w:r>
      <w:r w:rsidRPr="00280717">
        <w:t xml:space="preserve"> Among all the exfoliation methods, we decide to compare the conventional ultrasonic-assisted method (UAM) with the recently reported acid self-exfoliation (ASE) of imine-linked COFs,</w:t>
      </w:r>
      <w:r w:rsidRPr="00280717">
        <w:fldChar w:fldCharType="begin" w:fldLock="1"/>
      </w:r>
      <w:r w:rsidR="00976A58">
        <w:instrText>ADDIN CSL_CITATION {"citationItems":[{"id":"ITEM-1","itemData":{"DOI":"10.1002/chem.202000837","ISSN":"15213765","PMID":"32333483","abstract":"Layered/two-dimensional covalent organic frameworks (2D COF) are crystalline porous materials composed of light elements linked by strong covalent bonds. Interlayer force is one of the main factors directing the formation of a stacked layer structure, which plays a vital role in the stability, crystallinity, and porosity of layered COFs. The as-developed new way to modulate the interlayer force of imine-linked 2D TAPB-PDA-COF (TAPB = 1,3,5-tris(4-aminophenyl)benzene, PDA = terephthaldehyde) by only adjusting the pH of the solution. At alkaline and neutral pH, the pore size of the COF decreases from 34 Å due to the turbostratic effect. Under highly acidic conditions (pH 1), TAPB-PDA-COF shows a faster and stronger turbostratic effect, thus causing the 2D structure to exfoliate. This yields bulk quantities of an exfoliated few/single-layer 2D COF, which was well dispersed and displayed a clear Tyndall effect (TE). Furthermore, nanopipette-based electrochemical testing also confirms the slipping of layers with increase towards acidic pH. A model of pH-dependent layer slipping of TAPB-PDA-COF was proposed. This controllable pH-dependent change in the layer structure may open a new door for potential applications in controlled gas adsorption/desorption and drug loading/releasing.","author":[{"dropping-particle":"","family":"Ahmed","given":"Saud Asif","non-dropping-particle":"","parse-names":false,"suffix":""},{"dropping-particle":"","family":"Liao","given":"Qiao Bo","non-dropping-particle":"","parse-names":false,"suffix":""},{"dropping-particle":"","family":"Shen","given":"Qi","non-dropping-particle":"","parse-names":false,"suffix":""},{"dropping-particle":"","family":"Ashraf Baig","given":"Mirza Muhammad Faran","non-dropping-particle":"","parse-names":false,"suffix":""},{"dropping-particle":"","family":"Zhou","given":"Juan","non-dropping-particle":"","parse-names":false,"suffix":""},{"dropping-particle":"","family":"Shi","given":"Cai Feng","non-dropping-particle":"","parse-names":false,"suffix":""},{"dropping-particle":"","family":"Muhammad","given":"Pir","non-dropping-particle":"","parse-names":false,"suffix":""},{"dropping-particle":"","family":"Hanif","given":"Sumaira","non-dropping-particle":"","parse-names":false,"suffix":""},{"dropping-particle":"","family":"Xi","given":"Kai","non-dropping-particle":"","parse-names":false,"suffix":""},{"dropping-particle":"","family":"Xia","given":"Xing Hua","non-dropping-particle":"","parse-names":false,"suffix":""},{"dropping-particle":"","family":"Wang","given":"Kang","non-dropping-particle":"","parse-names":false,"suffix":""}],"container-title":"Chemistry - A European Journal","id":"ITEM-1","issue":"57","issued":{"date-parts":[["2020"]]},"page":"12996-13001","title":"pH-Dependent Slipping and Exfoliation of Layered Covalent Organic Framework","type":"article-journal","volume":"26"},"uris":["http://www.mendeley.com/documents/?uuid=9d98436a-2d07-452c-8a68-f56311fcf346"]},{"id":"ITEM-2","itemData":{"DOI":"10.1002/anie.201913975","ISSN":"15213773","PMID":"31872540","abstract":"Covalent organic frameworks (COFs) are highly modular porous crystalline polymers that are of interest for applications such as charge-storage devices, nanofiltration membranes, and optoelectronic devices. COFs are typically synthesized as microcrystalline powders, which limits their performance in these applications, and their limited solubility precludes large-scale processing into more useful morphologies and devices. We report a general, scalable method to exfoliate two-dimensional imine-linked COF powders by temporarily protonating their linkages. The resulting suspensions were cast into continuous crystalline COF films up to 10 cm in diameter, with thicknesses ranging from 50 nm to 20 μm depending on the suspension composition, concentration, and casting protocol. Furthermore, we demonstrate that the film fabrication process proceeds through a partial depolymerization/repolymerization mechanism, providing mechanically robust films that can be easily separated from their substrates.","author":[{"dropping-particle":"","family":"Burke","given":"David W.","non-dropping-particle":"","parse-names":false,"suffix":""},{"dropping-particle":"","family":"Sun","given":"Chao","non-dropping-particle":"","parse-names":false,"suffix":""},{"dropping-particle":"","family":"Castano","given":"Ioannina","non-dropping-particle":"","parse-names":false,"suffix":""},{"dropping-particle":"","family":"Flanders","given":"Nathan C.","non-dropping-particle":"","parse-names":false,"suffix":""},{"dropping-particle":"","family":"Evans","given":"Austin M.","non-dropping-particle":"","parse-names":false,"suffix":""},{"dropping-particle":"","family":"Vitaku","given":"Edon","non-dropping-particle":"","parse-names":false,"suffix":""},{"dropping-particle":"","family":"McLeod","given":"David C.","non-dropping-particle":"","parse-names":false,"suffix":""},{"dropping-particle":"","family":"Lambeth","given":"Robert H.","non-dropping-particle":"","parse-names":false,"suffix":""},{"dropping-particle":"","family":"Chen","given":"Lin X.","non-dropping-particle":"","parse-names":false,"suffix":""},{"dropping-particle":"","family":"Gianneschi","given":"Nathan C.","non-dropping-particle":"","parse-names":false,"suffix":""},{"dropping-particle":"","family":"Dichtel","given":"William R.","non-dropping-particle":"","parse-names":false,"suffix":""}],"container-title":"Angewandte Chemie - International Edition","id":"ITEM-2","issue":"13","issued":{"date-parts":[["2020"]]},"page":"5165-5171","title":"Acid Exfoliation of Imine-linked Covalent Organic Frameworks Enables Solution Processing into Crystalline Thin Films","type":"article-journal","volume":"59"},"uris":["http://www.mendeley.com/documents/?uuid=c258433f-2793-4210-b79f-e7022848efcf"]}],"mendeley":{"formattedCitation":"&lt;sup&gt;48,49&lt;/sup&gt;","plainTextFormattedCitation":"48,49","previouslyFormattedCitation":"&lt;sup&gt;48,49&lt;/sup&gt;"},"properties":{"noteIndex":0},"schema":"https://github.com/citation-style-language/schema/raw/master/csl-citation.json"}</w:instrText>
      </w:r>
      <w:r w:rsidRPr="00280717">
        <w:fldChar w:fldCharType="separate"/>
      </w:r>
      <w:r w:rsidR="00976A58" w:rsidRPr="00976A58">
        <w:rPr>
          <w:noProof/>
          <w:vertAlign w:val="superscript"/>
        </w:rPr>
        <w:t>48,49</w:t>
      </w:r>
      <w:r w:rsidRPr="00280717">
        <w:fldChar w:fldCharType="end"/>
      </w:r>
      <w:r w:rsidRPr="00280717">
        <w:t xml:space="preserve"> which is basically based on the electrostatic repulsion between COF layers due to the protonation of the imine groups in acidic medium. In this regard, our functionalized COF combines the presence of imine groups in the </w:t>
      </w:r>
      <w:r w:rsidR="009D48E6">
        <w:t>core structure</w:t>
      </w:r>
      <w:r w:rsidRPr="00280717">
        <w:t xml:space="preserve"> together with Nile Red moieties in the COF pores that also present nitrogen atoms </w:t>
      </w:r>
      <w:r w:rsidR="00382F3F">
        <w:t xml:space="preserve">that can </w:t>
      </w:r>
      <w:r w:rsidRPr="00280717">
        <w:t>be protonated (</w:t>
      </w:r>
      <w:proofErr w:type="spellStart"/>
      <w:r w:rsidRPr="00280717">
        <w:t>p</w:t>
      </w:r>
      <w:r w:rsidRPr="00280717">
        <w:rPr>
          <w:i/>
          <w:iCs/>
        </w:rPr>
        <w:t>K</w:t>
      </w:r>
      <w:r w:rsidRPr="00280717">
        <w:rPr>
          <w:vertAlign w:val="subscript"/>
        </w:rPr>
        <w:t>a</w:t>
      </w:r>
      <w:proofErr w:type="spellEnd"/>
      <w:r w:rsidRPr="00280717">
        <w:t xml:space="preserve"> &gt; 6),</w:t>
      </w:r>
      <w:r w:rsidRPr="00280717">
        <w:fldChar w:fldCharType="begin" w:fldLock="1"/>
      </w:r>
      <w:r w:rsidR="00976A58">
        <w:instrText>ADDIN CSL_CITATION {"citationItems":[{"id":"ITEM-1","itemData":{"DOI":"10.1016/j.jcis.2005.04.109","ISSN":"00219797","PMID":"15975588","abstract":"The interaction between the anionic surfactant, sodium dodecyl sulfate, and the polyelectrolyte, poly(diallyldimethylammonium chloride), may lead to formation of nanoparticles dispersed in water. The morphology of the resulting nanoparticles and their ability to solubilize hydrophobic molecules were evaluated. As shown by SEM and AFM imaging, the particles are spherical, having a diameter of about 20 nm. The solubilization within the nanoparticles was tested with pyrene, a fluorescence probe, and Nile Red, a solvatochromic probe. It was found that for Nile Red the solubilization within the nanoparticles is at lower polarity than for SDS micelles, and from pyrene solubilization it appears that the hydrophobicity of the nanoparticles depends on the ratio between the SDS molecules and the charge unit of the polymer. © 2005 Elsevier Inc. All rights reserved.","author":[{"dropping-particle":"","family":"Nizri","given":"Gilat","non-dropping-particle":"","parse-names":false,"suffix":""},{"dropping-particle":"","family":"Magdassi","given":"Shlomo","non-dropping-particle":"","parse-names":false,"suffix":""}],"container-title":"Journal of Colloid and Interface Science","id":"ITEM-1","issue":"1","issued":{"date-parts":[["2005"]]},"page":"169-174","title":"Solubilization of hydrophobic molecules in nanoparticles formed by polymer-surfactant interactions","type":"article-journal","volume":"291"},"uris":["http://www.mendeley.com/documents/?uuid=6b8efee8-df7a-4000-ade5-0e60de21a34c"]}],"mendeley":{"formattedCitation":"&lt;sup&gt;50&lt;/sup&gt;","plainTextFormattedCitation":"50","previouslyFormattedCitation":"&lt;sup&gt;50&lt;/sup&gt;"},"properties":{"noteIndex":0},"schema":"https://github.com/citation-style-language/schema/raw/master/csl-citation.json"}</w:instrText>
      </w:r>
      <w:r w:rsidRPr="00280717">
        <w:fldChar w:fldCharType="separate"/>
      </w:r>
      <w:r w:rsidR="00976A58" w:rsidRPr="00976A58">
        <w:rPr>
          <w:noProof/>
          <w:vertAlign w:val="superscript"/>
        </w:rPr>
        <w:t>50</w:t>
      </w:r>
      <w:r w:rsidRPr="00280717">
        <w:fldChar w:fldCharType="end"/>
      </w:r>
      <w:r w:rsidRPr="00280717">
        <w:t xml:space="preserve"> and, therefore, are expected to facilitate the acid self-exfoliation. </w:t>
      </w:r>
    </w:p>
    <w:p w14:paraId="693EEF2E" w14:textId="3F134808" w:rsidR="001967E0" w:rsidRDefault="00382F3F" w:rsidP="00280717">
      <w:pPr>
        <w:pStyle w:val="RSCB02ArticleText"/>
        <w:rPr>
          <w:bCs/>
        </w:rPr>
      </w:pPr>
      <w:r>
        <w:t>Although the f</w:t>
      </w:r>
      <w:r w:rsidR="001967E0" w:rsidRPr="00280717">
        <w:t xml:space="preserve">irst attempts of exfoliation were </w:t>
      </w:r>
      <w:r w:rsidR="00BE3B09">
        <w:t>carried out</w:t>
      </w:r>
      <w:r w:rsidR="001967E0" w:rsidRPr="00280717">
        <w:t xml:space="preserve"> in water (ESI for details)</w:t>
      </w:r>
      <w:r>
        <w:t xml:space="preserve">, </w:t>
      </w:r>
      <w:r w:rsidR="001967E0" w:rsidRPr="00280717">
        <w:t xml:space="preserve">the low yield of exfoliation obtained in pure water as well as the poor emission of Nile Red in this solvent, prompted us to study the exfoliation of the </w:t>
      </w:r>
      <w:r w:rsidR="000C492F" w:rsidRPr="00280717">
        <w:rPr>
          <w:b/>
        </w:rPr>
        <w:t>NR</w:t>
      </w:r>
      <w:r w:rsidR="000C492F" w:rsidRPr="00280717">
        <w:rPr>
          <w:b/>
          <w:vertAlign w:val="subscript"/>
        </w:rPr>
        <w:t>0,17</w:t>
      </w:r>
      <w:r w:rsidR="000C492F" w:rsidRPr="00280717">
        <w:rPr>
          <w:b/>
        </w:rPr>
        <w:t>-COF</w:t>
      </w:r>
      <w:r w:rsidR="001967E0" w:rsidRPr="00280717">
        <w:t xml:space="preserve"> in several organic solvent/water mixtures. </w:t>
      </w:r>
      <w:r w:rsidR="00EE4406">
        <w:t>Specifically</w:t>
      </w:r>
      <w:r w:rsidR="001967E0" w:rsidRPr="00280717">
        <w:t xml:space="preserve">, ultrasonic-assisted (UAM) and acid-assisted (ASE) delamination of </w:t>
      </w:r>
      <w:r w:rsidR="001967E0" w:rsidRPr="00280717">
        <w:rPr>
          <w:b/>
        </w:rPr>
        <w:t>NR</w:t>
      </w:r>
      <w:r w:rsidR="001967E0" w:rsidRPr="00280717">
        <w:rPr>
          <w:b/>
          <w:vertAlign w:val="subscript"/>
        </w:rPr>
        <w:t>0,17</w:t>
      </w:r>
      <w:r w:rsidR="001967E0" w:rsidRPr="00280717">
        <w:rPr>
          <w:b/>
        </w:rPr>
        <w:t xml:space="preserve">-COF </w:t>
      </w:r>
      <w:r w:rsidR="001967E0" w:rsidRPr="00280717">
        <w:rPr>
          <w:bCs/>
        </w:rPr>
        <w:t xml:space="preserve">was performed in three THF/water mixtures with different solvents </w:t>
      </w:r>
      <w:r w:rsidR="001967E0">
        <w:rPr>
          <w:bCs/>
        </w:rPr>
        <w:t>ratios</w:t>
      </w:r>
      <w:r w:rsidR="001967E0" w:rsidRPr="00280717">
        <w:rPr>
          <w:bCs/>
        </w:rPr>
        <w:t xml:space="preserve"> (9/1, 7/3 and 3/7, v/v). For the ASE procedure, 1 mg of </w:t>
      </w:r>
      <w:r w:rsidR="001967E0" w:rsidRPr="00280717">
        <w:rPr>
          <w:b/>
        </w:rPr>
        <w:t>NR</w:t>
      </w:r>
      <w:r w:rsidR="001967E0" w:rsidRPr="00280717">
        <w:rPr>
          <w:b/>
          <w:vertAlign w:val="subscript"/>
        </w:rPr>
        <w:t>0,17</w:t>
      </w:r>
      <w:r w:rsidR="001967E0" w:rsidRPr="00280717">
        <w:rPr>
          <w:b/>
        </w:rPr>
        <w:t xml:space="preserve">-COF </w:t>
      </w:r>
      <w:r w:rsidR="004B6FF6">
        <w:rPr>
          <w:bCs/>
        </w:rPr>
        <w:t>was</w:t>
      </w:r>
      <w:r w:rsidR="001967E0" w:rsidRPr="00280717">
        <w:rPr>
          <w:bCs/>
        </w:rPr>
        <w:t xml:space="preserve"> suspended in the THF/H</w:t>
      </w:r>
      <w:r w:rsidR="001967E0" w:rsidRPr="00280717">
        <w:rPr>
          <w:bCs/>
          <w:vertAlign w:val="subscript"/>
        </w:rPr>
        <w:t>2</w:t>
      </w:r>
      <w:r w:rsidR="001967E0" w:rsidRPr="00280717">
        <w:rPr>
          <w:bCs/>
        </w:rPr>
        <w:t>O mixture and acidulated with 1.1 µL of a 36</w:t>
      </w:r>
      <w:r w:rsidR="001967E0">
        <w:rPr>
          <w:bCs/>
        </w:rPr>
        <w:t xml:space="preserve"> </w:t>
      </w:r>
      <w:r w:rsidR="001967E0" w:rsidRPr="00280717">
        <w:rPr>
          <w:bCs/>
        </w:rPr>
        <w:t>% HCl solution per mL of total mixture. The colloidal nature of the COF suspensions was corroborated by Tyndall effect</w:t>
      </w:r>
      <w:r w:rsidR="00915566">
        <w:rPr>
          <w:bCs/>
        </w:rPr>
        <w:t xml:space="preserve"> </w:t>
      </w:r>
      <w:r w:rsidR="001967E0" w:rsidRPr="00280717">
        <w:rPr>
          <w:bCs/>
        </w:rPr>
        <w:t xml:space="preserve">upon irradiation with a laser </w:t>
      </w:r>
      <w:r w:rsidR="001967E0" w:rsidRPr="00642FFC">
        <w:rPr>
          <w:bCs/>
        </w:rPr>
        <w:t xml:space="preserve">beam </w:t>
      </w:r>
      <w:r w:rsidR="00AE6D00" w:rsidRPr="00642FFC">
        <w:rPr>
          <w:bCs/>
        </w:rPr>
        <w:t>(Fig. S12)</w:t>
      </w:r>
      <w:r w:rsidR="00AE6D00" w:rsidRPr="00280717">
        <w:rPr>
          <w:bCs/>
        </w:rPr>
        <w:t xml:space="preserve"> </w:t>
      </w:r>
      <w:r w:rsidR="001967E0" w:rsidRPr="00280717">
        <w:rPr>
          <w:bCs/>
        </w:rPr>
        <w:t xml:space="preserve">and the solutions were separated from the non-exfoliated solid by centrifugation. AFM analysis revealed </w:t>
      </w:r>
      <w:r>
        <w:rPr>
          <w:bCs/>
        </w:rPr>
        <w:t>an</w:t>
      </w:r>
      <w:r w:rsidR="001967E0" w:rsidRPr="00280717">
        <w:rPr>
          <w:bCs/>
        </w:rPr>
        <w:t xml:space="preserve"> average particle height</w:t>
      </w:r>
      <w:r>
        <w:rPr>
          <w:bCs/>
        </w:rPr>
        <w:t xml:space="preserve"> of</w:t>
      </w:r>
      <w:r w:rsidR="001967E0" w:rsidRPr="00280717">
        <w:rPr>
          <w:bCs/>
        </w:rPr>
        <w:t xml:space="preserve"> </w:t>
      </w:r>
      <w:r w:rsidR="00CC51D6" w:rsidRPr="00382F3F">
        <w:rPr>
          <w:bCs/>
          <w:i/>
          <w:iCs/>
        </w:rPr>
        <w:t>ca</w:t>
      </w:r>
      <w:r w:rsidR="00CC51D6">
        <w:rPr>
          <w:bCs/>
        </w:rPr>
        <w:t>.</w:t>
      </w:r>
      <w:r w:rsidR="001967E0" w:rsidRPr="00280717">
        <w:rPr>
          <w:bCs/>
        </w:rPr>
        <w:t xml:space="preserve"> 12 nm for the CONs</w:t>
      </w:r>
      <w:r w:rsidR="0058352A">
        <w:rPr>
          <w:bCs/>
        </w:rPr>
        <w:t xml:space="preserve"> delaminated by ASE</w:t>
      </w:r>
      <w:r w:rsidR="001967E0" w:rsidRPr="00280717">
        <w:rPr>
          <w:bCs/>
        </w:rPr>
        <w:t xml:space="preserve"> </w:t>
      </w:r>
      <w:r w:rsidR="001967E0" w:rsidRPr="00D969E2">
        <w:rPr>
          <w:bCs/>
        </w:rPr>
        <w:t>and up to</w:t>
      </w:r>
      <w:r w:rsidR="001967E0" w:rsidRPr="00280717">
        <w:rPr>
          <w:bCs/>
        </w:rPr>
        <w:t xml:space="preserve"> 25 nm for </w:t>
      </w:r>
      <w:r w:rsidR="0058352A">
        <w:rPr>
          <w:bCs/>
        </w:rPr>
        <w:t xml:space="preserve">those delaminated by </w:t>
      </w:r>
      <w:r w:rsidR="001967E0" w:rsidRPr="00280717">
        <w:rPr>
          <w:bCs/>
        </w:rPr>
        <w:t>UAM (</w:t>
      </w:r>
      <w:r w:rsidR="001967E0">
        <w:rPr>
          <w:bCs/>
        </w:rPr>
        <w:t>Fig.</w:t>
      </w:r>
      <w:r w:rsidR="001967E0" w:rsidRPr="00280717">
        <w:rPr>
          <w:bCs/>
        </w:rPr>
        <w:t xml:space="preserve"> </w:t>
      </w:r>
      <w:r w:rsidR="001967E0">
        <w:rPr>
          <w:bCs/>
        </w:rPr>
        <w:t>2</w:t>
      </w:r>
      <w:r w:rsidR="001967E0" w:rsidRPr="00280717">
        <w:rPr>
          <w:bCs/>
        </w:rPr>
        <w:t xml:space="preserve">a and </w:t>
      </w:r>
      <w:r w:rsidR="001967E0">
        <w:rPr>
          <w:bCs/>
        </w:rPr>
        <w:t>2</w:t>
      </w:r>
      <w:r w:rsidR="001967E0" w:rsidRPr="00280717">
        <w:rPr>
          <w:bCs/>
        </w:rPr>
        <w:t xml:space="preserve">b, </w:t>
      </w:r>
      <w:r w:rsidR="001967E0" w:rsidRPr="00CD5CB2">
        <w:rPr>
          <w:bCs/>
        </w:rPr>
        <w:t xml:space="preserve">Table </w:t>
      </w:r>
      <w:r w:rsidR="001D488D" w:rsidRPr="00CD5CB2">
        <w:rPr>
          <w:bCs/>
        </w:rPr>
        <w:t>S</w:t>
      </w:r>
      <w:r w:rsidR="001967E0" w:rsidRPr="00CD5CB2">
        <w:rPr>
          <w:bCs/>
        </w:rPr>
        <w:t>1</w:t>
      </w:r>
      <w:r w:rsidR="001967E0" w:rsidRPr="00280717">
        <w:rPr>
          <w:bCs/>
        </w:rPr>
        <w:t xml:space="preserve"> and </w:t>
      </w:r>
      <w:r w:rsidR="001967E0">
        <w:rPr>
          <w:bCs/>
        </w:rPr>
        <w:t>Fig.</w:t>
      </w:r>
      <w:r w:rsidR="001967E0" w:rsidRPr="00280717">
        <w:rPr>
          <w:bCs/>
        </w:rPr>
        <w:t xml:space="preserve"> S</w:t>
      </w:r>
      <w:r w:rsidR="00733247">
        <w:rPr>
          <w:bCs/>
        </w:rPr>
        <w:t>13</w:t>
      </w:r>
      <w:r w:rsidR="001967E0" w:rsidRPr="00280717">
        <w:rPr>
          <w:bCs/>
        </w:rPr>
        <w:t>-S1</w:t>
      </w:r>
      <w:r w:rsidR="006029CE">
        <w:rPr>
          <w:bCs/>
        </w:rPr>
        <w:t>8</w:t>
      </w:r>
      <w:r w:rsidR="001967E0" w:rsidRPr="00280717">
        <w:rPr>
          <w:bCs/>
        </w:rPr>
        <w:t xml:space="preserve"> in ESI). Generally, more </w:t>
      </w:r>
      <w:proofErr w:type="gramStart"/>
      <w:r w:rsidR="001967E0" w:rsidRPr="00280717">
        <w:rPr>
          <w:bCs/>
        </w:rPr>
        <w:t>homogeneous</w:t>
      </w:r>
      <w:proofErr w:type="gramEnd"/>
      <w:r w:rsidR="001967E0" w:rsidRPr="00280717">
        <w:rPr>
          <w:bCs/>
        </w:rPr>
        <w:t xml:space="preserve"> and thinner particles were observed for the </w:t>
      </w:r>
      <w:r w:rsidR="0058352A">
        <w:rPr>
          <w:bCs/>
        </w:rPr>
        <w:t xml:space="preserve">CONs delaminated by </w:t>
      </w:r>
      <w:r w:rsidR="001967E0" w:rsidRPr="00280717">
        <w:rPr>
          <w:bCs/>
        </w:rPr>
        <w:t xml:space="preserve">ASE </w:t>
      </w:r>
      <w:r w:rsidR="0058352A">
        <w:rPr>
          <w:bCs/>
        </w:rPr>
        <w:t>in</w:t>
      </w:r>
      <w:r w:rsidR="001967E0" w:rsidRPr="00280717">
        <w:rPr>
          <w:bCs/>
        </w:rPr>
        <w:t xml:space="preserve"> 3/7 and 7/3 (THF/water) </w:t>
      </w:r>
      <w:r w:rsidR="0058352A">
        <w:rPr>
          <w:bCs/>
        </w:rPr>
        <w:t xml:space="preserve">mixtures </w:t>
      </w:r>
      <w:r w:rsidR="001967E0" w:rsidRPr="00280717">
        <w:rPr>
          <w:bCs/>
        </w:rPr>
        <w:t xml:space="preserve">in </w:t>
      </w:r>
      <w:r w:rsidR="0058352A">
        <w:rPr>
          <w:bCs/>
        </w:rPr>
        <w:t xml:space="preserve">comparison with that delaminated in a </w:t>
      </w:r>
      <w:r w:rsidR="001967E0" w:rsidRPr="00280717">
        <w:rPr>
          <w:bCs/>
        </w:rPr>
        <w:t xml:space="preserve">9/1 mixture, suggesting that a minimum fraction of water is essential for the protonation of Nile Red and imine moieties with the subsequent electrostatic repulsion between layers and proper exfoliation of the material. Transmission electron microscopy (TEM) </w:t>
      </w:r>
      <w:r w:rsidR="0058352A">
        <w:rPr>
          <w:bCs/>
        </w:rPr>
        <w:t xml:space="preserve">analysis </w:t>
      </w:r>
      <w:r w:rsidR="001967E0" w:rsidRPr="00280717">
        <w:rPr>
          <w:bCs/>
        </w:rPr>
        <w:t xml:space="preserve">corroborated this </w:t>
      </w:r>
      <w:r w:rsidR="0058352A">
        <w:rPr>
          <w:bCs/>
        </w:rPr>
        <w:t>observation</w:t>
      </w:r>
      <w:r w:rsidR="001967E0" w:rsidRPr="00280717">
        <w:rPr>
          <w:bCs/>
        </w:rPr>
        <w:t xml:space="preserve">, with more homogeneous particles observed in the CONs </w:t>
      </w:r>
      <w:r w:rsidR="0058352A">
        <w:rPr>
          <w:bCs/>
        </w:rPr>
        <w:t xml:space="preserve">delaminated by ASE </w:t>
      </w:r>
      <w:r w:rsidR="001967E0" w:rsidRPr="00280717">
        <w:rPr>
          <w:bCs/>
        </w:rPr>
        <w:t>in 3/7 and 7/3 (THF/water)</w:t>
      </w:r>
      <w:r w:rsidR="0058352A">
        <w:rPr>
          <w:bCs/>
        </w:rPr>
        <w:t xml:space="preserve"> </w:t>
      </w:r>
      <w:r w:rsidR="0058352A" w:rsidRPr="00280717">
        <w:rPr>
          <w:bCs/>
        </w:rPr>
        <w:t>mixtures</w:t>
      </w:r>
      <w:r w:rsidR="001967E0" w:rsidRPr="00280717">
        <w:rPr>
          <w:bCs/>
        </w:rPr>
        <w:t xml:space="preserve">, </w:t>
      </w:r>
      <w:r w:rsidR="0058352A">
        <w:rPr>
          <w:bCs/>
        </w:rPr>
        <w:t xml:space="preserve">being </w:t>
      </w:r>
      <w:r w:rsidR="001967E0" w:rsidRPr="00280717">
        <w:rPr>
          <w:bCs/>
        </w:rPr>
        <w:t xml:space="preserve">especially thin the CONs detected for the latter mixture </w:t>
      </w:r>
      <w:r w:rsidR="0058352A">
        <w:rPr>
          <w:bCs/>
        </w:rPr>
        <w:t xml:space="preserve">of solvents </w:t>
      </w:r>
      <w:r w:rsidR="001967E0" w:rsidRPr="00280717">
        <w:rPr>
          <w:bCs/>
        </w:rPr>
        <w:t>(</w:t>
      </w:r>
      <w:r w:rsidR="001967E0">
        <w:rPr>
          <w:bCs/>
        </w:rPr>
        <w:t>Fig.</w:t>
      </w:r>
      <w:r w:rsidR="001967E0" w:rsidRPr="00280717">
        <w:rPr>
          <w:bCs/>
        </w:rPr>
        <w:t xml:space="preserve"> </w:t>
      </w:r>
      <w:r w:rsidR="001967E0">
        <w:rPr>
          <w:bCs/>
        </w:rPr>
        <w:t>2</w:t>
      </w:r>
      <w:r w:rsidR="001967E0" w:rsidRPr="00280717">
        <w:rPr>
          <w:bCs/>
        </w:rPr>
        <w:t>c and Figs. S1</w:t>
      </w:r>
      <w:r w:rsidR="00E74ADB">
        <w:rPr>
          <w:bCs/>
        </w:rPr>
        <w:t>9</w:t>
      </w:r>
      <w:r w:rsidR="001967E0" w:rsidRPr="00280717">
        <w:rPr>
          <w:bCs/>
        </w:rPr>
        <w:t>-S</w:t>
      </w:r>
      <w:r w:rsidR="00F754EE">
        <w:rPr>
          <w:bCs/>
        </w:rPr>
        <w:t>21</w:t>
      </w:r>
      <w:r w:rsidR="001967E0" w:rsidRPr="00280717">
        <w:rPr>
          <w:bCs/>
        </w:rPr>
        <w:t xml:space="preserve"> in ESI). Finally, </w:t>
      </w:r>
      <w:r w:rsidR="001967E0">
        <w:rPr>
          <w:bCs/>
        </w:rPr>
        <w:t>PXRD</w:t>
      </w:r>
      <w:r w:rsidR="001967E0" w:rsidRPr="00280717">
        <w:rPr>
          <w:bCs/>
        </w:rPr>
        <w:t xml:space="preserve"> stability tests </w:t>
      </w:r>
      <w:r w:rsidR="0058352A">
        <w:rPr>
          <w:bCs/>
        </w:rPr>
        <w:t>with the</w:t>
      </w:r>
      <w:r w:rsidR="001967E0" w:rsidRPr="00280717">
        <w:rPr>
          <w:bCs/>
        </w:rPr>
        <w:t xml:space="preserve"> CONs revealed that the crystallinity of the material is better preserved under the acidic treatment (</w:t>
      </w:r>
      <w:r w:rsidR="001967E0">
        <w:rPr>
          <w:bCs/>
        </w:rPr>
        <w:t>Fig.</w:t>
      </w:r>
      <w:r w:rsidR="001967E0" w:rsidRPr="00280717">
        <w:rPr>
          <w:bCs/>
        </w:rPr>
        <w:t xml:space="preserve"> S</w:t>
      </w:r>
      <w:r w:rsidR="00F754EE">
        <w:rPr>
          <w:bCs/>
        </w:rPr>
        <w:t>22</w:t>
      </w:r>
      <w:r w:rsidR="001967E0" w:rsidRPr="00280717">
        <w:rPr>
          <w:bCs/>
        </w:rPr>
        <w:t xml:space="preserve">). </w:t>
      </w:r>
    </w:p>
    <w:p w14:paraId="683DA1C4" w14:textId="241F5800" w:rsidR="00236BB4" w:rsidRDefault="00236BB4" w:rsidP="00280717">
      <w:pPr>
        <w:pStyle w:val="RSCB02ArticleText"/>
        <w:rPr>
          <w:lang w:val="en"/>
        </w:rPr>
      </w:pPr>
      <w:r w:rsidRPr="00280717">
        <w:t xml:space="preserve">The colloidal </w:t>
      </w:r>
      <w:r w:rsidR="0058352A">
        <w:t>suspensions</w:t>
      </w:r>
      <w:r w:rsidRPr="00280717">
        <w:t xml:space="preserve"> of </w:t>
      </w:r>
      <w:r w:rsidRPr="00280717">
        <w:rPr>
          <w:b/>
        </w:rPr>
        <w:t>NR</w:t>
      </w:r>
      <w:r w:rsidRPr="00280717">
        <w:rPr>
          <w:b/>
          <w:vertAlign w:val="subscript"/>
        </w:rPr>
        <w:t>0,17</w:t>
      </w:r>
      <w:r w:rsidRPr="00280717">
        <w:rPr>
          <w:b/>
        </w:rPr>
        <w:t xml:space="preserve">-CONs </w:t>
      </w:r>
      <w:r w:rsidRPr="00280717">
        <w:rPr>
          <w:bCs/>
        </w:rPr>
        <w:t>in the different THF/water mixtures, exhibit the characteristic colour of Nile Red</w:t>
      </w:r>
      <w:r w:rsidRPr="00280717">
        <w:t xml:space="preserve"> (</w:t>
      </w:r>
      <w:r>
        <w:t>Fig.</w:t>
      </w:r>
      <w:r w:rsidRPr="00280717">
        <w:t xml:space="preserve"> S</w:t>
      </w:r>
      <w:r w:rsidR="00E11134">
        <w:t>23</w:t>
      </w:r>
      <w:r w:rsidRPr="00280717">
        <w:t>)</w:t>
      </w:r>
      <w:r w:rsidRPr="00280717">
        <w:rPr>
          <w:bCs/>
        </w:rPr>
        <w:t xml:space="preserve">. Interestingly, the colloids prepared </w:t>
      </w:r>
      <w:r w:rsidRPr="00280717">
        <w:rPr>
          <w:bCs/>
          <w:i/>
          <w:iCs/>
        </w:rPr>
        <w:t>via</w:t>
      </w:r>
      <w:r w:rsidRPr="00280717">
        <w:rPr>
          <w:bCs/>
        </w:rPr>
        <w:t xml:space="preserve"> the </w:t>
      </w:r>
      <w:r w:rsidR="0061035D">
        <w:t xml:space="preserve">ASE </w:t>
      </w:r>
      <w:r w:rsidRPr="00280717">
        <w:t xml:space="preserve">method, were more coloured indicating a better yield of exfoliation in </w:t>
      </w:r>
      <w:r w:rsidR="0058352A">
        <w:t>comparison with</w:t>
      </w:r>
      <w:r w:rsidRPr="00280717">
        <w:t xml:space="preserve"> the ultrasonic assisted method.</w:t>
      </w:r>
      <w:r>
        <w:t xml:space="preserve"> The calculation of the exfoliation yields </w:t>
      </w:r>
      <w:r w:rsidRPr="00642FFC">
        <w:t>(Table S</w:t>
      </w:r>
      <w:r w:rsidR="00D47EC1" w:rsidRPr="00642FFC">
        <w:t>1</w:t>
      </w:r>
      <w:r w:rsidRPr="00642FFC">
        <w:t>)</w:t>
      </w:r>
      <w:r>
        <w:t xml:space="preserve"> confirms this </w:t>
      </w:r>
      <w:r>
        <w:t xml:space="preserve">hypothesis </w:t>
      </w:r>
      <w:r w:rsidRPr="00952203">
        <w:rPr>
          <w:lang w:val="en"/>
        </w:rPr>
        <w:t>as the mass loss was</w:t>
      </w:r>
      <w:r>
        <w:rPr>
          <w:lang w:val="en"/>
        </w:rPr>
        <w:t xml:space="preserve"> always</w:t>
      </w:r>
      <w:r w:rsidRPr="00952203">
        <w:rPr>
          <w:lang w:val="en"/>
        </w:rPr>
        <w:t xml:space="preserve"> greater </w:t>
      </w:r>
      <w:r>
        <w:rPr>
          <w:lang w:val="en"/>
        </w:rPr>
        <w:t>by</w:t>
      </w:r>
      <w:r w:rsidRPr="00952203">
        <w:rPr>
          <w:lang w:val="en"/>
        </w:rPr>
        <w:t xml:space="preserve"> using the ASE method</w:t>
      </w:r>
      <w:r>
        <w:rPr>
          <w:lang w:val="en"/>
        </w:rPr>
        <w:t>.</w:t>
      </w:r>
    </w:p>
    <w:p w14:paraId="73D3AE27" w14:textId="79AA3CE8" w:rsidR="00E45013" w:rsidRPr="00D47EC1" w:rsidRDefault="00E45013" w:rsidP="00E45013">
      <w:pPr>
        <w:pStyle w:val="RSCB02ArticleText"/>
      </w:pPr>
      <w:r>
        <w:t>The</w:t>
      </w:r>
      <w:r w:rsidRPr="00280717">
        <w:t xml:space="preserve"> UV-vis spectra </w:t>
      </w:r>
      <w:r w:rsidR="0058352A">
        <w:t xml:space="preserve">of the colloid suspensions </w:t>
      </w:r>
      <w:r w:rsidRPr="00280717">
        <w:t xml:space="preserve">show the typical absorption of the dye with </w:t>
      </w:r>
      <w:proofErr w:type="spellStart"/>
      <w:r>
        <w:rPr>
          <w:rFonts w:cstheme="minorHAnsi"/>
        </w:rPr>
        <w:t>λ</w:t>
      </w:r>
      <w:r w:rsidRPr="00280717">
        <w:rPr>
          <w:vertAlign w:val="subscript"/>
        </w:rPr>
        <w:t>max</w:t>
      </w:r>
      <w:proofErr w:type="spellEnd"/>
      <w:r w:rsidRPr="00280717">
        <w:t xml:space="preserve"> in the range 540-580 nm,</w:t>
      </w:r>
      <w:r w:rsidRPr="00280717">
        <w:fldChar w:fldCharType="begin" w:fldLock="1"/>
      </w:r>
      <w:r>
        <w:instrText>ADDIN CSL_CITATION {"citationItems":[{"id":"ITEM-1","itemData":{"DOI":"10.1002/chem.201601570","ISSN":"15213765","PMID":"27406265","abstract":"Nile red and Nile blue are highly fluorescent and photostable organic dyes from the benzo[a]phenoxazine family. They have been used as histological stains for imaging lysosomes and lipids in vitro. The dyes’ high quantum yields and solvent-dependent optical properties make them ideal scaffolds for the development of pH probes and local polarity indicators. Reviews of the literature in this area are scarce with only one review ever published in 2006. It has been 10 years since and the field has evolved. This review aims to expand upon topics covered by the previous reviewers and to report on recent advances in the literature. As authors, we hope to convey a sense of scope and to spark renewed interest in this useful niche of dye chemistry.","author":[{"dropping-particle":"","family":"Martinez","given":"Vincent","non-dropping-particle":"","parse-names":false,"suffix":""},{"dropping-particle":"","family":"Henary","given":"Maged","non-dropping-particle":"","parse-names":false,"suffix":""}],"container-title":"Chemistry - A European Journal","id":"ITEM-1","issue":"39","issued":{"date-parts":[["2016"]]},"page":"13764-13782","title":"Nile Red and Nile Blue: Applications and Syntheses of Structural Analogues","type":"article-journal","volume":"22"},"uris":["http://www.mendeley.com/documents/?uuid=ade4404c-65c8-45b0-8353-b227dec937db"]},{"id":"ITEM-2","itemData":{"DOI":"10.1021/jo061369v","ISSN":"00223263","PMID":"16995693","abstract":"(Chemical Equation Presented) Nile Red (compound A) fluoresces at about 530 nm with good quantum yields in apolar solvents. In more polar ones its fluorescence emission shows a dramatic, and potentially useful, shift to about 640 nm, but its quantum yield is significantly reduced. Further, Nile Red has a very poor solubility in aqueous media. The hypothesis tested in this paper is that Nile Red derivatives that incorporate water-solubilizing groups will tend to fluoresce with good quantum yields in aqueous media, and in the more useful wavelength range around 640 nm. Thus three Nile Red derivatives, 1-3, were prepared. Compound 1 had three hydroxyl groups more than Nile Red, but was surprisingly insoluble in aqueous media. However, the dicarboxylic acid 2 and carboxylic/sulfonic acid derivative 3 showed excellent water solubilities. Spectral data for 2 and 3 showed that they do indeed fluoresce with good quantum yields in the 640 nm region in aqueous media. These properties of compounds 2 and 3 might be useful in the development of fluorescent probes for biotechnology. © 2006 American Chemical Society.","author":[{"dropping-particle":"","family":"Jose","given":"Jiney","non-dropping-particle":"","parse-names":false,"suffix":""},{"dropping-particle":"","family":"Burgess","given":"Kevin","non-dropping-particle":"","parse-names":false,"suffix":""}],"container-title":"Journal of Organic Chemistry","id":"ITEM-2","issue":"20","issued":{"date-parts":[["2006"]]},"page":"7835-7839","title":"Syntheses and properties of water-soluble Nile Red derivatives","type":"article-journal","volume":"71"},"uris":["http://www.mendeley.com/documents/?uuid=fe725594-8857-4ecc-9dcc-1bcc0f2040b7"]}],"mendeley":{"formattedCitation":"&lt;sup&gt;43,51&lt;/sup&gt;","plainTextFormattedCitation":"43,51","previouslyFormattedCitation":"&lt;sup&gt;43,51&lt;/sup&gt;"},"properties":{"noteIndex":0},"schema":"https://github.com/citation-style-language/schema/raw/master/csl-citation.json"}</w:instrText>
      </w:r>
      <w:r w:rsidRPr="00280717">
        <w:fldChar w:fldCharType="separate"/>
      </w:r>
      <w:r w:rsidRPr="00976A58">
        <w:rPr>
          <w:noProof/>
          <w:vertAlign w:val="superscript"/>
        </w:rPr>
        <w:t>43,51</w:t>
      </w:r>
      <w:r w:rsidRPr="00280717">
        <w:fldChar w:fldCharType="end"/>
      </w:r>
      <w:r w:rsidRPr="00280717">
        <w:t xml:space="preserve">  together with the absorption band assigned to the COF </w:t>
      </w:r>
      <w:r>
        <w:t>network</w:t>
      </w:r>
      <w:r w:rsidRPr="00280717">
        <w:t xml:space="preserve"> (</w:t>
      </w:r>
      <w:proofErr w:type="spellStart"/>
      <w:r>
        <w:rPr>
          <w:rFonts w:cstheme="minorHAnsi"/>
        </w:rPr>
        <w:t>λ</w:t>
      </w:r>
      <w:r w:rsidRPr="00280717">
        <w:rPr>
          <w:vertAlign w:val="subscript"/>
        </w:rPr>
        <w:t>max</w:t>
      </w:r>
      <w:proofErr w:type="spellEnd"/>
      <w:r w:rsidRPr="00280717">
        <w:t xml:space="preserve"> = 390-400 nm), </w:t>
      </w:r>
      <w:r w:rsidR="008628CB">
        <w:t xml:space="preserve">which is also observed in the colloidal </w:t>
      </w:r>
      <w:r w:rsidRPr="00280717">
        <w:t xml:space="preserve">suspensions </w:t>
      </w:r>
      <w:r w:rsidR="008628CB">
        <w:t>obtained for</w:t>
      </w:r>
      <w:r w:rsidRPr="00280717">
        <w:t xml:space="preserve"> the non-functionalized </w:t>
      </w:r>
      <w:r w:rsidRPr="00280717">
        <w:rPr>
          <w:b/>
        </w:rPr>
        <w:t>Alkyne</w:t>
      </w:r>
      <w:r w:rsidRPr="00280717">
        <w:rPr>
          <w:b/>
          <w:vertAlign w:val="subscript"/>
        </w:rPr>
        <w:t>0,17</w:t>
      </w:r>
      <w:r w:rsidRPr="00280717">
        <w:rPr>
          <w:b/>
        </w:rPr>
        <w:t xml:space="preserve">-COF. </w:t>
      </w:r>
      <w:r w:rsidRPr="00280717">
        <w:t xml:space="preserve">This </w:t>
      </w:r>
      <w:r w:rsidR="008628CB">
        <w:t xml:space="preserve">absorption </w:t>
      </w:r>
      <w:r w:rsidRPr="00280717">
        <w:t xml:space="preserve">band is also very similar to that </w:t>
      </w:r>
      <w:r w:rsidR="008628CB">
        <w:t>observed for</w:t>
      </w:r>
      <w:r w:rsidRPr="00280717">
        <w:t xml:space="preserve"> the aldehyde</w:t>
      </w:r>
      <w:r w:rsidR="008628CB">
        <w:t>-containing</w:t>
      </w:r>
      <w:r w:rsidRPr="00280717">
        <w:t xml:space="preserve"> precursor DMTA (</w:t>
      </w:r>
      <w:r>
        <w:t>Fig.</w:t>
      </w:r>
      <w:r w:rsidRPr="00280717">
        <w:t xml:space="preserve"> </w:t>
      </w:r>
      <w:r>
        <w:t>3</w:t>
      </w:r>
      <w:r w:rsidRPr="00280717">
        <w:t xml:space="preserve">a and </w:t>
      </w:r>
      <w:r w:rsidRPr="00642FFC">
        <w:t>Figs. S24-S28 in ESI).</w:t>
      </w:r>
      <w:r w:rsidRPr="00280717">
        <w:t xml:space="preserve"> Also, it is interesting to note that in the acidic colloid with the larger amount of water (70%) an additional absorption band at </w:t>
      </w:r>
      <w:r w:rsidRPr="00465623">
        <w:rPr>
          <w:i/>
          <w:iCs/>
        </w:rPr>
        <w:t>ca.</w:t>
      </w:r>
      <w:r w:rsidRPr="00280717">
        <w:t xml:space="preserve"> 700 nm is also observed, which is associated to the partial protonation of Nile Red in this medium (</w:t>
      </w:r>
      <w:r>
        <w:t>Fig.</w:t>
      </w:r>
      <w:r w:rsidRPr="00280717">
        <w:t xml:space="preserve"> S2</w:t>
      </w:r>
      <w:r>
        <w:t>4</w:t>
      </w:r>
      <w:r w:rsidRPr="00280717">
        <w:t>).</w:t>
      </w:r>
      <w:r w:rsidRPr="00280717">
        <w:fldChar w:fldCharType="begin" w:fldLock="1"/>
      </w:r>
      <w:r>
        <w:instrText>ADDIN CSL_CITATION {"citationItems":[{"id":"ITEM-1","itemData":{"DOI":"10.1007/s11182-011-9658-4","ISSN":"10648887","abstract":"Results of quantum-chemical studies of the nile red (NR) molecule and its protonated structures by the INDO/S method are presented. It is demonstrated that the best agreement between the calculated and experimental data is obtained for the flat molecule in the ground electron state. Energies of the strongest singlet and triplet electronic states, molecular nature of these states, transition oscillator force, dipole moments in the ground and excited states, electron density distribution around atoms and molecular fragments in the S0 and S1 states, and rate constants of radiative, internal, and intercombination conversion are presented for the NR molecule and its protonated structures. The most probable NR protonation centers are analyzed using the molecular electrostatic potential (MESP) method. It is established that the reaction of proton addition to the NR molecule proceeds at the cyclic nitrogen atom. As demonstrated the results of quantum-chemical calculations, low fluorescent properties of the protonated NR structures (with a quantum yield of 4%) are due to a high rate of the S1 - T4 intercombination conversion. © 2011 Springer Science+Business Media, Inc.","author":[{"dropping-particle":"","family":"Selivanov","given":"N. I.","non-dropping-particle":"","parse-names":false,"suffix":""},{"dropping-particle":"","family":"Samsonova","given":"L. G.","non-dropping-particle":"","parse-names":false,"suffix":""},{"dropping-particle":"","family":"Artyukhov","given":"V. Ya","non-dropping-particle":"","parse-names":false,"suffix":""},{"dropping-particle":"","family":"Kopylova","given":"T. N.","non-dropping-particle":"","parse-names":false,"suffix":""}],"container-title":"Russian Physics Journal","id":"ITEM-1","issue":"5","issued":{"date-parts":[["2011"]]},"page":"601-606","title":"Theoretical and experimental investigations of photophysics of the nile red molecule and its protonated structures","type":"article-journal","volume":"54"},"uris":["http://www.mendeley.com/documents/?uuid=1528f93c-e931-4bd5-968a-21e03f2aeb38"]},{"id":"ITEM-2","itemData":{"DOI":"10.1021/cm001048e","ISSN":"08974756","abstract":"The spectroscopy of nile red (NR) was reported when incorporated in organically modified silicates (ORMOSILs), obtained by the copolymerization of (glycidoxypropyl)trimethoxysilane and tetramethoxysilane in various proportions. An increase of the fluorescence intensity, a gradual blue spectral shift by 43 nm in absorption and 45 nm in emission, and a change in the lifetime from 2.6 to 4.4 ns of the dye were observed as a response to the change of the polarity and the structure of the ORMOSILs caused by the addition of (glycidoxypropyl)trimethoxysilane. The decrease of the nonradiative H+-NR form was observed as one of the consequence of addition of (glycidoxypropyl)trimethoxysilane. Absorption spectral shifts of the NR were used for the determination of a polarity empirical scale (E(NR)) of the ORMOSIL. The value of E(NR)(r(0/100)) = 48.70 kcal/mol for NR in silica xerogels prepared from tetramethoxysilane and E(NR)(r(100/0)) = 52.55 kcal/mol for NR in ORMOSILs prepared from (glycidoxypropyl)trimethoxysilane showed the high polarity of the inorganic matrixes in contrast to ORMOSILs. A study in solution was performed in order to make a concluding comparison of the NR behavior in terms of the restricted environment around the NR molecule ORMOSILs.","author":[{"dropping-particle":"","family":"Moreno","given":"Eva M.","non-dropping-particle":"","parse-names":false,"suffix":""},{"dropping-particle":"","family":"Levy","given":"David","non-dropping-particle":"","parse-names":false,"suffix":""}],"container-title":"Chemistry of Materials","id":"ITEM-2","issue":"8","issued":{"date-parts":[["2000"]]},"page":"2334-2340","title":"Role of the comonomer GLYMO in ORMOSILs as reflected by nile red spectroscopy","type":"article-journal","volume":"12"},"uris":["http://www.mendeley.com/documents/?uuid=f74612ad-a53f-486d-94ad-108e5d855e62"]}],"mendeley":{"formattedCitation":"&lt;sup&gt;52,53&lt;/sup&gt;","plainTextFormattedCitation":"52,53","previouslyFormattedCitation":"&lt;sup&gt;52,53&lt;/sup&gt;"},"properties":{"noteIndex":0},"schema":"https://github.com/citation-style-language/schema/raw/master/csl-citation.json"}</w:instrText>
      </w:r>
      <w:r w:rsidRPr="00280717">
        <w:fldChar w:fldCharType="separate"/>
      </w:r>
      <w:r w:rsidRPr="00976A58">
        <w:rPr>
          <w:noProof/>
          <w:vertAlign w:val="superscript"/>
        </w:rPr>
        <w:t>52,53</w:t>
      </w:r>
      <w:r w:rsidRPr="00280717">
        <w:fldChar w:fldCharType="end"/>
      </w:r>
      <w:r w:rsidRPr="00280717">
        <w:t xml:space="preserve"> Thus, as previously</w:t>
      </w:r>
      <w:r w:rsidR="008628CB">
        <w:t xml:space="preserve"> stated </w:t>
      </w:r>
      <w:r w:rsidRPr="00280717">
        <w:t xml:space="preserve">, the </w:t>
      </w:r>
      <w:proofErr w:type="spellStart"/>
      <w:r w:rsidRPr="00280717">
        <w:t>protonotation</w:t>
      </w:r>
      <w:proofErr w:type="spellEnd"/>
      <w:r w:rsidRPr="00280717">
        <w:t xml:space="preserve"> of Nile Red can also assist the exfoliation of the material. </w:t>
      </w:r>
      <w:r w:rsidRPr="00E267C2">
        <w:t xml:space="preserve"> </w:t>
      </w:r>
    </w:p>
    <w:p w14:paraId="30A2E263" w14:textId="77777777" w:rsidR="00E45013" w:rsidRPr="00236BB4" w:rsidRDefault="00E45013" w:rsidP="00280717">
      <w:pPr>
        <w:pStyle w:val="RSCB02ArticleText"/>
      </w:pPr>
    </w:p>
    <w:p w14:paraId="559DCE45" w14:textId="77777777" w:rsidR="0019117E" w:rsidRDefault="0019117E" w:rsidP="00B8423D">
      <w:pPr>
        <w:pStyle w:val="RSCI02FigureSchemeChartwithtopbar"/>
        <w:jc w:val="center"/>
        <w:rPr>
          <w:bCs/>
        </w:rPr>
      </w:pPr>
      <w:r>
        <w:rPr>
          <w:noProof/>
        </w:rPr>
        <w:drawing>
          <wp:inline distT="0" distB="0" distL="0" distR="0" wp14:anchorId="50DDF6C3" wp14:editId="35F8DA35">
            <wp:extent cx="3056149" cy="2469120"/>
            <wp:effectExtent l="0" t="0" r="0" b="7620"/>
            <wp:docPr id="9" name="Imagen 9" descr="Imagen que contien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magen que contiene Texto&#10;&#10;Descripción generada automáticamente"/>
                    <pic:cNvPicPr>
                      <a:picLocks noChangeAspect="1" noChangeArrowheads="1"/>
                    </pic:cNvPicPr>
                  </pic:nvPicPr>
                  <pic:blipFill rotWithShape="1">
                    <a:blip r:embed="rId21">
                      <a:extLst>
                        <a:ext uri="{28A0092B-C50C-407E-A947-70E740481C1C}">
                          <a14:useLocalDpi xmlns:a14="http://schemas.microsoft.com/office/drawing/2010/main" val="0"/>
                        </a:ext>
                      </a:extLst>
                    </a:blip>
                    <a:srcRect l="2352" t="2351" r="3720" b="2816"/>
                    <a:stretch/>
                  </pic:blipFill>
                  <pic:spPr bwMode="auto">
                    <a:xfrm>
                      <a:off x="0" y="0"/>
                      <a:ext cx="3102092" cy="2506238"/>
                    </a:xfrm>
                    <a:prstGeom prst="rect">
                      <a:avLst/>
                    </a:prstGeom>
                    <a:noFill/>
                    <a:ln>
                      <a:noFill/>
                    </a:ln>
                    <a:extLst>
                      <a:ext uri="{53640926-AAD7-44D8-BBD7-CCE9431645EC}">
                        <a14:shadowObscured xmlns:a14="http://schemas.microsoft.com/office/drawing/2010/main"/>
                      </a:ext>
                    </a:extLst>
                  </pic:spPr>
                </pic:pic>
              </a:graphicData>
            </a:graphic>
          </wp:inline>
        </w:drawing>
      </w:r>
    </w:p>
    <w:p w14:paraId="21FF0E8D" w14:textId="529654C5" w:rsidR="0019117E" w:rsidRDefault="0019117E" w:rsidP="0019117E">
      <w:pPr>
        <w:pStyle w:val="RSCI05CaptiontoFigureSchemeChartwithbottombar"/>
      </w:pPr>
      <w:r w:rsidRPr="00F00E64">
        <w:rPr>
          <w:b/>
        </w:rPr>
        <w:t>Fig</w:t>
      </w:r>
      <w:r>
        <w:rPr>
          <w:b/>
        </w:rPr>
        <w:t>.</w:t>
      </w:r>
      <w:r w:rsidRPr="00F00E64">
        <w:rPr>
          <w:b/>
        </w:rPr>
        <w:t xml:space="preserve"> </w:t>
      </w:r>
      <w:r w:rsidR="00AF7D9F">
        <w:rPr>
          <w:b/>
        </w:rPr>
        <w:t>2</w:t>
      </w:r>
      <w:r>
        <w:t xml:space="preserve"> Topographic AFM image </w:t>
      </w:r>
      <w:r w:rsidRPr="00506347">
        <w:t>of</w:t>
      </w:r>
      <w:r>
        <w:t xml:space="preserve"> </w:t>
      </w:r>
      <w:r w:rsidRPr="00506347">
        <w:t xml:space="preserve">a drop-casted </w:t>
      </w:r>
      <w:r>
        <w:rPr>
          <w:b/>
        </w:rPr>
        <w:t>NR</w:t>
      </w:r>
      <w:r>
        <w:rPr>
          <w:b/>
          <w:vertAlign w:val="subscript"/>
        </w:rPr>
        <w:t>0,17</w:t>
      </w:r>
      <w:r>
        <w:rPr>
          <w:b/>
        </w:rPr>
        <w:t>-CONs</w:t>
      </w:r>
      <w:r>
        <w:t xml:space="preserve"> ASE </w:t>
      </w:r>
      <w:r w:rsidRPr="00506347">
        <w:t>colloid</w:t>
      </w:r>
      <w:r>
        <w:t xml:space="preserve"> (mixture THF/water, 3/7</w:t>
      </w:r>
      <w:r w:rsidR="00483041">
        <w:t>, v/v</w:t>
      </w:r>
      <w:r>
        <w:t xml:space="preserve">) </w:t>
      </w:r>
      <w:r w:rsidRPr="00506347">
        <w:t>on SiO</w:t>
      </w:r>
      <w:r w:rsidRPr="00BA40FD">
        <w:rPr>
          <w:vertAlign w:val="subscript"/>
        </w:rPr>
        <w:t>2</w:t>
      </w:r>
      <w:r w:rsidRPr="00506347">
        <w:t xml:space="preserve"> </w:t>
      </w:r>
      <w:r>
        <w:t xml:space="preserve">(a) </w:t>
      </w:r>
      <w:r w:rsidRPr="00506347">
        <w:t xml:space="preserve">and its </w:t>
      </w:r>
      <w:r>
        <w:t>related</w:t>
      </w:r>
      <w:r w:rsidRPr="00506347">
        <w:t xml:space="preserve"> height profile</w:t>
      </w:r>
      <w:r w:rsidR="00DA4D73">
        <w:t xml:space="preserve"> (b)</w:t>
      </w:r>
      <w:r w:rsidRPr="00506347">
        <w:t xml:space="preserve"> along the </w:t>
      </w:r>
      <w:r>
        <w:t>depicted</w:t>
      </w:r>
      <w:r w:rsidRPr="00506347">
        <w:t xml:space="preserve"> line</w:t>
      </w:r>
      <w:r>
        <w:t>. c) TEM micrograph of the same drop-casted colloid.</w:t>
      </w:r>
    </w:p>
    <w:p w14:paraId="36C7010A" w14:textId="10DD8611" w:rsidR="00280717" w:rsidRPr="00280717" w:rsidRDefault="00280717" w:rsidP="00280717">
      <w:pPr>
        <w:pStyle w:val="RSCB02ArticleText"/>
      </w:pPr>
      <w:r w:rsidRPr="00280717">
        <w:rPr>
          <w:bCs/>
        </w:rPr>
        <w:t>Interestingly, the</w:t>
      </w:r>
      <w:r w:rsidRPr="00280717">
        <w:rPr>
          <w:b/>
        </w:rPr>
        <w:t xml:space="preserve"> NR</w:t>
      </w:r>
      <w:r w:rsidRPr="00280717">
        <w:rPr>
          <w:b/>
          <w:vertAlign w:val="subscript"/>
        </w:rPr>
        <w:t>0,17</w:t>
      </w:r>
      <w:r w:rsidRPr="00280717">
        <w:rPr>
          <w:b/>
        </w:rPr>
        <w:t xml:space="preserve">-CONs </w:t>
      </w:r>
      <w:r w:rsidRPr="00280717">
        <w:rPr>
          <w:bCs/>
        </w:rPr>
        <w:t xml:space="preserve">colloids obtained in THF/water mixtures, especially those obtained by the </w:t>
      </w:r>
      <w:r w:rsidR="005D2C3C">
        <w:rPr>
          <w:bCs/>
        </w:rPr>
        <w:t>ASE</w:t>
      </w:r>
      <w:r w:rsidRPr="00280717">
        <w:rPr>
          <w:bCs/>
        </w:rPr>
        <w:t xml:space="preserve"> method, present dual fluorescence. </w:t>
      </w:r>
      <w:r w:rsidR="00856F43">
        <w:t>Thus</w:t>
      </w:r>
      <w:r w:rsidRPr="00280717">
        <w:t xml:space="preserve">, the colloids display two emission bands centred at 626 and 475 nm for mixtures 9/1 (THF/water). The first band corresponds to the characteristic emission of Nile Red. </w:t>
      </w:r>
      <w:r w:rsidRPr="00280717">
        <w:fldChar w:fldCharType="begin" w:fldLock="1"/>
      </w:r>
      <w:r w:rsidR="00976A58">
        <w:instrText>ADDIN CSL_CITATION {"citationItems":[{"id":"ITEM-1","itemData":{"DOI":"10.1002/chem.201601570","ISSN":"15213765","PMID":"27406265","abstract":"Nile red and Nile blue are highly fluorescent and photostable organic dyes from the benzo[a]phenoxazine family. They have been used as histological stains for imaging lysosomes and lipids in vitro. The dyes’ high quantum yields and solvent-dependent optical properties make them ideal scaffolds for the development of pH probes and local polarity indicators. Reviews of the literature in this area are scarce with only one review ever published in 2006. It has been 10 years since and the field has evolved. This review aims to expand upon topics covered by the previous reviewers and to report on recent advances in the literature. As authors, we hope to convey a sense of scope and to spark renewed interest in this useful niche of dye chemistry.","author":[{"dropping-particle":"","family":"Martinez","given":"Vincent","non-dropping-particle":"","parse-names":false,"suffix":""},{"dropping-particle":"","family":"Henary","given":"Maged","non-dropping-particle":"","parse-names":false,"suffix":""}],"container-title":"Chemistry - A European Journal","id":"ITEM-1","issue":"39","issued":{"date-parts":[["2016"]]},"page":"13764-13782","title":"Nile Red and Nile Blue: Applications and Syntheses of Structural Analogues","type":"article-journal","volume":"22"},"uris":["http://www.mendeley.com/documents/?uuid=ade4404c-65c8-45b0-8353-b227dec937db"]},{"id":"ITEM-2","itemData":{"DOI":"10.1021/jo061369v","ISSN":"00223263","PMID":"16995693","abstract":"(Chemical Equation Presented) Nile Red (compound A) fluoresces at about 530 nm with good quantum yields in apolar solvents. In more polar ones its fluorescence emission shows a dramatic, and potentially useful, shift to about 640 nm, but its quantum yield is significantly reduced. Further, Nile Red has a very poor solubility in aqueous media. The hypothesis tested in this paper is that Nile Red derivatives that incorporate water-solubilizing groups will tend to fluoresce with good quantum yields in aqueous media, and in the more useful wavelength range around 640 nm. Thus three Nile Red derivatives, 1-3, were prepared. Compound 1 had three hydroxyl groups more than Nile Red, but was surprisingly insoluble in aqueous media. However, the dicarboxylic acid 2 and carboxylic/sulfonic acid derivative 3 showed excellent water solubilities. Spectral data for 2 and 3 showed that they do indeed fluoresce with good quantum yields in the 640 nm region in aqueous media. These properties of compounds 2 and 3 might be useful in the development of fluorescent probes for biotechnology. © 2006 American Chemical Society.","author":[{"dropping-particle":"","family":"Jose","given":"Jiney","non-dropping-particle":"","parse-names":false,"suffix":""},{"dropping-particle":"","family":"Burgess","given":"Kevin","non-dropping-particle":"","parse-names":false,"suffix":""}],"container-title":"Journal of Organic Chemistry","id":"ITEM-2","issue":"20","issued":{"date-parts":[["2006"]]},"page":"7835-7839","title":"Syntheses and properties of water-soluble Nile Red derivatives","type":"article-journal","volume":"71"},"uris":["http://www.mendeley.com/documents/?uuid=fe725594-8857-4ecc-9dcc-1bcc0f2040b7"]}],"mendeley":{"formattedCitation":"&lt;sup&gt;43,51&lt;/sup&gt;","plainTextFormattedCitation":"43,51","previouslyFormattedCitation":"&lt;sup&gt;43,51&lt;/sup&gt;"},"properties":{"noteIndex":0},"schema":"https://github.com/citation-style-language/schema/raw/master/csl-citation.json"}</w:instrText>
      </w:r>
      <w:r w:rsidRPr="00280717">
        <w:fldChar w:fldCharType="separate"/>
      </w:r>
      <w:r w:rsidR="00976A58" w:rsidRPr="00976A58">
        <w:rPr>
          <w:noProof/>
          <w:vertAlign w:val="superscript"/>
        </w:rPr>
        <w:t>43,51</w:t>
      </w:r>
      <w:r w:rsidRPr="00280717">
        <w:fldChar w:fldCharType="end"/>
      </w:r>
      <w:r w:rsidRPr="00280717">
        <w:t xml:space="preserve"> The second band appears when exciting the samples at 390-400 nm, in the region where the </w:t>
      </w:r>
      <w:r w:rsidRPr="00280717">
        <w:rPr>
          <w:b/>
        </w:rPr>
        <w:t>Alkyne</w:t>
      </w:r>
      <w:r w:rsidRPr="00280717">
        <w:rPr>
          <w:b/>
          <w:vertAlign w:val="subscript"/>
        </w:rPr>
        <w:t>0,17</w:t>
      </w:r>
      <w:r w:rsidRPr="00280717">
        <w:rPr>
          <w:b/>
        </w:rPr>
        <w:t>-COF</w:t>
      </w:r>
      <w:r w:rsidRPr="00280717">
        <w:t xml:space="preserve"> and the precursor DMTA absorb. Thus, this band is assigned to the </w:t>
      </w:r>
      <w:r w:rsidR="009D48E6">
        <w:t>network</w:t>
      </w:r>
      <w:r w:rsidRPr="00280717">
        <w:fldChar w:fldCharType="begin" w:fldLock="1"/>
      </w:r>
      <w:r w:rsidR="00AA6822">
        <w:instrText>ADDIN CSL_CITATION {"citationItems":[{"id":"ITEM-1","itemData":{"DOI":"10.1021/acs.analchem.1c03545","author":[{"dropping-particle":"","family":"Gao","given":"Peng","non-dropping-particle":"","parse-names":false,"suffix":""},{"dropping-particle":"","family":"Wei","given":"Ruyue","non-dropping-particle":"","parse-names":false,"suffix":""},{"dropping-particle":"","family":"Chen","given":"Yuanyuan","non-dropping-particle":"","parse-names":false,"suffix":""},{"dropping-particle":"","family":"Liu","given":"Xiaohan","non-dropping-particle":"","parse-names":false,"suffix":""},{"dropping-particle":"","family":"Zhang","given":"Jie","non-dropping-particle":"","parse-names":false,"suffix":""},{"dropping-particle":"","family":"Pan","given":"Wei","non-dropping-particle":"","parse-names":false,"suffix":""},{"dropping-particle":"","family":"Li","given":"Na","non-dropping-particle":"","parse-names":false,"suffix":""},{"dropping-particle":"","family":"Tang","given":"Bo","non-dropping-particle":"","parse-names":false,"suffix":""}],"container-title":"Analytical Chemistry","id":"ITEM-1","issued":{"date-parts":[["2021"]]},"title":"Multicolor Covalent Organic Framework − DNA Nanoprobe for Fluorescence Imaging of Biomarkers with Di ff erent Locations in Living Cells","type":"article-journal"},"uris":["http://www.mendeley.com/documents/?uuid=327bf653-b643-40bf-8ca3-2183645b6f56"]}],"mendeley":{"formattedCitation":"&lt;sup&gt;54&lt;/sup&gt;","plainTextFormattedCitation":"54","previouslyFormattedCitation":"&lt;sup&gt;54&lt;/sup&gt;"},"properties":{"noteIndex":0},"schema":"https://github.com/citation-style-language/schema/raw/master/csl-citation.json"}</w:instrText>
      </w:r>
      <w:r w:rsidRPr="00280717">
        <w:fldChar w:fldCharType="separate"/>
      </w:r>
      <w:r w:rsidR="00976A58" w:rsidRPr="00976A58">
        <w:rPr>
          <w:noProof/>
          <w:vertAlign w:val="superscript"/>
        </w:rPr>
        <w:t>54</w:t>
      </w:r>
      <w:r w:rsidRPr="00280717">
        <w:fldChar w:fldCharType="end"/>
      </w:r>
      <w:r w:rsidRPr="00280717">
        <w:t xml:space="preserve"> and is related with the presence of the DMTA</w:t>
      </w:r>
      <w:r w:rsidR="00856F43">
        <w:t>-analogue</w:t>
      </w:r>
      <w:r w:rsidRPr="00280717">
        <w:t xml:space="preserve"> units in the structure. DMTA is an efficient fluorophore in organic solvents and solid state and its fluorescence is attributed to the formation of hydrogen bonds that rigidify the structure.</w:t>
      </w:r>
      <w:r w:rsidRPr="00280717">
        <w:fldChar w:fldCharType="begin" w:fldLock="1"/>
      </w:r>
      <w:r w:rsidR="00976A58">
        <w:instrText>ADDIN CSL_CITATION {"citationItems":[{"id":"ITEM-1","itemData":{"DOI":"10.1002/cplu.201800597","ISSN":"21926506","PMID":"31950756","abstract":"To identify the simplest organic structure for an emitter, we focused on 2,5-dimethoxybenzene-1,4-dicarboaldehyde. This symmetric molecule has a very low molecular weight (MW=194), a single benzene unit, and consists of only three elements (H, C and O). It forms highly efficient and pure emitting crystals (λem=499 nm, Φ F =0.42, FWHM=42 nm) due to the rigid structure based on the single benzene framework and four intramolecular hydrogen bonds between electron-donating methoxy and electron-accepting aldehyde groups. This crystal acts as a good optical waveguide with pure green emission (FWHM=34 nm) and very low loss coefficient (0.00120 dB/μm).","author":[{"dropping-particle":"","family":"Hayashi","given":"Shotaro","non-dropping-particle":"","parse-names":false,"suffix":""},{"dropping-particle":"","family":"Koizumi","given":"Toshio","non-dropping-particle":"","parse-names":false,"suffix":""},{"dropping-particle":"","family":"Kamiya","given":"Natsumi","non-dropping-particle":"","parse-names":false,"suffix":""}],"container-title":"ChemPlusChem","id":"ITEM-1","issue":"3","issued":{"date-parts":[["2019"]]},"page":"247-251","title":"2,5-Dimethoxybenzene-1,4-dicarboxaldehyde: An Emissive Organic Crystal and Highly Efficient Fluorescent Waveguide","type":"article-journal","volume":"84"},"uris":["http://www.mendeley.com/documents/?uuid=1e29d751-5eaf-4c03-8f7e-f55ab43bd1af"]}],"mendeley":{"formattedCitation":"&lt;sup&gt;55&lt;/sup&gt;","plainTextFormattedCitation":"55","previouslyFormattedCitation":"&lt;sup&gt;55&lt;/sup&gt;"},"properties":{"noteIndex":0},"schema":"https://github.com/citation-style-language/schema/raw/master/csl-citation.json"}</w:instrText>
      </w:r>
      <w:r w:rsidRPr="00280717">
        <w:fldChar w:fldCharType="separate"/>
      </w:r>
      <w:r w:rsidR="00976A58" w:rsidRPr="00976A58">
        <w:rPr>
          <w:noProof/>
          <w:vertAlign w:val="superscript"/>
        </w:rPr>
        <w:t>55</w:t>
      </w:r>
      <w:r w:rsidRPr="00280717">
        <w:fldChar w:fldCharType="end"/>
      </w:r>
      <w:r w:rsidRPr="00280717">
        <w:t xml:space="preserve"> Thus, exfoliation of the material is able to restore this emission, mainly in acidic medium, which seems to be related with the protonation of the nitrogen atoms in the imine groups (</w:t>
      </w:r>
      <w:r w:rsidRPr="00280717">
        <w:rPr>
          <w:i/>
          <w:iCs/>
        </w:rPr>
        <w:t>vide infra</w:t>
      </w:r>
      <w:r w:rsidRPr="00280717">
        <w:t xml:space="preserve">).  It was observed that the intensity and position of both emission bands depend on the THF/water ratio. </w:t>
      </w:r>
      <w:r w:rsidRPr="00280717">
        <w:rPr>
          <w:bCs/>
        </w:rPr>
        <w:t xml:space="preserve">With the increase of water content, the fluorescence assigned to the </w:t>
      </w:r>
      <w:r w:rsidRPr="00280717">
        <w:t xml:space="preserve">COF </w:t>
      </w:r>
      <w:r w:rsidR="009D48E6">
        <w:t>network</w:t>
      </w:r>
      <w:r w:rsidRPr="00280717">
        <w:t xml:space="preserve"> </w:t>
      </w:r>
      <w:r w:rsidRPr="00280717">
        <w:rPr>
          <w:bCs/>
        </w:rPr>
        <w:t>(</w:t>
      </w:r>
      <w:r w:rsidR="00BB3792">
        <w:rPr>
          <w:bCs/>
        </w:rPr>
        <w:t>Fig.</w:t>
      </w:r>
      <w:r w:rsidRPr="00280717">
        <w:rPr>
          <w:bCs/>
        </w:rPr>
        <w:t xml:space="preserve"> </w:t>
      </w:r>
      <w:r w:rsidR="00AF7D9F">
        <w:rPr>
          <w:bCs/>
        </w:rPr>
        <w:t>3</w:t>
      </w:r>
      <w:r w:rsidRPr="00280717">
        <w:rPr>
          <w:bCs/>
        </w:rPr>
        <w:t xml:space="preserve">c) shows a bathochromic-hyperchromic shift, whereas for the Nile Red </w:t>
      </w:r>
      <w:r w:rsidRPr="00280717">
        <w:rPr>
          <w:bCs/>
        </w:rPr>
        <w:lastRenderedPageBreak/>
        <w:t xml:space="preserve">emission, </w:t>
      </w:r>
      <w:r w:rsidR="00856F43">
        <w:rPr>
          <w:bCs/>
        </w:rPr>
        <w:t>a</w:t>
      </w:r>
      <w:r w:rsidRPr="00280717">
        <w:rPr>
          <w:bCs/>
        </w:rPr>
        <w:t xml:space="preserve"> bathochromic-hypochromic shift is observed.</w:t>
      </w:r>
      <w:r w:rsidRPr="00280717">
        <w:rPr>
          <w:bCs/>
        </w:rPr>
        <w:fldChar w:fldCharType="begin" w:fldLock="1"/>
      </w:r>
      <w:r w:rsidR="00976A58">
        <w:rPr>
          <w:bCs/>
        </w:rPr>
        <w:instrText>ADDIN CSL_CITATION {"citationItems":[{"id":"ITEM-1","itemData":{"DOI":"10.1002/chem.201601570","ISSN":"15213765","PMID":"27406265","abstract":"Nile red and Nile blue are highly fluorescent and photostable organic dyes from the benzo[a]phenoxazine family. They have been used as histological stains for imaging lysosomes and lipids in vitro. The dyes’ high quantum yields and solvent-dependent optical properties make them ideal scaffolds for the development of pH probes and local polarity indicators. Reviews of the literature in this area are scarce with only one review ever published in 2006. It has been 10 years since and the field has evolved. This review aims to expand upon topics covered by the previous reviewers and to report on recent advances in the literature. As authors, we hope to convey a sense of scope and to spark renewed interest in this useful niche of dye chemistry.","author":[{"dropping-particle":"","family":"Martinez","given":"Vincent","non-dropping-particle":"","parse-names":false,"suffix":""},{"dropping-particle":"","family":"Henary","given":"Maged","non-dropping-particle":"","parse-names":false,"suffix":""}],"container-title":"Chemistry - A European Journal","id":"ITEM-1","issue":"39","issued":{"date-parts":[["2016"]]},"page":"13764-13782","title":"Nile Red and Nile Blue: Applications and Syntheses of Structural Analogues","type":"article-journal","volume":"22"},"uris":["http://www.mendeley.com/documents/?uuid=ade4404c-65c8-45b0-8353-b227dec937db"]},{"id":"ITEM-2","itemData":{"DOI":"10.1016/S1386-1425(99)00199-7","ISSN":"13861425","PMID":"10809076","abstract":"Spectroscopic properties of Nile red (NR) in organic solvents, binary solvent mixtures have been studied. Remarkable shifts in the emission band positions have been observed as a function of the polarity of the medium. In solvent mixtures, these shifts can be explained by the process of specific solvation known as dielectric enrichment. The displacement of the fluorescence band was also measured as a function of temperature to obtain the thermochromic shifts (15 cm-1 K-1 in methyltetrahydrofuran and 13.8 cm-1 K-1 in butanol). Excited state dipole moments were calculated from these shifts.","author":[{"dropping-particle":"","family":"Ghoneim","given":"Nagwa","non-dropping-particle":"","parse-names":false,"suffix":""}],"container-title":"Spectrochimica Acta - Part A: Molecular and Biomolecular Spectroscopy","id":"ITEM-2","issue":"5","issued":{"date-parts":[["2000"]]},"page":"1003-1010","title":"Photophysics of Nile red in solution: Steady state spectroscopy","type":"article-journal","volume":"56"},"uris":["http://www.mendeley.com/documents/?uuid=734a7551-5e0f-4211-9d18-d538ce162e18"]},{"id":"ITEM-3","itemData":{"DOI":"10.1016/1010-6030(95)04140-0","ISSN":"10106030","abstract":"We have studied the spectroscopic properties of nile red (NR), a highly fluorescent laser dye, in organic solvents, binary solvent mixtures and polymers. Spectroscopic studies reveal remarkable changes in the absorption and emission band positions and intensities as a function of the polarity of the medium. Such large changes have been attributed to the twisted intramolecular charge transfer (TICT) state of the molecule in polar medium. Experimental results show that the molecule is sensitive to the polarity of its microenvironment and is an excellent probe for systems presenting restricted geometries. We have incorporated NR into thin films of poly (methyl methacrylate) (PMMA) and poly (vinyl alcohol) (PVA); it is found that the micropolarity in PVA is greater than that in PMMA; in PVA, the micropolarity corresponds to that of a binary mixture of acetonitrile and water, whereas in PMMA, the micropolarity corresponds closely to that of pure acetonitrile.","author":[{"dropping-particle":"","family":"Dutta","given":"Ashim Kumar","non-dropping-particle":"","parse-names":false,"suffix":""},{"dropping-particle":"","family":"Kamada","given":"Kenji","non-dropping-particle":"","parse-names":false,"suffix":""},{"dropping-particle":"","family":"Ohta","given":"Koji","non-dropping-particle":"","parse-names":false,"suffix":""}],"container-title":"Journal of Photochemistry and Photobiology A: Chemistry","id":"ITEM-3","issue":"1","issued":{"date-parts":[["1996"]]},"page":"57-64","title":"Spectroscopic studies of nile red in organic solvents and polymers","type":"article-journal","volume":"93"},"uris":["http://www.mendeley.com/documents/?uuid=b0c61ef5-b6e1-4a63-99e0-28009d84d806"]}],"mendeley":{"formattedCitation":"&lt;sup&gt;43,56,57&lt;/sup&gt;","plainTextFormattedCitation":"43,56,57","previouslyFormattedCitation":"&lt;sup&gt;43,56,57&lt;/sup&gt;"},"properties":{"noteIndex":0},"schema":"https://github.com/citation-style-language/schema/raw/master/csl-citation.json"}</w:instrText>
      </w:r>
      <w:r w:rsidRPr="00280717">
        <w:rPr>
          <w:bCs/>
        </w:rPr>
        <w:fldChar w:fldCharType="separate"/>
      </w:r>
      <w:r w:rsidR="00976A58" w:rsidRPr="00976A58">
        <w:rPr>
          <w:bCs/>
          <w:noProof/>
          <w:vertAlign w:val="superscript"/>
        </w:rPr>
        <w:t>43,56,57</w:t>
      </w:r>
      <w:r w:rsidRPr="00280717">
        <w:fldChar w:fldCharType="end"/>
      </w:r>
      <w:r w:rsidRPr="00280717">
        <w:rPr>
          <w:bCs/>
        </w:rPr>
        <w:t xml:space="preserve"> In other words, the intensity of the emission arising from the core COF increases when the medium is enriched in water, at the same time that the Nile </w:t>
      </w:r>
      <w:r w:rsidR="003805F1">
        <w:rPr>
          <w:bCs/>
        </w:rPr>
        <w:t>R</w:t>
      </w:r>
      <w:r w:rsidRPr="00280717">
        <w:rPr>
          <w:bCs/>
        </w:rPr>
        <w:t xml:space="preserve">ed emission decreases. The relative changes in intensity of the emission bands are visible </w:t>
      </w:r>
      <w:r w:rsidR="007877DC">
        <w:rPr>
          <w:bCs/>
        </w:rPr>
        <w:t>by a naked eye</w:t>
      </w:r>
      <w:r w:rsidR="00711821">
        <w:rPr>
          <w:bCs/>
        </w:rPr>
        <w:t>, Fig. 3c (inset</w:t>
      </w:r>
      <w:r w:rsidR="00364896">
        <w:rPr>
          <w:bCs/>
        </w:rPr>
        <w:t>)</w:t>
      </w:r>
      <w:r w:rsidR="00711821">
        <w:rPr>
          <w:bCs/>
        </w:rPr>
        <w:t>,</w:t>
      </w:r>
      <w:r w:rsidRPr="00280717">
        <w:rPr>
          <w:bCs/>
        </w:rPr>
        <w:t xml:space="preserve"> </w:t>
      </w:r>
      <w:r w:rsidR="00856F43">
        <w:rPr>
          <w:bCs/>
        </w:rPr>
        <w:t xml:space="preserve">by irradiation </w:t>
      </w:r>
      <w:r w:rsidR="00364896">
        <w:rPr>
          <w:bCs/>
        </w:rPr>
        <w:t xml:space="preserve">under </w:t>
      </w:r>
      <w:r w:rsidR="00856F43">
        <w:rPr>
          <w:bCs/>
        </w:rPr>
        <w:t xml:space="preserve">a </w:t>
      </w:r>
      <w:r w:rsidR="00364896">
        <w:rPr>
          <w:bCs/>
        </w:rPr>
        <w:t xml:space="preserve">conventional </w:t>
      </w:r>
      <w:r w:rsidRPr="00280717">
        <w:rPr>
          <w:bCs/>
        </w:rPr>
        <w:t>36</w:t>
      </w:r>
      <w:r w:rsidR="00364896">
        <w:rPr>
          <w:bCs/>
        </w:rPr>
        <w:t>6</w:t>
      </w:r>
      <w:r w:rsidRPr="00280717">
        <w:rPr>
          <w:bCs/>
        </w:rPr>
        <w:t xml:space="preserve"> nm UV lamp, achieving near-white emissive suspensions in the 7/3 THF/H</w:t>
      </w:r>
      <w:r w:rsidRPr="00280717">
        <w:rPr>
          <w:bCs/>
          <w:vertAlign w:val="subscript"/>
        </w:rPr>
        <w:t>2</w:t>
      </w:r>
      <w:r w:rsidRPr="00280717">
        <w:rPr>
          <w:bCs/>
        </w:rPr>
        <w:t>O mixture.</w:t>
      </w:r>
    </w:p>
    <w:p w14:paraId="75BBF662" w14:textId="6A39F13D" w:rsidR="00751144" w:rsidRPr="00167EAA" w:rsidRDefault="00751144" w:rsidP="00280717">
      <w:pPr>
        <w:pStyle w:val="RSCB02ArticleText"/>
      </w:pPr>
    </w:p>
    <w:p w14:paraId="2F81D299" w14:textId="7C6AAD71" w:rsidR="00751144" w:rsidRDefault="00F92B46" w:rsidP="00EC5E06">
      <w:pPr>
        <w:pStyle w:val="RSCI02FigureSchemeChartwithtopbar"/>
        <w:jc w:val="center"/>
      </w:pPr>
      <w:r>
        <w:rPr>
          <w:noProof/>
        </w:rPr>
        <w:drawing>
          <wp:inline distT="0" distB="0" distL="0" distR="0" wp14:anchorId="485C5A6B" wp14:editId="6CCFDC26">
            <wp:extent cx="2345648" cy="5294927"/>
            <wp:effectExtent l="0" t="0" r="0" b="1270"/>
            <wp:docPr id="13" name="Imagen 13" descr="Gráfico, Gráfico de líneas, Histo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n 13" descr="Gráfico, Gráfico de líneas, Histograma&#10;&#10;Descripción generada automáticamente"/>
                    <pic:cNvPicPr>
                      <a:picLocks noChangeAspect="1" noChangeArrowheads="1"/>
                    </pic:cNvPicPr>
                  </pic:nvPicPr>
                  <pic:blipFill rotWithShape="1">
                    <a:blip r:embed="rId22">
                      <a:extLst>
                        <a:ext uri="{28A0092B-C50C-407E-A947-70E740481C1C}">
                          <a14:useLocalDpi xmlns:a14="http://schemas.microsoft.com/office/drawing/2010/main" val="0"/>
                        </a:ext>
                      </a:extLst>
                    </a:blip>
                    <a:srcRect l="7416" t="1303" r="5191"/>
                    <a:stretch/>
                  </pic:blipFill>
                  <pic:spPr bwMode="auto">
                    <a:xfrm>
                      <a:off x="0" y="0"/>
                      <a:ext cx="2345648" cy="5294927"/>
                    </a:xfrm>
                    <a:prstGeom prst="rect">
                      <a:avLst/>
                    </a:prstGeom>
                    <a:noFill/>
                    <a:ln>
                      <a:noFill/>
                    </a:ln>
                    <a:extLst>
                      <a:ext uri="{53640926-AAD7-44D8-BBD7-CCE9431645EC}">
                        <a14:shadowObscured xmlns:a14="http://schemas.microsoft.com/office/drawing/2010/main"/>
                      </a:ext>
                    </a:extLst>
                  </pic:spPr>
                </pic:pic>
              </a:graphicData>
            </a:graphic>
          </wp:inline>
        </w:drawing>
      </w:r>
    </w:p>
    <w:p w14:paraId="22790E47" w14:textId="3F31C0E1" w:rsidR="00751144" w:rsidRDefault="00751144" w:rsidP="00167EAA">
      <w:pPr>
        <w:pStyle w:val="RSCI05CaptiontoFigureSchemeChartwithbottombar"/>
      </w:pPr>
      <w:r w:rsidRPr="00F51738">
        <w:rPr>
          <w:b/>
        </w:rPr>
        <w:t>Fig</w:t>
      </w:r>
      <w:r>
        <w:rPr>
          <w:b/>
        </w:rPr>
        <w:t>.</w:t>
      </w:r>
      <w:r w:rsidRPr="00F51738">
        <w:rPr>
          <w:b/>
        </w:rPr>
        <w:t xml:space="preserve"> </w:t>
      </w:r>
      <w:r w:rsidR="00AF7D9F">
        <w:rPr>
          <w:b/>
        </w:rPr>
        <w:t>3</w:t>
      </w:r>
      <w:r>
        <w:t xml:space="preserve"> a)</w:t>
      </w:r>
      <w:r w:rsidRPr="00EF6831">
        <w:t xml:space="preserve"> </w:t>
      </w:r>
      <w:r>
        <w:t>A</w:t>
      </w:r>
      <w:r w:rsidRPr="00EF6831">
        <w:t>ssignment of UV</w:t>
      </w:r>
      <w:r>
        <w:t xml:space="preserve">-VIS </w:t>
      </w:r>
      <w:r w:rsidR="0000308D">
        <w:t>abs</w:t>
      </w:r>
      <w:r w:rsidR="00970629">
        <w:t>orption bands</w:t>
      </w:r>
      <w:r>
        <w:t xml:space="preserve"> and b) fluorescence </w:t>
      </w:r>
      <w:r w:rsidR="00970629">
        <w:t>bands</w:t>
      </w:r>
      <w:r>
        <w:t xml:space="preserve"> in </w:t>
      </w:r>
      <w:r w:rsidR="00BB1C48">
        <w:t>a</w:t>
      </w:r>
      <w:r w:rsidR="00E20DA4">
        <w:t xml:space="preserve"> </w:t>
      </w:r>
      <w:r w:rsidR="00E20DA4">
        <w:rPr>
          <w:b/>
        </w:rPr>
        <w:t>NR</w:t>
      </w:r>
      <w:r w:rsidR="00E20DA4">
        <w:rPr>
          <w:b/>
          <w:vertAlign w:val="subscript"/>
        </w:rPr>
        <w:t>0,17</w:t>
      </w:r>
      <w:r w:rsidR="00E20DA4">
        <w:rPr>
          <w:b/>
        </w:rPr>
        <w:t>-CONs</w:t>
      </w:r>
      <w:r w:rsidR="00E20DA4">
        <w:t xml:space="preserve"> ASE</w:t>
      </w:r>
      <w:r w:rsidR="00E644E2">
        <w:t xml:space="preserve"> </w:t>
      </w:r>
      <w:r w:rsidR="00BB1C48">
        <w:t>colloid</w:t>
      </w:r>
      <w:r w:rsidR="00733B70">
        <w:t xml:space="preserve"> </w:t>
      </w:r>
      <w:r w:rsidR="00BB1C48">
        <w:t>(</w:t>
      </w:r>
      <w:r>
        <w:t>THF/water</w:t>
      </w:r>
      <w:r w:rsidR="003C38CB">
        <w:t>,</w:t>
      </w:r>
      <w:r>
        <w:t xml:space="preserve"> 9/1</w:t>
      </w:r>
      <w:r w:rsidR="00D44157">
        <w:t>,</w:t>
      </w:r>
      <w:r>
        <w:t xml:space="preserve"> </w:t>
      </w:r>
      <w:r w:rsidR="00D44157">
        <w:t>v/v</w:t>
      </w:r>
      <w:r w:rsidR="003C38CB">
        <w:t>)</w:t>
      </w:r>
      <w:r>
        <w:t>. c) Solvatochromism of the system in THF/water</w:t>
      </w:r>
      <w:r w:rsidR="00733B70">
        <w:t xml:space="preserve"> ASE</w:t>
      </w:r>
      <w:r>
        <w:t xml:space="preserve"> </w:t>
      </w:r>
      <w:r w:rsidR="00D44157">
        <w:t>colloids</w:t>
      </w:r>
      <w:r w:rsidR="00B926D1">
        <w:t xml:space="preserve"> </w:t>
      </w:r>
      <w:r>
        <w:t>(</w:t>
      </w:r>
      <w:r w:rsidR="00B926D1">
        <w:t>t</w:t>
      </w:r>
      <w:r>
        <w:t>he inset show</w:t>
      </w:r>
      <w:r w:rsidR="001909B6">
        <w:t>s</w:t>
      </w:r>
      <w:r>
        <w:t xml:space="preserve"> a picture of the emission of the colloids</w:t>
      </w:r>
      <w:r w:rsidR="007E2B6C">
        <w:t xml:space="preserve"> under a 366 nm UV light</w:t>
      </w:r>
      <w:r>
        <w:t xml:space="preserve"> </w:t>
      </w:r>
      <w:r w:rsidR="007E2B6C">
        <w:t>in</w:t>
      </w:r>
      <w:r>
        <w:t xml:space="preserve"> different </w:t>
      </w:r>
      <w:r w:rsidR="007E2B6C">
        <w:t>solvent mixtures</w:t>
      </w:r>
      <w:r>
        <w:t xml:space="preserve">: </w:t>
      </w:r>
      <w:r w:rsidRPr="00A4428D">
        <w:t>THF/water</w:t>
      </w:r>
      <w:r w:rsidRPr="00A4428D">
        <w:rPr>
          <w:b/>
        </w:rPr>
        <w:t xml:space="preserve"> </w:t>
      </w:r>
      <w:r w:rsidRPr="00A4428D">
        <w:t>3/7 (green), 7/3 (white) and 9/1 (red</w:t>
      </w:r>
      <w:r>
        <w:t>)</w:t>
      </w:r>
      <w:r w:rsidR="007E2B6C">
        <w:t>)</w:t>
      </w:r>
      <w:r>
        <w:t>.</w:t>
      </w:r>
    </w:p>
    <w:p w14:paraId="2185AB26" w14:textId="3462CE09" w:rsidR="00B403AE" w:rsidRDefault="00B403AE" w:rsidP="00B403AE">
      <w:pPr>
        <w:pStyle w:val="RSCB02ArticleText"/>
      </w:pPr>
      <w:r w:rsidRPr="00280717">
        <w:t xml:space="preserve">In order to shed some light onto the possible origin of the emission yield arising from the COF </w:t>
      </w:r>
      <w:r>
        <w:t>network</w:t>
      </w:r>
      <w:r w:rsidRPr="00280717">
        <w:t xml:space="preserve">, we computed the </w:t>
      </w:r>
      <w:proofErr w:type="spellStart"/>
      <w:r w:rsidRPr="00280717">
        <w:t>photoabsorption</w:t>
      </w:r>
      <w:proofErr w:type="spellEnd"/>
      <w:r w:rsidRPr="00280717">
        <w:t xml:space="preserve"> spectra for the </w:t>
      </w:r>
      <w:proofErr w:type="gramStart"/>
      <w:r w:rsidRPr="00280717">
        <w:t>fully-relaxed</w:t>
      </w:r>
      <w:proofErr w:type="gramEnd"/>
      <w:r w:rsidRPr="00280717">
        <w:t xml:space="preserve"> representative molecular </w:t>
      </w:r>
      <w:r w:rsidRPr="00CB4D65">
        <w:t>units of</w:t>
      </w:r>
      <w:r>
        <w:t xml:space="preserve"> the</w:t>
      </w:r>
      <w:r w:rsidRPr="00CB4D65">
        <w:t xml:space="preserve"> </w:t>
      </w:r>
      <w:r w:rsidRPr="00ED2753">
        <w:rPr>
          <w:b/>
          <w:bCs/>
        </w:rPr>
        <w:t>Alkyne</w:t>
      </w:r>
      <w:r w:rsidRPr="00ED2753">
        <w:rPr>
          <w:b/>
          <w:bCs/>
          <w:vertAlign w:val="subscript"/>
        </w:rPr>
        <w:t>0.17</w:t>
      </w:r>
      <w:r w:rsidRPr="00ED2753">
        <w:rPr>
          <w:b/>
          <w:bCs/>
        </w:rPr>
        <w:t>-COF</w:t>
      </w:r>
      <w:r>
        <w:t xml:space="preserve"> </w:t>
      </w:r>
      <w:r w:rsidRPr="00280717">
        <w:t xml:space="preserve">in </w:t>
      </w:r>
      <w:r>
        <w:t>the protonated and unprotonated forms of</w:t>
      </w:r>
      <w:r w:rsidRPr="00280717">
        <w:t xml:space="preserve"> the N atoms</w:t>
      </w:r>
      <w:r>
        <w:t xml:space="preserve"> at the imine groups</w:t>
      </w:r>
      <w:r w:rsidRPr="00280717">
        <w:t xml:space="preserve"> </w:t>
      </w:r>
      <w:r>
        <w:t>and simulating a</w:t>
      </w:r>
      <w:r w:rsidRPr="00280717">
        <w:t xml:space="preserve"> 7/3 </w:t>
      </w:r>
      <w:r>
        <w:t>(</w:t>
      </w:r>
      <w:r w:rsidRPr="00280717">
        <w:t>THF</w:t>
      </w:r>
      <w:r>
        <w:t>/</w:t>
      </w:r>
      <w:r w:rsidRPr="00280717">
        <w:t>H</w:t>
      </w:r>
      <w:r w:rsidRPr="00280717">
        <w:rPr>
          <w:vertAlign w:val="subscript"/>
        </w:rPr>
        <w:t>2</w:t>
      </w:r>
      <w:r w:rsidRPr="00280717">
        <w:t>O</w:t>
      </w:r>
      <w:r>
        <w:t>)</w:t>
      </w:r>
      <w:r w:rsidRPr="00280717">
        <w:t xml:space="preserve"> solvent. </w:t>
      </w:r>
      <w:r>
        <w:t>The r</w:t>
      </w:r>
      <w:r w:rsidRPr="00280717">
        <w:t>esult</w:t>
      </w:r>
      <w:r>
        <w:t>s</w:t>
      </w:r>
      <w:r w:rsidRPr="00280717">
        <w:t xml:space="preserve"> of these calculations reveal that for the non-protonated molecular unit the higher wavelength peak appears at 319 nm, out of the </w:t>
      </w:r>
      <w:r w:rsidRPr="00280717">
        <w:t>visible-range, with its origin (around a 90</w:t>
      </w:r>
      <w:r>
        <w:t xml:space="preserve"> </w:t>
      </w:r>
      <w:r w:rsidRPr="00280717">
        <w:t xml:space="preserve">%) in transitions between the HOMO and the LUMO+3, both with three-fold electronic degeneracy. Nonetheless, the result for the N-protonated molecular unit exhibits a featured peak at 434 nm (from electronic transitions between the two-fold degenerated HOMO and the LUMO+2 and LUMO+3), within the visible range and to be compared with the experimental result around 400 nm for the exfoliated </w:t>
      </w:r>
      <w:r>
        <w:t xml:space="preserve">COF </w:t>
      </w:r>
      <w:r w:rsidRPr="00280717">
        <w:t>colloids</w:t>
      </w:r>
      <w:r>
        <w:t xml:space="preserve"> </w:t>
      </w:r>
      <w:r w:rsidRPr="007B4926">
        <w:t>(Figure S29).</w:t>
      </w:r>
      <w:r w:rsidRPr="00280717">
        <w:t xml:space="preserve"> This emerging absorption peak within the visible range seems to have its origin in the rigidification of the bonds connecting to the -NH units arising from a reorganization of the electronic charge. This rigidification is also quite evident when one observes the planarity of the </w:t>
      </w:r>
      <w:proofErr w:type="gramStart"/>
      <w:r w:rsidRPr="00280717">
        <w:t>fully-relaxed</w:t>
      </w:r>
      <w:proofErr w:type="gramEnd"/>
      <w:r w:rsidRPr="00280717">
        <w:t xml:space="preserve"> molecular units, much more pronounced for the N-protonated one</w:t>
      </w:r>
      <w:r>
        <w:t xml:space="preserve">. </w:t>
      </w:r>
      <w:r w:rsidRPr="00280717">
        <w:t>This rigidification seems to be related with the restoration of the emission from the DMTA units</w:t>
      </w:r>
      <w:r>
        <w:t>.</w:t>
      </w:r>
    </w:p>
    <w:p w14:paraId="4D86F45A" w14:textId="77777777" w:rsidR="00B403AE" w:rsidRDefault="00B403AE" w:rsidP="00B403AE">
      <w:pPr>
        <w:pStyle w:val="RSCB02ArticleText"/>
      </w:pPr>
    </w:p>
    <w:p w14:paraId="3264A8BF" w14:textId="52BFC216" w:rsidR="00280717" w:rsidRPr="00280717" w:rsidRDefault="00280717" w:rsidP="00280717">
      <w:pPr>
        <w:pStyle w:val="RSCB06BHeadingSub-Section"/>
      </w:pPr>
      <w:r w:rsidRPr="00280717">
        <w:t>Preparation of fluorescent polymer-CONs composites</w:t>
      </w:r>
    </w:p>
    <w:p w14:paraId="5500311F" w14:textId="72C15984" w:rsidR="00763687" w:rsidRPr="00763687" w:rsidRDefault="00763687" w:rsidP="00763687">
      <w:pPr>
        <w:pStyle w:val="RSCB02ArticleText"/>
        <w:rPr>
          <w:bCs/>
        </w:rPr>
      </w:pPr>
      <w:r w:rsidRPr="00763687">
        <w:t xml:space="preserve">The dual emission of </w:t>
      </w:r>
      <w:r w:rsidRPr="00763687">
        <w:rPr>
          <w:b/>
        </w:rPr>
        <w:t>NR</w:t>
      </w:r>
      <w:r w:rsidRPr="00763687">
        <w:rPr>
          <w:b/>
          <w:vertAlign w:val="subscript"/>
        </w:rPr>
        <w:t>0,17</w:t>
      </w:r>
      <w:r w:rsidRPr="00763687">
        <w:rPr>
          <w:b/>
        </w:rPr>
        <w:t xml:space="preserve">-CONs </w:t>
      </w:r>
      <w:r w:rsidRPr="00763687">
        <w:rPr>
          <w:bCs/>
        </w:rPr>
        <w:t xml:space="preserve">can be exploited to prepare </w:t>
      </w:r>
      <w:proofErr w:type="spellStart"/>
      <w:r w:rsidRPr="00763687">
        <w:rPr>
          <w:bCs/>
        </w:rPr>
        <w:t>ratiometric</w:t>
      </w:r>
      <w:proofErr w:type="spellEnd"/>
      <w:r w:rsidRPr="00763687">
        <w:rPr>
          <w:bCs/>
        </w:rPr>
        <w:t xml:space="preserve"> sensors.</w:t>
      </w:r>
      <w:r w:rsidRPr="00763687">
        <w:rPr>
          <w:bCs/>
        </w:rPr>
        <w:fldChar w:fldCharType="begin" w:fldLock="1"/>
      </w:r>
      <w:r w:rsidR="00976A58">
        <w:rPr>
          <w:bCs/>
        </w:rPr>
        <w:instrText>ADDIN CSL_CITATION {"citationItems":[{"id":"ITEM-1","itemData":{"DOI":"10.1021/acs.analchem.0c05309","ISSN":"15206882","abstract":"Covalent organic framework (COF) nanosheets (NSs) are a new member in the family of two-dimensional (2D) nanomaterials that received increasing attention. The ability to prepare COF NSs with rapid acquisition is of great importance to explore their distinctive properties and potential applications. Herein, we elaborate design a new COF hybrid material EB-TFP:Eu(BTA)4 as a sensing platform. In the process of ratiometric fluorescence detection of 5-fluorouracil (5FU), an anticancer drug, we realize the preparation of COF NSs. Interaction occurs between 5FU and COF hybrid material, where the interlayer π-πstacking of COF was weakened, benefiting the exfoliation of bulk COF to acquire 2D COF NSs. This strategy provides not only a sensitive and selective 5FU sensor but also a significant inspiration for engineering 2D COF NSs.","author":[{"dropping-particle":"","family":"Wang","given":"Jinmin","non-dropping-particle":"","parse-names":false,"suffix":""},{"dropping-particle":"","family":"Qu","given":"Xianglong","non-dropping-particle":"","parse-names":false,"suffix":""},{"dropping-particle":"","family":"Zhao","given":"Limin","non-dropping-particle":"","parse-names":false,"suffix":""},{"dropping-particle":"","family":"Yan","given":"Bing","non-dropping-particle":"","parse-names":false,"suffix":""}],"container-title":"Analytical Chemistry","id":"ITEM-1","issue":"9","issued":{"date-parts":[["2021"]]},"page":"4308-4316","title":"Fabricating Nanosheets and Ratiometric Detection of 5-Fluorouracil by Covalent Organic Framework Hybrid Material","type":"article-journal","volume":"93"},"uris":["http://www.mendeley.com/documents/?uuid=fcb49354-f676-4618-ae19-47188a8d42d8"]},{"id":"ITEM-2","itemData":{"DOI":"10.1016/j.inoche.2020.108094","ISSN":"13877003","abstract":"A new covalent organic framework (COF), PP-TzDa, has been synthesized by post-synthetic modification. Our studies suggest that the modification leads to the changes of both the stacking mode and the fluorescence emission. This new COF shows dual fluorescence emissions, and can be used as a ratiometric fluorescent temperature sensor. In the range of 20–100 °C, the COF suspensions in DMF exhibit the temperature dependent fluorescence and the intensity ratios of two emissions change linearly with temperature. The new COF can also be used as a ratiometric fluorescent sensor for MnO4-. This work represents the opportunity to tune their fluorescent properties and explore their applications of a variety of COFs by simple modification.","author":[{"dropping-particle":"","family":"Huang","given":"Mengdi","non-dropping-particle":"","parse-names":false,"suffix":""},{"dropping-particle":"","family":"Chong","given":"Jinyu","non-dropping-particle":"","parse-names":false,"suffix":""},{"dropping-particle":"","family":"Hu","given":"Chuanjiang","non-dropping-particle":"","parse-names":false,"suffix":""},{"dropping-particle":"","family":"Yang","given":"Yonggang","non-dropping-particle":"","parse-names":false,"suffix":""}],"container-title":"Inorganic Chemistry Communications","id":"ITEM-2","issue":"May","issued":{"date-parts":[["2020"]]},"page":"108094","publisher":"Elsevier","title":"Ratiometric fluorescent detection of temperature and MnO4- using a modified covalent organic framework","type":"article-journal","volume":"119"},"uris":["http://www.mendeley.com/documents/?uuid=7f6813c5-cd27-45f2-9a29-7f329f1a4124"]},{"id":"ITEM-3","itemData":{"DOI":"10.1039/c5sc04099j","ISSN":"20416539","abstract":"Mitochondrial polarity is a crucial characteristic of these indispensable organelles, and tremendously impacts cellular events. Herein, we describe a new mitochondria-targeting fluorescent probe MCY-BF2 that is singularly sensitive and specifically responsive to mitochondrial polarity. The pull-push system in the conjugated structure of MCY-BF2 is responsible for the polarity-ultrasensitivity due to the excited state intramolecular charge transfer (ICT). By combining with cardiolipin, MCY-BF2 preferentially accumulates in mitochondria. Because the fluorescence emission wavelengths exhibit an obvious red-shift with increasing media polarity, the fluorescence intensity ratio at two different wavelengths versus the solvent dielectric constant can quantify the mitochondrial polarity. Experimental results demonstrate that the fluorescent intensity of MCY-BF2 in a non-polar solvent, dioxane, is 120 times higher than that in a polar solvent, dimethyl sulfoxide. As the first near-infrared (NIR) and most sensitive fluorescent imaging probe for polarity, MCY-BF2 can locate exclusively in mitochondria in various cells and discriminate polarity differences between normal and cancer cells. Also, the intrinsic polarity variance at different developmental stages in Caenorhabditis elegans (C. elegans) was reported here for the first time. Interestingly, the embryonic development stage has a more non-polar environment with a dielectric constant of 7.20, and in contrast the polarity at the young adult stage changes to 10.07. In addition, in vivo imaging results suggest that the tumor tissues of mice have an obviously lower polarity than that in normal tissues. Altogether, the merits of the NIR property, high sensitivity and moderate Stokes shift all greatly promote the accuracy of imaging. This probe will be a promising tool for studying biological processes and the pathological mechanism of polarity-related diseases.","author":[{"dropping-particle":"","family":"Xiao","given":"Haibin","non-dropping-particle":"","parse-names":false,"suffix":""},{"dropping-particle":"","family":"Li","given":"Ping","non-dropping-particle":"","parse-names":false,"suffix":""},{"dropping-particle":"","family":"Zhang","given":"Wei","non-dropping-particle":"","parse-names":false,"suffix":""},{"dropping-particle":"","family":"Tang","given":"Bo","non-dropping-particle":"","parse-names":false,"suffix":""}],"container-title":"Chemical Science","id":"ITEM-3","issue":"2","issued":{"date-parts":[["2016"]]},"page":"1588-1593","publisher":"Royal Society of Chemistry","title":"An ultrasensitive near-infrared ratiometric fluorescent probe for imaging mitochondrial polarity in live cells and in vivo","type":"article-journal","volume":"7"},"uris":["http://www.mendeley.com/documents/?uuid=2ff547b2-9eaf-478d-a344-d0354e593fd9"]},{"id":"ITEM-4","itemData":{"DOI":"10.1002/chem.201000829","ISSN":"09476539","PMID":"20665579","abstract":"Advances in nanoparticle technology have recently offered new tools to the bioanalytical field of research. In particular, new nanoparticle-based sensors have appeared able to give quantitative information about different species (ions, metabolites, biomolecules) in biosamples through ratiometric measurements. This article describes the methodologies developed so far in the design of such nanosensors. In particular, the different approaches to immobilize fluorescent chemosensor dyes to nanoparticles are presented. Concept designs of ratiometric nanosensors in terms of composition and architecture are also described and illustrated with examples taken from the literature. © 2010 Wiley-VCH Verlag GmbH &amp; Co. KGaA, Weinheim.","author":[{"dropping-particle":"","family":"Doussineau","given":"Tristan","non-dropping-particle":"","parse-names":false,"suffix":""},{"dropping-particle":"","family":"Schulz","given":"Anja","non-dropping-particle":"","parse-names":false,"suffix":""},{"dropping-particle":"","family":"Lapresta-Fernandez","given":"Alejandro","non-dropping-particle":"","parse-names":false,"suffix":""},{"dropping-particle":"","family":"Moro","given":"Artur","non-dropping-particle":"","parse-names":false,"suffix":""},{"dropping-particle":"","family":"Körsten","given":"Susanne","non-dropping-particle":"","parse-names":false,"suffix":""},{"dropping-particle":"","family":"Trupp","given":"Sabine","non-dropping-particle":"","parse-names":false,"suffix":""},{"dropping-particle":"","family":"Mohr","given":"Gerhard J.","non-dropping-particle":"","parse-names":false,"suffix":""}],"container-title":"Chemistry - A European Journal","id":"ITEM-4","issue":"34","issued":{"date-parts":[["2010"]]},"page":"10290-10299","title":"On the design of fluorescent ratiometric nanosensors","type":"article-journal","volume":"16"},"uris":["http://www.mendeley.com/documents/?uuid=4047e4fe-0ae5-4639-93c4-9a1505217261"]},{"id":"ITEM-5","itemData":{"DOI":"10.1021/ja070867y","ISSN":"00027863","abstract":"Fluorescent and luminescent reporters that signal molecular events of interest by modulating the ratio of peaks in their emission profile have advantages over reporters that simply modulate their emission intensity, since ratiometric measurement is concentration-independent and allows them to be effective in complex contexts, such as living cells or sensor microarrays. We herein describe a general platform for the design of ratiometric probes based on a heterometallic Tb3+/Eu3+ bis-lanthanide ensemble, consisting of a mixture, or \"cocktail\", of otherwise identical heterometalated chelates. The chelate contains an organic photon antenna that sensitizes the Tb3+/Eu3+ luminescence. The contributions of the two metals to the composite luminescence spectrum can be tuned to the same relative scale by adjusting the stoichiometry of the cocktail, allowing subtle changes in their ratio to be accurately measured. Importantly, the ratio responds to chemical and environmental changes experienced by the photon antenna, making the system an ideal platform for the design of chemical and enzymatic probes. As proofs of concept, we describe a ratiometric probe for esterase activity and a polarity-responsive ratiometric sensor. © 2007 American Chemical Society.","author":[{"dropping-particle":"","family":"Tremblay","given":"Matthew S.","non-dropping-particle":"","parse-names":false,"suffix":""},{"dropping-particle":"","family":"Halim","given":"Marlin","non-dropping-particle":"","parse-names":false,"suffix":""},{"dropping-particle":"","family":"Sames","given":"Dalibor","non-dropping-particle":"","parse-names":false,"suffix":""}],"container-title":"Journal of the American Chemical Society","id":"ITEM-5","issue":"24","issued":{"date-parts":[["2007"]]},"page":"7570-7577","title":"Cocktails of Tb3+ and Eu3+ complexes: A general platform for the design of ratiometric optical probes","type":"article-journal","volume":"129"},"uris":["http://www.mendeley.com/documents/?uuid=c08bf2ea-e386-4312-a7b1-48767017c1f5"]}],"mendeley":{"formattedCitation":"&lt;sup&gt;58–62&lt;/sup&gt;","plainTextFormattedCitation":"58–62","previouslyFormattedCitation":"&lt;sup&gt;58–62&lt;/sup&gt;"},"properties":{"noteIndex":0},"schema":"https://github.com/citation-style-language/schema/raw/master/csl-citation.json"}</w:instrText>
      </w:r>
      <w:r w:rsidRPr="00763687">
        <w:rPr>
          <w:bCs/>
        </w:rPr>
        <w:fldChar w:fldCharType="separate"/>
      </w:r>
      <w:r w:rsidR="00976A58" w:rsidRPr="00976A58">
        <w:rPr>
          <w:bCs/>
          <w:noProof/>
          <w:vertAlign w:val="superscript"/>
        </w:rPr>
        <w:t>58–62</w:t>
      </w:r>
      <w:r w:rsidRPr="00763687">
        <w:fldChar w:fldCharType="end"/>
      </w:r>
      <w:r w:rsidRPr="00763687">
        <w:rPr>
          <w:bCs/>
        </w:rPr>
        <w:t xml:space="preserve"> This kind of sensors are very attractive since their response is concentration-independent and therefore they can be used in complex environments. For the </w:t>
      </w:r>
      <w:r w:rsidRPr="00763687">
        <w:rPr>
          <w:b/>
        </w:rPr>
        <w:t>NR</w:t>
      </w:r>
      <w:r w:rsidRPr="00763687">
        <w:rPr>
          <w:b/>
          <w:vertAlign w:val="subscript"/>
        </w:rPr>
        <w:t>0,17</w:t>
      </w:r>
      <w:r w:rsidRPr="00763687">
        <w:rPr>
          <w:b/>
        </w:rPr>
        <w:t xml:space="preserve">-CONs </w:t>
      </w:r>
      <w:r w:rsidRPr="00763687">
        <w:rPr>
          <w:bCs/>
        </w:rPr>
        <w:t xml:space="preserve">to be useful as fluorescent sensors in day-to-day applications they </w:t>
      </w:r>
      <w:r w:rsidR="00D37ABA" w:rsidRPr="00763687">
        <w:rPr>
          <w:bCs/>
        </w:rPr>
        <w:t>must</w:t>
      </w:r>
      <w:r w:rsidRPr="00763687">
        <w:rPr>
          <w:bCs/>
        </w:rPr>
        <w:t xml:space="preserve"> be processed in self-standing solid formats, which can be achieved in a convenient way by embedding the particles in a polymeric matrix. Several polymer-COF composites have been reported in the last years for a number of applications.</w:t>
      </w:r>
      <w:r w:rsidRPr="00763687">
        <w:rPr>
          <w:bCs/>
        </w:rPr>
        <w:fldChar w:fldCharType="begin" w:fldLock="1"/>
      </w:r>
      <w:r w:rsidR="000B710C">
        <w:rPr>
          <w:bCs/>
        </w:rPr>
        <w:instrText>ADDIN CSL_CITATION {"citationItems":[{"id":"ITEM-1","itemData":{"DOI":"10.3390/molecules25225404","ISSN":"14203049","PMID":"33218211","abstract":"In the recent years, composite materials containing covalent organic frameworks (COFs) have raised increasing interest for analytical applications. To date, various synthesis techniques have emerged that allow for the preparation of crystalline and porous COF composites with various materials. Herein, we summarize the most common methods used to gain access to crystalline COF composites with magnetic nanoparticles, other oxide materials, graphene and graphene oxide, and metal nanoparticles. Additionally, some examples of stainless steel, polymer, and metal-organic framework composites are presented. Thereafter, we discuss the use of these composites for chromatographic separation, environmental remediation, and sensing.","author":[{"dropping-particle":"","family":"Jarju","given":"Jenni J.","non-dropping-particle":"","parse-names":false,"suffix":""},{"dropping-particle":"","family":"Lavender","given":"Ana M.","non-dropping-particle":"","parse-names":false,"suffix":""},{"dropping-particle":"","family":"Espiña","given":"Begoña","non-dropping-particle":"","parse-names":false,"suffix":""},{"dropping-particle":"","family":"Romero","given":"Vanesa","non-dropping-particle":"","parse-names":false,"suffix":""},{"dropping-particle":"","family":"Salonen","given":"Laura M.","non-dropping-particle":"","parse-names":false,"suffix":""}],"container-title":"Molecules","id":"ITEM-1","issue":"22","issued":{"date-parts":[["2020"]]},"page":"5404","title":"Covalent Organic Framework Composites: Synthesis and Analytical Applications","type":"article-journal","volume":"25"},"uris":["http://www.mendeley.com/documents/?uuid=73c30b8e-68e0-40a5-b5c1-4a5cac9ae8c8"]},{"id":"ITEM-2","itemData":{"DOI":"10.1021/jacs.8b08312","ISSN":"15205126","PMID":"30256624","abstract":"The ordered modular structure of a covalent organic framework (COF) facilitates the selective incorporation of electronically active segments that can be tuned to function cooperatively. This designability inspires developing COF-based single-source white light emitters, required in next-generation solid-state lighting. Here, we present a new anthracene-resorcinol-based COF exhibiting white light emission. The keto-enol tautomers present in the COF give rise to dual emission, which can be tuned by the O-donor and N-donor solvents. Importantly, when suspended in a solid polymer matrix, this dual emission is retained as both tautomers coexist. A mere 0.32 wt % loading of the COF in poly(methyl methacrylate) (PMMA) gives a solvent-free film with intense white light emission (CIE coordinates (0.35, 0.36)). From steady-state and time-resolved studies, the mechanism of the white light emission has been unambiguously assigned to fluorescence, with the blue emission originating from the π-stacked columns of anthracene, and the mixture of red and green from the keto-enol tautomerized resorcinol units. The study introduces the COF as a new class of readily processable, single-source white light emitter.","author":[{"dropping-particle":"","family":"Haldar","given":"Sattwick","non-dropping-particle":"","parse-names":false,"suffix":""},{"dropping-particle":"","family":"Chakraborty","given":"Debanjan","non-dropping-particle":"","parse-names":false,"suffix":""},{"dropping-particle":"","family":"Roy","given":"Bibhisan","non-dropping-particle":"","parse-names":false,"suffix":""},{"dropping-particle":"","family":"Banappanavar","given":"Gangadhar","non-dropping-particle":"","parse-names":false,"suffix":""},{"dropping-particle":"","family":"Rinku","given":"Kushwaha","non-dropping-particle":"","parse-names":false,"suffix":""},{"dropping-particle":"","family":"Mullangi","given":"Dinesh","non-dropping-particle":"","parse-names":false,"suffix":""},{"dropping-particle":"","family":"Hazra","given":"Partha","non-dropping-particle":"","parse-names":false,"suffix":""},{"dropping-particle":"","family":"Kabra","given":"Dinesh","non-dropping-particle":"","parse-names":false,"suffix":""},{"dropping-particle":"","family":"Vaidhyanathan","given":"Ramanathan","non-dropping-particle":"","parse-names":false,"suffix":""}],"container-title":"Journal of the American Chemical Society","id":"ITEM-2","issue":"41","issued":{"date-parts":[["2018"]]},"page":"13367-13374","title":"Anthracene-Resorcinol Derived Covalent Organic Framework as Flexible White Light Emitter","type":"article-journal","volume":"140"},"uris":["http://www.mendeley.com/documents/?uuid=25839579-ae7f-46b9-a213-5e371f77a8a8"]}],"mendeley":{"formattedCitation":"&lt;sup&gt;23,63&lt;/sup&gt;","plainTextFormattedCitation":"23,63","previouslyFormattedCitation":"&lt;sup&gt;23,63&lt;/sup&gt;"},"properties":{"noteIndex":0},"schema":"https://github.com/citation-style-language/schema/raw/master/csl-citation.json"}</w:instrText>
      </w:r>
      <w:r w:rsidRPr="00763687">
        <w:rPr>
          <w:bCs/>
        </w:rPr>
        <w:fldChar w:fldCharType="separate"/>
      </w:r>
      <w:r w:rsidR="00976A58" w:rsidRPr="00976A58">
        <w:rPr>
          <w:bCs/>
          <w:noProof/>
          <w:vertAlign w:val="superscript"/>
        </w:rPr>
        <w:t>23,63</w:t>
      </w:r>
      <w:r w:rsidRPr="00763687">
        <w:fldChar w:fldCharType="end"/>
      </w:r>
      <w:r w:rsidRPr="00763687">
        <w:rPr>
          <w:bCs/>
        </w:rPr>
        <w:t xml:space="preserve"> Usually, the COF particles has been mixed or grown in pre-synthesized polymeric matrices in order to achieve the composite materials. This approach has the disadvantage that the dispersion of COF particles is conditioned by the physicochemical properties of the polymer (such as viscosity, polarity, etc) and exfoliation is more difficult to be controlled. In this work, we take profit of the exfoliation of the material in acidic medium to prepare the </w:t>
      </w:r>
      <w:r w:rsidRPr="00763687">
        <w:rPr>
          <w:b/>
        </w:rPr>
        <w:t>NR</w:t>
      </w:r>
      <w:r w:rsidRPr="00763687">
        <w:rPr>
          <w:b/>
          <w:vertAlign w:val="subscript"/>
        </w:rPr>
        <w:t>0,17</w:t>
      </w:r>
      <w:r w:rsidRPr="00763687">
        <w:rPr>
          <w:b/>
        </w:rPr>
        <w:t xml:space="preserve">-CONs </w:t>
      </w:r>
      <w:r w:rsidRPr="00763687">
        <w:rPr>
          <w:bCs/>
        </w:rPr>
        <w:t xml:space="preserve">in the polymer precursors in acidic conditions and carrying out the polymerization of the resulting mixture. The low viscosity and appropriate polarity of the monomers guarantee the good dispersion of the CONs in the final composite. </w:t>
      </w:r>
    </w:p>
    <w:p w14:paraId="11EA4CFE" w14:textId="017348FF" w:rsidR="00F1270F" w:rsidRDefault="00763687" w:rsidP="00F1270F">
      <w:pPr>
        <w:pStyle w:val="RSCB02ArticleText"/>
      </w:pPr>
      <w:r w:rsidRPr="00763687">
        <w:rPr>
          <w:bCs/>
        </w:rPr>
        <w:t xml:space="preserve">The polymeric precursors </w:t>
      </w:r>
      <w:r w:rsidR="007E2B6C">
        <w:rPr>
          <w:bCs/>
        </w:rPr>
        <w:t>used</w:t>
      </w:r>
      <w:r w:rsidRPr="00763687">
        <w:rPr>
          <w:bCs/>
        </w:rPr>
        <w:t xml:space="preserve"> to prepare the composites were 2-hydroxyethylmethacrylate (HEMA) as the main monomer and ethylene glycol </w:t>
      </w:r>
      <w:proofErr w:type="spellStart"/>
      <w:r w:rsidRPr="00763687">
        <w:rPr>
          <w:bCs/>
        </w:rPr>
        <w:t>dimethacrylate</w:t>
      </w:r>
      <w:proofErr w:type="spellEnd"/>
      <w:r w:rsidRPr="00763687">
        <w:rPr>
          <w:bCs/>
        </w:rPr>
        <w:t xml:space="preserve"> (EGDMA) as the cross-linker (</w:t>
      </w:r>
      <w:r w:rsidR="00BB3792">
        <w:rPr>
          <w:bCs/>
        </w:rPr>
        <w:t>Fig.</w:t>
      </w:r>
      <w:r w:rsidRPr="00763687">
        <w:rPr>
          <w:bCs/>
        </w:rPr>
        <w:t xml:space="preserve"> </w:t>
      </w:r>
      <w:r w:rsidR="00AF7D9F">
        <w:rPr>
          <w:bCs/>
        </w:rPr>
        <w:t>4a</w:t>
      </w:r>
      <w:r w:rsidRPr="00763687">
        <w:rPr>
          <w:bCs/>
        </w:rPr>
        <w:t>) which gave rise to poly-HEMA (</w:t>
      </w:r>
      <w:proofErr w:type="spellStart"/>
      <w:r w:rsidRPr="00763687">
        <w:rPr>
          <w:bCs/>
        </w:rPr>
        <w:t>pHEMA</w:t>
      </w:r>
      <w:proofErr w:type="spellEnd"/>
      <w:r w:rsidRPr="00763687">
        <w:rPr>
          <w:bCs/>
        </w:rPr>
        <w:t>) hydrogels.</w:t>
      </w:r>
      <w:r w:rsidRPr="00763687">
        <w:rPr>
          <w:bCs/>
        </w:rPr>
        <w:fldChar w:fldCharType="begin" w:fldLock="1"/>
      </w:r>
      <w:r w:rsidR="00F372B1">
        <w:rPr>
          <w:bCs/>
        </w:rPr>
        <w:instrText>ADDIN CSL_CITATION {"citationItems":[{"id":"ITEM-1","itemData":{"DOI":"10.3390/ijms22126376","ISSN":"14220067","abstract":"Poly(2-hydroxyethyl methacrylate) (pHEMA) as a biomaterial with excellent biocompati-bility and cytocompatibility elicits a minimal immunological response from host tissue making it desirable for different biomedical applications. This article seeks to provide an in-depth overview of the properties and biomedical applications of pHEMA for bone tissue regeneration, wound healing, cancer therapy (stimuli and non-stimuli responsive systems), and ophthalmic applications (contact lenses and ocular drug delivery). As this polymer has been widely applied in ophthalmic applications, a specific consideration has been devoted to this field. Pure pHEMA does not possess antimicrobial properties and the site where the biomedical device is employed may be susceptible to microbial infections. Therefore, antimicrobial strategies such as the use of silver nanoparticles, antibiotics, and antimicrobial agents can be utilized to protect against infections. Therefore, the antimicrobial strategies besides the drug delivery applications of pHEMA were covered. With continuous research and advancement in science and technology, the outlook of pHEMA is promising as it will most certainly be utilized in more biomedical applications in the near future. The aim of this review was to bring together state-of-the-art research on pHEMA and their applications.","author":[{"dropping-particle":"","family":"Zare","given":"Mina","non-dropping-particle":"","parse-names":false,"suffix":""},{"dropping-particle":"","family":"Bigham","given":"Ashkan","non-dropping-particle":"","parse-names":false,"suffix":""},{"dropping-particle":"","family":"Zare","given":"Mohamad","non-dropping-particle":"","parse-names":false,"suffix":""},{"dropping-particle":"","family":"Luo","given":"Hongrong","non-dropping-particle":"","parse-names":false,"suffix":""},{"dropping-particle":"","family":"Rezvani Ghomi","given":"Erfan","non-dropping-particle":"","parse-names":false,"suffix":""},{"dropping-particle":"","family":"Ramakrishna","given":"Seeram","non-dropping-particle":"","parse-names":false,"suffix":""}],"container-title":"International Journal of Molecular Sciences","id":"ITEM-1","issue":"12","issued":{"date-parts":[["2021"]]},"page":"6376","title":"Phema: An overview for biomedical applications","type":"article-journal","volume":"22"},"uris":["http://www.mendeley.com/documents/?uuid=43349bff-0a5c-4f8a-8bbd-fd305615cf8c"]}],"mendeley":{"formattedCitation":"&lt;sup&gt;64&lt;/sup&gt;","plainTextFormattedCitation":"64","previouslyFormattedCitation":"&lt;sup&gt;64&lt;/sup&gt;"},"properties":{"noteIndex":0},"schema":"https://github.com/citation-style-language/schema/raw/master/csl-citation.json"}</w:instrText>
      </w:r>
      <w:r w:rsidRPr="00763687">
        <w:rPr>
          <w:bCs/>
        </w:rPr>
        <w:fldChar w:fldCharType="separate"/>
      </w:r>
      <w:r w:rsidR="00976A58" w:rsidRPr="00976A58">
        <w:rPr>
          <w:bCs/>
          <w:noProof/>
          <w:vertAlign w:val="superscript"/>
        </w:rPr>
        <w:t>64</w:t>
      </w:r>
      <w:r w:rsidRPr="00763687">
        <w:fldChar w:fldCharType="end"/>
      </w:r>
      <w:r w:rsidRPr="00763687">
        <w:rPr>
          <w:bCs/>
        </w:rPr>
        <w:t xml:space="preserve"> This type of polymeric hydrogels exhibit high permeation to water, are biocompatible and can be processed in very transparent formats which make them very suitable for the preparation of optical devices, sensors and photoactive materials.</w:t>
      </w:r>
      <w:r w:rsidRPr="00763687">
        <w:rPr>
          <w:bCs/>
        </w:rPr>
        <w:fldChar w:fldCharType="begin" w:fldLock="1"/>
      </w:r>
      <w:r w:rsidR="00976A58">
        <w:rPr>
          <w:bCs/>
        </w:rPr>
        <w:instrText>ADDIN CSL_CITATION {"citationItems":[{"id":"ITEM-1","itemData":{"DOI":"10.1002/adfm.200400274","ISSN":"1616301X","abstract":"In this paper we report the encapsulation of the compound 4',7-dihydroxyflavylium in a water-permeable crosslinked poly(2-hydroxyethyl methacrylate) matrix. The water permeability of the polymer and its transparency allow the use of pH and light stimuli to attain different states on the network defined by the various chemical reactions (multistate/multifunctional system). Unlike in water, in the polymer the compound 4',7-dihydroxyflavylium encapsulated exhibits a thermal barrier between the cis-and trans-chalcones, a necessary requirement to define a write-read-erase cycle. © 2005 WILEY-VCH Verlag GmbH &amp; Co. KGaA, Weinheim.","author":[{"dropping-particle":"","family":"Galindo","given":"Francisco","non-dropping-particle":"","parse-names":false,"suffix":""},{"dropping-particle":"","family":"Lima","given":"João C.","non-dropping-particle":"","parse-names":false,"suffix":""},{"dropping-particle":"V.","family":"Luis","given":"Santiago","non-dropping-particle":"","parse-names":false,"suffix":""},{"dropping-particle":"","family":"Parola","given":"A. Jorge","non-dropping-particle":"","parse-names":false,"suffix":""},{"dropping-particle":"","family":"Pina","given":"Fernando","non-dropping-particle":"","parse-names":false,"suffix":""}],"container-title":"Advanced Functional Materials","id":"ITEM-1","issue":"4","issued":{"date-parts":[["2005"]]},"page":"541-545","title":"Write-read-erase molecular-switching system trapped in a polymer hydrogel matrix","type":"article-journal","volume":"15"},"uris":["http://www.mendeley.com/documents/?uuid=a8b7b079-a7f4-49ea-b676-f552c9ace59b"]},{"id":"ITEM-2","itemData":{"DOI":"10.1039/b500512d","ISSN":"09599428","abstract":"Flavylium compounds can conveniently be encapsulated in water permeable cross-linked poly(2-hydroxyethyl methacrylate) (PHEMA) polymer hydrogel matrices. The polymer is also permeable to gases, for example ammonia and hydrogen chloride. The ability of the polymer to concentrate water from the surrounding atmosphere was demonstrated. The absorption and emission spectra of the encapsulated flavylium compounds are very dependent on the pH, and by consequence ammonia (or hydrogen chloride) can be easily detected. The intensity of the fluorescence emission of the flavylium cation (AH+ species obtained in acidic media) is very dependent on the water content due to the efficient excited state proton transfer involving the AH+* excited state and water. The combination of flavylium emission sensitivity to water and ability of the polymer to concentrate water from the surrounding atmosphere, confers this material potential utility as a humidity sensor with high sensitivity. © The Royal Society of Chemistry 2005.","author":[{"dropping-particle":"","family":"Galindo","given":"Francisco","non-dropping-particle":"","parse-names":false,"suffix":""},{"dropping-particle":"","family":"Lima","given":"João C.","non-dropping-particle":"","parse-names":false,"suffix":""},{"dropping-particle":"V.","family":"Luis","given":"Santiago","non-dropping-particle":"","parse-names":false,"suffix":""},{"dropping-particle":"","family":"Melo","given":"Maria João","non-dropping-particle":"","parse-names":false,"suffix":""},{"dropping-particle":"","family":"Jorge Parola","given":"A.","non-dropping-particle":"","parse-names":false,"suffix":""},{"dropping-particle":"","family":"Pina","given":"Fernando","non-dropping-particle":"","parse-names":false,"suffix":""}],"container-title":"Journal of Materials Chemistry","id":"ITEM-2","issue":"27-28","issued":{"date-parts":[["2005"]]},"page":"2840-2847","title":"Water/humidity and ammonia sensor, based on a polymer hydrogel matrix containing a fluorescent flavylium compound","type":"article-journal","volume":"15"},"uris":["http://www.mendeley.com/documents/?uuid=d7fee1da-c26c-489e-a6a3-3292ae9a7106"]},{"id":"ITEM-3","itemData":{"DOI":"10.1016/j.eurpolymj.2014.03.027","ISSN":"00143057","abstract":"A series of nitric oxide (NO) sensitive polymeric hydrogels have been synthesized and their properties described. The new materials are based on a poly(2-hydroxyethyl methacrylate) matrix entrapping the DAF-FM (4-amino-5-methylamino-2′,7′-difluorofluorescein) fluorescent probe. Some of the developed materials show sensitivities in the range ca. 50-75 nM towards NO dissolved in aerated phosphate buffer (PBS), being nitrous anhydride the reactive species under such conditions. Remarkably, the sensitivity of the fluorescent polymers is not influenced by dehydroascorbic acid, a molecule of biological importance, which has been reported to be a common interfering species capable to react with well known probes for NO. © 2014 Elsevier Ltd. All rights reserved.","author":[{"dropping-particle":"","family":"Fabregat","given":"Víctor","non-dropping-particle":"","parse-names":false,"suffix":""},{"dropping-particle":"","family":"Izquierdo","given":"M. Ángeles","non-dropping-particle":"","parse-names":false,"suffix":""},{"dropping-particle":"","family":"Burguete","given":"M. Isabel","non-dropping-particle":"","parse-names":false,"suffix":""},{"dropping-particle":"","family":"Galindo","given":"Francisco","non-dropping-particle":"","parse-names":false,"suffix":""},{"dropping-particle":"V.","family":"Luis","given":"Santiago","non-dropping-particle":"","parse-names":false,"suffix":""}],"container-title":"European Polymer Journal","id":"ITEM-3","issue":"1","issued":{"date-parts":[["2014"]]},"page":"108-113","title":"Nitric oxide sensitive fluorescent polymeric hydrogels showing negligible interference by dehydroascorbic acid","type":"article-journal","volume":"55"},"uris":["http://www.mendeley.com/documents/?uuid=a5b74e2b-9dcf-4788-b553-7fd506d8ed11"]},{"id":"ITEM-4","itemData":{"DOI":"10.1021/acsbiomaterials.0c00992","ISSN":"23739878","PMID":"33320609","abstract":"Three new photoactive polymeric materials embedding a hexanuclear molybdenum cluster (Bu4N)2[Mo6I8(CH3COO)6] (1) have been synthesized and characterized by means of Fourier-transform infrared spectroscopy (FTIR), thermogravimetric analysis (TGA), and emission spectroscopy. The materials are obtained in the format of transparent and thin sheets, and the formulations used to synthesize them are comprised of 2-hydroxyethyl methacrylate (HEMA), as a polymerizable monomer, and ethylene glycol dimethacrylate (EGDMA) or poly(ethylene glycol)dimethacrylate (PEGDMA), as cross-linkers. All the polymeric hydrogels generate singlet oxygen (1O2) upon irradiation with visible light (400-700 nm), as demonstrated by the reactivity toward two chemical traps of this reactive species (9,10-dimethylanthracene and 1,5-dihydroxynaphthalene). Some differences have been detected between the photoactive materials, probably attributable to variations in the permeability to solvent and oxygen. Notably, one of the materials resisted up to 10 cycles of photocatalytic oxygenation reactions of 1,5-dihydroxynaphthalene. All three of the polyHEMA hydrogels doped with 1 are efficient against S. aureus biofilms when irradiated with blue light (460 nm). The material made with the composition of 90% HEMA and 10% PEGDMA (Mo6@polymer-III) is especially easy to handle, because of its flexibility, and it achieves a notable level of bacterial population reduction (3.0 log10 CFU/cm2). The embedding of 1 in cross-linked polyHEMA sheets affords a protective environment to the photosensitizer against aqueous degradation while preserving the photochemical and photobactericidal activity.","author":[{"dropping-particle":"","family":"López-López","given":"Noelia","non-dropping-particle":"","parse-names":false,"suffix":""},{"dropping-particle":"","family":"Muñoz Resta","given":"Ignacio","non-dropping-particle":"","parse-names":false,"suffix":""},{"dropping-particle":"","family":"Llanos","given":"Rosa","non-dropping-particle":"De","parse-names":false,"suffix":""},{"dropping-particle":"","family":"Miravet","given":"Juan F.","non-dropping-particle":"","parse-names":false,"suffix":""},{"dropping-particle":"","family":"Mikhaylov","given":"Maxim","non-dropping-particle":"","parse-names":false,"suffix":""},{"dropping-particle":"","family":"Sokolov","given":"Maxim N.","non-dropping-particle":"","parse-names":false,"suffix":""},{"dropping-particle":"","family":"Ballesta","given":"Sofía","non-dropping-particle":"","parse-names":false,"suffix":""},{"dropping-particle":"","family":"García-Luque","given":"Isabel","non-dropping-particle":"","parse-names":false,"suffix":""},{"dropping-particle":"","family":"Galindo","given":"Francisco","non-dropping-particle":"","parse-names":false,"suffix":""}],"container-title":"ACS Biomaterials Science and Engineering","id":"ITEM-4","issue":"12","issued":{"date-parts":[["2020"]]},"page":"6995-7003","title":"Photodynamic Inactivation of Staphylococcus aureus Biofilms Using a Hexanuclear Molybdenum Complex Embedded in Transparent polyHEMA Hydrogels","type":"article-journal","volume":"6"},"uris":["http://www.mendeley.com/documents/?uuid=de3d18c4-17ae-4b36-8da0-91ad5fe31e7f"]},{"id":"ITEM-5","itemData":{"DOI":"10.1021/acsami.9b02262","ISSN":"19448252","PMID":"30912429","abstract":"For the safety of both production and life, it is a very significant issue to detect explosive nitro compounds in a remote way or over a long distance. Here, we report that nitro compounds were detected by the bacterial sensor based on hydrogel microbeads as a platform. Green fluorescent protein-producing Escherichia coli, which was genetically engineered to be sensitive to nitro compounds, was loaded within poly(2-hydroxyethyl methacrylate) [poly(HEMA)]-based hydrogel beads, in which fluorescent signals from bacteria were concentrated and strong enough to be easily detected. For efficient loading of negatively charged bacteria, the surface charge of poly(HEMA)-based beads was controlled by copolymerization with 2-(methacryloyloxy)ethyltrimethylammonium chloride (MAETC) as a cationic monomer. With the addition of MAETC, the cell affinity was nine times enhanced by the interaction between the positively charged poly(HEMA-co-MAETC) beads and negatively charged bacteria. The increased cell affinity resulted in an enhancement of a sensing signal. After exposure to 2,4,6-trinitrotoluene, a typical explosive nitro compound, the fluorescence intensity of bacterial sensors using poly(HEMA-co-MAETC) beads having 80 wt % MAETC was five times increased compared to those based on poly(HEMA) beads. This amplification of the fluorescent signal enables easier detection of explosives efficiently by a remote detection, even over a long distance.","author":[{"dropping-particle":"","family":"Kim","given":"Soohyun","non-dropping-particle":"","parse-names":false,"suffix":""},{"dropping-particle":"","family":"Kim","given":"Hyunji","non-dropping-particle":"","parse-names":false,"suffix":""},{"dropping-particle":"","family":"Qiao","given":"Tian","non-dropping-particle":"","parse-names":false,"suffix":""},{"dropping-particle":"","family":"Cha","given":"Chaenyung","non-dropping-particle":"","parse-names":false,"suffix":""},{"dropping-particle":"","family":"Lee","given":"Sung Kuk","non-dropping-particle":"","parse-names":false,"suffix":""},{"dropping-particle":"","family":"Lee","given":"Kangseok","non-dropping-particle":"","parse-names":false,"suffix":""},{"dropping-particle":"","family":"Ro","given":"Hyun Ji","non-dropping-particle":"","parse-names":false,"suffix":""},{"dropping-particle":"","family":"Kim","given":"Youngkyun","non-dropping-particle":"","parse-names":false,"suffix":""},{"dropping-particle":"","family":"Lee","given":"Wonmok","non-dropping-particle":"","parse-names":false,"suffix":""},{"dropping-particle":"","family":"Lee","given":"Hyunjung","non-dropping-particle":"","parse-names":false,"suffix":""}],"container-title":"ACS Applied Materials and Interfaces","id":"ITEM-5","issue":"15","issued":{"date-parts":[["2019"]]},"page":"14354-14361","title":"Fluorescence Enhancement from Nitro-Compound-Sensitive Bacteria within Spherical Hydrogel Scaffolds","type":"article-journal","volume":"11"},"uris":["http://www.mendeley.com/documents/?uuid=c3946c1a-563c-41f9-85e5-2f136bf19f11"]},{"id":"ITEM-6","itemData":{"DOI":"10.1021/acs.chemmater.0c04400","ISSN":"15205002","abstract":"A key characteristic of programmable hydrogels is that their physical and chemical properties can be changed postsynthetically. In order to achieve this, we used sub-50 nm photoacid/base generator nanoparticles, which could alter the charge density/polarity of a host macroscopic hydrogel (e.g., polyacrylamide). The photoacid generator (PAG) nanoparticles, were composed of poly(methyl methacrylate-co-4,5-dimethoxy-2-nitrobenzyl methacrylate-co-1,6-hexanediol diacrylate) and exhibited a pH-dependent swelling behavior when they were irradiated with UV light. Thus, using PAG nanoparticles enabled space-selective light-triggered swelling of host hydrogels by increasing the charge density at alkaline pH. Using photobase generator (PBG) nanoparticles, consisting of poly(methyl methacrylate-co-2-nitrobenzyl methyl 4-methacryloyloxy piperidine-1-carboxylate-co-1,6-hexanediol diacrylate), it was possible to space-selectively produce positive charge, at acidic pH, within the host hydrogel network. PBG nanoparticles added several functionalities to the host hydrogel, including reversible writing/erasing patterns as well as postpolymerization in desired sites. Including mixtures of PAG and PBG nanoparticles caused deswelling of the host hydrogel upon UV-irradiation. By increasing the mass fraction of PAG/PBG nanoparticles within the hydrogel, the deswelling effect was limited only to the top surface area, resulting in a monolayer actuator with a large bending angle. This study has successfully demonstrated the excellent potential of using PAG/PBG nanoparticles to confer photoresponsive behaviors that transform nonresponsive hydrogels into responsive hydrogels on demand. This system could be spatially tailored to provide a wide range of useful properties such as initiation sites for synthesis, writing/erasing, and actuation.","author":[{"dropping-particle":"","family":"Milani","given":"Amir H.","non-dropping-particle":"","parse-names":false,"suffix":""},{"dropping-particle":"","family":"Saunders","given":"Jennifer M.","non-dropping-particle":"","parse-names":false,"suffix":""},{"dropping-particle":"","family":"Nguyen","given":"Nam T.","non-dropping-particle":"","parse-names":false,"suffix":""},{"dropping-particle":"","family":"Wu","given":"Shanglin","non-dropping-particle":"","parse-names":false,"suffix":""},{"dropping-particle":"","family":"Saunders","given":"Brian R.","non-dropping-particle":"","parse-names":false,"suffix":""}],"container-title":"Chemistry of Materials","id":"ITEM-6","issue":"7","issued":{"date-parts":[["2021"]]},"page":"2319-2330","title":"Light-Triggered Programming of Hydrogel Properties Using Sleeping Photoactive Polymer Nanoparticles","type":"article-journal","volume":"33"},"uris":["http://www.mendeley.com/documents/?uuid=af1542b5-d4af-48cd-8452-6272124db6ab"]}],"mendeley":{"formattedCitation":"&lt;sup&gt;65–70&lt;/sup&gt;","plainTextFormattedCitation":"65–70","previouslyFormattedCitation":"&lt;sup&gt;65–70&lt;/sup&gt;"},"properties":{"noteIndex":0},"schema":"https://github.com/citation-style-language/schema/raw/master/csl-citation.json"}</w:instrText>
      </w:r>
      <w:r w:rsidRPr="00763687">
        <w:rPr>
          <w:bCs/>
        </w:rPr>
        <w:fldChar w:fldCharType="separate"/>
      </w:r>
      <w:r w:rsidR="00976A58" w:rsidRPr="00976A58">
        <w:rPr>
          <w:bCs/>
          <w:noProof/>
          <w:vertAlign w:val="superscript"/>
        </w:rPr>
        <w:t>65–70</w:t>
      </w:r>
      <w:r w:rsidRPr="00763687">
        <w:fldChar w:fldCharType="end"/>
      </w:r>
    </w:p>
    <w:p w14:paraId="4BE526C4" w14:textId="51262843" w:rsidR="00B8423D" w:rsidRPr="00763687" w:rsidRDefault="00B8423D" w:rsidP="00B8423D">
      <w:pPr>
        <w:pStyle w:val="RSCB02ArticleText"/>
        <w:rPr>
          <w:bCs/>
        </w:rPr>
      </w:pPr>
      <w:r w:rsidRPr="00763687">
        <w:rPr>
          <w:bCs/>
        </w:rPr>
        <w:t xml:space="preserve">Exfoliation of </w:t>
      </w:r>
      <w:r w:rsidRPr="00763687">
        <w:rPr>
          <w:b/>
        </w:rPr>
        <w:t>NR</w:t>
      </w:r>
      <w:r w:rsidRPr="00763687">
        <w:rPr>
          <w:b/>
          <w:vertAlign w:val="subscript"/>
        </w:rPr>
        <w:t>0,17</w:t>
      </w:r>
      <w:r w:rsidRPr="00763687">
        <w:rPr>
          <w:b/>
        </w:rPr>
        <w:t>-COF</w:t>
      </w:r>
      <w:r w:rsidRPr="00763687">
        <w:rPr>
          <w:bCs/>
        </w:rPr>
        <w:t xml:space="preserve"> was carried out in acidic conditions, by mixing 1 mg of the material with 5 g of the monomeric mixture containing 5 wt. % of cross-linker and 1 wt. % AIBN and adding </w:t>
      </w:r>
      <w:r>
        <w:rPr>
          <w:bCs/>
        </w:rPr>
        <w:t>5</w:t>
      </w:r>
      <w:r w:rsidRPr="00763687">
        <w:rPr>
          <w:bCs/>
        </w:rPr>
        <w:t xml:space="preserve">0 </w:t>
      </w:r>
      <w:proofErr w:type="spellStart"/>
      <w:r w:rsidRPr="00763687">
        <w:rPr>
          <w:bCs/>
        </w:rPr>
        <w:t>μL</w:t>
      </w:r>
      <w:proofErr w:type="spellEnd"/>
      <w:r w:rsidRPr="00763687">
        <w:rPr>
          <w:bCs/>
        </w:rPr>
        <w:t xml:space="preserve"> of HCl, 37% aqueous solution (</w:t>
      </w:r>
      <w:r>
        <w:t>1</w:t>
      </w:r>
      <w:r w:rsidRPr="00763687">
        <w:rPr>
          <w:lang w:val="en-US"/>
        </w:rPr>
        <w:t>% v/w with reference to the monomers),</w:t>
      </w:r>
      <w:r w:rsidRPr="00763687">
        <w:rPr>
          <w:bCs/>
        </w:rPr>
        <w:t xml:space="preserve"> and gently stirring the dispersion for 10 min. Immediately after the addition of the acid, the dispersion turned intensely blue due to the protonation of the Nile red moieties.</w:t>
      </w:r>
      <w:r w:rsidRPr="00763687">
        <w:rPr>
          <w:bCs/>
        </w:rPr>
        <w:fldChar w:fldCharType="begin" w:fldLock="1"/>
      </w:r>
      <w:r w:rsidR="00976A58">
        <w:rPr>
          <w:bCs/>
        </w:rPr>
        <w:instrText>ADDIN CSL_CITATION {"citationItems":[{"id":"ITEM-1","itemData":{"DOI":"10.1007/s11182-011-9658-4","ISSN":"10648887","abstract":"Results of quantum-chemical studies of the nile red (NR) molecule and its protonated structures by the INDO/S method are presented. It is demonstrated that the best agreement between the calculated and experimental data is obtained for the flat molecule in the ground electron state. Energies of the strongest singlet and triplet electronic states, molecular nature of these states, transition oscillator force, dipole moments in the ground and excited states, electron density distribution around atoms and molecular fragments in the S0 and S1 states, and rate constants of radiative, internal, and intercombination conversion are presented for the NR molecule and its protonated structures. The most probable NR protonation centers are analyzed using the molecular electrostatic potential (MESP) method. It is established that the reaction of proton addition to the NR molecule proceeds at the cyclic nitrogen atom. As demonstrated the results of quantum-chemical calculations, low fluorescent properties of the protonated NR structures (with a quantum yield of 4%) are due to a high rate of the S1 - T4 intercombination conversion. © 2011 Springer Science+Business Media, Inc.","author":[{"dropping-particle":"","family":"Selivanov","given":"N. I.","non-dropping-particle":"","parse-names":false,"suffix":""},{"dropping-particle":"","family":"Samsonova","given":"L. G.","non-dropping-particle":"","parse-names":false,"suffix":""},{"dropping-particle":"","family":"Artyukhov","given":"V. Ya","non-dropping-particle":"","parse-names":false,"suffix":""},{"dropping-particle":"","family":"Kopylova","given":"T. N.","non-dropping-particle":"","parse-names":false,"suffix":""}],"container-title":"Russian Physics Journal","id":"ITEM-1","issue":"5","issued":{"date-parts":[["2011"]]},"page":"601-606","title":"Theoretical and experimental investigations of photophysics of the nile red molecule and its protonated structures","type":"article-journal","volume":"54"},"uris":["http://www.mendeley.com/documents/?uuid=1528f93c-e931-4bd5-968a-21e03f2aeb38"]},{"id":"ITEM-2","itemData":{"DOI":"10.1021/cm001048e","ISSN":"08974756","abstract":"The spectroscopy of nile red (NR) was reported when incorporated in organically modified silicates (ORMOSILs), obtained by the copolymerization of (glycidoxypropyl)trimethoxysilane and tetramethoxysilane in various proportions. An increase of the fluorescence intensity, a gradual blue spectral shift by 43 nm in absorption and 45 nm in emission, and a change in the lifetime from 2.6 to 4.4 ns of the dye were observed as a response to the change of the polarity and the structure of the ORMOSILs caused by the addition of (glycidoxypropyl)trimethoxysilane. The decrease of the nonradiative H+-NR form was observed as one of the consequence of addition of (glycidoxypropyl)trimethoxysilane. Absorption spectral shifts of the NR were used for the determination of a polarity empirical scale (E(NR)) of the ORMOSIL. The value of E(NR)(r(0/100)) = 48.70 kcal/mol for NR in silica xerogels prepared from tetramethoxysilane and E(NR)(r(100/0)) = 52.55 kcal/mol for NR in ORMOSILs prepared from (glycidoxypropyl)trimethoxysilane showed the high polarity of the inorganic matrixes in contrast to ORMOSILs. A study in solution was performed in order to make a concluding comparison of the NR behavior in terms of the restricted environment around the NR molecule ORMOSILs.","author":[{"dropping-particle":"","family":"Moreno","given":"Eva M.","non-dropping-particle":"","parse-names":false,"suffix":""},{"dropping-particle":"","family":"Levy","given":"David","non-dropping-particle":"","parse-names":false,"suffix":""}],"container-title":"Chemistry of Materials","id":"ITEM-2","issue":"8","issued":{"date-parts":[["2000"]]},"page":"2334-2340","title":"Role of the comonomer GLYMO in ORMOSILs as reflected by nile red spectroscopy","type":"article-journal","volume":"12"},"uris":["http://www.mendeley.com/documents/?uuid=f74612ad-a53f-486d-94ad-108e5d855e62"]}],"mendeley":{"formattedCitation":"&lt;sup&gt;52,53&lt;/sup&gt;","plainTextFormattedCitation":"52,53","previouslyFormattedCitation":"&lt;sup&gt;52,53&lt;/sup&gt;"},"properties":{"noteIndex":0},"schema":"https://github.com/citation-style-language/schema/raw/master/csl-citation.json"}</w:instrText>
      </w:r>
      <w:r w:rsidRPr="00763687">
        <w:rPr>
          <w:bCs/>
        </w:rPr>
        <w:fldChar w:fldCharType="separate"/>
      </w:r>
      <w:r w:rsidR="00976A58" w:rsidRPr="00976A58">
        <w:rPr>
          <w:bCs/>
          <w:noProof/>
          <w:vertAlign w:val="superscript"/>
        </w:rPr>
        <w:t>52,53</w:t>
      </w:r>
      <w:r w:rsidRPr="00763687">
        <w:fldChar w:fldCharType="end"/>
      </w:r>
      <w:r w:rsidRPr="00763687">
        <w:rPr>
          <w:bCs/>
        </w:rPr>
        <w:t xml:space="preserve"> The resulting blue colloid containing the exfoliated COF was separated from the non-exfoliated material </w:t>
      </w:r>
      <w:r w:rsidRPr="00763687">
        <w:rPr>
          <w:bCs/>
        </w:rPr>
        <w:lastRenderedPageBreak/>
        <w:t>by centrifugation (Experimental Section for details). The yield of exfoliation was determined to be 10</w:t>
      </w:r>
      <w:r>
        <w:rPr>
          <w:bCs/>
        </w:rPr>
        <w:t xml:space="preserve"> </w:t>
      </w:r>
      <w:r w:rsidRPr="00763687">
        <w:rPr>
          <w:bCs/>
        </w:rPr>
        <w:t xml:space="preserve">%, which gives a loading of </w:t>
      </w:r>
      <w:r w:rsidRPr="00763687">
        <w:rPr>
          <w:b/>
        </w:rPr>
        <w:t>NR</w:t>
      </w:r>
      <w:r w:rsidRPr="00763687">
        <w:rPr>
          <w:b/>
          <w:vertAlign w:val="subscript"/>
        </w:rPr>
        <w:t>0,17</w:t>
      </w:r>
      <w:r w:rsidRPr="00763687">
        <w:rPr>
          <w:b/>
        </w:rPr>
        <w:t xml:space="preserve">-CONs </w:t>
      </w:r>
      <w:r w:rsidRPr="00763687">
        <w:rPr>
          <w:bCs/>
        </w:rPr>
        <w:t xml:space="preserve">in the final polymer of 0.02 mg per gram. </w:t>
      </w:r>
    </w:p>
    <w:p w14:paraId="3E2927B5" w14:textId="77777777" w:rsidR="00B8423D" w:rsidRDefault="00B8423D" w:rsidP="00F1270F">
      <w:pPr>
        <w:pStyle w:val="RSCB02ArticleText"/>
      </w:pPr>
    </w:p>
    <w:p w14:paraId="27C2E256" w14:textId="64D31C1C" w:rsidR="00E92B0E" w:rsidRDefault="00E92B0E" w:rsidP="00F1270F">
      <w:pPr>
        <w:pStyle w:val="RSCB02ArticleText"/>
        <w:sectPr w:rsidR="00E92B0E" w:rsidSect="00D61FC0">
          <w:type w:val="continuous"/>
          <w:pgSz w:w="11907" w:h="16840" w:code="9"/>
          <w:pgMar w:top="1009" w:right="851" w:bottom="1758" w:left="851" w:header="851" w:footer="1049" w:gutter="0"/>
          <w:cols w:num="2" w:space="227"/>
          <w:titlePg/>
          <w:docGrid w:linePitch="360"/>
        </w:sectPr>
      </w:pPr>
    </w:p>
    <w:p w14:paraId="08536BFE" w14:textId="77777777" w:rsidR="009752B7" w:rsidRDefault="009752B7" w:rsidP="00E94F0C">
      <w:pPr>
        <w:pStyle w:val="RSCI02FigureSchemeChartwithtopbar"/>
        <w:jc w:val="center"/>
        <w:rPr>
          <w:b/>
          <w:bCs/>
        </w:rPr>
      </w:pPr>
      <w:r>
        <w:rPr>
          <w:noProof/>
        </w:rPr>
        <w:drawing>
          <wp:inline distT="0" distB="0" distL="0" distR="0" wp14:anchorId="0851F71B" wp14:editId="5B053279">
            <wp:extent cx="5826376" cy="4556928"/>
            <wp:effectExtent l="0" t="0" r="3175" b="0"/>
            <wp:docPr id="15" name="Imagen 15" descr="Diagram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n 15" descr="Diagrama&#10;&#10;Descripción generada automáticamente con confianza media"/>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867412" cy="4589023"/>
                    </a:xfrm>
                    <a:prstGeom prst="rect">
                      <a:avLst/>
                    </a:prstGeom>
                    <a:noFill/>
                    <a:ln>
                      <a:noFill/>
                    </a:ln>
                  </pic:spPr>
                </pic:pic>
              </a:graphicData>
            </a:graphic>
          </wp:inline>
        </w:drawing>
      </w:r>
    </w:p>
    <w:p w14:paraId="35B7F092" w14:textId="18A50D63" w:rsidR="00810023" w:rsidRDefault="00810023" w:rsidP="00167EAA">
      <w:pPr>
        <w:pStyle w:val="RSCI05CaptiontoFigureSchemeChartwithbottombar"/>
        <w:rPr>
          <w:lang w:val="en-US"/>
        </w:rPr>
      </w:pPr>
      <w:r w:rsidRPr="00ED22DE">
        <w:rPr>
          <w:b/>
        </w:rPr>
        <w:t>Fig</w:t>
      </w:r>
      <w:r w:rsidR="00AF7D9F" w:rsidRPr="00ED22DE">
        <w:rPr>
          <w:b/>
        </w:rPr>
        <w:t>. 4</w:t>
      </w:r>
      <w:r w:rsidRPr="00ED22DE">
        <w:t xml:space="preserve"> </w:t>
      </w:r>
      <w:r w:rsidR="00AF7D9F" w:rsidRPr="00ED22DE">
        <w:t>(a)</w:t>
      </w:r>
      <w:r w:rsidRPr="00ED22DE">
        <w:t xml:space="preserve">Chemical structure of the monomer and cross-linker </w:t>
      </w:r>
      <w:r w:rsidR="007E2B6C">
        <w:t>used</w:t>
      </w:r>
      <w:r w:rsidRPr="00ED22DE">
        <w:t xml:space="preserve"> to prepare polymer-</w:t>
      </w:r>
      <w:r w:rsidRPr="00ED22DE">
        <w:rPr>
          <w:b/>
        </w:rPr>
        <w:t xml:space="preserve"> NR</w:t>
      </w:r>
      <w:r w:rsidRPr="00ED22DE">
        <w:rPr>
          <w:b/>
          <w:vertAlign w:val="subscript"/>
        </w:rPr>
        <w:t>0,17</w:t>
      </w:r>
      <w:r w:rsidRPr="00ED22DE">
        <w:rPr>
          <w:b/>
        </w:rPr>
        <w:t xml:space="preserve">-CONs </w:t>
      </w:r>
      <w:r w:rsidRPr="00ED22DE">
        <w:t>composites (</w:t>
      </w:r>
      <w:r w:rsidRPr="00ED22DE">
        <w:rPr>
          <w:b/>
        </w:rPr>
        <w:t>NR</w:t>
      </w:r>
      <w:r w:rsidRPr="00ED22DE">
        <w:rPr>
          <w:b/>
          <w:vertAlign w:val="subscript"/>
        </w:rPr>
        <w:t>0,17</w:t>
      </w:r>
      <w:r w:rsidRPr="00ED22DE">
        <w:rPr>
          <w:b/>
        </w:rPr>
        <w:t>-CONs@pHEMA</w:t>
      </w:r>
      <w:r w:rsidRPr="00ED22DE">
        <w:t>).</w:t>
      </w:r>
      <w:r w:rsidR="00ED22DE" w:rsidRPr="00ED22DE">
        <w:t xml:space="preserve"> </w:t>
      </w:r>
      <w:r w:rsidRPr="00ED22DE">
        <w:t xml:space="preserve">(b) Normalized emission spectrum of </w:t>
      </w:r>
      <w:r w:rsidRPr="00ED22DE">
        <w:rPr>
          <w:b/>
        </w:rPr>
        <w:t>NR</w:t>
      </w:r>
      <w:r w:rsidRPr="00ED22DE">
        <w:rPr>
          <w:b/>
          <w:vertAlign w:val="subscript"/>
        </w:rPr>
        <w:t>0,17</w:t>
      </w:r>
      <w:r w:rsidRPr="00ED22DE">
        <w:rPr>
          <w:b/>
        </w:rPr>
        <w:t>-CONs@pHEMA</w:t>
      </w:r>
      <w:r w:rsidRPr="00ED22DE">
        <w:rPr>
          <w:lang w:val="en-US"/>
        </w:rPr>
        <w:t xml:space="preserve"> film upon excitation at 580 nm (solid line) and corresponding excitation spectrum (dashed line, </w:t>
      </w:r>
      <w:proofErr w:type="spellStart"/>
      <w:r w:rsidRPr="00ED22DE">
        <w:rPr>
          <w:lang w:val="en-US"/>
        </w:rPr>
        <w:t>λ</w:t>
      </w:r>
      <w:r w:rsidRPr="00ED22DE">
        <w:rPr>
          <w:vertAlign w:val="subscript"/>
          <w:lang w:val="en-US"/>
        </w:rPr>
        <w:t>em</w:t>
      </w:r>
      <w:proofErr w:type="spellEnd"/>
      <w:r w:rsidRPr="00ED22DE">
        <w:rPr>
          <w:vertAlign w:val="subscript"/>
          <w:lang w:val="en-US"/>
        </w:rPr>
        <w:t xml:space="preserve"> </w:t>
      </w:r>
      <w:r w:rsidRPr="00ED22DE">
        <w:rPr>
          <w:lang w:val="en-US"/>
        </w:rPr>
        <w:t>= 620 nm). Inset: fluorescence of the film under a 366 nm UV lamp. (</w:t>
      </w:r>
      <w:r w:rsidR="00ED22DE" w:rsidRPr="00ED22DE">
        <w:rPr>
          <w:lang w:val="en-US"/>
        </w:rPr>
        <w:t>c</w:t>
      </w:r>
      <w:r w:rsidRPr="00ED22DE">
        <w:rPr>
          <w:lang w:val="en-US"/>
        </w:rPr>
        <w:t xml:space="preserve">) Normalized emission spectra of </w:t>
      </w:r>
      <w:r w:rsidRPr="00ED22DE">
        <w:rPr>
          <w:b/>
        </w:rPr>
        <w:t>NR</w:t>
      </w:r>
      <w:r w:rsidRPr="00ED22DE">
        <w:rPr>
          <w:b/>
          <w:vertAlign w:val="subscript"/>
        </w:rPr>
        <w:t>0,17</w:t>
      </w:r>
      <w:r w:rsidRPr="00ED22DE">
        <w:rPr>
          <w:b/>
        </w:rPr>
        <w:t>-CONs@pHEMA</w:t>
      </w:r>
      <w:r w:rsidRPr="00ED22DE">
        <w:rPr>
          <w:lang w:val="en-US"/>
        </w:rPr>
        <w:t xml:space="preserve"> films upon excitation at 360 nm in different solvent environments: dry (</w:t>
      </w:r>
      <w:proofErr w:type="spellStart"/>
      <w:r w:rsidRPr="00ED22DE">
        <w:rPr>
          <w:lang w:val="en-US"/>
        </w:rPr>
        <w:t>i</w:t>
      </w:r>
      <w:proofErr w:type="spellEnd"/>
      <w:r w:rsidRPr="00ED22DE">
        <w:rPr>
          <w:lang w:val="en-US"/>
        </w:rPr>
        <w:t>), THF (ii), THF/water, 7/3 (iii), THF/water, 3/7 (iv) and water (v). (</w:t>
      </w:r>
      <w:r w:rsidR="00ED22DE" w:rsidRPr="00ED22DE">
        <w:rPr>
          <w:lang w:val="en-US"/>
        </w:rPr>
        <w:t>d</w:t>
      </w:r>
      <w:r w:rsidRPr="00ED22DE">
        <w:rPr>
          <w:lang w:val="en-US"/>
        </w:rPr>
        <w:t>) Fluorescence intensity ratio I</w:t>
      </w:r>
      <w:r w:rsidRPr="00ED22DE">
        <w:rPr>
          <w:vertAlign w:val="subscript"/>
          <w:lang w:val="en-US"/>
        </w:rPr>
        <w:t>NR</w:t>
      </w:r>
      <w:r w:rsidRPr="00ED22DE">
        <w:rPr>
          <w:lang w:val="en-US"/>
        </w:rPr>
        <w:t>/I</w:t>
      </w:r>
      <w:r w:rsidRPr="00ED22DE">
        <w:rPr>
          <w:vertAlign w:val="subscript"/>
          <w:lang w:val="en-US"/>
        </w:rPr>
        <w:t>COF</w:t>
      </w:r>
      <w:r w:rsidRPr="00ED22DE">
        <w:rPr>
          <w:lang w:val="en-US"/>
        </w:rPr>
        <w:t xml:space="preserve"> as a function of the water content. The value marked with a triangle corresponds to the film non-treated with solvent. Inset: films treated with different solvent mixtures under a 366 nm UV lamp.</w:t>
      </w:r>
    </w:p>
    <w:p w14:paraId="0EAFBE2B" w14:textId="77777777" w:rsidR="00B50508" w:rsidRDefault="00B50508" w:rsidP="00763687">
      <w:pPr>
        <w:pStyle w:val="RSCB02ArticleText"/>
        <w:rPr>
          <w:bCs/>
        </w:rPr>
        <w:sectPr w:rsidR="00B50508" w:rsidSect="00A147D8">
          <w:type w:val="continuous"/>
          <w:pgSz w:w="11907" w:h="16840" w:code="9"/>
          <w:pgMar w:top="1009" w:right="851" w:bottom="1758" w:left="851" w:header="851" w:footer="1049" w:gutter="0"/>
          <w:cols w:space="227"/>
          <w:titlePg/>
          <w:docGrid w:linePitch="360"/>
        </w:sectPr>
      </w:pPr>
    </w:p>
    <w:p w14:paraId="586EF07C" w14:textId="20CFAE35" w:rsidR="00F576BF" w:rsidRDefault="00F576BF" w:rsidP="00763687">
      <w:pPr>
        <w:pStyle w:val="RSCB02ArticleText"/>
        <w:rPr>
          <w:bCs/>
        </w:rPr>
      </w:pPr>
      <w:r w:rsidRPr="00763687">
        <w:rPr>
          <w:bCs/>
        </w:rPr>
        <w:t xml:space="preserve">Under </w:t>
      </w:r>
      <w:r>
        <w:rPr>
          <w:bCs/>
        </w:rPr>
        <w:t xml:space="preserve">a </w:t>
      </w:r>
      <w:r w:rsidRPr="00763687">
        <w:rPr>
          <w:bCs/>
        </w:rPr>
        <w:t>36</w:t>
      </w:r>
      <w:r>
        <w:rPr>
          <w:bCs/>
        </w:rPr>
        <w:t>6</w:t>
      </w:r>
      <w:r w:rsidRPr="00763687">
        <w:rPr>
          <w:bCs/>
        </w:rPr>
        <w:t xml:space="preserve"> nm UV l</w:t>
      </w:r>
      <w:r>
        <w:rPr>
          <w:bCs/>
        </w:rPr>
        <w:t>amp</w:t>
      </w:r>
      <w:r w:rsidRPr="00763687">
        <w:rPr>
          <w:bCs/>
        </w:rPr>
        <w:t xml:space="preserve">, the </w:t>
      </w:r>
      <w:r w:rsidRPr="00763687">
        <w:rPr>
          <w:b/>
        </w:rPr>
        <w:t>NR</w:t>
      </w:r>
      <w:r w:rsidRPr="00763687">
        <w:rPr>
          <w:b/>
          <w:vertAlign w:val="subscript"/>
        </w:rPr>
        <w:t>0,17</w:t>
      </w:r>
      <w:r w:rsidRPr="00763687">
        <w:rPr>
          <w:b/>
        </w:rPr>
        <w:t xml:space="preserve">-CONs@HEMA </w:t>
      </w:r>
      <w:r w:rsidRPr="00763687">
        <w:rPr>
          <w:bCs/>
        </w:rPr>
        <w:t xml:space="preserve">colloid </w:t>
      </w:r>
      <w:r w:rsidRPr="00763687">
        <w:rPr>
          <w:lang w:val="en-US"/>
        </w:rPr>
        <w:t>presented green emission</w:t>
      </w:r>
      <w:r>
        <w:rPr>
          <w:lang w:val="en-US"/>
        </w:rPr>
        <w:t xml:space="preserve"> observed by naked eye</w:t>
      </w:r>
      <w:r w:rsidR="007E2B6C">
        <w:rPr>
          <w:lang w:val="en-US"/>
        </w:rPr>
        <w:t xml:space="preserve">. This emission </w:t>
      </w:r>
      <w:r w:rsidRPr="00763687">
        <w:rPr>
          <w:lang w:val="en-US"/>
        </w:rPr>
        <w:t xml:space="preserve"> </w:t>
      </w:r>
      <w:r w:rsidR="007E2B6C">
        <w:rPr>
          <w:lang w:val="en-US"/>
        </w:rPr>
        <w:t>can be</w:t>
      </w:r>
      <w:r w:rsidRPr="00763687">
        <w:rPr>
          <w:lang w:val="en-US"/>
        </w:rPr>
        <w:t xml:space="preserve"> assigned </w:t>
      </w:r>
      <w:r>
        <w:rPr>
          <w:lang w:val="en-US"/>
        </w:rPr>
        <w:t xml:space="preserve">to the network </w:t>
      </w:r>
      <w:r w:rsidRPr="00763687">
        <w:t>(</w:t>
      </w:r>
      <w:proofErr w:type="spellStart"/>
      <w:r w:rsidRPr="00763687">
        <w:t>λ</w:t>
      </w:r>
      <w:r w:rsidRPr="00763687">
        <w:rPr>
          <w:vertAlign w:val="subscript"/>
        </w:rPr>
        <w:t>max</w:t>
      </w:r>
      <w:proofErr w:type="spellEnd"/>
      <w:r w:rsidRPr="00763687">
        <w:t xml:space="preserve"> = 475 nm, </w:t>
      </w:r>
      <w:r w:rsidR="007E2B6C" w:rsidRPr="00763687">
        <w:t>upon excitation at 390 nm in the spectrofluorometer</w:t>
      </w:r>
      <w:r w:rsidR="007E2B6C">
        <w:t xml:space="preserve">, </w:t>
      </w:r>
      <w:r>
        <w:t>Fig.</w:t>
      </w:r>
      <w:r w:rsidRPr="00763687">
        <w:t xml:space="preserve"> S</w:t>
      </w:r>
      <w:r>
        <w:t>3</w:t>
      </w:r>
      <w:r w:rsidRPr="00763687">
        <w:t>0a). The recorded spectrum also shows some emission from the protonated Nile Red</w:t>
      </w:r>
      <w:r w:rsidR="002D35B1">
        <w:t xml:space="preserve"> </w:t>
      </w:r>
      <w:r w:rsidR="002D35B1" w:rsidRPr="00763687">
        <w:t>moieties (</w:t>
      </w:r>
      <w:proofErr w:type="spellStart"/>
      <w:r w:rsidR="002D35B1" w:rsidRPr="00763687">
        <w:t>λ</w:t>
      </w:r>
      <w:r w:rsidR="002D35B1" w:rsidRPr="00763687">
        <w:rPr>
          <w:vertAlign w:val="subscript"/>
        </w:rPr>
        <w:t>max</w:t>
      </w:r>
      <w:proofErr w:type="spellEnd"/>
      <w:r w:rsidR="002D35B1" w:rsidRPr="00763687">
        <w:t xml:space="preserve"> = 665 nm)</w:t>
      </w:r>
      <w:r w:rsidR="002D35B1" w:rsidRPr="00763687">
        <w:rPr>
          <w:bCs/>
        </w:rPr>
        <w:t>. More intense and defined spectrum of this emission was registered upon excitation at 600 nm (</w:t>
      </w:r>
      <w:r w:rsidR="002D35B1">
        <w:rPr>
          <w:bCs/>
        </w:rPr>
        <w:t>Fig.</w:t>
      </w:r>
      <w:r w:rsidR="002D35B1" w:rsidRPr="00763687">
        <w:rPr>
          <w:bCs/>
        </w:rPr>
        <w:t xml:space="preserve"> S</w:t>
      </w:r>
      <w:r w:rsidR="002D35B1">
        <w:rPr>
          <w:bCs/>
        </w:rPr>
        <w:t>3</w:t>
      </w:r>
      <w:r w:rsidR="002D35B1" w:rsidRPr="00763687">
        <w:rPr>
          <w:bCs/>
        </w:rPr>
        <w:t xml:space="preserve">0b). The morphology of the exfoliated </w:t>
      </w:r>
      <w:r w:rsidR="002D35B1">
        <w:rPr>
          <w:bCs/>
        </w:rPr>
        <w:t>COF</w:t>
      </w:r>
      <w:r w:rsidR="002D35B1" w:rsidRPr="00763687">
        <w:rPr>
          <w:bCs/>
        </w:rPr>
        <w:t xml:space="preserve"> was also studied by AFM after depositing a sample of the colloid on a SiO</w:t>
      </w:r>
      <w:r w:rsidR="002D35B1" w:rsidRPr="00763687">
        <w:rPr>
          <w:bCs/>
          <w:vertAlign w:val="subscript"/>
        </w:rPr>
        <w:t>2</w:t>
      </w:r>
      <w:r w:rsidR="002D35B1" w:rsidRPr="00763687">
        <w:rPr>
          <w:bCs/>
        </w:rPr>
        <w:t xml:space="preserve"> substrate and washing thoroughly with EtOH to remove the monomers and</w:t>
      </w:r>
      <w:r w:rsidR="002D35B1">
        <w:rPr>
          <w:bCs/>
        </w:rPr>
        <w:t xml:space="preserve"> </w:t>
      </w:r>
      <w:r w:rsidR="002D35B1" w:rsidRPr="00763687">
        <w:rPr>
          <w:bCs/>
        </w:rPr>
        <w:t xml:space="preserve">initiator. The AFM images revealed </w:t>
      </w:r>
      <w:proofErr w:type="gramStart"/>
      <w:r w:rsidR="002D35B1" w:rsidRPr="00763687">
        <w:rPr>
          <w:bCs/>
        </w:rPr>
        <w:t>fairly homogeneous</w:t>
      </w:r>
      <w:proofErr w:type="gramEnd"/>
      <w:r w:rsidR="002D35B1" w:rsidRPr="00763687">
        <w:rPr>
          <w:bCs/>
        </w:rPr>
        <w:t xml:space="preserve"> particles with and average</w:t>
      </w:r>
      <w:r w:rsidR="002D35B1">
        <w:rPr>
          <w:bCs/>
        </w:rPr>
        <w:t xml:space="preserve"> lateral</w:t>
      </w:r>
      <w:r w:rsidR="002D35B1" w:rsidRPr="00763687">
        <w:rPr>
          <w:bCs/>
        </w:rPr>
        <w:t xml:space="preserve"> size about 150-250 nm and a thickness of </w:t>
      </w:r>
      <w:r w:rsidR="002D35B1" w:rsidRPr="00465623">
        <w:rPr>
          <w:bCs/>
          <w:i/>
          <w:iCs/>
        </w:rPr>
        <w:t>ca.</w:t>
      </w:r>
      <w:r w:rsidR="002D35B1" w:rsidRPr="00763687">
        <w:rPr>
          <w:bCs/>
        </w:rPr>
        <w:t xml:space="preserve"> 4-5 nm, indicating the good exfoliation of the</w:t>
      </w:r>
      <w:r w:rsidR="002D35B1">
        <w:rPr>
          <w:bCs/>
        </w:rPr>
        <w:t xml:space="preserve"> COF</w:t>
      </w:r>
      <w:r w:rsidR="002D35B1" w:rsidRPr="00763687">
        <w:rPr>
          <w:bCs/>
        </w:rPr>
        <w:t xml:space="preserve"> material (</w:t>
      </w:r>
      <w:r w:rsidR="002D35B1">
        <w:rPr>
          <w:bCs/>
        </w:rPr>
        <w:t>Fig.</w:t>
      </w:r>
      <w:r w:rsidR="002D35B1" w:rsidRPr="00763687">
        <w:rPr>
          <w:bCs/>
        </w:rPr>
        <w:t xml:space="preserve"> S</w:t>
      </w:r>
      <w:r w:rsidR="002D35B1">
        <w:rPr>
          <w:bCs/>
        </w:rPr>
        <w:t>3</w:t>
      </w:r>
      <w:r w:rsidR="002D35B1" w:rsidRPr="00763687">
        <w:rPr>
          <w:bCs/>
        </w:rPr>
        <w:t>1).</w:t>
      </w:r>
    </w:p>
    <w:p w14:paraId="0036B3A7" w14:textId="5BCDC00C" w:rsidR="00763687" w:rsidRPr="00763687" w:rsidRDefault="00763687" w:rsidP="00763687">
      <w:pPr>
        <w:pStyle w:val="RSCB02ArticleText"/>
        <w:rPr>
          <w:bCs/>
        </w:rPr>
      </w:pPr>
      <w:r w:rsidRPr="00763687">
        <w:rPr>
          <w:bCs/>
        </w:rPr>
        <w:t xml:space="preserve">The preparation of </w:t>
      </w:r>
      <w:r w:rsidRPr="00763687">
        <w:rPr>
          <w:b/>
        </w:rPr>
        <w:t>NR</w:t>
      </w:r>
      <w:r w:rsidRPr="00763687">
        <w:rPr>
          <w:b/>
          <w:vertAlign w:val="subscript"/>
        </w:rPr>
        <w:t>0,17</w:t>
      </w:r>
      <w:r w:rsidRPr="00763687">
        <w:rPr>
          <w:b/>
        </w:rPr>
        <w:t>-CONs</w:t>
      </w:r>
      <w:r w:rsidRPr="00763687">
        <w:rPr>
          <w:bCs/>
        </w:rPr>
        <w:t>@</w:t>
      </w:r>
      <w:r w:rsidRPr="00763687">
        <w:rPr>
          <w:b/>
        </w:rPr>
        <w:t>pHEMA</w:t>
      </w:r>
      <w:r w:rsidRPr="00763687">
        <w:rPr>
          <w:bCs/>
        </w:rPr>
        <w:t xml:space="preserve"> composites as free-standing polymeric films was achieved by employing a procedure reported in literature.</w:t>
      </w:r>
      <w:r w:rsidRPr="00763687">
        <w:rPr>
          <w:bCs/>
        </w:rPr>
        <w:fldChar w:fldCharType="begin" w:fldLock="1"/>
      </w:r>
      <w:r w:rsidR="00F32065">
        <w:rPr>
          <w:bCs/>
        </w:rPr>
        <w:instrText>ADDIN CSL_CITATION {"citationItems":[{"id":"ITEM-1","itemData":{"DOI":"10.1021/la801342f","ISSN":"07437463","abstract":"Different polymeric materials have been prepared from the organogels formed by a polymerizable methacrylic mixture (methyl methacrylate/ethylene glycol dimethacrylate, 1:1, w/w) and the macrocyclic pseudopeptide 1. The use of (2,4,6-trimethylbenzoyl)diphenylphosphine oxide as a very efficient radical initiator allows polymeric materials in which the structure of the fibrils formed by self-assembly of the organogelator 1 is truly preserved to be obtained. Removal of the pseudopeptidic molecule provides materials with a porous structure reflecting that of the original self-assembled fibrils. The use of fluorescent probes such as rhodamine B and pyrene greatly facilitate the study of the porous structures formed and, accordingly, that of the morphology of the original fibrils. Those studies reveal the presence of a permanent porosity and the organization of the substructures as a porous network. This confirms the existence of a nucleation and growth mechanism for the generation of the fibrils, giving rise to the formation of spherulitic structures. Those spherulites are additionally linked by connections of variable size. A series of diffusion experiments allowed establishment of a direct dependence of the inner porosity of the materials on the amount of self-organizing template used for their preparation. © 2008 American Chemical Society.","author":[{"dropping-particle":"","family":"Burguete","given":"M.I.","non-dropping-particle":"","parse-names":false,"suffix":""},{"dropping-particle":"","family":"Galindo","given":"F.","non-dropping-particle":"","parse-names":false,"suffix":""},{"dropping-particle":"","family":"Gavara","given":"R.","non-dropping-particle":"","parse-names":false,"suffix":""},{"dropping-particle":"","family":"Izquierdo","given":"M.A.","non-dropping-particle":"","parse-names":false,"suffix":""},{"dropping-particle":"","family":"Lima","given":"J.C.","non-dropping-particle":"","parse-names":false,"suffix":""},{"dropping-particle":"","family":"Luis","given":"S.V.","non-dropping-particle":"","parse-names":false,"suffix":""},{"dropping-particle":"","family":"Parola","given":"A.J.","non-dropping-particle":"","parse-names":false,"suffix":""},{"dropping-particle":"","family":"Pina","given":"F.","non-dropping-particle":"","parse-names":false,"suffix":""}],"container-title":"Langmuir","id":"ITEM-1","issue":"17","issued":{"date-parts":[["2008"]]},"page":"9795-9803","title":"Use of fluorescence spectroscopy to study polymeric materials with porous structure based on imprinting by self-assembled fibrillar networks","type":"article-journal","volume":"24"},"uris":["http://www.mendeley.com/documents/?uuid=db411cd3-b6c9-3e71-9722-369a5ac37255"]},{"id":"ITEM-2","itemData":{"DOI":"10.1002/adfm.200400274","ISSN":"1616301X","abstract":"In this paper we report the encapsulation of the compound 4',7-dihydroxyflavylium in a water-permeable crosslinked poly(2-hydroxyethyl methacrylate) matrix. The water permeability of the polymer and its transparency allow the use of pH and light stimuli to attain different states on the network defined by the various chemical reactions (multistate/multifunctional system). Unlike in water, in the polymer the compound 4',7-dihydroxyflavylium encapsulated exhibits a thermal barrier between the cis-and trans-chalcones, a necessary requirement to define a write-read-erase cycle. © 2005 WILEY-VCH Verlag GmbH &amp; Co. KGaA, Weinheim.","author":[{"dropping-particle":"","family":"Galindo","given":"Francisco","non-dropping-particle":"","parse-names":false,"suffix":""},{"dropping-particle":"","family":"Lima","given":"João C.","non-dropping-particle":"","parse-names":false,"suffix":""},{"dropping-particle":"V.","family":"Luis","given":"Santiago","non-dropping-particle":"","parse-names":false,"suffix":""},{"dropping-particle":"","family":"Parola","given":"A. Jorge","non-dropping-particle":"","parse-names":false,"suffix":""},{"dropping-particle":"","family":"Pina","given":"Fernando","non-dropping-particle":"","parse-names":false,"suffix":""}],"container-title":"Advanced Functional Materials","id":"ITEM-2","issue":"4","issued":{"date-parts":[["2005"]]},"page":"541-545","title":"Write-read-erase molecular-switching system trapped in a polymer hydrogel matrix","type":"article-journal","volume":"15"},"uris":["http://www.mendeley.com/documents/?uuid=a8b7b079-a7f4-49ea-b676-f552c9ace59b"]},{"id":"ITEM-3","itemData":{"DOI":"10.1039/b500512d","ISSN":"09599428","abstract":"Flavylium compounds can conveniently be encapsulated in water permeable cross-linked poly(2-hydroxyethyl methacrylate) (PHEMA) polymer hydrogel matrices. The polymer is also permeable to gases, for example ammonia and hydrogen chloride. The ability of the polymer to concentrate water from the surrounding atmosphere was demonstrated. The absorption and emission spectra of the encapsulated flavylium compounds are very dependent on the pH, and by consequence ammonia (or hydrogen chloride) can be easily detected. The intensity of the fluorescence emission of the flavylium cation (AH+ species obtained in acidic media) is very dependent on the water content due to the efficient excited state proton transfer involving the AH+* excited state and water. The combination of flavylium emission sensitivity to water and ability of the polymer to concentrate water from the surrounding atmosphere, confers this material potential utility as a humidity sensor with high sensitivity. © The Royal Society of Chemistry 2005.","author":[{"dropping-particle":"","family":"Galindo","given":"Francisco","non-dropping-particle":"","parse-names":false,"suffix":""},{"dropping-particle":"","family":"Lima","given":"João C.","non-dropping-particle":"","parse-names":false,"suffix":""},{"dropping-particle":"V.","family":"Luis","given":"Santiago","non-dropping-particle":"","parse-names":false,"suffix":""},{"dropping-particle":"","family":"Melo","given":"Maria João","non-dropping-particle":"","parse-names":false,"suffix":""},{"dropping-particle":"","family":"Jorge Parola","given":"A.","non-dropping-particle":"","parse-names":false,"suffix":""},{"dropping-particle":"","family":"Pina","given":"Fernando","non-dropping-particle":"","parse-names":false,"suffix":""}],"container-title":"Journal of Materials Chemistry","id":"ITEM-3","issue":"27-28","issued":{"date-parts":[["2005"]]},"page":"2840-2847","title":"Water/humidity and ammonia sensor, based on a polymer hydrogel matrix containing a fluorescent flavylium compound","type":"article-journal","volume":"15"},"uris":["http://www.mendeley.com/documents/?uuid=d7fee1da-c26c-489e-a6a3-3292ae9a7106"]},{"id":"ITEM-4","itemData":{"DOI":"10.1016/j.eurpolymj.2014.03.027","ISSN":"00143057","abstract":"A series of nitric oxide (NO) sensitive polymeric hydrogels have been synthesized and their properties described. The new materials are based on a poly(2-hydroxyethyl methacrylate) matrix entrapping the DAF-FM (4-amino-5-methylamino-2′,7′-difluorofluorescein) fluorescent probe. Some of the developed materials show sensitivities in the range ca. 50-75 nM towards NO dissolved in aerated phosphate buffer (PBS), being nitrous anhydride the reactive species under such conditions. Remarkably, the sensitivity of the fluorescent polymers is not influenced by dehydroascorbic acid, a molecule of biological importance, which has been reported to be a common interfering species capable to react with well known probes for NO. © 2014 Elsevier Ltd. All rights reserved.","author":[{"dropping-particle":"","family":"Fabregat","given":"Víctor","non-dropping-particle":"","parse-names":false,"suffix":""},{"dropping-particle":"","family":"Izquierdo","given":"M. Ángeles","non-dropping-particle":"","parse-names":false,"suffix":""},{"dropping-particle":"","family":"Burguete","given":"M. Isabel","non-dropping-particle":"","parse-names":false,"suffix":""},{"dropping-particle":"","family":"Galindo","given":"Francisco","non-dropping-particle":"","parse-names":false,"suffix":""},{"dropping-particle":"V.","family":"Luis","given":"Santiago","non-dropping-particle":"","parse-names":false,"suffix":""}],"container-title":"European Polymer Journal","id":"ITEM-4","issue":"1","issued":{"date-parts":[["2014"]]},"page":"108-113","title":"Nitric oxide sensitive fluorescent polymeric hydrogels showing negligible interference by dehydroascorbic acid","type":"article-journal","volume":"55"},"uris":["http://www.mendeley.com/documents/?uuid=a5b74e2b-9dcf-4788-b553-7fd506d8ed11"]},{"id":"ITEM-5","itemData":{"DOI":"10.1021/acsbiomaterials.0c00992","ISSN":"23739878","PMID":"33320609","abstract":"Three new photoactive polymeric materials embedding a hexanuclear molybdenum cluster (Bu4N)2[Mo6I8(CH3COO)6] (1) have been synthesized and characterized by means of Fourier-transform infrared spectroscopy (FTIR), thermogravimetric analysis (TGA), and emission spectroscopy. The materials are obtained in the format of transparent and thin sheets, and the formulations used to synthesize them are comprised of 2-hydroxyethyl methacrylate (HEMA), as a polymerizable monomer, and ethylene glycol dimethacrylate (EGDMA) or poly(ethylene glycol)dimethacrylate (PEGDMA), as cross-linkers. All the polymeric hydrogels generate singlet oxygen (1O2) upon irradiation with visible light (400-700 nm), as demonstrated by the reactivity toward two chemical traps of this reactive species (9,10-dimethylanthracene and 1,5-dihydroxynaphthalene). Some differences have been detected between the photoactive materials, probably attributable to variations in the permeability to solvent and oxygen. Notably, one of the materials resisted up to 10 cycles of photocatalytic oxygenation reactions of 1,5-dihydroxynaphthalene. All three of the polyHEMA hydrogels doped with 1 are efficient against S. aureus biofilms when irradiated with blue light (460 nm). The material made with the composition of 90% HEMA and 10% PEGDMA (Mo6@polymer-III) is especially easy to handle, because of its flexibility, and it achieves a notable level of bacterial population reduction (3.0 log10 CFU/cm2). The embedding of 1 in cross-linked polyHEMA sheets affords a protective environment to the photosensitizer against aqueous degradation while preserving the photochemical and photobactericidal activity.","author":[{"dropping-particle":"","family":"López-López","given":"Noelia","non-dropping-particle":"","parse-names":false,"suffix":""},{"dropping-particle":"","family":"Muñoz Resta","given":"Ignacio","non-dropping-particle":"","parse-names":false,"suffix":""},{"dropping-particle":"","family":"Llanos","given":"Rosa","non-dropping-particle":"De","parse-names":false,"suffix":""},{"dropping-particle":"","family":"Miravet","given":"Juan F.","non-dropping-particle":"","parse-names":false,"suffix":""},{"dropping-particle":"","family":"Mikhaylov","given":"Maxim","non-dropping-particle":"","parse-names":false,"suffix":""},{"dropping-particle":"","family":"Sokolov","given":"Maxim N.","non-dropping-particle":"","parse-names":false,"suffix":""},{"dropping-particle":"","family":"Ballesta","given":"Sofía","non-dropping-particle":"","parse-names":false,"suffix":""},{"dropping-particle":"","family":"García-Luque","given":"Isabel","non-dropping-particle":"","parse-names":false,"suffix":""},{"dropping-particle":"","family":"Galindo","given":"Francisco","non-dropping-particle":"","parse-names":false,"suffix":""}],"container-title":"ACS Biomaterials Science and Engineering","id":"ITEM-5","issue":"12","issued":{"date-parts":[["2020"]]},"page":"6995-7003","title":"Photodynamic Inactivation of Staphylococcus aureus Biofilms Using a Hexanuclear Molybdenum Complex Embedded in Transparent polyHEMA Hydrogels","type":"article-journal","volume":"6"},"uris":["http://www.mendeley.com/documents/?uuid=de3d18c4-17ae-4b36-8da0-91ad5fe31e7f"]}],"mendeley":{"formattedCitation":"&lt;sup&gt;65–68,71&lt;/sup&gt;","plainTextFormattedCitation":"65–68,71","previouslyFormattedCitation":"&lt;sup&gt;65–68,71&lt;/sup&gt;"},"properties":{"noteIndex":0},"schema":"https://github.com/citation-style-language/schema/raw/master/csl-citation.json"}</w:instrText>
      </w:r>
      <w:r w:rsidRPr="00763687">
        <w:rPr>
          <w:bCs/>
        </w:rPr>
        <w:fldChar w:fldCharType="separate"/>
      </w:r>
      <w:r w:rsidR="00976A58" w:rsidRPr="00976A58">
        <w:rPr>
          <w:bCs/>
          <w:noProof/>
          <w:vertAlign w:val="superscript"/>
        </w:rPr>
        <w:t>65–68,71</w:t>
      </w:r>
      <w:r w:rsidRPr="00763687">
        <w:fldChar w:fldCharType="end"/>
      </w:r>
      <w:r w:rsidRPr="00763687">
        <w:rPr>
          <w:bCs/>
        </w:rPr>
        <w:t xml:space="preserve"> Basically, the polymerizable colloid containing AIBN as initiator was </w:t>
      </w:r>
      <w:r w:rsidRPr="00763687">
        <w:rPr>
          <w:bCs/>
        </w:rPr>
        <w:t>introduced in the thin space between two microscope slides separated in both extremes by two microscope coverslips</w:t>
      </w:r>
      <w:r w:rsidR="00236BB4">
        <w:rPr>
          <w:bCs/>
        </w:rPr>
        <w:t>,</w:t>
      </w:r>
      <w:r w:rsidRPr="00763687">
        <w:rPr>
          <w:bCs/>
        </w:rPr>
        <w:t xml:space="preserve"> and the free-radical polymerization was carried out by introducing the samples in an oven at 80 °C for 10 minutes. Finally, the polymeric films were removed from the </w:t>
      </w:r>
      <w:proofErr w:type="spellStart"/>
      <w:r w:rsidRPr="00763687">
        <w:rPr>
          <w:bCs/>
        </w:rPr>
        <w:t>molds</w:t>
      </w:r>
      <w:proofErr w:type="spellEnd"/>
      <w:r w:rsidRPr="00763687">
        <w:rPr>
          <w:bCs/>
        </w:rPr>
        <w:t xml:space="preserve">, washed with water, and left to dry </w:t>
      </w:r>
      <w:r w:rsidR="00236BB4">
        <w:rPr>
          <w:bCs/>
        </w:rPr>
        <w:t>in</w:t>
      </w:r>
      <w:r w:rsidRPr="00763687">
        <w:rPr>
          <w:bCs/>
        </w:rPr>
        <w:t xml:space="preserve"> </w:t>
      </w:r>
      <w:r w:rsidR="00236BB4">
        <w:rPr>
          <w:bCs/>
        </w:rPr>
        <w:t xml:space="preserve">the </w:t>
      </w:r>
      <w:r w:rsidRPr="00763687">
        <w:rPr>
          <w:bCs/>
        </w:rPr>
        <w:t xml:space="preserve">air. The films had a light pink colour, which confirmed the deprotonation of the Nile red units and presented a thickness of </w:t>
      </w:r>
      <w:r w:rsidR="00465623" w:rsidRPr="00465623">
        <w:rPr>
          <w:bCs/>
          <w:i/>
          <w:iCs/>
        </w:rPr>
        <w:t>ca.</w:t>
      </w:r>
      <w:r w:rsidRPr="00763687">
        <w:rPr>
          <w:bCs/>
        </w:rPr>
        <w:t xml:space="preserve"> 120 </w:t>
      </w:r>
      <w:proofErr w:type="spellStart"/>
      <w:r w:rsidRPr="00763687">
        <w:rPr>
          <w:bCs/>
        </w:rPr>
        <w:t>μm</w:t>
      </w:r>
      <w:proofErr w:type="spellEnd"/>
      <w:r w:rsidRPr="00763687">
        <w:rPr>
          <w:bCs/>
        </w:rPr>
        <w:t xml:space="preserve"> (</w:t>
      </w:r>
      <w:r w:rsidR="00BB3792">
        <w:rPr>
          <w:bCs/>
        </w:rPr>
        <w:t>Fig.</w:t>
      </w:r>
      <w:r w:rsidRPr="00763687">
        <w:rPr>
          <w:bCs/>
        </w:rPr>
        <w:t xml:space="preserve"> S</w:t>
      </w:r>
      <w:r w:rsidR="00AD79AE">
        <w:rPr>
          <w:bCs/>
        </w:rPr>
        <w:t>3</w:t>
      </w:r>
      <w:r w:rsidRPr="00763687">
        <w:rPr>
          <w:bCs/>
        </w:rPr>
        <w:t>2).</w:t>
      </w:r>
    </w:p>
    <w:p w14:paraId="4D96BB26" w14:textId="7C0B3028" w:rsidR="00763687" w:rsidRPr="00763687" w:rsidRDefault="00763687" w:rsidP="00763687">
      <w:pPr>
        <w:pStyle w:val="RSCB02ArticleText"/>
        <w:rPr>
          <w:bCs/>
        </w:rPr>
      </w:pPr>
      <w:r w:rsidRPr="00763687">
        <w:rPr>
          <w:bCs/>
        </w:rPr>
        <w:t xml:space="preserve">ATR-FTIR analysis revealed that </w:t>
      </w:r>
      <w:r w:rsidRPr="00763687">
        <w:rPr>
          <w:b/>
        </w:rPr>
        <w:t>NR</w:t>
      </w:r>
      <w:r w:rsidRPr="00763687">
        <w:rPr>
          <w:b/>
          <w:vertAlign w:val="subscript"/>
        </w:rPr>
        <w:t>0,17</w:t>
      </w:r>
      <w:r w:rsidRPr="00763687">
        <w:rPr>
          <w:b/>
        </w:rPr>
        <w:t>-CONs</w:t>
      </w:r>
      <w:r w:rsidRPr="00763687">
        <w:rPr>
          <w:bCs/>
        </w:rPr>
        <w:t>@</w:t>
      </w:r>
      <w:r w:rsidRPr="00763687">
        <w:rPr>
          <w:b/>
        </w:rPr>
        <w:t>pHEMA</w:t>
      </w:r>
      <w:r w:rsidRPr="00763687">
        <w:rPr>
          <w:bCs/>
        </w:rPr>
        <w:t xml:space="preserve"> films</w:t>
      </w:r>
      <w:r w:rsidRPr="00763687">
        <w:rPr>
          <w:b/>
        </w:rPr>
        <w:t xml:space="preserve"> </w:t>
      </w:r>
      <w:r w:rsidRPr="00763687">
        <w:rPr>
          <w:bCs/>
        </w:rPr>
        <w:t xml:space="preserve">present the same characteristic peaks </w:t>
      </w:r>
      <w:r w:rsidR="009D5F1E">
        <w:rPr>
          <w:bCs/>
        </w:rPr>
        <w:t>as</w:t>
      </w:r>
      <w:r w:rsidRPr="00763687">
        <w:rPr>
          <w:bCs/>
        </w:rPr>
        <w:t xml:space="preserve"> </w:t>
      </w:r>
      <w:proofErr w:type="spellStart"/>
      <w:r w:rsidRPr="00763687">
        <w:rPr>
          <w:b/>
        </w:rPr>
        <w:t>pHEMA</w:t>
      </w:r>
      <w:proofErr w:type="spellEnd"/>
      <w:r w:rsidRPr="00763687">
        <w:rPr>
          <w:bCs/>
        </w:rPr>
        <w:t xml:space="preserve"> blanks obtained in the same conditions due to the low loading of the CONs in the composites (</w:t>
      </w:r>
      <w:r w:rsidR="00BB3792">
        <w:rPr>
          <w:bCs/>
        </w:rPr>
        <w:t>Fig.</w:t>
      </w:r>
      <w:r w:rsidRPr="00763687">
        <w:rPr>
          <w:bCs/>
        </w:rPr>
        <w:t xml:space="preserve"> S</w:t>
      </w:r>
      <w:r w:rsidR="004D41EA">
        <w:rPr>
          <w:bCs/>
        </w:rPr>
        <w:t>3</w:t>
      </w:r>
      <w:r w:rsidRPr="00763687">
        <w:rPr>
          <w:bCs/>
        </w:rPr>
        <w:t>3). The more important frequencies are the O-H stretching vibration at 3385 cm</w:t>
      </w:r>
      <w:r w:rsidRPr="00763687">
        <w:rPr>
          <w:bCs/>
          <w:vertAlign w:val="superscript"/>
        </w:rPr>
        <w:t>-1</w:t>
      </w:r>
      <w:r w:rsidRPr="00763687">
        <w:rPr>
          <w:bCs/>
        </w:rPr>
        <w:t xml:space="preserve"> and the C=O ester stretching at 1716 cm</w:t>
      </w:r>
      <w:r w:rsidRPr="00763687">
        <w:rPr>
          <w:bCs/>
          <w:vertAlign w:val="superscript"/>
        </w:rPr>
        <w:t>-1</w:t>
      </w:r>
      <w:r w:rsidRPr="00763687">
        <w:rPr>
          <w:bCs/>
        </w:rPr>
        <w:t xml:space="preserve">. The C=C stretching at </w:t>
      </w:r>
      <w:r w:rsidR="00465623" w:rsidRPr="00465623">
        <w:rPr>
          <w:bCs/>
          <w:i/>
          <w:iCs/>
        </w:rPr>
        <w:t>ca.</w:t>
      </w:r>
      <w:r w:rsidRPr="00763687">
        <w:rPr>
          <w:bCs/>
        </w:rPr>
        <w:t xml:space="preserve"> 1635 cm</w:t>
      </w:r>
      <w:r w:rsidRPr="00763687">
        <w:rPr>
          <w:bCs/>
          <w:vertAlign w:val="superscript"/>
        </w:rPr>
        <w:t>-1</w:t>
      </w:r>
      <w:r w:rsidRPr="00763687">
        <w:rPr>
          <w:bCs/>
        </w:rPr>
        <w:t xml:space="preserve">, characteristic of the vinyl monomers, is only detected as a shoulder which is an unequivocal sign of the efficient polymerization of both samples. The polymeric films were also characterized by means of TGA and DSC thermal </w:t>
      </w:r>
      <w:r w:rsidRPr="00763687">
        <w:rPr>
          <w:bCs/>
        </w:rPr>
        <w:lastRenderedPageBreak/>
        <w:t>analysis (</w:t>
      </w:r>
      <w:r w:rsidR="00BB3792">
        <w:rPr>
          <w:bCs/>
        </w:rPr>
        <w:t>Fig.</w:t>
      </w:r>
      <w:r w:rsidRPr="00763687">
        <w:rPr>
          <w:bCs/>
        </w:rPr>
        <w:t xml:space="preserve"> S</w:t>
      </w:r>
      <w:r w:rsidR="00AB38C8">
        <w:rPr>
          <w:bCs/>
        </w:rPr>
        <w:t>3</w:t>
      </w:r>
      <w:r w:rsidRPr="00763687">
        <w:rPr>
          <w:bCs/>
        </w:rPr>
        <w:t>4</w:t>
      </w:r>
      <w:r w:rsidR="00AB38C8">
        <w:rPr>
          <w:bCs/>
        </w:rPr>
        <w:t>-</w:t>
      </w:r>
      <w:r w:rsidRPr="00763687">
        <w:rPr>
          <w:bCs/>
        </w:rPr>
        <w:t>S</w:t>
      </w:r>
      <w:r w:rsidR="00AB38C8">
        <w:rPr>
          <w:bCs/>
        </w:rPr>
        <w:t>3</w:t>
      </w:r>
      <w:r w:rsidRPr="00763687">
        <w:rPr>
          <w:bCs/>
        </w:rPr>
        <w:t xml:space="preserve">5). TGA and their derivatives (DTG) curves show a first mass loss up to 130 °C approximately, which is associated </w:t>
      </w:r>
      <w:r w:rsidR="009D5F1E">
        <w:rPr>
          <w:bCs/>
        </w:rPr>
        <w:t>with</w:t>
      </w:r>
      <w:r w:rsidRPr="00763687">
        <w:rPr>
          <w:bCs/>
        </w:rPr>
        <w:t xml:space="preserve"> the loss of water content by evaporation, as supported by the endothermic peak registered at the same temperature range by DSC. The analysis reveals a similar water content for the </w:t>
      </w:r>
      <w:r w:rsidRPr="00763687">
        <w:rPr>
          <w:b/>
        </w:rPr>
        <w:t>NR</w:t>
      </w:r>
      <w:r w:rsidRPr="00763687">
        <w:rPr>
          <w:b/>
          <w:vertAlign w:val="subscript"/>
        </w:rPr>
        <w:t>0,17</w:t>
      </w:r>
      <w:r w:rsidRPr="00763687">
        <w:rPr>
          <w:b/>
        </w:rPr>
        <w:t>-CONs</w:t>
      </w:r>
      <w:r w:rsidRPr="00763687">
        <w:rPr>
          <w:bCs/>
        </w:rPr>
        <w:t>@</w:t>
      </w:r>
      <w:r w:rsidRPr="00763687">
        <w:rPr>
          <w:b/>
        </w:rPr>
        <w:t>pHEMA</w:t>
      </w:r>
      <w:r w:rsidRPr="00763687">
        <w:rPr>
          <w:bCs/>
        </w:rPr>
        <w:t xml:space="preserve"> polymeric film (3.42 </w:t>
      </w:r>
      <w:proofErr w:type="spellStart"/>
      <w:r w:rsidRPr="00763687">
        <w:rPr>
          <w:bCs/>
        </w:rPr>
        <w:t>wt</w:t>
      </w:r>
      <w:proofErr w:type="spellEnd"/>
      <w:r w:rsidRPr="00763687">
        <w:rPr>
          <w:bCs/>
        </w:rPr>
        <w:t xml:space="preserve">%) and </w:t>
      </w:r>
      <w:proofErr w:type="spellStart"/>
      <w:r w:rsidRPr="00763687">
        <w:rPr>
          <w:b/>
        </w:rPr>
        <w:t>pHEMA</w:t>
      </w:r>
      <w:proofErr w:type="spellEnd"/>
      <w:r w:rsidRPr="00763687">
        <w:rPr>
          <w:bCs/>
        </w:rPr>
        <w:t xml:space="preserve"> blank (4.05 </w:t>
      </w:r>
      <w:proofErr w:type="spellStart"/>
      <w:r w:rsidRPr="00763687">
        <w:rPr>
          <w:bCs/>
        </w:rPr>
        <w:t>wt</w:t>
      </w:r>
      <w:proofErr w:type="spellEnd"/>
      <w:r w:rsidRPr="00763687">
        <w:rPr>
          <w:bCs/>
        </w:rPr>
        <w:t xml:space="preserve">%). The degradation of the polymeric chains occurs in the range 200-450 °C for both polymers. Interestingly, DTG curves show that although the rate of decomposition is accelerated in the range from 200-250 °C for the </w:t>
      </w:r>
      <w:r w:rsidRPr="00763687">
        <w:rPr>
          <w:b/>
        </w:rPr>
        <w:t>NR</w:t>
      </w:r>
      <w:r w:rsidRPr="00763687">
        <w:rPr>
          <w:b/>
          <w:vertAlign w:val="subscript"/>
        </w:rPr>
        <w:t>0,17</w:t>
      </w:r>
      <w:r w:rsidRPr="00763687">
        <w:rPr>
          <w:b/>
        </w:rPr>
        <w:t>-CONs</w:t>
      </w:r>
      <w:r w:rsidRPr="00763687">
        <w:rPr>
          <w:bCs/>
        </w:rPr>
        <w:t>@</w:t>
      </w:r>
      <w:r w:rsidRPr="00763687">
        <w:rPr>
          <w:b/>
        </w:rPr>
        <w:t>pHEMA</w:t>
      </w:r>
      <w:r w:rsidRPr="00763687">
        <w:rPr>
          <w:bCs/>
        </w:rPr>
        <w:t xml:space="preserve"> composite, the maximum decomposition temperature increases in </w:t>
      </w:r>
      <w:r w:rsidR="002C59F5">
        <w:rPr>
          <w:bCs/>
        </w:rPr>
        <w:t>comparison with</w:t>
      </w:r>
      <w:r w:rsidRPr="00763687">
        <w:rPr>
          <w:bCs/>
        </w:rPr>
        <w:t xml:space="preserve"> the </w:t>
      </w:r>
      <w:proofErr w:type="spellStart"/>
      <w:r w:rsidRPr="00763687">
        <w:rPr>
          <w:b/>
        </w:rPr>
        <w:t>pHEMA</w:t>
      </w:r>
      <w:proofErr w:type="spellEnd"/>
      <w:r w:rsidRPr="00763687">
        <w:rPr>
          <w:bCs/>
        </w:rPr>
        <w:t xml:space="preserve"> blank from 298 to 323 °C. T</w:t>
      </w:r>
      <w:r w:rsidR="009D5F1E">
        <w:rPr>
          <w:bCs/>
        </w:rPr>
        <w:t>he t</w:t>
      </w:r>
      <w:r w:rsidRPr="00763687">
        <w:rPr>
          <w:bCs/>
        </w:rPr>
        <w:t>hermal stability of polymers depends on several factors such as molecular weight, degree of ramification, cross-linker content, crystallinity</w:t>
      </w:r>
      <w:r w:rsidR="009D5F1E">
        <w:rPr>
          <w:bCs/>
        </w:rPr>
        <w:t>,</w:t>
      </w:r>
      <w:r w:rsidRPr="00763687">
        <w:rPr>
          <w:bCs/>
        </w:rPr>
        <w:t xml:space="preserve"> and presence of additives, among others.</w:t>
      </w:r>
      <w:r w:rsidRPr="00763687">
        <w:rPr>
          <w:bCs/>
        </w:rPr>
        <w:fldChar w:fldCharType="begin" w:fldLock="1"/>
      </w:r>
      <w:r w:rsidR="00976A58">
        <w:rPr>
          <w:bCs/>
        </w:rPr>
        <w:instrText>ADDIN CSL_CITATION {"citationItems":[{"id":"ITEM-1","itemData":{"DOI":"10.1016/B978-1-4377-3455-3.00007-9","ISBN":"9781437734560","author":[{"dropping-particle":"","family":"Ray","given":"Sudip","non-dropping-particle":"","parse-names":false,"suffix":""},{"dropping-particle":"","family":"Cooney","given":"Ralph P.","non-dropping-particle":"","parse-names":false,"suffix":""}],"container-title":"Handbook of Environmental Degradation of Materials: Second Edition","edition":"Second Edi","id":"ITEM-1","issued":{"date-parts":[["2012"]]},"number-of-pages":"213-242","publisher":"Elsevier Inc.","title":"Thermal Degradation of Polymer and Polymer Composites","type":"book"},"uris":["http://www.mendeley.com/documents/?uuid=8b81fd4a-46bc-4a90-9bf6-f0bdfb51e864"]}],"mendeley":{"formattedCitation":"&lt;sup&gt;72&lt;/sup&gt;","plainTextFormattedCitation":"72","previouslyFormattedCitation":"&lt;sup&gt;72&lt;/sup&gt;"},"properties":{"noteIndex":0},"schema":"https://github.com/citation-style-language/schema/raw/master/csl-citation.json"}</w:instrText>
      </w:r>
      <w:r w:rsidRPr="00763687">
        <w:rPr>
          <w:bCs/>
        </w:rPr>
        <w:fldChar w:fldCharType="separate"/>
      </w:r>
      <w:r w:rsidR="00976A58" w:rsidRPr="00976A58">
        <w:rPr>
          <w:bCs/>
          <w:noProof/>
          <w:vertAlign w:val="superscript"/>
        </w:rPr>
        <w:t>72</w:t>
      </w:r>
      <w:r w:rsidRPr="00763687">
        <w:fldChar w:fldCharType="end"/>
      </w:r>
      <w:r w:rsidRPr="00763687">
        <w:rPr>
          <w:bCs/>
        </w:rPr>
        <w:t xml:space="preserve"> Increase of thermal stability in </w:t>
      </w:r>
      <w:proofErr w:type="spellStart"/>
      <w:r w:rsidRPr="00763687">
        <w:rPr>
          <w:bCs/>
        </w:rPr>
        <w:t>pHEMA</w:t>
      </w:r>
      <w:proofErr w:type="spellEnd"/>
      <w:r w:rsidRPr="00763687">
        <w:rPr>
          <w:bCs/>
        </w:rPr>
        <w:t xml:space="preserve"> and related methacrylic nanocomposites has been reported in literature,</w:t>
      </w:r>
      <w:r w:rsidRPr="00763687">
        <w:rPr>
          <w:bCs/>
        </w:rPr>
        <w:fldChar w:fldCharType="begin" w:fldLock="1"/>
      </w:r>
      <w:r w:rsidR="00976A58">
        <w:rPr>
          <w:bCs/>
        </w:rPr>
        <w:instrText xml:space="preserve">ADDIN CSL_CITATION {"citationItems":[{"id":"ITEM-1","itemData":{"DOI":"10.1021/acsbiomaterials.0c00992","ISSN":"23739878","PMID":"33320609","abstract":"Three new photoactive polymeric materials embedding a hexanuclear molybdenum cluster (Bu4N)2[Mo6I8(CH3COO)6] (1) have been synthesized and characterized by means of Fourier-transform infrared spectroscopy (FTIR), thermogravimetric analysis (TGA), and emission spectroscopy. The materials are obtained in the format of transparent and thin sheets, and the formulations used to synthesize them are comprised of 2-hydroxyethyl methacrylate (HEMA), as a polymerizable monomer, and ethylene glycol dimethacrylate (EGDMA) or poly(ethylene glycol)dimethacrylate (PEGDMA), as cross-linkers. All the polymeric hydrogels generate singlet oxygen (1O2) upon irradiation with visible light (400-700 nm), as demonstrated by the reactivity toward two chemical traps of this reactive species (9,10-dimethylanthracene and 1,5-dihydroxynaphthalene). Some differences have been detected between the photoactive materials, probably attributable to variations in the permeability to solvent and oxygen. Notably, one of the materials resisted up to 10 cycles of photocatalytic oxygenation reactions of 1,5-dihydroxynaphthalene. All three of the polyHEMA hydrogels doped with 1 are efficient against S. aureus biofilms when irradiated with blue light (460 nm). The material made with the composition of 90% HEMA and 10% PEGDMA (Mo6@polymer-III) is especially easy to handle, because of its flexibility, and it achieves a notable level of bacterial population reduction (3.0 log10 CFU/cm2). The embedding of 1 in cross-linked polyHEMA sheets affords a protective environment to the photosensitizer against aqueous degradation while preserving the photochemical and photobactericidal activity.","author":[{"dropping-particle":"","family":"López-López","given":"Noelia","non-dropping-particle":"","parse-names":false,"suffix":""},{"dropping-particle":"","family":"Muñoz Resta","given":"Ignacio","non-dropping-particle":"","parse-names":false,"suffix":""},{"dropping-particle":"","family":"Llanos","given":"Rosa","non-dropping-particle":"De","parse-names":false,"suffix":""},{"dropping-particle":"","family":"Miravet","given":"Juan F.","non-dropping-particle":"","parse-names":false,"suffix":""},{"dropping-particle":"","family":"Mikhaylov","given":"Maxim","non-dropping-particle":"","parse-names":false,"suffix":""},{"dropping-particle":"","family":"Sokolov","given":"Maxim N.","non-dropping-particle":"","parse-names":false,"suffix":""},{"dropping-particle":"","family":"Ballesta","given":"Sofía","non-dropping-particle":"","parse-names":false,"suffix":""},{"dropping-particle":"","family":"García-Luque","given":"Isabel","non-dropping-particle":"","parse-names":false,"suffix":""},{"dropping-particle":"","family":"Galindo","given":"Francisco","non-dropping-particle":"","parse-names":false,"suffix":""}],"container-title":"ACS Biomaterials Science and Engineering","id":"ITEM-1","issue":"12","issued":{"date-parts":[["2020"]]},"page":"6995-7003","title":"Photodynamic Inactivation of Staphylococcus aureus Biofilms Using a Hexanuclear Molybdenum Complex Embedded in Transparent polyHEMA Hydrogels","type":"article-journal","volume":"6"},"uris":["http://www.mendeley.com/documents/?uuid=de3d18c4-17ae-4b36-8da0-91ad5fe31e7f"]},{"id":"ITEM-2","itemData":{"DOI":"10.1007/s10973-020-10274-0","ISBN":"0123456789","ISSN":"15882926","abstract":"Nanocomposites of poly(2-hydroxyethyl methacrylate) (PHEMA) loaded with 1.7 mass%, 6.5 mass% and 9.0 mass% nanographene were prepared by hydro/solvothermal technique. The main peaks of the nanographene and amorphous polymer structure were revealed by X-ray diffraction (XRD) analysis. Nanocomposites were characterized by SEM, DSC and TGA techniques. The dielectric constant (εʹ), the dielectric loss factor (εʺ), the loss tangent (tanδ) and the conductivity (σac) were measured using a dielectric analyzer in a frequency range from 100 Hz to 2 kHz. Also, current (I)–voltage (V) measurements were carried out. It is well known that nanocomposite formation causes an improvement of many properties for a polymer, providing enhanced properties such as conductivity and thermal stability. This investigation was done to understand whether the presence of nanographene causes changes in the degradation pathway of poly(HEMA) prepared by hydro/solvothermal technique. For this aim, pure poly(HEMA) and nanocomposites were heated from room temperature to 500 °C. The characterization of degradation products for the cold ring fractions (CRFs) and trapped at − 196 °C (in liquid nitrogen) was investigated by means of FT-IR, 1H, 13C-NMR spectroscopic and GC–MS techniques. The FT-IR, NMR and GC–MS data showed that depolymerization corresponding to monomer (2-hydroxyethyl methacrylate) was the most important product trapped at CRF and − 196 °C in the thermal degradation of nanocomposites. As the nanographene loading increased in composite systems, the rate of depolymerization of poly(HEMA) increased compared to pure poly(HEMA). The nanographene particles in the composite systems acted as a mass barrier that retards the escape of the volatile products","author":[{"dropping-particle":"","family":"Biryan","given":"Fatih","non-dropping-particle":"","parse-names":false,"suffix":""},{"dropping-particle":"","family":"Açıkses","given":"Aslışah","non-dropping-particle":"","parse-names":false,"suffix":""},{"dropping-particle":"","family":"Demirelli","given":"Kadir","non-dropping-particle":"","parse-names":false,"suffix":""}],"container-title":"Journal of Thermal Analysis and Calorimetry","id":"ITEM-2","issue":"1","issued":{"date-parts":[["2021"]]},"page":"213-226","publisher":"Springer International Publishing","title":"Polymerization of 2-hydroxyethyl methacrylate by hydro/solvothermal technique in presence of nanographene: electrical and thermal degradation characterization","type":"article-journal","volume":"143"},"uris":["http://www.mendeley.com/documents/?uuid=ae925971-eca6-4b09-b7d8-c5aa5ed4b3a5"]},{"id":"ITEM-3","itemData":{"DOI":"10.1039/c2nr31907a","ISSN":"20403364","abstract":"Aramid macroscale fibers, also called Kevlar fibers, exhibit extremely high mechanical performance. Previous studies have demonstrated that bulk aramid macroscale fibers can be effectively split into aramid nanofibers (ANFs) by dissolution in dimethylsulfoxide (DMSO) in the presence of potassium hydroxide (KOH). In this paper, we first introduced the ANFs into the structure of graphene nanosheets through non-covalent functionalization through π-π stacking interactions. Aramid nanofiber-functionalized graphene sheets (ANFGS) were successfully obtained by adding the graphene oxide (GO)/DMSO dispersion into the ANFs/DMSO solution followed by reduction with hydrazine hydrate. The ANFGS, with ANFs absorbed on the surface of the graphene nanosheets, can be easily exfoliated and dispersed in N-methyl-2-pyrrolidone (NMP). Through a combination of these two ultra-strong materials, ANFs and graphene nanosheets (GS), the resultant ANFGS can act as novel nanofillers for polymer reinforcement. We used the ANFGS as an additive for reinforcing the mechanical properties of poly(methyl methacrylate) (PMMA). With a loading of 0.7 wt% of the ANFGS, the tensile strength and Young's modulus of the ANFGS/PMMA composite film approached 63.2 MPa and 3.42 GPa, which are increases of </w:instrText>
      </w:r>
      <w:r w:rsidR="00976A58">
        <w:rPr>
          <w:rFonts w:ascii="Cambria Math" w:hAnsi="Cambria Math" w:cs="Cambria Math"/>
          <w:bCs/>
        </w:rPr>
        <w:instrText>∼</w:instrText>
      </w:r>
      <w:r w:rsidR="00976A58">
        <w:rPr>
          <w:bCs/>
        </w:rPr>
        <w:instrText xml:space="preserve">84.5% and </w:instrText>
      </w:r>
      <w:r w:rsidR="00976A58">
        <w:rPr>
          <w:rFonts w:ascii="Cambria Math" w:hAnsi="Cambria Math" w:cs="Cambria Math"/>
          <w:bCs/>
        </w:rPr>
        <w:instrText>∼</w:instrText>
      </w:r>
      <w:r w:rsidR="00976A58">
        <w:rPr>
          <w:bCs/>
        </w:rPr>
        <w:instrText>70.6%, respectively. The thermal stabilities of ANFGS/PMMA composite films were improved by the addition of ANFGS. Additionally, the transparencies of the ANFGS/PMMA composite films have a degree of UV-shielding due to the ultraviolet light absorption of the ANFs in the ANFGS. © 2012 The Royal Society of Chemistry.","author":[{"dropping-particle":"","family":"Fan","given":"Jinchen","non-dropping-particle":"","parse-names":false,"suffix":""},{"dropping-particle":"","family":"Shi","given":"Zixing","non-dropping-particle":"","parse-names":false,"suffix":""},{"dropping-particle":"","family":"Zhang","given":"Lu","non-dropping-particle":"","parse-names":false,"suffix":""},{"dropping-particle":"","family":"Wang","given":"Jialiang","non-dropping-particle":"","parse-names":false,"suffix":""},{"dropping-particle":"","family":"Yin","given":"Jie","non-dropping-particle":"","parse-names":false,"suffix":""}],"container-title":"Nanoscale","id":"ITEM-3","issue":"22","issued":{"date-parts":[["2012"]]},"page":"7046-7055","title":"Aramid nanofiber-functionalized graphene nanosheets for polymer reinforcement","type":"article-journal","volume":"4"},"uris":["http://www.mendeley.com/documents/?uuid=3fe26c86-3241-4bc8-b36f-d76dcba0ce65"]},{"id":"ITEM-4","itemData":{"DOI":"10.1016/j.mtcomm.2020.101633","ISSN":"23524928","abstract":"Graphene and related nanomaterial-based polymer composites have shown the potential to resolve the long-standing conflict between strength and toughness, the two vital mutually exclusive mechanical properties. The uniform dispersion of the nanofillers in polymer matrices to attain strong matrix-filler interfacial bonding, which is essential for effective load transfer between the polymer matrix and fillers, is the least investigated aspect and a major challenge in composite engineering. Copolymeric materials can be exploited to enhance the distribution of nanofillers. Herein the optimization of monomer ratios of the poly (styrene-co-methyl methacrylate) copolymer and a facile method to fabricate graphene oxide (GO) reinforced nanocomposites using in situ bulk copolymerization are reported. The ultimate tensile strength, failure strain, and storage modulus of the injection molded copolymer were increased by 14.6, 15, and 43%, respectively, by adding only 0.1 wt.% GO. Also, the thermogravimetric analysis revealed that the thermal stability of the nanocomposite is much better than the neat copolymer. Crack arresting mechanism and dispersion state of GO sheets in the copolymer matrix were also investigated using scanning and transmission electron microscopes. Thus, this paper provides a methodology for uniform dispersion of GO in copolymeric materials to attain high toughness and thermal stability.","author":[{"dropping-particle":"","family":"Rahman","given":"Saadman Sakib","non-dropping-particle":"","parse-names":false,"suffix":""},{"dropping-particle":"","family":"Arshad","given":"Muhammad","non-dropping-particle":"","parse-names":false,"suffix":""},{"dropping-particle":"","family":"Zubair","given":"Muhammad","non-dropping-particle":"","parse-names":false,"suffix":""},{"dropping-particle":"","family":"Ghasri-Khouzani","given":"Morteza","non-dropping-particle":"","parse-names":false,"suffix":""},{"dropping-particle":"","family":"Qureshi","given":"Ahmed","non-dropping-particle":"","parse-names":false,"suffix":""},{"dropping-particle":"","family":"Ullah","given":"Aman","non-dropping-particle":"","parse-names":false,"suffix":""}],"container-title":"Materials Today Communications","id":"ITEM-4","issue":"September","issued":{"date-parts":[["2020"]]},"page":"101633","publisher":"Elsevier Ltd","title":"Facile fabrication of graphene oxide/poly(styrene-co-methyl methacrylate) nanocomposite with high toughness and thermal stability","type":"article-journal","volume":"25"},"uris":["http://www.mendeley.com/documents/?uuid=51615756-b879-4cd3-a4c7-b4feea89ceba"]}],"mendeley":{"formattedCitation":"&lt;sup&gt;68,73–75&lt;/sup&gt;","plainTextFormattedCitation":"68,73–75","previouslyFormattedCitation":"&lt;sup&gt;68,73–75&lt;/sup&gt;"},"properties":{"noteIndex":0},"schema":"https://github.com/citation-style-language/schema/raw/master/csl-citation.json"}</w:instrText>
      </w:r>
      <w:r w:rsidRPr="00763687">
        <w:rPr>
          <w:bCs/>
        </w:rPr>
        <w:fldChar w:fldCharType="separate"/>
      </w:r>
      <w:r w:rsidR="00976A58" w:rsidRPr="00976A58">
        <w:rPr>
          <w:bCs/>
          <w:noProof/>
          <w:vertAlign w:val="superscript"/>
        </w:rPr>
        <w:t>68,73–75</w:t>
      </w:r>
      <w:r w:rsidRPr="00763687">
        <w:fldChar w:fldCharType="end"/>
      </w:r>
      <w:r w:rsidRPr="00763687">
        <w:rPr>
          <w:bCs/>
        </w:rPr>
        <w:t xml:space="preserve"> and has been attributed to several factors depending on the physicochemical properties of the nanofiller, as for example, a retardation of the heat transfer in the case of nanographene-containing composites.</w:t>
      </w:r>
      <w:r w:rsidRPr="00763687">
        <w:rPr>
          <w:bCs/>
        </w:rPr>
        <w:fldChar w:fldCharType="begin" w:fldLock="1"/>
      </w:r>
      <w:r w:rsidR="00976A58">
        <w:rPr>
          <w:bCs/>
        </w:rPr>
        <w:instrText xml:space="preserve">ADDIN CSL_CITATION {"citationItems":[{"id":"ITEM-1","itemData":{"DOI":"10.1007/s10973-020-10274-0","ISBN":"0123456789","ISSN":"15882926","abstract":"Nanocomposites of poly(2-hydroxyethyl methacrylate) (PHEMA) loaded with 1.7 mass%, 6.5 mass% and 9.0 mass% nanographene were prepared by hydro/solvothermal technique. The main peaks of the nanographene and amorphous polymer structure were revealed by X-ray diffraction (XRD) analysis. Nanocomposites were characterized by SEM, DSC and TGA techniques. The dielectric constant (εʹ), the dielectric loss factor (εʺ), the loss tangent (tanδ) and the conductivity (σac) were measured using a dielectric analyzer in a frequency range from 100 Hz to 2 kHz. Also, current (I)–voltage (V) measurements were carried out. It is well known that nanocomposite formation causes an improvement of many properties for a polymer, providing enhanced properties such as conductivity and thermal stability. This investigation was done to understand whether the presence of nanographene causes changes in the degradation pathway of poly(HEMA) prepared by hydro/solvothermal technique. For this aim, pure poly(HEMA) and nanocomposites were heated from room temperature to 500 °C. The characterization of degradation products for the cold ring fractions (CRFs) and trapped at − 196 °C (in liquid nitrogen) was investigated by means of FT-IR, 1H, 13C-NMR spectroscopic and GC–MS techniques. The FT-IR, NMR and GC–MS data showed that depolymerization corresponding to monomer (2-hydroxyethyl methacrylate) was the most important product trapped at CRF and − 196 °C in the thermal degradation of nanocomposites. As the nanographene loading increased in composite systems, the rate of depolymerization of poly(HEMA) increased compared to pure poly(HEMA). The nanographene particles in the composite systems acted as a mass barrier that retards the escape of the volatile products","author":[{"dropping-particle":"","family":"Biryan","given":"Fatih","non-dropping-particle":"","parse-names":false,"suffix":""},{"dropping-particle":"","family":"Açıkses","given":"Aslışah","non-dropping-particle":"","parse-names":false,"suffix":""},{"dropping-particle":"","family":"Demirelli","given":"Kadir","non-dropping-particle":"","parse-names":false,"suffix":""}],"container-title":"Journal of Thermal Analysis and Calorimetry","id":"ITEM-1","issue":"1","issued":{"date-parts":[["2021"]]},"page":"213-226","publisher":"Springer International Publishing","title":"Polymerization of 2-hydroxyethyl methacrylate by hydro/solvothermal technique in presence of nanographene: electrical and thermal degradation characterization","type":"article-journal","volume":"143"},"uris":["http://www.mendeley.com/documents/?uuid=ae925971-eca6-4b09-b7d8-c5aa5ed4b3a5"]},{"id":"ITEM-2","itemData":{"DOI":"10.1039/c2nr31907a","ISSN":"20403364","abstract":"Aramid macroscale fibers, also called Kevlar fibers, exhibit extremely high mechanical performance. Previous studies have demonstrated that bulk aramid macroscale fibers can be effectively split into aramid nanofibers (ANFs) by dissolution in dimethylsulfoxide (DMSO) in the presence of potassium hydroxide (KOH). In this paper, we first introduced the ANFs into the structure of graphene nanosheets through non-covalent functionalization through π-π stacking interactions. Aramid nanofiber-functionalized graphene sheets (ANFGS) were successfully obtained by adding the graphene oxide (GO)/DMSO dispersion into the ANFs/DMSO solution followed by reduction with hydrazine hydrate. The ANFGS, with ANFs absorbed on the surface of the graphene nanosheets, can be easily exfoliated and dispersed in N-methyl-2-pyrrolidone (NMP). Through a combination of these two ultra-strong materials, ANFs and graphene nanosheets (GS), the resultant ANFGS can act as novel nanofillers for polymer reinforcement. We used the ANFGS as an additive for reinforcing the mechanical properties of poly(methyl methacrylate) (PMMA). With a loading of 0.7 wt% of the ANFGS, the tensile strength and Young's modulus of the ANFGS/PMMA composite film approached 63.2 MPa and 3.42 GPa, which are increases of </w:instrText>
      </w:r>
      <w:r w:rsidR="00976A58">
        <w:rPr>
          <w:rFonts w:ascii="Cambria Math" w:hAnsi="Cambria Math" w:cs="Cambria Math"/>
          <w:bCs/>
        </w:rPr>
        <w:instrText>∼</w:instrText>
      </w:r>
      <w:r w:rsidR="00976A58">
        <w:rPr>
          <w:bCs/>
        </w:rPr>
        <w:instrText xml:space="preserve">84.5% and </w:instrText>
      </w:r>
      <w:r w:rsidR="00976A58">
        <w:rPr>
          <w:rFonts w:ascii="Cambria Math" w:hAnsi="Cambria Math" w:cs="Cambria Math"/>
          <w:bCs/>
        </w:rPr>
        <w:instrText>∼</w:instrText>
      </w:r>
      <w:r w:rsidR="00976A58">
        <w:rPr>
          <w:bCs/>
        </w:rPr>
        <w:instrText>70.6%, respectively. The thermal stabilities of ANFGS/PMMA composite films were improved by the addition of ANFGS. Additionally, the transparencies of the ANFGS/PMMA composite films have a degree of UV-shielding due to the ultraviolet light absorption of the ANFs in the ANFGS. © 2012 The Royal Society of Chemistry.","author":[{"dropping-particle":"","family":"Fan","given":"Jinchen","non-dropping-particle":"","parse-names":false,"suffix":""},{"dropping-particle":"","family":"Shi","given":"Zixing","non-dropping-particle":"","parse-names":false,"suffix":""},{"dropping-particle":"","family":"Zhang","given":"Lu","non-dropping-particle":"","parse-names":false,"suffix":""},{"dropping-particle":"","family":"Wang","given":"Jialiang","non-dropping-particle":"","parse-names":false,"suffix":""},{"dropping-particle":"","family":"Yin","given":"Jie","non-dropping-particle":"","parse-names":false,"suffix":""}],"container-title":"Nanoscale","id":"ITEM-2","issue":"22","issued":{"date-parts":[["2012"]]},"page":"7046-7055","title":"Aramid nanofiber-functionalized graphene nanosheets for polymer reinforcement","type":"article-journal","volume":"4"},"uris":["http://www.mendeley.com/documents/?uuid=3fe26c86-3241-4bc8-b36f-d76dcba0ce65"]}],"mendeley":{"formattedCitation":"&lt;sup&gt;73,74&lt;/sup&gt;","plainTextFormattedCitation":"73,74","previouslyFormattedCitation":"&lt;sup&gt;73,74&lt;/sup&gt;"},"properties":{"noteIndex":0},"schema":"https://github.com/citation-style-language/schema/raw/master/csl-citation.json"}</w:instrText>
      </w:r>
      <w:r w:rsidRPr="00763687">
        <w:rPr>
          <w:bCs/>
        </w:rPr>
        <w:fldChar w:fldCharType="separate"/>
      </w:r>
      <w:r w:rsidR="00976A58" w:rsidRPr="00976A58">
        <w:rPr>
          <w:bCs/>
          <w:noProof/>
          <w:vertAlign w:val="superscript"/>
        </w:rPr>
        <w:t>73,74</w:t>
      </w:r>
      <w:r w:rsidRPr="00763687">
        <w:fldChar w:fldCharType="end"/>
      </w:r>
      <w:r w:rsidRPr="00763687">
        <w:rPr>
          <w:bCs/>
        </w:rPr>
        <w:t xml:space="preserve"> A similar process may be happening in the case of the </w:t>
      </w:r>
      <w:r w:rsidRPr="00763687">
        <w:rPr>
          <w:b/>
        </w:rPr>
        <w:t>NR</w:t>
      </w:r>
      <w:r w:rsidRPr="00763687">
        <w:rPr>
          <w:b/>
          <w:vertAlign w:val="subscript"/>
        </w:rPr>
        <w:t>0,17</w:t>
      </w:r>
      <w:r w:rsidRPr="00763687">
        <w:rPr>
          <w:b/>
        </w:rPr>
        <w:t>-CONs</w:t>
      </w:r>
      <w:r w:rsidRPr="00763687">
        <w:rPr>
          <w:bCs/>
        </w:rPr>
        <w:t>@</w:t>
      </w:r>
      <w:r w:rsidRPr="00763687">
        <w:rPr>
          <w:b/>
        </w:rPr>
        <w:t>pHEMA</w:t>
      </w:r>
      <w:r w:rsidRPr="00763687">
        <w:rPr>
          <w:bCs/>
        </w:rPr>
        <w:t xml:space="preserve">   composite, however, a complete understanding of the mechanism underlying the increase of thermal stability is out of the scope of the present work.</w:t>
      </w:r>
    </w:p>
    <w:p w14:paraId="2A968476" w14:textId="45551753" w:rsidR="00763687" w:rsidRDefault="00763687" w:rsidP="00763687">
      <w:pPr>
        <w:pStyle w:val="RSCB02ArticleText"/>
      </w:pPr>
      <w:r w:rsidRPr="00763687">
        <w:rPr>
          <w:b/>
        </w:rPr>
        <w:t>NR</w:t>
      </w:r>
      <w:r w:rsidRPr="00763687">
        <w:rPr>
          <w:b/>
          <w:vertAlign w:val="subscript"/>
        </w:rPr>
        <w:t>0,17</w:t>
      </w:r>
      <w:r w:rsidRPr="00763687">
        <w:rPr>
          <w:b/>
        </w:rPr>
        <w:t>-CONs</w:t>
      </w:r>
      <w:r w:rsidRPr="00763687">
        <w:rPr>
          <w:bCs/>
        </w:rPr>
        <w:t>@</w:t>
      </w:r>
      <w:r w:rsidRPr="00763687">
        <w:rPr>
          <w:b/>
        </w:rPr>
        <w:t>pHEMA</w:t>
      </w:r>
      <w:r w:rsidRPr="00763687">
        <w:rPr>
          <w:bCs/>
        </w:rPr>
        <w:t xml:space="preserve"> films show the typical emission of the Nile Red moieties, with a fluorescence maximum at 626 nm (</w:t>
      </w:r>
      <w:r w:rsidR="00BB3792">
        <w:rPr>
          <w:bCs/>
        </w:rPr>
        <w:t>Fig.</w:t>
      </w:r>
      <w:r w:rsidRPr="00763687">
        <w:rPr>
          <w:bCs/>
        </w:rPr>
        <w:t xml:space="preserve"> </w:t>
      </w:r>
      <w:r w:rsidR="00AF7D9F">
        <w:rPr>
          <w:bCs/>
        </w:rPr>
        <w:t>4b</w:t>
      </w:r>
      <w:r w:rsidRPr="00763687">
        <w:rPr>
          <w:bCs/>
        </w:rPr>
        <w:t xml:space="preserve">). The excitation spectrum shows the characteristic profile of the Nile Red absorption, with a maximum </w:t>
      </w:r>
      <w:r w:rsidR="009D5F1E">
        <w:rPr>
          <w:bCs/>
        </w:rPr>
        <w:t xml:space="preserve">located </w:t>
      </w:r>
      <w:r w:rsidRPr="00763687">
        <w:rPr>
          <w:bCs/>
        </w:rPr>
        <w:t xml:space="preserve">at 583 nm. Interestingly, excitation at 360 nm in the spectrofluorometer allows </w:t>
      </w:r>
      <w:r w:rsidR="009D5F1E">
        <w:rPr>
          <w:bCs/>
        </w:rPr>
        <w:t>registering</w:t>
      </w:r>
      <w:r w:rsidRPr="00763687">
        <w:rPr>
          <w:bCs/>
        </w:rPr>
        <w:t xml:space="preserve"> the emission of both Nile Red moieties and</w:t>
      </w:r>
      <w:r w:rsidRPr="00763687">
        <w:t xml:space="preserve"> the COF</w:t>
      </w:r>
      <w:r w:rsidR="003A68A4">
        <w:t xml:space="preserve"> </w:t>
      </w:r>
      <w:r w:rsidR="00B91653">
        <w:t>network</w:t>
      </w:r>
      <w:r w:rsidRPr="00763687">
        <w:t xml:space="preserve">, </w:t>
      </w:r>
      <w:r w:rsidR="009D5F1E">
        <w:t>which</w:t>
      </w:r>
      <w:r w:rsidRPr="00763687">
        <w:t xml:space="preserve"> presents a broad maximum at </w:t>
      </w:r>
      <w:r w:rsidR="00465623" w:rsidRPr="00465623">
        <w:rPr>
          <w:i/>
          <w:iCs/>
        </w:rPr>
        <w:t>ca.</w:t>
      </w:r>
      <w:r w:rsidRPr="00763687">
        <w:t xml:space="preserve"> 448 nm (</w:t>
      </w:r>
      <w:r w:rsidR="00BB3792">
        <w:t>Fig.</w:t>
      </w:r>
      <w:r w:rsidRPr="00763687">
        <w:t xml:space="preserve"> </w:t>
      </w:r>
      <w:r w:rsidR="00AF7D9F">
        <w:t>4c</w:t>
      </w:r>
      <w:r w:rsidRPr="00763687">
        <w:t xml:space="preserve">). Changes in this dual emission as a function of polarity were studied by dipping several </w:t>
      </w:r>
      <w:r w:rsidRPr="00763687">
        <w:rPr>
          <w:b/>
        </w:rPr>
        <w:t>NR</w:t>
      </w:r>
      <w:r w:rsidRPr="00763687">
        <w:rPr>
          <w:b/>
          <w:vertAlign w:val="subscript"/>
        </w:rPr>
        <w:t>0,17</w:t>
      </w:r>
      <w:r w:rsidRPr="00763687">
        <w:rPr>
          <w:b/>
        </w:rPr>
        <w:t>-CONs</w:t>
      </w:r>
      <w:r w:rsidRPr="00763687">
        <w:rPr>
          <w:bCs/>
        </w:rPr>
        <w:t>@</w:t>
      </w:r>
      <w:r w:rsidRPr="00763687">
        <w:rPr>
          <w:b/>
        </w:rPr>
        <w:t>pHEMA</w:t>
      </w:r>
      <w:r w:rsidRPr="00763687">
        <w:rPr>
          <w:bCs/>
        </w:rPr>
        <w:t xml:space="preserve"> films in different THF/water mixtures for 10 min and then r</w:t>
      </w:r>
      <w:r w:rsidR="00493A29">
        <w:rPr>
          <w:bCs/>
        </w:rPr>
        <w:t>ecording</w:t>
      </w:r>
      <w:r w:rsidRPr="00763687">
        <w:rPr>
          <w:bCs/>
        </w:rPr>
        <w:t xml:space="preserve"> the corresponding fluorescence spectra. The films showed a response </w:t>
      </w:r>
      <w:proofErr w:type="gramStart"/>
      <w:r w:rsidRPr="00763687">
        <w:rPr>
          <w:bCs/>
        </w:rPr>
        <w:t>similar to</w:t>
      </w:r>
      <w:proofErr w:type="gramEnd"/>
      <w:r w:rsidRPr="00763687">
        <w:rPr>
          <w:bCs/>
        </w:rPr>
        <w:t xml:space="preserve"> that found for free </w:t>
      </w:r>
      <w:r w:rsidRPr="00763687">
        <w:rPr>
          <w:b/>
        </w:rPr>
        <w:t>NR</w:t>
      </w:r>
      <w:r w:rsidRPr="00763687">
        <w:rPr>
          <w:b/>
          <w:vertAlign w:val="subscript"/>
        </w:rPr>
        <w:t>0,17</w:t>
      </w:r>
      <w:r w:rsidRPr="00763687">
        <w:rPr>
          <w:b/>
        </w:rPr>
        <w:t xml:space="preserve">-CONs </w:t>
      </w:r>
      <w:r w:rsidRPr="00763687">
        <w:rPr>
          <w:bCs/>
        </w:rPr>
        <w:t>in THF/water mixtures. Thus, the Nile Red emission was red-shifted and decreased in intensity when the water content was increased, as expected.  In the case of the emission</w:t>
      </w:r>
      <w:r w:rsidR="00DC28EC">
        <w:rPr>
          <w:bCs/>
        </w:rPr>
        <w:t xml:space="preserve"> from the COF </w:t>
      </w:r>
      <w:r w:rsidR="00B91653">
        <w:rPr>
          <w:bCs/>
        </w:rPr>
        <w:t>network</w:t>
      </w:r>
      <w:r w:rsidRPr="00763687">
        <w:t>, a bathochromic shift was also observed with the increase of water, accompanied in this case by a rise of the intensity (</w:t>
      </w:r>
      <w:r w:rsidR="00BB3792">
        <w:t>Fig.</w:t>
      </w:r>
      <w:r w:rsidRPr="00763687">
        <w:t xml:space="preserve"> </w:t>
      </w:r>
      <w:r w:rsidR="00AF7D9F">
        <w:t>4c</w:t>
      </w:r>
      <w:r w:rsidRPr="00763687">
        <w:t xml:space="preserve">). As observed in </w:t>
      </w:r>
      <w:r w:rsidR="00BB3792">
        <w:t>Fig.</w:t>
      </w:r>
      <w:r w:rsidRPr="00763687">
        <w:t xml:space="preserve"> </w:t>
      </w:r>
      <w:r w:rsidR="00AF7D9F">
        <w:t>4d</w:t>
      </w:r>
      <w:r w:rsidRPr="00763687">
        <w:t>, the plot of the quotient between the emission intensity at the maximum wavelength for Nile Red moieties (I</w:t>
      </w:r>
      <w:r w:rsidRPr="00763687">
        <w:rPr>
          <w:vertAlign w:val="subscript"/>
        </w:rPr>
        <w:t>NR</w:t>
      </w:r>
      <w:r w:rsidRPr="00763687">
        <w:t xml:space="preserve">) and </w:t>
      </w:r>
      <w:r w:rsidR="00FE0DFA">
        <w:t>COF framework</w:t>
      </w:r>
      <w:r w:rsidRPr="00763687">
        <w:t xml:space="preserve"> (I</w:t>
      </w:r>
      <w:r w:rsidRPr="00763687">
        <w:rPr>
          <w:vertAlign w:val="subscript"/>
        </w:rPr>
        <w:t>COF</w:t>
      </w:r>
      <w:r w:rsidRPr="00763687">
        <w:t xml:space="preserve">), in front of the water content, fits well to an exponential curve, in agreement with that reported for other </w:t>
      </w:r>
      <w:proofErr w:type="spellStart"/>
      <w:r w:rsidRPr="00763687">
        <w:t>ratiometric</w:t>
      </w:r>
      <w:proofErr w:type="spellEnd"/>
      <w:r w:rsidRPr="00763687">
        <w:t xml:space="preserve"> sensors of polarity.</w:t>
      </w:r>
      <w:r w:rsidRPr="00763687">
        <w:fldChar w:fldCharType="begin" w:fldLock="1"/>
      </w:r>
      <w:r w:rsidR="00976A58">
        <w:instrText>ADDIN CSL_CITATION {"citationItems":[{"id":"ITEM-1","itemData":{"DOI":"10.1039/c5sc04099j","ISSN":"20416539","abstract":"Mitochondrial polarity is a crucial characteristic of these indispensable organelles, and tremendously impacts cellular events. Herein, we describe a new mitochondria-targeting fluorescent probe MCY-BF2 that is singularly sensitive and specifically responsive to mitochondrial polarity. The pull-push system in the conjugated structure of MCY-BF2 is responsible for the polarity-ultrasensitivity due to the excited state intramolecular charge transfer (ICT). By combining with cardiolipin, MCY-BF2 preferentially accumulates in mitochondria. Because the fluorescence emission wavelengths exhibit an obvious red-shift with increasing media polarity, the fluorescence intensity ratio at two different wavelengths versus the solvent dielectric constant can quantify the mitochondrial polarity. Experimental results demonstrate that the fluorescent intensity of MCY-BF2 in a non-polar solvent, dioxane, is 120 times higher than that in a polar solvent, dimethyl sulfoxide. As the first near-infrared (NIR) and most sensitive fluorescent imaging probe for polarity, MCY-BF2 can locate exclusively in mitochondria in various cells and discriminate polarity differences between normal and cancer cells. Also, the intrinsic polarity variance at different developmental stages in Caenorhabditis elegans (C. elegans) was reported here for the first time. Interestingly, the embryonic development stage has a more non-polar environment with a dielectric constant of 7.20, and in contrast the polarity at the young adult stage changes to 10.07. In addition, in vivo imaging results suggest that the tumor tissues of mice have an obviously lower polarity than that in normal tissues. Altogether, the merits of the NIR property, high sensitivity and moderate Stokes shift all greatly promote the accuracy of imaging. This probe will be a promising tool for studying biological processes and the pathological mechanism of polarity-related diseases.","author":[{"dropping-particle":"","family":"Xiao","given":"Haibin","non-dropping-particle":"","parse-names":false,"suffix":""},{"dropping-particle":"","family":"Li","given":"Ping","non-dropping-particle":"","parse-names":false,"suffix":""},{"dropping-particle":"","family":"Zhang","given":"Wei","non-dropping-particle":"","parse-names":false,"suffix":""},{"dropping-particle":"","family":"Tang","given":"Bo","non-dropping-particle":"","parse-names":false,"suffix":""}],"container-title":"Chemical Science","id":"ITEM-1","issue":"2","issued":{"date-parts":[["2016"]]},"page":"1588-1593","publisher":"Royal Society of Chemistry","title":"An ultrasensitive near-infrared ratiometric fluorescent probe for imaging mitochondrial polarity in live cells and in vivo","type":"article-journal","volume":"7"},"uris":["http://www.mendeley.com/documents/?uuid=2ff547b2-9eaf-478d-a344-d0354e593fd9"]},{"id":"ITEM-2","itemData":{"DOI":"10.1002/chem.201800915","ISSN":"15213765","PMID":"29575108","abstract":"With different polarity responses, coumarin and 4,4-difluoro-4-bora-3a,4a-diaza-s-indacene (BODIPY) were hybridised to construct polarity fluorescent sensors, CBDP and iso-CBDP, to overcome the disadvantages of solvatochromic sensors in ratiometric polarity sensing. Only CBDP displayed an emission ratio (ICou/IBDP, coumarin to BODIPY emissions) that increased with an exponential dependence on medium relative permittivity over a wide polarity range (ϵr&lt;57.9). This sensing ability of CBDP was not affected by medium pH; viscosity; and most intracellular species, especially reactive oxygen, nitrogen, and sulfur species. Apart from local cytoplasmic polarity quantification through lambda imaging, CBDP enables real-time ratiometric imaging for intracellular polarity oscillation induced by oxidative stimulation. Ratiometric polarity flow cytometry was developed, for the first time, with CBDP, which demonstrated that a high concentration H2O2 induced cytoplasmic polarity enhancement, whereas pre-incubation with N-acetyl-l-cysteine inhibited this effect.","author":[{"dropping-particle":"","family":"Bai","given":"Yang","non-dropping-particle":"","parse-names":false,"suffix":""},{"dropping-particle":"","family":"Shi","given":"Xiangchao","non-dropping-particle":"","parse-names":false,"suffix":""},{"dropping-particle":"","family":"Chen","given":"Yuncong","non-dropping-particle":"","parse-names":false,"suffix":""},{"dropping-particle":"","family":"Zhu","given":"Chengcheng","non-dropping-particle":"","parse-names":false,"suffix":""},{"dropping-particle":"","family":"Jiao","given":"Yang","non-dropping-particle":"","parse-names":false,"suffix":""},{"dropping-particle":"","family":"Han","given":"Zhong","non-dropping-particle":"","parse-names":false,"suffix":""},{"dropping-particle":"","family":"He","given":"Weijiang","non-dropping-particle":"","parse-names":false,"suffix":""},{"dropping-particle":"","family":"Guo","given":"Zijian","non-dropping-particle":"","parse-names":false,"suffix":""}],"container-title":"Chemistry - A European Journal","id":"ITEM-2","issue":"29","issued":{"date-parts":[["2018"]]},"page":"7513-7524","title":"Coumarin/BODIPY Hybridisation for Ratiometric Sensing of Intracellular Polarity Oscillation","type":"article-journal","volume":"24"},"uris":["http://www.mendeley.com/documents/?uuid=02830989-9609-4805-8c5d-065136e869ff"]},{"id":"ITEM-3","itemData":{"DOI":"10.1039/c4cc04915b","ISSN":"1364548X","PMID":"25140835","abstract":"We herein report a fluorescent bimodal probe (1) capable of determining ER viscosity and polarity changes using FLIM and fluorescence ratiometry, respectively; during ER stress caused by tunicamycin, the viscosity was increased from ca. 129.5 to 182.0 cP and the polarity of the ER (dielectric constant, ε) enhanced from 18.5 to 21.1. © 2014 The Partner Organisations.","author":[{"dropping-particle":"","family":"Yang","given":"Zhigang","non-dropping-particle":"","parse-names":false,"suffix":""},{"dropping-particle":"","family":"He","given":"Yanxia","non-dropping-particle":"","parse-names":false,"suffix":""},{"dropping-particle":"","family":"Lee","given":"Jae Hong","non-dropping-particle":"","parse-names":false,"suffix":""},{"dropping-particle":"","family":"Chae","given":"Weon Sik","non-dropping-particle":"","parse-names":false,"suffix":""},{"dropping-particle":"","family":"Ren","given":"Wen Xiu","non-dropping-particle":"","parse-names":false,"suffix":""},{"dropping-particle":"","family":"Lee","given":"Joung Hae","non-dropping-particle":"","parse-names":false,"suffix":""},{"dropping-particle":"","family":"Kang","given":"Chulhun","non-dropping-particle":"","parse-names":false,"suffix":""},{"dropping-particle":"","family":"Kim","given":"Jong Seung","non-dropping-particle":"","parse-names":false,"suffix":""}],"container-title":"Chemical Communications","id":"ITEM-3","issue":"79","issued":{"date-parts":[["2014"]]},"page":"11672-11675","publisher":"Royal Society of Chemistry","title":"A Nile Red/BODIPY-based bimodal probe sensitive to changes in the micropolarity and microviscosity of the endoplasmic reticulum","type":"article-journal","volume":"50"},"uris":["http://www.mendeley.com/documents/?uuid=daa339e0-54fb-4496-a913-6ac388f428b4"]}],"mendeley":{"formattedCitation":"&lt;sup&gt;60,76,77&lt;/sup&gt;","plainTextFormattedCitation":"60,76,77","previouslyFormattedCitation":"&lt;sup&gt;60,76,77&lt;/sup&gt;"},"properties":{"noteIndex":0},"schema":"https://github.com/citation-style-language/schema/raw/master/csl-citation.json"}</w:instrText>
      </w:r>
      <w:r w:rsidRPr="00763687">
        <w:fldChar w:fldCharType="separate"/>
      </w:r>
      <w:r w:rsidR="00976A58" w:rsidRPr="00976A58">
        <w:rPr>
          <w:noProof/>
          <w:vertAlign w:val="superscript"/>
        </w:rPr>
        <w:t>60,76,77</w:t>
      </w:r>
      <w:r w:rsidRPr="00763687">
        <w:fldChar w:fldCharType="end"/>
      </w:r>
      <w:r w:rsidRPr="00763687">
        <w:t xml:space="preserve"> For comparison purposes, the value corresponding to the untreated “dry” </w:t>
      </w:r>
      <w:r w:rsidRPr="00763687">
        <w:rPr>
          <w:b/>
        </w:rPr>
        <w:t>NR</w:t>
      </w:r>
      <w:r w:rsidRPr="00763687">
        <w:rPr>
          <w:b/>
          <w:vertAlign w:val="subscript"/>
        </w:rPr>
        <w:t>0,17</w:t>
      </w:r>
      <w:r w:rsidRPr="00763687">
        <w:rPr>
          <w:b/>
        </w:rPr>
        <w:t>-CONs@pHEMA</w:t>
      </w:r>
      <w:r w:rsidRPr="00763687">
        <w:rPr>
          <w:lang w:val="en-US"/>
        </w:rPr>
        <w:t xml:space="preserve"> film has </w:t>
      </w:r>
      <w:r w:rsidR="009D5F1E">
        <w:rPr>
          <w:lang w:val="en-US"/>
        </w:rPr>
        <w:t>also been</w:t>
      </w:r>
      <w:r w:rsidRPr="00763687">
        <w:rPr>
          <w:lang w:val="en-US"/>
        </w:rPr>
        <w:t xml:space="preserve"> included in the graph, using for this point the water content measured by TGA analysis. Obviously, this value does not follow the same fitting curve, since in this case</w:t>
      </w:r>
      <w:r w:rsidR="009D5F1E">
        <w:rPr>
          <w:lang w:val="en-US"/>
        </w:rPr>
        <w:t>,</w:t>
      </w:r>
      <w:r w:rsidRPr="00763687">
        <w:rPr>
          <w:lang w:val="en-US"/>
        </w:rPr>
        <w:t xml:space="preserve"> the chromophores are located in a different chemical environment, surrounded basically by </w:t>
      </w:r>
      <w:proofErr w:type="gramStart"/>
      <w:r w:rsidRPr="00763687">
        <w:rPr>
          <w:lang w:val="en-US"/>
        </w:rPr>
        <w:t>poly(</w:t>
      </w:r>
      <w:proofErr w:type="gramEnd"/>
      <w:r w:rsidRPr="00763687">
        <w:rPr>
          <w:lang w:val="en-US"/>
        </w:rPr>
        <w:t>2-hydroxyethyl methacrylate) chains. Nevertheless, the I</w:t>
      </w:r>
      <w:r w:rsidRPr="00763687">
        <w:rPr>
          <w:vertAlign w:val="subscript"/>
          <w:lang w:val="en-US"/>
        </w:rPr>
        <w:t>NR</w:t>
      </w:r>
      <w:r w:rsidRPr="00763687">
        <w:rPr>
          <w:lang w:val="en-US"/>
        </w:rPr>
        <w:t>/I</w:t>
      </w:r>
      <w:r w:rsidRPr="00763687">
        <w:rPr>
          <w:vertAlign w:val="subscript"/>
          <w:lang w:val="en-US"/>
        </w:rPr>
        <w:t>COF</w:t>
      </w:r>
      <w:r w:rsidRPr="00763687">
        <w:rPr>
          <w:lang w:val="en-US"/>
        </w:rPr>
        <w:t xml:space="preserve"> value for this sample indicates that the chromophores are experiencing a more polar environment than the composite swollen with pure THF. Similar </w:t>
      </w:r>
      <w:r w:rsidRPr="00763687">
        <w:rPr>
          <w:lang w:val="en-US"/>
        </w:rPr>
        <w:t xml:space="preserve">exponential trends were observed in the plots corresponding to the maximum wavelength of emission for Nile Red and </w:t>
      </w:r>
      <w:r w:rsidR="002C59F5">
        <w:rPr>
          <w:lang w:val="en-US"/>
        </w:rPr>
        <w:t xml:space="preserve">COF </w:t>
      </w:r>
      <w:r w:rsidR="00B91653">
        <w:t>network</w:t>
      </w:r>
      <w:r w:rsidRPr="00763687">
        <w:t xml:space="preserve"> as a function of the water content (</w:t>
      </w:r>
      <w:r w:rsidR="00BB3792">
        <w:t>Fig.</w:t>
      </w:r>
      <w:r w:rsidRPr="00763687">
        <w:t xml:space="preserve"> S</w:t>
      </w:r>
      <w:r w:rsidR="0035092F">
        <w:t>3</w:t>
      </w:r>
      <w:r w:rsidRPr="00763687">
        <w:t>6).</w:t>
      </w:r>
    </w:p>
    <w:p w14:paraId="3D4D7FE6" w14:textId="77777777" w:rsidR="00A23D81" w:rsidRDefault="00A23D81" w:rsidP="00763687">
      <w:pPr>
        <w:pStyle w:val="RSCB02ArticleText"/>
      </w:pPr>
    </w:p>
    <w:p w14:paraId="58C2E018" w14:textId="0C3D5E74" w:rsidR="000F4D0A" w:rsidRDefault="00882B9B" w:rsidP="000F4D0A">
      <w:pPr>
        <w:pStyle w:val="RSCI02FigureSchemeChartwithtopbar"/>
        <w:rPr>
          <w:bCs/>
        </w:rPr>
      </w:pPr>
      <w:r>
        <w:rPr>
          <w:noProof/>
        </w:rPr>
        <w:drawing>
          <wp:inline distT="0" distB="0" distL="0" distR="0" wp14:anchorId="0475B036" wp14:editId="1C5FA46A">
            <wp:extent cx="3025875" cy="4319176"/>
            <wp:effectExtent l="0" t="0" r="3175" b="5715"/>
            <wp:docPr id="16" name="Imagen 16" descr="Interfaz de usuario gráfic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n 16" descr="Interfaz de usuario gráfica&#10;&#10;Descripción generada automáticamente con confianza media"/>
                    <pic:cNvPicPr>
                      <a:picLocks noChangeAspect="1" noChangeArrowheads="1"/>
                    </pic:cNvPicPr>
                  </pic:nvPicPr>
                  <pic:blipFill rotWithShape="1">
                    <a:blip r:embed="rId24">
                      <a:extLst>
                        <a:ext uri="{28A0092B-C50C-407E-A947-70E740481C1C}">
                          <a14:useLocalDpi xmlns:a14="http://schemas.microsoft.com/office/drawing/2010/main" val="0"/>
                        </a:ext>
                      </a:extLst>
                    </a:blip>
                    <a:srcRect l="1140" t="2313" r="3332"/>
                    <a:stretch/>
                  </pic:blipFill>
                  <pic:spPr bwMode="auto">
                    <a:xfrm>
                      <a:off x="0" y="0"/>
                      <a:ext cx="3025875" cy="4319176"/>
                    </a:xfrm>
                    <a:prstGeom prst="rect">
                      <a:avLst/>
                    </a:prstGeom>
                    <a:noFill/>
                    <a:ln>
                      <a:noFill/>
                    </a:ln>
                    <a:extLst>
                      <a:ext uri="{53640926-AAD7-44D8-BBD7-CCE9431645EC}">
                        <a14:shadowObscured xmlns:a14="http://schemas.microsoft.com/office/drawing/2010/main"/>
                      </a:ext>
                    </a:extLst>
                  </pic:spPr>
                </pic:pic>
              </a:graphicData>
            </a:graphic>
          </wp:inline>
        </w:drawing>
      </w:r>
    </w:p>
    <w:p w14:paraId="471BCCA3" w14:textId="0A8B5F4F" w:rsidR="000F4D0A" w:rsidRDefault="000F4D0A" w:rsidP="00167EAA">
      <w:pPr>
        <w:pStyle w:val="RSCI05CaptiontoFigureSchemeChartwithbottombar"/>
      </w:pPr>
      <w:r w:rsidRPr="00E54E1F">
        <w:rPr>
          <w:b/>
        </w:rPr>
        <w:t>Fig</w:t>
      </w:r>
      <w:r w:rsidR="00AF7D9F">
        <w:rPr>
          <w:b/>
        </w:rPr>
        <w:t>.</w:t>
      </w:r>
      <w:r w:rsidRPr="00E54E1F">
        <w:rPr>
          <w:b/>
        </w:rPr>
        <w:t xml:space="preserve"> </w:t>
      </w:r>
      <w:r w:rsidR="00AF7D9F">
        <w:rPr>
          <w:b/>
        </w:rPr>
        <w:t>5</w:t>
      </w:r>
      <w:r>
        <w:t xml:space="preserve"> (a) </w:t>
      </w:r>
      <w:r w:rsidR="00D37ABA">
        <w:t>Photography</w:t>
      </w:r>
      <w:r>
        <w:t xml:space="preserve"> of the </w:t>
      </w:r>
      <w:r>
        <w:rPr>
          <w:b/>
        </w:rPr>
        <w:t>NR</w:t>
      </w:r>
      <w:r>
        <w:rPr>
          <w:b/>
          <w:vertAlign w:val="subscript"/>
        </w:rPr>
        <w:t>0,17</w:t>
      </w:r>
      <w:r>
        <w:rPr>
          <w:b/>
        </w:rPr>
        <w:t>-CONs@pHEMA</w:t>
      </w:r>
      <w:r>
        <w:rPr>
          <w:lang w:val="en-US"/>
        </w:rPr>
        <w:t xml:space="preserve"> 3D-printed cube. (b) Fluorescence spectrum on the surface of the cube (</w:t>
      </w:r>
      <w:proofErr w:type="spellStart"/>
      <w:r>
        <w:rPr>
          <w:lang w:val="en-US"/>
        </w:rPr>
        <w:t>λ</w:t>
      </w:r>
      <w:r w:rsidRPr="002E5CCA">
        <w:rPr>
          <w:vertAlign w:val="subscript"/>
          <w:lang w:val="en-US"/>
        </w:rPr>
        <w:t>exc</w:t>
      </w:r>
      <w:proofErr w:type="spellEnd"/>
      <w:r w:rsidRPr="002E5CCA">
        <w:rPr>
          <w:vertAlign w:val="subscript"/>
          <w:lang w:val="en-US"/>
        </w:rPr>
        <w:t xml:space="preserve"> </w:t>
      </w:r>
      <w:r>
        <w:rPr>
          <w:lang w:val="en-US"/>
        </w:rPr>
        <w:t>= 532 nm). Inset: fluorescence of the cube under 366 nm UV lamp.</w:t>
      </w:r>
      <w:r w:rsidR="00D37ABA">
        <w:rPr>
          <w:lang w:val="en-US"/>
        </w:rPr>
        <w:t xml:space="preserve"> </w:t>
      </w:r>
    </w:p>
    <w:p w14:paraId="5A4AE287" w14:textId="26F2B666" w:rsidR="00401372" w:rsidRPr="00E4311A" w:rsidRDefault="00401372" w:rsidP="00E4311A">
      <w:pPr>
        <w:pStyle w:val="RSCB02ArticleText"/>
        <w:rPr>
          <w:bCs/>
        </w:rPr>
      </w:pPr>
      <w:r w:rsidRPr="00763687">
        <w:rPr>
          <w:bCs/>
        </w:rPr>
        <w:t xml:space="preserve">In order to </w:t>
      </w:r>
      <w:bookmarkStart w:id="0" w:name="_Hlk86239111"/>
      <w:r w:rsidRPr="00763687">
        <w:rPr>
          <w:bCs/>
        </w:rPr>
        <w:t xml:space="preserve">demonstrate the easy processability of the </w:t>
      </w:r>
      <w:r w:rsidRPr="00763687">
        <w:rPr>
          <w:b/>
        </w:rPr>
        <w:t>NR</w:t>
      </w:r>
      <w:r w:rsidRPr="00763687">
        <w:rPr>
          <w:b/>
          <w:vertAlign w:val="subscript"/>
        </w:rPr>
        <w:t>0,17</w:t>
      </w:r>
      <w:r w:rsidRPr="00763687">
        <w:rPr>
          <w:b/>
        </w:rPr>
        <w:t>-CONs@pHEMA</w:t>
      </w:r>
      <w:r w:rsidRPr="00763687">
        <w:rPr>
          <w:lang w:val="en-US"/>
        </w:rPr>
        <w:t xml:space="preserve"> composites in different formats, </w:t>
      </w:r>
      <w:r w:rsidR="0023415B">
        <w:rPr>
          <w:lang w:val="en-US"/>
        </w:rPr>
        <w:t>LCD</w:t>
      </w:r>
      <w:r w:rsidRPr="00763687">
        <w:rPr>
          <w:lang w:val="en-US"/>
        </w:rPr>
        <w:t>-3D printing</w:t>
      </w:r>
      <w:r w:rsidR="00064DD4">
        <w:rPr>
          <w:lang w:val="en-US"/>
        </w:rPr>
        <w:fldChar w:fldCharType="begin" w:fldLock="1"/>
      </w:r>
      <w:r w:rsidR="00CC6D16">
        <w:rPr>
          <w:lang w:val="en-US"/>
        </w:rPr>
        <w:instrText>ADDIN CSL_CITATION {"citationItems":[{"id":"ITEM-1","itemData":{"DOI":"10.1002/masy.202000254","ISSN":"15213900","abstract":"The aim of this study is to prepare and characterize a novel hybrid resin/ceramic blend printable by liquid crystal display (LCD) 3D printing. Speed curing testing on the hybrid blend is carried out to determine the correct printing settings. The printed parts are studied by scanning electron microscopy (SEM) and by thermomechanical analysis. The results show that the hybrid blend is processable when using proper printing settings and with the help of an automated wipe system during printing.","author":[{"dropping-particle":"","family":"Saitta","given":"Lorena","non-dropping-particle":"","parse-names":false,"suffix":""},{"dropping-particle":"","family":"Tosto","given":"Claudio","non-dropping-particle":"","parse-names":false,"suffix":""},{"dropping-particle":"","family":"Pergolizzi","given":"Eugenio","non-dropping-particle":"","parse-names":false,"suffix":""},{"dropping-particle":"","family":"Patti","given":"Antonella","non-dropping-particle":"","parse-names":false,"suffix":""},{"dropping-particle":"","family":"Cicala","given":"Gianluca","non-dropping-particle":"","parse-names":false,"suffix":""}],"container-title":"Macromolecular Symposia","id":"ITEM-1","issue":"1","issued":{"date-parts":[["2021"]]},"page":"1-3","title":"Liquid Crystal Display (LCD) Printing: A Novel System for Polymer Hybrids Printing","type":"article-journal","volume":"395"},"uris":["http://www.mendeley.com/documents/?uuid=352fe195-b05c-45e8-8df2-6eda3078d63e"]},{"id":"ITEM-2","itemData":{"author":[{"dropping-particle":"","family":"Shan","given":"Junyang","non-dropping-particle":"","parse-names":false,"suffix":""},{"dropping-particle":"","family":"Yang","given":"Zijun","non-dropping-particle":"","parse-names":false,"suffix":""},{"dropping-particle":"","family":"Chen","given":"Guoguang","non-dropping-particle":"","parse-names":false,"suffix":""},{"dropping-particle":"","family":"Hu","given":"Yang","non-dropping-particle":"","parse-names":false,"suffix":""},{"dropping-particle":"","family":"Luo","given":"Ying","non-dropping-particle":"","parse-names":false,"suffix":""},{"dropping-particle":"","family":"Dong","given":"Xianming","non-dropping-particle":"","parse-names":false,"suffix":""},{"dropping-particle":"","family":"Zheng","given":"Wenxu","non-dropping-particle":"","parse-names":false,"suffix":""},{"dropping-particle":"","family":"Zhou","given":"Wuyi","non-dropping-particle":"","parse-names":false,"suffix":""}],"container-title":"Polymers","id":"ITEM-2","issued":{"date-parts":[["2020"]]},"page":"1346","title":"Design and Synthesis of Free-Radical / Cationic Photosensitive Resin Applied for 3D Printer with Liquid Crystal Display (LCD) Irradiation","type":"article-journal","volume":"12"},"uris":["http://www.mendeley.com/documents/?uuid=b30bdeaf-d47d-4a56-92d3-875b2cb42783"]}],"mendeley":{"formattedCitation":"&lt;sup&gt;78,79&lt;/sup&gt;","plainTextFormattedCitation":"78,79","previouslyFormattedCitation":"&lt;sup&gt;78,79&lt;/sup&gt;"},"properties":{"noteIndex":0},"schema":"https://github.com/citation-style-language/schema/raw/master/csl-citation.json"}</w:instrText>
      </w:r>
      <w:r w:rsidR="00064DD4">
        <w:rPr>
          <w:lang w:val="en-US"/>
        </w:rPr>
        <w:fldChar w:fldCharType="separate"/>
      </w:r>
      <w:r w:rsidR="001C3D87" w:rsidRPr="001C3D87">
        <w:rPr>
          <w:noProof/>
          <w:vertAlign w:val="superscript"/>
          <w:lang w:val="en-US"/>
        </w:rPr>
        <w:t>78,79</w:t>
      </w:r>
      <w:r w:rsidR="00064DD4">
        <w:rPr>
          <w:lang w:val="en-US"/>
        </w:rPr>
        <w:fldChar w:fldCharType="end"/>
      </w:r>
      <w:r w:rsidRPr="00763687">
        <w:rPr>
          <w:lang w:val="en-US"/>
        </w:rPr>
        <w:t xml:space="preserve"> was used to prepare </w:t>
      </w:r>
      <w:r w:rsidRPr="00763687">
        <w:rPr>
          <w:b/>
        </w:rPr>
        <w:t>NR</w:t>
      </w:r>
      <w:r w:rsidRPr="00763687">
        <w:rPr>
          <w:b/>
          <w:vertAlign w:val="subscript"/>
        </w:rPr>
        <w:t>0,17</w:t>
      </w:r>
      <w:r w:rsidRPr="00763687">
        <w:rPr>
          <w:b/>
        </w:rPr>
        <w:t>-CONs@pHEMA</w:t>
      </w:r>
      <w:r w:rsidRPr="00763687">
        <w:rPr>
          <w:lang w:val="en-US"/>
        </w:rPr>
        <w:t xml:space="preserve"> cubes of 1 cm (width x length x height) dimensions</w:t>
      </w:r>
      <w:bookmarkEnd w:id="0"/>
      <w:r w:rsidRPr="00763687">
        <w:rPr>
          <w:lang w:val="en-US"/>
        </w:rPr>
        <w:t>. The monomeric mixture and exfoliation procedure were similar to those described above for the preparation of the polymeric films, although in this case</w:t>
      </w:r>
      <w:r>
        <w:rPr>
          <w:lang w:val="en-US"/>
        </w:rPr>
        <w:t>,</w:t>
      </w:r>
      <w:r w:rsidRPr="00763687">
        <w:rPr>
          <w:lang w:val="en-US"/>
        </w:rPr>
        <w:t xml:space="preserve"> the amount of cross-linker was increased to </w:t>
      </w:r>
      <w:r w:rsidRPr="00763687">
        <w:rPr>
          <w:bCs/>
        </w:rPr>
        <w:t xml:space="preserve">10 wt. % to improve the mechanical properties of the composite and AIBN was replaced by the </w:t>
      </w:r>
      <w:proofErr w:type="spellStart"/>
      <w:r w:rsidRPr="00763687">
        <w:rPr>
          <w:bCs/>
        </w:rPr>
        <w:t>photoinitiator</w:t>
      </w:r>
      <w:proofErr w:type="spellEnd"/>
      <w:r w:rsidRPr="00763687">
        <w:rPr>
          <w:bCs/>
        </w:rPr>
        <w:t xml:space="preserve"> diphenyl(2,4,6-trimethylbenzoyl)phosphine oxide (TPO).</w:t>
      </w:r>
      <w:r w:rsidRPr="00763687">
        <w:rPr>
          <w:bCs/>
        </w:rPr>
        <w:fldChar w:fldCharType="begin" w:fldLock="1"/>
      </w:r>
      <w:r w:rsidR="00F32065">
        <w:rPr>
          <w:bCs/>
        </w:rPr>
        <w:instrText>ADDIN CSL_CITATION {"citationItems":[{"id":"ITEM-1","itemData":{"DOI":"10.1021/la801342f","ISSN":"07437463","abstract":"Different polymeric materials have been prepared from the organogels formed by a polymerizable methacrylic mixture (methyl methacrylate/ethylene glycol dimethacrylate, 1:1, w/w) and the macrocyclic pseudopeptide 1. The use of (2,4,6-trimethylbenzoyl)diphenylphosphine oxide as a very efficient radical initiator allows polymeric materials in which the structure of the fibrils formed by self-assembly of the organogelator 1 is truly preserved to be obtained. Removal of the pseudopeptidic molecule provides materials with a porous structure reflecting that of the original self-assembled fibrils. The use of fluorescent probes such as rhodamine B and pyrene greatly facilitate the study of the porous structures formed and, accordingly, that of the morphology of the original fibrils. Those studies reveal the presence of a permanent porosity and the organization of the substructures as a porous network. This confirms the existence of a nucleation and growth mechanism for the generation of the fibrils, giving rise to the formation of spherulitic structures. Those spherulites are additionally linked by connections of variable size. A series of diffusion experiments allowed establishment of a direct dependence of the inner porosity of the materials on the amount of self-organizing template used for their preparation. © 2008 American Chemical Society.","author":[{"dropping-particle":"","family":"Burguete","given":"M.I.","non-dropping-particle":"","parse-names":false,"suffix":""},{"dropping-particle":"","family":"Galindo","given":"F.","non-dropping-particle":"","parse-names":false,"suffix":""},{"dropping-particle":"","family":"Gavara","given":"R.","non-dropping-particle":"","parse-names":false,"suffix":""},{"dropping-particle":"","family":"Izquierdo","given":"M.A.","non-dropping-particle":"","parse-names":false,"suffix":""},{"dropping-particle":"","family":"Lima","given":"J.C.","non-dropping-particle":"","parse-names":false,"suffix":""},{"dropping-particle":"","family":"Luis","given":"S.V.","non-dropping-particle":"","parse-names":false,"suffix":""},{"dropping-particle":"","family":"Parola","given":"A.J.","non-dropping-particle":"","parse-names":false,"suffix":""},{"dropping-particle":"","family":"Pina","given":"F.","non-dropping-particle":"","parse-names":false,"suffix":""}],"container-title":"Langmuir","id":"ITEM-1","issue":"17","issued":{"date-parts":[["2008"]]},"page":"9795-9803","title":"Use of fluorescence spectroscopy to study polymeric materials with porous structure based on imprinting by self-assembled fibrillar networks","type":"article-journal","volume":"24"},"uris":["http://www.mendeley.com/documents/?uuid=db411cd3-b6c9-3e71-9722-369a5ac37255"]},{"id":"ITEM-2","itemData":{"DOI":"10.1021/ja026099m","ISSN":"00027863","PMID":"12475337","abstract":"A series of substituted benzoyl radicals has been generated by laser flash photolysis of α-hydroxy ketones, α-amino ketones, and acyl and bis(acyl)phosphine oxides, all of which are used commercially as photoinitiators in free radical polymerizations. The benzoyl radicals have been studied by fast time-resolved infrared spectroscopy. The absolute rate constants for their reaction with n-butylacrylate, thiophenol, bromotrichloromethane and oxygen were measured in acetonitrile solution. The rate constants of benzoyl radical addition to n-butylacrylate range from 1.3 x 105 to 5.5 x 105 M-1 s-1 and are about 2 orders of magnitude lower than for the n-butylacrylate addition to the counterradicals that are produced by α-cleavage of the investigated ketones. Density functional theoretical calculations have been performed in order to rationalize the observed reactivities of the initiating radicals. Calculations of the phosphorus-centered radicals generated by photolysis of an acyl and bis(acyl)phosphine oxide suggest that P atom Mulliken spin populations are an indicator of the relative reactivities of the phosphorus-centered radicals. The α-cleavage of (2,4,6-trimethylbenzoyl)phosphine oxide was studied by picosecond pump-probe and nanosecond step-scan time-resolved infrared spectroscopy. The results support a mechanism in which the α-cleavage occurs from the triplet excited state that has a lifetime less than or equal to the singlet excited state.","author":[{"dropping-particle":"","family":"Colley","given":"Christopher S.","non-dropping-particle":"","parse-names":false,"suffix":""},{"dropping-particle":"","family":"Grills","given":"David C.","non-dropping-particle":"","parse-names":false,"suffix":""},{"dropping-particle":"","family":"Besley","given":"Nicholas A.","non-dropping-particle":"","parse-names":false,"suffix":""},{"dropping-particle":"","family":"Jockusch","given":"Steffen","non-dropping-particle":"","parse-names":false,"suffix":""},{"dropping-particle":"","family":"Matousek","given":"Pavel","non-dropping-particle":"","parse-names":false,"suffix":""},{"dropping-particle":"","family":"Parker","given":"Anthony W.","non-dropping-particle":"","parse-names":false,"suffix":""},{"dropping-particle":"","family":"Towrie","given":"Michael","non-dropping-particle":"","parse-names":false,"suffix":""},{"dropping-particle":"","family":"Turro","given":"Nicholas J.","non-dropping-particle":"","parse-names":false,"suffix":""},{"dropping-particle":"","family":"Gill","given":"Peter M.W.","non-dropping-particle":"","parse-names":false,"suffix":""},{"dropping-particle":"","family":"George","given":"Michael W.","non-dropping-particle":"","parse-names":false,"suffix":""}],"container-title":"Journal of the American Chemical Society","id":"ITEM-2","issue":"50","issued":{"date-parts":[["2002"]]},"page":"14952-14958","title":"Probing the reactivity of photoinitiators for free radical polymerization: Time-resolved infrared spectroscopic study of benzoyl radicals","type":"article-journal","volume":"124"},"uris":["http://www.mendeley.com/documents/?uuid=aa0ba1f7-58aa-45c6-8a10-e78f33a8e1bd"]},{"id":"ITEM-3","itemData":{"DOI":"10.1021/acsapm.8b00165","ISSN":"2637-6105","abstract":"The field of 3D printing is continuing its rapid development in both academic and industrial research environments. The development of 3D printing technologies has opened new implementations in rapid prototyping, tooling, dentistry, microfluidics, biomedical devices, tissue engineering, drug delivery, etc. Among different 3D printing techniques, photopolymerization-based process (such as stereolithography and digital light processing) offers flexibility over the final properties of the 3D printed materials (such as optical, chemical, and mechanical properties) using versatile polymer chemistry. The strategy behind the 3D photopolymerization is based on using monomers/oligomers in liquid state (in the presence of photoinitiators) that can be photopolymerized (via radical or cationic mechanism) upon exposure to light source of different wavelengths (depending on the photoinitiator system). An overview of recent evolutions in the field of photopolymerization-based 3D printing and highlights of novel 3D printable photopolymers is provided herein. Challenges that limit the use of conventional photopolymers (i.e., initiation under UV light) together with prospective solutions such as incorporation of photosensitive initiators with red-shifted absorptions are also discussed in detail. This review also spotlights recent progress on the use of controlled living radical photopolymerization techniques (i.e., reversible addition-fragmentation chain-transfer polymerization) in 3D printing, which will pave the way for widespread growth of new generations of 3D materials with living features and possibility for postprinting modifications.","author":[{"dropping-particle":"","family":"Bagheri","given":"Ali","non-dropping-particle":"","parse-names":false,"suffix":""},{"dropping-particle":"","family":"Jin","given":"Jianyong","non-dropping-particle":"","parse-names":false,"suffix":""}],"container-title":"ACS Applied Polymer Materials","id":"ITEM-3","issue":"4","issued":{"date-parts":[["2019"]]},"page":"593-611","title":"Photopolymerization in 3D Printing","type":"article-journal","volume":"1"},"uris":["http://www.mendeley.com/documents/?uuid=1e8342a3-1c21-4173-900b-966c6c8c085b"]}],"mendeley":{"formattedCitation":"&lt;sup&gt;31,71,80&lt;/sup&gt;","plainTextFormattedCitation":"31,71,80","previouslyFormattedCitation":"&lt;sup&gt;31,71,80&lt;/sup&gt;"},"properties":{"noteIndex":0},"schema":"https://github.com/citation-style-language/schema/raw/master/csl-citation.json"}</w:instrText>
      </w:r>
      <w:r w:rsidRPr="00763687">
        <w:rPr>
          <w:bCs/>
        </w:rPr>
        <w:fldChar w:fldCharType="separate"/>
      </w:r>
      <w:r w:rsidR="001C3D87" w:rsidRPr="001C3D87">
        <w:rPr>
          <w:bCs/>
          <w:noProof/>
          <w:vertAlign w:val="superscript"/>
        </w:rPr>
        <w:t>31,71,80</w:t>
      </w:r>
      <w:r w:rsidRPr="00763687">
        <w:fldChar w:fldCharType="end"/>
      </w:r>
      <w:r w:rsidRPr="00763687">
        <w:rPr>
          <w:bCs/>
        </w:rPr>
        <w:t xml:space="preserve"> After washing thoroughly the 3D-printed cubes with water, in order the remove the acidic medium (see Experimental Section for details), the typical pink colour from the Nile Red chromophores appeared (</w:t>
      </w:r>
      <w:r>
        <w:rPr>
          <w:bCs/>
        </w:rPr>
        <w:t>Fig.</w:t>
      </w:r>
      <w:r w:rsidRPr="00763687">
        <w:rPr>
          <w:bCs/>
        </w:rPr>
        <w:t xml:space="preserve"> </w:t>
      </w:r>
      <w:r>
        <w:rPr>
          <w:bCs/>
        </w:rPr>
        <w:t>5</w:t>
      </w:r>
      <w:r w:rsidRPr="00763687">
        <w:rPr>
          <w:bCs/>
        </w:rPr>
        <w:t xml:space="preserve">a). The 3D-printed dried cubes </w:t>
      </w:r>
      <w:r>
        <w:rPr>
          <w:bCs/>
        </w:rPr>
        <w:t>exhibit</w:t>
      </w:r>
      <w:r w:rsidRPr="00763687">
        <w:rPr>
          <w:bCs/>
        </w:rPr>
        <w:t xml:space="preserve"> the emission of Nile Red chromophores with a maximum at 628 nm, very similar to that found in the polymeric films (</w:t>
      </w:r>
      <w:r>
        <w:rPr>
          <w:bCs/>
        </w:rPr>
        <w:t>Fig.</w:t>
      </w:r>
      <w:r w:rsidRPr="00763687">
        <w:rPr>
          <w:bCs/>
        </w:rPr>
        <w:t xml:space="preserve"> </w:t>
      </w:r>
      <w:r>
        <w:rPr>
          <w:bCs/>
        </w:rPr>
        <w:t>5</w:t>
      </w:r>
      <w:r w:rsidRPr="00763687">
        <w:rPr>
          <w:bCs/>
        </w:rPr>
        <w:t xml:space="preserve">b). The </w:t>
      </w:r>
      <w:proofErr w:type="spellStart"/>
      <w:r w:rsidRPr="00763687">
        <w:rPr>
          <w:bCs/>
        </w:rPr>
        <w:t>color</w:t>
      </w:r>
      <w:proofErr w:type="spellEnd"/>
      <w:r w:rsidRPr="00763687">
        <w:rPr>
          <w:bCs/>
        </w:rPr>
        <w:t xml:space="preserve"> and emission of the cube can be reversibly modified by treating the 3D-composite with water at pH = 1, due to the protonation of the Nile Red units. </w:t>
      </w:r>
      <w:r w:rsidR="002C59F5">
        <w:rPr>
          <w:bCs/>
        </w:rPr>
        <w:t>Specifically</w:t>
      </w:r>
      <w:r w:rsidRPr="00763687">
        <w:rPr>
          <w:bCs/>
        </w:rPr>
        <w:t xml:space="preserve">, the </w:t>
      </w:r>
      <w:proofErr w:type="spellStart"/>
      <w:r w:rsidRPr="00763687">
        <w:rPr>
          <w:bCs/>
        </w:rPr>
        <w:t>color</w:t>
      </w:r>
      <w:proofErr w:type="spellEnd"/>
      <w:r w:rsidRPr="00763687">
        <w:rPr>
          <w:bCs/>
        </w:rPr>
        <w:t xml:space="preserve"> changes to blue</w:t>
      </w:r>
      <w:r>
        <w:rPr>
          <w:bCs/>
        </w:rPr>
        <w:t xml:space="preserve"> in an acidic medium</w:t>
      </w:r>
      <w:r w:rsidRPr="00763687">
        <w:rPr>
          <w:bCs/>
        </w:rPr>
        <w:t xml:space="preserve">, whereas the </w:t>
      </w:r>
      <w:r w:rsidRPr="00763687">
        <w:rPr>
          <w:bCs/>
        </w:rPr>
        <w:lastRenderedPageBreak/>
        <w:t>emission observed under a 366 nm UV lamp is near white due to the combination of emission coming from the COF framework and remaining unprotonated Nile Red units</w:t>
      </w:r>
      <w:r w:rsidRPr="00763687">
        <w:t xml:space="preserve"> (</w:t>
      </w:r>
      <w:r>
        <w:t>Fig.</w:t>
      </w:r>
      <w:r w:rsidRPr="00763687">
        <w:t xml:space="preserve"> S</w:t>
      </w:r>
      <w:r>
        <w:t>3</w:t>
      </w:r>
      <w:r w:rsidRPr="00763687">
        <w:t>7).</w:t>
      </w:r>
      <w:r w:rsidRPr="00763687">
        <w:rPr>
          <w:bCs/>
        </w:rPr>
        <w:t xml:space="preserve"> </w:t>
      </w:r>
    </w:p>
    <w:p w14:paraId="4F546016" w14:textId="4FF3E2A6" w:rsidR="009D0B83" w:rsidRDefault="009D0B83" w:rsidP="00DA581C">
      <w:pPr>
        <w:pStyle w:val="RSCB04AHeadingSection"/>
      </w:pPr>
      <w:r w:rsidRPr="00222312">
        <w:t>Experimental</w:t>
      </w:r>
    </w:p>
    <w:p w14:paraId="72F70621" w14:textId="372E1317" w:rsidR="009D0B83" w:rsidRPr="0061775F" w:rsidRDefault="005A5CF3" w:rsidP="001B2F7A">
      <w:pPr>
        <w:pStyle w:val="RSCB06BHeadingSub-Section"/>
        <w:jc w:val="both"/>
        <w:rPr>
          <w:rStyle w:val="RSCB02ArticleTextChar"/>
          <w:b w:val="0"/>
          <w:bCs/>
        </w:rPr>
      </w:pPr>
      <w:r>
        <w:t xml:space="preserve">Synthesis </w:t>
      </w:r>
      <w:r w:rsidR="003C58BA">
        <w:t xml:space="preserve">of </w:t>
      </w:r>
      <w:r w:rsidRPr="005A5CF3">
        <w:t>NR0.17-COF</w:t>
      </w:r>
      <w:r w:rsidR="003C58BA">
        <w:t xml:space="preserve">. </w:t>
      </w:r>
      <w:r w:rsidR="00764CF4" w:rsidRPr="00D46EDF">
        <w:rPr>
          <w:rStyle w:val="RSCB02ArticleTextChar"/>
          <w:b w:val="0"/>
          <w:bCs/>
        </w:rPr>
        <w:t>Dry</w:t>
      </w:r>
      <w:r w:rsidR="00764CF4" w:rsidRPr="001B2F7A">
        <w:rPr>
          <w:rStyle w:val="RSCB02ArticleTextChar"/>
          <w:b w:val="0"/>
          <w:bCs/>
        </w:rPr>
        <w:t xml:space="preserve"> </w:t>
      </w:r>
      <w:r w:rsidR="00764CF4" w:rsidRPr="00D458FD">
        <w:rPr>
          <w:rStyle w:val="RSCB02ArticleTextChar"/>
        </w:rPr>
        <w:t>Alkyne</w:t>
      </w:r>
      <w:r w:rsidR="00764CF4" w:rsidRPr="00D46EDF">
        <w:rPr>
          <w:rStyle w:val="RSCB02ArticleTextChar"/>
          <w:vertAlign w:val="subscript"/>
        </w:rPr>
        <w:t>0</w:t>
      </w:r>
      <w:r w:rsidR="001B2F7A" w:rsidRPr="00D46EDF">
        <w:rPr>
          <w:rStyle w:val="RSCB02ArticleTextChar"/>
          <w:vertAlign w:val="subscript"/>
        </w:rPr>
        <w:t>.</w:t>
      </w:r>
      <w:r w:rsidR="00764CF4" w:rsidRPr="00D46EDF">
        <w:rPr>
          <w:rStyle w:val="RSCB02ArticleTextChar"/>
          <w:vertAlign w:val="subscript"/>
        </w:rPr>
        <w:t>17</w:t>
      </w:r>
      <w:r w:rsidR="00764CF4" w:rsidRPr="00D458FD">
        <w:rPr>
          <w:rStyle w:val="RSCB02ArticleTextChar"/>
        </w:rPr>
        <w:t>-COF</w:t>
      </w:r>
      <w:r w:rsidR="00764CF4" w:rsidRPr="001B2F7A">
        <w:rPr>
          <w:rStyle w:val="RSCB02ArticleTextChar"/>
          <w:b w:val="0"/>
          <w:bCs/>
        </w:rPr>
        <w:t xml:space="preserve"> (109 mg) and </w:t>
      </w:r>
      <w:proofErr w:type="spellStart"/>
      <w:r w:rsidR="00764CF4" w:rsidRPr="001B2F7A">
        <w:rPr>
          <w:rStyle w:val="RSCB02ArticleTextChar"/>
          <w:b w:val="0"/>
          <w:bCs/>
        </w:rPr>
        <w:t>CuI</w:t>
      </w:r>
      <w:proofErr w:type="spellEnd"/>
      <w:r w:rsidR="00764CF4" w:rsidRPr="001B2F7A">
        <w:rPr>
          <w:rStyle w:val="RSCB02ArticleTextChar"/>
          <w:b w:val="0"/>
          <w:bCs/>
        </w:rPr>
        <w:t xml:space="preserve"> (8.78 mg, 0,04mmol) were introduced in a 50 mL round bottom two-neck flask under Argon atmosphere and kept under agitation</w:t>
      </w:r>
      <w:r w:rsidR="001B2F7A">
        <w:rPr>
          <w:rStyle w:val="RSCB02ArticleTextChar"/>
          <w:b w:val="0"/>
          <w:bCs/>
        </w:rPr>
        <w:t xml:space="preserve"> for</w:t>
      </w:r>
      <w:r w:rsidR="00764CF4" w:rsidRPr="001B2F7A">
        <w:rPr>
          <w:rStyle w:val="RSCB02ArticleTextChar"/>
          <w:b w:val="0"/>
          <w:bCs/>
        </w:rPr>
        <w:t xml:space="preserve"> 30 min. NR-N</w:t>
      </w:r>
      <w:r w:rsidR="00764CF4" w:rsidRPr="001B2F7A">
        <w:rPr>
          <w:rStyle w:val="RSCB02ArticleTextChar"/>
          <w:b w:val="0"/>
          <w:bCs/>
          <w:vertAlign w:val="subscript"/>
        </w:rPr>
        <w:t>3</w:t>
      </w:r>
      <w:r w:rsidR="00764CF4" w:rsidRPr="001B2F7A">
        <w:rPr>
          <w:rStyle w:val="RSCB02ArticleTextChar"/>
          <w:b w:val="0"/>
          <w:bCs/>
        </w:rPr>
        <w:t xml:space="preserve"> (37</w:t>
      </w:r>
      <w:r w:rsidR="001B2F7A">
        <w:rPr>
          <w:rStyle w:val="RSCB02ArticleTextChar"/>
          <w:b w:val="0"/>
          <w:bCs/>
        </w:rPr>
        <w:t>.</w:t>
      </w:r>
      <w:r w:rsidR="00764CF4" w:rsidRPr="001B2F7A">
        <w:rPr>
          <w:rStyle w:val="RSCB02ArticleTextChar"/>
          <w:b w:val="0"/>
          <w:bCs/>
        </w:rPr>
        <w:t>78 mg, 93</w:t>
      </w:r>
      <w:r w:rsidR="001B2F7A">
        <w:rPr>
          <w:rStyle w:val="RSCB02ArticleTextChar"/>
          <w:b w:val="0"/>
          <w:bCs/>
        </w:rPr>
        <w:t>.</w:t>
      </w:r>
      <w:r w:rsidR="00764CF4" w:rsidRPr="001B2F7A">
        <w:rPr>
          <w:rStyle w:val="RSCB02ArticleTextChar"/>
          <w:b w:val="0"/>
          <w:bCs/>
        </w:rPr>
        <w:t xml:space="preserve">6 mmol) was dissolved in dry DMF under </w:t>
      </w:r>
      <w:r w:rsidR="00F756BC">
        <w:rPr>
          <w:rStyle w:val="RSCB02ArticleTextChar"/>
          <w:b w:val="0"/>
          <w:bCs/>
        </w:rPr>
        <w:t>a</w:t>
      </w:r>
      <w:r w:rsidR="00764CF4" w:rsidRPr="001B2F7A">
        <w:rPr>
          <w:rStyle w:val="RSCB02ArticleTextChar"/>
          <w:b w:val="0"/>
          <w:bCs/>
        </w:rPr>
        <w:t>r</w:t>
      </w:r>
      <w:r w:rsidR="00506980">
        <w:rPr>
          <w:rStyle w:val="RSCB02ArticleTextChar"/>
          <w:b w:val="0"/>
          <w:bCs/>
        </w:rPr>
        <w:t>gon</w:t>
      </w:r>
      <w:r w:rsidR="00764CF4" w:rsidRPr="001B2F7A">
        <w:rPr>
          <w:rStyle w:val="RSCB02ArticleTextChar"/>
          <w:b w:val="0"/>
          <w:bCs/>
        </w:rPr>
        <w:t xml:space="preserve"> atmosphere (5</w:t>
      </w:r>
      <w:r w:rsidR="00506980">
        <w:rPr>
          <w:rStyle w:val="RSCB02ArticleTextChar"/>
          <w:b w:val="0"/>
          <w:bCs/>
        </w:rPr>
        <w:t>.</w:t>
      </w:r>
      <w:r w:rsidR="00764CF4" w:rsidRPr="001B2F7A">
        <w:rPr>
          <w:rStyle w:val="RSCB02ArticleTextChar"/>
          <w:b w:val="0"/>
          <w:bCs/>
        </w:rPr>
        <w:t>2 mL) and added to the reaction vessel. Finally, 26</w:t>
      </w:r>
      <w:r w:rsidR="00506980">
        <w:rPr>
          <w:rStyle w:val="RSCB02ArticleTextChar"/>
          <w:b w:val="0"/>
          <w:bCs/>
        </w:rPr>
        <w:t>.</w:t>
      </w:r>
      <w:r w:rsidR="00764CF4" w:rsidRPr="001B2F7A">
        <w:rPr>
          <w:rStyle w:val="RSCB02ArticleTextChar"/>
          <w:b w:val="0"/>
          <w:bCs/>
        </w:rPr>
        <w:t xml:space="preserve">83 </w:t>
      </w:r>
      <w:proofErr w:type="spellStart"/>
      <w:r w:rsidR="00764CF4" w:rsidRPr="001B2F7A">
        <w:rPr>
          <w:rStyle w:val="RSCB02ArticleTextChar"/>
          <w:b w:val="0"/>
          <w:bCs/>
        </w:rPr>
        <w:t>μL</w:t>
      </w:r>
      <w:proofErr w:type="spellEnd"/>
      <w:r w:rsidR="00764CF4" w:rsidRPr="001B2F7A">
        <w:rPr>
          <w:rStyle w:val="RSCB02ArticleTextChar"/>
          <w:b w:val="0"/>
          <w:bCs/>
        </w:rPr>
        <w:t xml:space="preserve"> of </w:t>
      </w:r>
      <w:proofErr w:type="spellStart"/>
      <w:r w:rsidR="00764CF4" w:rsidRPr="001B2F7A">
        <w:rPr>
          <w:rStyle w:val="RSCB02ArticleTextChar"/>
          <w:b w:val="0"/>
          <w:bCs/>
        </w:rPr>
        <w:t>Hunig's</w:t>
      </w:r>
      <w:proofErr w:type="spellEnd"/>
      <w:r w:rsidR="00764CF4" w:rsidRPr="001B2F7A">
        <w:rPr>
          <w:rStyle w:val="RSCB02ArticleTextChar"/>
          <w:b w:val="0"/>
          <w:bCs/>
        </w:rPr>
        <w:t xml:space="preserve"> base w</w:t>
      </w:r>
      <w:r w:rsidR="006C1293">
        <w:rPr>
          <w:rStyle w:val="RSCB02ArticleTextChar"/>
          <w:b w:val="0"/>
          <w:bCs/>
        </w:rPr>
        <w:t>as</w:t>
      </w:r>
      <w:r w:rsidR="00764CF4" w:rsidRPr="001B2F7A">
        <w:rPr>
          <w:rStyle w:val="RSCB02ArticleTextChar"/>
          <w:b w:val="0"/>
          <w:bCs/>
        </w:rPr>
        <w:t xml:space="preserve"> added via Hamilton syringe, </w:t>
      </w:r>
      <w:r w:rsidR="003859E6">
        <w:rPr>
          <w:rStyle w:val="RSCB02ArticleTextChar"/>
          <w:b w:val="0"/>
          <w:bCs/>
        </w:rPr>
        <w:t xml:space="preserve">a current of </w:t>
      </w:r>
      <w:r w:rsidR="00764CF4" w:rsidRPr="001B2F7A">
        <w:rPr>
          <w:rStyle w:val="RSCB02ArticleTextChar"/>
          <w:b w:val="0"/>
          <w:bCs/>
        </w:rPr>
        <w:t>Argon was</w:t>
      </w:r>
      <w:r w:rsidR="003859E6">
        <w:rPr>
          <w:rStyle w:val="RSCB02ArticleTextChar"/>
          <w:b w:val="0"/>
          <w:bCs/>
        </w:rPr>
        <w:t xml:space="preserve"> passed through the </w:t>
      </w:r>
      <w:r w:rsidR="007F414A">
        <w:rPr>
          <w:rStyle w:val="RSCB02ArticleTextChar"/>
          <w:b w:val="0"/>
          <w:bCs/>
        </w:rPr>
        <w:t>reaction vessel for</w:t>
      </w:r>
      <w:r w:rsidR="00764CF4" w:rsidRPr="001B2F7A">
        <w:rPr>
          <w:rStyle w:val="RSCB02ArticleTextChar"/>
          <w:b w:val="0"/>
          <w:bCs/>
        </w:rPr>
        <w:t xml:space="preserve"> 5 min</w:t>
      </w:r>
      <w:r w:rsidR="006C1293">
        <w:rPr>
          <w:rStyle w:val="RSCB02ArticleTextChar"/>
          <w:b w:val="0"/>
          <w:bCs/>
        </w:rPr>
        <w:t>,</w:t>
      </w:r>
      <w:r w:rsidR="00764CF4" w:rsidRPr="001B2F7A">
        <w:rPr>
          <w:rStyle w:val="RSCB02ArticleTextChar"/>
          <w:b w:val="0"/>
          <w:bCs/>
        </w:rPr>
        <w:t xml:space="preserve"> and the mixture was left under agitation 24 hours at room temperature. </w:t>
      </w:r>
      <w:r w:rsidR="00D458FD">
        <w:rPr>
          <w:rStyle w:val="RSCB02ArticleTextChar"/>
          <w:b w:val="0"/>
          <w:bCs/>
        </w:rPr>
        <w:t>T</w:t>
      </w:r>
      <w:r w:rsidR="00764CF4" w:rsidRPr="001B2F7A">
        <w:rPr>
          <w:rStyle w:val="RSCB02ArticleTextChar"/>
          <w:b w:val="0"/>
          <w:bCs/>
        </w:rPr>
        <w:t>he precipitate was collected by filtration and washed with DMF (6 times over 36 hours), acetonitrile (6 times over 36 h)</w:t>
      </w:r>
      <w:r w:rsidR="006C1293">
        <w:rPr>
          <w:rStyle w:val="RSCB02ArticleTextChar"/>
          <w:b w:val="0"/>
          <w:bCs/>
        </w:rPr>
        <w:t>,</w:t>
      </w:r>
      <w:r w:rsidR="00764CF4" w:rsidRPr="001B2F7A">
        <w:rPr>
          <w:rStyle w:val="RSCB02ArticleTextChar"/>
          <w:b w:val="0"/>
          <w:bCs/>
        </w:rPr>
        <w:t xml:space="preserve"> and THF (until the solvent d</w:t>
      </w:r>
      <w:r w:rsidR="00963E7F">
        <w:rPr>
          <w:rStyle w:val="RSCB02ArticleTextChar"/>
          <w:b w:val="0"/>
          <w:bCs/>
        </w:rPr>
        <w:t xml:space="preserve">id </w:t>
      </w:r>
      <w:r w:rsidR="00764CF4" w:rsidRPr="001B2F7A">
        <w:rPr>
          <w:rStyle w:val="RSCB02ArticleTextChar"/>
          <w:b w:val="0"/>
          <w:bCs/>
        </w:rPr>
        <w:t>n</w:t>
      </w:r>
      <w:r w:rsidR="00963E7F">
        <w:rPr>
          <w:rStyle w:val="RSCB02ArticleTextChar"/>
          <w:b w:val="0"/>
          <w:bCs/>
        </w:rPr>
        <w:t>o</w:t>
      </w:r>
      <w:r w:rsidR="00764CF4" w:rsidRPr="001B2F7A">
        <w:rPr>
          <w:rStyle w:val="RSCB02ArticleTextChar"/>
          <w:b w:val="0"/>
          <w:bCs/>
        </w:rPr>
        <w:t>t show fluorescence under a conventional</w:t>
      </w:r>
      <w:r w:rsidR="00963E7F">
        <w:rPr>
          <w:rStyle w:val="RSCB02ArticleTextChar"/>
          <w:b w:val="0"/>
          <w:bCs/>
        </w:rPr>
        <w:t xml:space="preserve"> 366 nm</w:t>
      </w:r>
      <w:r w:rsidR="00764CF4" w:rsidRPr="001B2F7A">
        <w:rPr>
          <w:rStyle w:val="RSCB02ArticleTextChar"/>
          <w:b w:val="0"/>
          <w:bCs/>
        </w:rPr>
        <w:t xml:space="preserve"> UV lamp)</w:t>
      </w:r>
      <w:r w:rsidR="00D458FD">
        <w:rPr>
          <w:rStyle w:val="RSCB02ArticleTextChar"/>
          <w:b w:val="0"/>
          <w:bCs/>
        </w:rPr>
        <w:t xml:space="preserve">. Finally, the solid was </w:t>
      </w:r>
      <w:r w:rsidR="00764CF4" w:rsidRPr="001B2F7A">
        <w:rPr>
          <w:rStyle w:val="RSCB02ArticleTextChar"/>
          <w:b w:val="0"/>
          <w:bCs/>
        </w:rPr>
        <w:t xml:space="preserve">air-dried and vacuum dried at 120 °C overnight affording a red powder of </w:t>
      </w:r>
      <w:r w:rsidR="00764CF4" w:rsidRPr="00D458FD">
        <w:rPr>
          <w:rStyle w:val="RSCB02ArticleTextChar"/>
        </w:rPr>
        <w:t>NR</w:t>
      </w:r>
      <w:r w:rsidR="00764CF4" w:rsidRPr="009F0873">
        <w:rPr>
          <w:rStyle w:val="RSCB02ArticleTextChar"/>
          <w:vertAlign w:val="subscript"/>
        </w:rPr>
        <w:t>0.17</w:t>
      </w:r>
      <w:r w:rsidR="00764CF4" w:rsidRPr="00D458FD">
        <w:rPr>
          <w:rStyle w:val="RSCB02ArticleTextChar"/>
        </w:rPr>
        <w:t>-COF</w:t>
      </w:r>
      <w:r w:rsidR="00764CF4" w:rsidRPr="001B2F7A">
        <w:rPr>
          <w:rStyle w:val="RSCB02ArticleTextChar"/>
          <w:b w:val="0"/>
          <w:bCs/>
        </w:rPr>
        <w:t xml:space="preserve"> in quantitative yield (202 mg).</w:t>
      </w:r>
      <w:r w:rsidR="00D458FD">
        <w:rPr>
          <w:rStyle w:val="RSCB02ArticleTextChar"/>
          <w:b w:val="0"/>
          <w:bCs/>
        </w:rPr>
        <w:t xml:space="preserve"> </w:t>
      </w:r>
      <w:r w:rsidR="0061775F" w:rsidRPr="003D1013">
        <w:rPr>
          <w:rStyle w:val="RSCB02ArticleTextChar"/>
          <w:b w:val="0"/>
          <w:bCs/>
          <w:vertAlign w:val="superscript"/>
        </w:rPr>
        <w:t>13</w:t>
      </w:r>
      <w:r w:rsidR="0061775F" w:rsidRPr="0061775F">
        <w:rPr>
          <w:rStyle w:val="RSCB02ArticleTextChar"/>
          <w:b w:val="0"/>
          <w:bCs/>
        </w:rPr>
        <w:t>C NMR (100 MHz, ss-CP/MAS) δ (ppm): 184.1, 154.5, 149.1, 140.5, 138.3, 128.6, 123.1, 117.9, 110.1, 107.8, 70.0, 56.8, 55.0, 47,3, 17.2.</w:t>
      </w:r>
      <w:r w:rsidR="00E9164D">
        <w:rPr>
          <w:rStyle w:val="RSCB02ArticleTextChar"/>
          <w:b w:val="0"/>
          <w:bCs/>
        </w:rPr>
        <w:t xml:space="preserve"> </w:t>
      </w:r>
      <w:r w:rsidR="00E9164D" w:rsidRPr="00E9164D">
        <w:rPr>
          <w:rStyle w:val="RSCB02ArticleTextChar"/>
          <w:b w:val="0"/>
          <w:bCs/>
        </w:rPr>
        <w:t>FTIR (ATR) (</w:t>
      </w:r>
      <w:proofErr w:type="gramStart"/>
      <w:r w:rsidR="00E9164D" w:rsidRPr="00E9164D">
        <w:rPr>
          <w:rStyle w:val="RSCB02ArticleTextChar"/>
          <w:b w:val="0"/>
          <w:bCs/>
        </w:rPr>
        <w:t>cm</w:t>
      </w:r>
      <w:r w:rsidR="00E9164D" w:rsidRPr="00E9164D">
        <w:rPr>
          <w:rStyle w:val="RSCB02ArticleTextChar"/>
          <w:b w:val="0"/>
          <w:bCs/>
          <w:vertAlign w:val="superscript"/>
        </w:rPr>
        <w:t>-1</w:t>
      </w:r>
      <w:proofErr w:type="gramEnd"/>
      <w:r w:rsidR="00E9164D" w:rsidRPr="00E9164D">
        <w:rPr>
          <w:rStyle w:val="RSCB02ArticleTextChar"/>
          <w:b w:val="0"/>
          <w:bCs/>
        </w:rPr>
        <w:t>): 2926, 1592, 1504, 1464, 1410, 1290, 1211, 1144, 1042, 879, 823, 693.</w:t>
      </w:r>
      <w:r w:rsidR="008C5811">
        <w:rPr>
          <w:rStyle w:val="RSCB02ArticleTextChar"/>
          <w:b w:val="0"/>
          <w:bCs/>
        </w:rPr>
        <w:t xml:space="preserve"> </w:t>
      </w:r>
      <w:r w:rsidR="008C5811" w:rsidRPr="008C5811">
        <w:rPr>
          <w:rStyle w:val="RSCB02ArticleTextChar"/>
          <w:b w:val="0"/>
          <w:bCs/>
        </w:rPr>
        <w:t>PXRD 2θ (°): 2.94, 4.98, 5.76, 7.56, 9.82, 25.5.</w:t>
      </w:r>
    </w:p>
    <w:p w14:paraId="7C2A5762" w14:textId="48C85562" w:rsidR="00DA581C" w:rsidRDefault="00C306E8" w:rsidP="001B2F7A">
      <w:pPr>
        <w:pStyle w:val="RSCB06BHeadingSub-Section"/>
        <w:jc w:val="both"/>
        <w:rPr>
          <w:rStyle w:val="RSCB02ArticleTextChar"/>
          <w:b w:val="0"/>
          <w:bCs/>
        </w:rPr>
      </w:pPr>
      <w:r>
        <w:t xml:space="preserve">Preparation </w:t>
      </w:r>
      <w:r w:rsidRPr="00F968FE">
        <w:t>of NR</w:t>
      </w:r>
      <w:r w:rsidRPr="00F968FE">
        <w:rPr>
          <w:vertAlign w:val="subscript"/>
        </w:rPr>
        <w:t>0,17</w:t>
      </w:r>
      <w:r w:rsidRPr="00F968FE">
        <w:t>-CONs@pHEMA composites as free-standing films</w:t>
      </w:r>
      <w:r>
        <w:t>.</w:t>
      </w:r>
      <w:r w:rsidR="00DA581C" w:rsidRPr="001B2F7A">
        <w:rPr>
          <w:rStyle w:val="RSCB02ArticleTextChar"/>
          <w:b w:val="0"/>
          <w:bCs/>
        </w:rPr>
        <w:t xml:space="preserve"> </w:t>
      </w:r>
      <w:r w:rsidR="00276ACA">
        <w:rPr>
          <w:rStyle w:val="RSCB02ArticleTextChar"/>
          <w:b w:val="0"/>
          <w:bCs/>
        </w:rPr>
        <w:t xml:space="preserve">1 mg of </w:t>
      </w:r>
      <w:r w:rsidR="00746375" w:rsidRPr="00746375">
        <w:rPr>
          <w:rStyle w:val="RSCB02ArticleTextChar"/>
        </w:rPr>
        <w:t>NR</w:t>
      </w:r>
      <w:r w:rsidR="00746375" w:rsidRPr="009F0873">
        <w:rPr>
          <w:rStyle w:val="RSCB02ArticleTextChar"/>
          <w:vertAlign w:val="subscript"/>
        </w:rPr>
        <w:t>0.17</w:t>
      </w:r>
      <w:r w:rsidR="00746375" w:rsidRPr="00746375">
        <w:rPr>
          <w:rStyle w:val="RSCB02ArticleTextChar"/>
        </w:rPr>
        <w:t>-COF</w:t>
      </w:r>
      <w:r w:rsidR="00746375" w:rsidRPr="00746375">
        <w:rPr>
          <w:rStyle w:val="RSCB02ArticleTextChar"/>
          <w:b w:val="0"/>
          <w:bCs/>
        </w:rPr>
        <w:t xml:space="preserve"> was added to a solution containing 2-hydroxyethyl methacrylate (4.75 g), ethylene glycol </w:t>
      </w:r>
      <w:proofErr w:type="spellStart"/>
      <w:r w:rsidR="00746375" w:rsidRPr="00746375">
        <w:rPr>
          <w:rStyle w:val="RSCB02ArticleTextChar"/>
          <w:b w:val="0"/>
          <w:bCs/>
        </w:rPr>
        <w:t>dimethacrylate</w:t>
      </w:r>
      <w:proofErr w:type="spellEnd"/>
      <w:r w:rsidR="00746375" w:rsidRPr="00746375">
        <w:rPr>
          <w:rStyle w:val="RSCB02ArticleTextChar"/>
          <w:b w:val="0"/>
          <w:bCs/>
        </w:rPr>
        <w:t xml:space="preserve"> (0.25 g)</w:t>
      </w:r>
      <w:r w:rsidR="00636EAC">
        <w:rPr>
          <w:rStyle w:val="RSCB02ArticleTextChar"/>
          <w:b w:val="0"/>
          <w:bCs/>
        </w:rPr>
        <w:t>,</w:t>
      </w:r>
      <w:r w:rsidR="00746375" w:rsidRPr="00746375">
        <w:rPr>
          <w:rStyle w:val="RSCB02ArticleTextChar"/>
          <w:b w:val="0"/>
          <w:bCs/>
        </w:rPr>
        <w:t xml:space="preserve"> and </w:t>
      </w:r>
      <w:proofErr w:type="gramStart"/>
      <w:r w:rsidR="00746375" w:rsidRPr="00746375">
        <w:rPr>
          <w:rStyle w:val="RSCB02ArticleTextChar"/>
          <w:b w:val="0"/>
          <w:bCs/>
        </w:rPr>
        <w:t>α,α</w:t>
      </w:r>
      <w:proofErr w:type="gramEnd"/>
      <w:r w:rsidR="00746375" w:rsidRPr="00746375">
        <w:rPr>
          <w:rStyle w:val="RSCB02ArticleTextChar"/>
          <w:b w:val="0"/>
          <w:bCs/>
        </w:rPr>
        <w:t>,′-</w:t>
      </w:r>
      <w:proofErr w:type="spellStart"/>
      <w:r w:rsidR="00746375" w:rsidRPr="00746375">
        <w:rPr>
          <w:rStyle w:val="RSCB02ArticleTextChar"/>
          <w:b w:val="0"/>
          <w:bCs/>
        </w:rPr>
        <w:t>azoisobutyronitrile</w:t>
      </w:r>
      <w:proofErr w:type="spellEnd"/>
      <w:r w:rsidR="00746375" w:rsidRPr="00746375">
        <w:rPr>
          <w:rStyle w:val="RSCB02ArticleTextChar"/>
          <w:b w:val="0"/>
          <w:bCs/>
        </w:rPr>
        <w:t xml:space="preserve"> (AIBN, 50 mg). Then, </w:t>
      </w:r>
      <w:r w:rsidR="00A532DC">
        <w:rPr>
          <w:rStyle w:val="RSCB02ArticleTextChar"/>
          <w:b w:val="0"/>
          <w:bCs/>
        </w:rPr>
        <w:t>5</w:t>
      </w:r>
      <w:r w:rsidR="00746375" w:rsidRPr="00746375">
        <w:rPr>
          <w:rStyle w:val="RSCB02ArticleTextChar"/>
          <w:b w:val="0"/>
          <w:bCs/>
        </w:rPr>
        <w:t xml:space="preserve">0 </w:t>
      </w:r>
      <w:proofErr w:type="spellStart"/>
      <w:r w:rsidR="00746375" w:rsidRPr="00746375">
        <w:rPr>
          <w:rStyle w:val="RSCB02ArticleTextChar"/>
          <w:b w:val="0"/>
          <w:bCs/>
        </w:rPr>
        <w:t>μL</w:t>
      </w:r>
      <w:proofErr w:type="spellEnd"/>
      <w:r w:rsidR="00746375" w:rsidRPr="00746375">
        <w:rPr>
          <w:rStyle w:val="RSCB02ArticleTextChar"/>
          <w:b w:val="0"/>
          <w:bCs/>
        </w:rPr>
        <w:t xml:space="preserve"> of concentrated HCl (37 wt.%) were added</w:t>
      </w:r>
      <w:r w:rsidR="00636EAC">
        <w:rPr>
          <w:rStyle w:val="RSCB02ArticleTextChar"/>
          <w:b w:val="0"/>
          <w:bCs/>
        </w:rPr>
        <w:t>,</w:t>
      </w:r>
      <w:r w:rsidR="00746375" w:rsidRPr="00746375">
        <w:rPr>
          <w:rStyle w:val="RSCB02ArticleTextChar"/>
          <w:b w:val="0"/>
          <w:bCs/>
        </w:rPr>
        <w:t xml:space="preserve"> and the mixture was gently stirred for 10 min. Afterward, the dispersion was transferred to 2 mL Eppendorf tubes and centrifuged at 6000 rpm for 5 min using a </w:t>
      </w:r>
      <w:proofErr w:type="spellStart"/>
      <w:r w:rsidR="00746375" w:rsidRPr="00746375">
        <w:rPr>
          <w:rStyle w:val="RSCB02ArticleTextChar"/>
          <w:b w:val="0"/>
          <w:bCs/>
        </w:rPr>
        <w:t>Mikro</w:t>
      </w:r>
      <w:proofErr w:type="spellEnd"/>
      <w:r w:rsidR="00746375" w:rsidRPr="00746375">
        <w:rPr>
          <w:rStyle w:val="RSCB02ArticleTextChar"/>
          <w:b w:val="0"/>
          <w:bCs/>
        </w:rPr>
        <w:t xml:space="preserve"> 200 centrifuge. The resulting supernatant </w:t>
      </w:r>
      <w:r w:rsidR="00746375" w:rsidRPr="007A70FB">
        <w:rPr>
          <w:rStyle w:val="RSCB02ArticleTextChar"/>
        </w:rPr>
        <w:t>NR</w:t>
      </w:r>
      <w:r w:rsidR="00746375" w:rsidRPr="009F0873">
        <w:rPr>
          <w:rStyle w:val="RSCB02ArticleTextChar"/>
          <w:vertAlign w:val="subscript"/>
        </w:rPr>
        <w:t>0.17</w:t>
      </w:r>
      <w:r w:rsidR="00746375" w:rsidRPr="007A70FB">
        <w:rPr>
          <w:rStyle w:val="RSCB02ArticleTextChar"/>
        </w:rPr>
        <w:t>-COF</w:t>
      </w:r>
      <w:r w:rsidR="00746375" w:rsidRPr="00746375">
        <w:rPr>
          <w:rStyle w:val="RSCB02ArticleTextChar"/>
          <w:b w:val="0"/>
          <w:bCs/>
        </w:rPr>
        <w:t xml:space="preserve"> colloid was separated from the non-exfoliated COF and transferred to a vial. The polymerization of the </w:t>
      </w:r>
      <w:r w:rsidR="00746375" w:rsidRPr="007A70FB">
        <w:rPr>
          <w:rStyle w:val="RSCB02ArticleTextChar"/>
        </w:rPr>
        <w:t>NR</w:t>
      </w:r>
      <w:r w:rsidR="00746375" w:rsidRPr="009F0873">
        <w:rPr>
          <w:rStyle w:val="RSCB02ArticleTextChar"/>
          <w:vertAlign w:val="subscript"/>
        </w:rPr>
        <w:t>0.17</w:t>
      </w:r>
      <w:r w:rsidR="00746375" w:rsidRPr="007A70FB">
        <w:rPr>
          <w:rStyle w:val="RSCB02ArticleTextChar"/>
        </w:rPr>
        <w:t>-CONs</w:t>
      </w:r>
      <w:r w:rsidR="00746375" w:rsidRPr="00746375">
        <w:rPr>
          <w:rStyle w:val="RSCB02ArticleTextChar"/>
          <w:b w:val="0"/>
          <w:bCs/>
        </w:rPr>
        <w:t xml:space="preserve"> colloid was performed following a similar procedure to that reported in literature.</w:t>
      </w:r>
      <w:r w:rsidR="00C3060D" w:rsidRPr="00C3060D">
        <w:rPr>
          <w:b w:val="0"/>
        </w:rPr>
        <w:fldChar w:fldCharType="begin" w:fldLock="1"/>
      </w:r>
      <w:r w:rsidR="00F32065">
        <w:rPr>
          <w:b w:val="0"/>
        </w:rPr>
        <w:instrText>ADDIN CSL_CITATION {"citationItems":[{"id":"ITEM-1","itemData":{"DOI":"10.1021/la801342f","ISSN":"07437463","abstract":"Different polymeric materials have been prepared from the organogels formed by a polymerizable methacrylic mixture (methyl methacrylate/ethylene glycol dimethacrylate, 1:1, w/w) and the macrocyclic pseudopeptide 1. The use of (2,4,6-trimethylbenzoyl)diphenylphosphine oxide as a very efficient radical initiator allows polymeric materials in which the structure of the fibrils formed by self-assembly of the organogelator 1 is truly preserved to be obtained. Removal of the pseudopeptidic molecule provides materials with a porous structure reflecting that of the original self-assembled fibrils. The use of fluorescent probes such as rhodamine B and pyrene greatly facilitate the study of the porous structures formed and, accordingly, that of the morphology of the original fibrils. Those studies reveal the presence of a permanent porosity and the organization of the substructures as a porous network. This confirms the existence of a nucleation and growth mechanism for the generation of the fibrils, giving rise to the formation of spherulitic structures. Those spherulites are additionally linked by connections of variable size. A series of diffusion experiments allowed establishment of a direct dependence of the inner porosity of the materials on the amount of self-organizing template used for their preparation. © 2008 American Chemical Society.","author":[{"dropping-particle":"","family":"Burguete","given":"M.I.","non-dropping-particle":"","parse-names":false,"suffix":""},{"dropping-particle":"","family":"Galindo","given":"F.","non-dropping-particle":"","parse-names":false,"suffix":""},{"dropping-particle":"","family":"Gavara","given":"R.","non-dropping-particle":"","parse-names":false,"suffix":""},{"dropping-particle":"","family":"Izquierdo","given":"M.A.","non-dropping-particle":"","parse-names":false,"suffix":""},{"dropping-particle":"","family":"Lima","given":"J.C.","non-dropping-particle":"","parse-names":false,"suffix":""},{"dropping-particle":"","family":"Luis","given":"S.V.","non-dropping-particle":"","parse-names":false,"suffix":""},{"dropping-particle":"","family":"Parola","given":"A.J.","non-dropping-particle":"","parse-names":false,"suffix":""},{"dropping-particle":"","family":"Pina","given":"F.","non-dropping-particle":"","parse-names":false,"suffix":""}],"container-title":"Langmuir","id":"ITEM-1","issue":"17","issued":{"date-parts":[["2008"]]},"page":"9795-9803","title":"Use of fluorescence spectroscopy to study polymeric materials with porous structure based on imprinting by self-assembled fibrillar networks","type":"article-journal","volume":"24"},"uris":["http://www.mendeley.com/documents/?uuid=db411cd3-b6c9-3e71-9722-369a5ac37255"]},{"id":"ITEM-2","itemData":{"DOI":"10.1002/adfm.200400274","ISSN":"1616301X","abstract":"In this paper we report the encapsulation of the compound 4',7-dihydroxyflavylium in a water-permeable crosslinked poly(2-hydroxyethyl methacrylate) matrix. The water permeability of the polymer and its transparency allow the use of pH and light stimuli to attain different states on the network defined by the various chemical reactions (multistate/multifunctional system). Unlike in water, in the polymer the compound 4',7-dihydroxyflavylium encapsulated exhibits a thermal barrier between the cis-and trans-chalcones, a necessary requirement to define a write-read-erase cycle. © 2005 WILEY-VCH Verlag GmbH &amp; Co. KGaA, Weinheim.","author":[{"dropping-particle":"","family":"Galindo","given":"Francisco","non-dropping-particle":"","parse-names":false,"suffix":""},{"dropping-particle":"","family":"Lima","given":"João C.","non-dropping-particle":"","parse-names":false,"suffix":""},{"dropping-particle":"V.","family":"Luis","given":"Santiago","non-dropping-particle":"","parse-names":false,"suffix":""},{"dropping-particle":"","family":"Parola","given":"A. Jorge","non-dropping-particle":"","parse-names":false,"suffix":""},{"dropping-particle":"","family":"Pina","given":"Fernando","non-dropping-particle":"","parse-names":false,"suffix":""}],"container-title":"Advanced Functional Materials","id":"ITEM-2","issue":"4","issued":{"date-parts":[["2005"]]},"page":"541-545","title":"Write-read-erase molecular-switching system trapped in a polymer hydrogel matrix","type":"article-journal","volume":"15"},"uris":["http://www.mendeley.com/documents/?uuid=a8b7b079-a7f4-49ea-b676-f552c9ace59b"]},{"id":"ITEM-3","itemData":{"DOI":"10.1039/b500512d","ISSN":"09599428","abstract":"Flavylium compounds can conveniently be encapsulated in water permeable cross-linked poly(2-hydroxyethyl methacrylate) (PHEMA) polymer hydrogel matrices. The polymer is also permeable to gases, for example ammonia and hydrogen chloride. The ability of the polymer to concentrate water from the surrounding atmosphere was demonstrated. The absorption and emission spectra of the encapsulated flavylium compounds are very dependent on the pH, and by consequence ammonia (or hydrogen chloride) can be easily detected. The intensity of the fluorescence emission of the flavylium cation (AH+ species obtained in acidic media) is very dependent on the water content due to the efficient excited state proton transfer involving the AH+* excited state and water. The combination of flavylium emission sensitivity to water and ability of the polymer to concentrate water from the surrounding atmosphere, confers this material potential utility as a humidity sensor with high sensitivity. © The Royal Society of Chemistry 2005.","author":[{"dropping-particle":"","family":"Galindo","given":"Francisco","non-dropping-particle":"","parse-names":false,"suffix":""},{"dropping-particle":"","family":"Lima","given":"João C.","non-dropping-particle":"","parse-names":false,"suffix":""},{"dropping-particle":"V.","family":"Luis","given":"Santiago","non-dropping-particle":"","parse-names":false,"suffix":""},{"dropping-particle":"","family":"Melo","given":"Maria João","non-dropping-particle":"","parse-names":false,"suffix":""},{"dropping-particle":"","family":"Jorge Parola","given":"A.","non-dropping-particle":"","parse-names":false,"suffix":""},{"dropping-particle":"","family":"Pina","given":"Fernando","non-dropping-particle":"","parse-names":false,"suffix":""}],"container-title":"Journal of Materials Chemistry","id":"ITEM-3","issue":"27-28","issued":{"date-parts":[["2005"]]},"page":"2840-2847","title":"Water/humidity and ammonia sensor, based on a polymer hydrogel matrix containing a fluorescent flavylium compound","type":"article-journal","volume":"15"},"uris":["http://www.mendeley.com/documents/?uuid=d7fee1da-c26c-489e-a6a3-3292ae9a7106"]},{"id":"ITEM-4","itemData":{"DOI":"10.1016/j.eurpolymj.2014.03.027","ISSN":"00143057","abstract":"A series of nitric oxide (NO) sensitive polymeric hydrogels have been synthesized and their properties described. The new materials are based on a poly(2-hydroxyethyl methacrylate) matrix entrapping the DAF-FM (4-amino-5-methylamino-2′,7′-difluorofluorescein) fluorescent probe. Some of the developed materials show sensitivities in the range ca. 50-75 nM towards NO dissolved in aerated phosphate buffer (PBS), being nitrous anhydride the reactive species under such conditions. Remarkably, the sensitivity of the fluorescent polymers is not influenced by dehydroascorbic acid, a molecule of biological importance, which has been reported to be a common interfering species capable to react with well known probes for NO. © 2014 Elsevier Ltd. All rights reserved.","author":[{"dropping-particle":"","family":"Fabregat","given":"Víctor","non-dropping-particle":"","parse-names":false,"suffix":""},{"dropping-particle":"","family":"Izquierdo","given":"M. Ángeles","non-dropping-particle":"","parse-names":false,"suffix":""},{"dropping-particle":"","family":"Burguete","given":"M. Isabel","non-dropping-particle":"","parse-names":false,"suffix":""},{"dropping-particle":"","family":"Galindo","given":"Francisco","non-dropping-particle":"","parse-names":false,"suffix":""},{"dropping-particle":"V.","family":"Luis","given":"Santiago","non-dropping-particle":"","parse-names":false,"suffix":""}],"container-title":"European Polymer Journal","id":"ITEM-4","issue":"1","issued":{"date-parts":[["2014"]]},"page":"108-113","title":"Nitric oxide sensitive fluorescent polymeric hydrogels showing negligible interference by dehydroascorbic acid","type":"article-journal","volume":"55"},"uris":["http://www.mendeley.com/documents/?uuid=a5b74e2b-9dcf-4788-b553-7fd506d8ed11"]},{"id":"ITEM-5","itemData":{"DOI":"10.1021/acsbiomaterials.0c00992","ISSN":"23739878","PMID":"33320609","abstract":"Three new photoactive polymeric materials embedding a hexanuclear molybdenum cluster (Bu4N)2[Mo6I8(CH3COO)6] (1) have been synthesized and characterized by means of Fourier-transform infrared spectroscopy (FTIR), thermogravimetric analysis (TGA), and emission spectroscopy. The materials are obtained in the format of transparent and thin sheets, and the formulations used to synthesize them are comprised of 2-hydroxyethyl methacrylate (HEMA), as a polymerizable monomer, and ethylene glycol dimethacrylate (EGDMA) or poly(ethylene glycol)dimethacrylate (PEGDMA), as cross-linkers. All the polymeric hydrogels generate singlet oxygen (1O2) upon irradiation with visible light (400-700 nm), as demonstrated by the reactivity toward two chemical traps of this reactive species (9,10-dimethylanthracene and 1,5-dihydroxynaphthalene). Some differences have been detected between the photoactive materials, probably attributable to variations in the permeability to solvent and oxygen. Notably, one of the materials resisted up to 10 cycles of photocatalytic oxygenation reactions of 1,5-dihydroxynaphthalene. All three of the polyHEMA hydrogels doped with 1 are efficient against S. aureus biofilms when irradiated with blue light (460 nm). The material made with the composition of 90% HEMA and 10% PEGDMA (Mo6@polymer-III) is especially easy to handle, because of its flexibility, and it achieves a notable level of bacterial population reduction (3.0 log10 CFU/cm2). The embedding of 1 in cross-linked polyHEMA sheets affords a protective environment to the photosensitizer against aqueous degradation while preserving the photochemical and photobactericidal activity.","author":[{"dropping-particle":"","family":"López-López","given":"Noelia","non-dropping-particle":"","parse-names":false,"suffix":""},{"dropping-particle":"","family":"Muñoz Resta","given":"Ignacio","non-dropping-particle":"","parse-names":false,"suffix":""},{"dropping-particle":"","family":"Llanos","given":"Rosa","non-dropping-particle":"De","parse-names":false,"suffix":""},{"dropping-particle":"","family":"Miravet","given":"Juan F.","non-dropping-particle":"","parse-names":false,"suffix":""},{"dropping-particle":"","family":"Mikhaylov","given":"Maxim","non-dropping-particle":"","parse-names":false,"suffix":""},{"dropping-particle":"","family":"Sokolov","given":"Maxim N.","non-dropping-particle":"","parse-names":false,"suffix":""},{"dropping-particle":"","family":"Ballesta","given":"Sofía","non-dropping-particle":"","parse-names":false,"suffix":""},{"dropping-particle":"","family":"García-Luque","given":"Isabel","non-dropping-particle":"","parse-names":false,"suffix":""},{"dropping-particle":"","family":"Galindo","given":"Francisco","non-dropping-particle":"","parse-names":false,"suffix":""}],"container-title":"ACS Biomaterials Science and Engineering","id":"ITEM-5","issue":"12","issued":{"date-parts":[["2020"]]},"page":"6995-7003","title":"Photodynamic Inactivation of Staphylococcus aureus Biofilms Using a Hexanuclear Molybdenum Complex Embedded in Transparent polyHEMA Hydrogels","type":"article-journal","volume":"6"},"uris":["http://www.mendeley.com/documents/?uuid=de3d18c4-17ae-4b36-8da0-91ad5fe31e7f"]}],"mendeley":{"formattedCitation":"&lt;sup&gt;65–68,71&lt;/sup&gt;","plainTextFormattedCitation":"65–68,71","previouslyFormattedCitation":"&lt;sup&gt;65–68,71&lt;/sup&gt;"},"properties":{"noteIndex":0},"schema":"https://github.com/citation-style-language/schema/raw/master/csl-citation.json"}</w:instrText>
      </w:r>
      <w:r w:rsidR="00C3060D" w:rsidRPr="00C3060D">
        <w:rPr>
          <w:b w:val="0"/>
        </w:rPr>
        <w:fldChar w:fldCharType="separate"/>
      </w:r>
      <w:r w:rsidR="00976A58" w:rsidRPr="00976A58">
        <w:rPr>
          <w:b w:val="0"/>
          <w:noProof/>
          <w:vertAlign w:val="superscript"/>
        </w:rPr>
        <w:t>65–68,71</w:t>
      </w:r>
      <w:r w:rsidR="00C3060D" w:rsidRPr="00C3060D">
        <w:rPr>
          <w:b w:val="0"/>
        </w:rPr>
        <w:fldChar w:fldCharType="end"/>
      </w:r>
      <w:r w:rsidR="00746375" w:rsidRPr="00EF535E">
        <w:rPr>
          <w:rStyle w:val="RSCB02ArticleTextChar"/>
          <w:b w:val="0"/>
          <w:bCs/>
          <w:vertAlign w:val="superscript"/>
        </w:rPr>
        <w:t xml:space="preserve"> </w:t>
      </w:r>
      <w:r w:rsidR="00746375" w:rsidRPr="00746375">
        <w:rPr>
          <w:rStyle w:val="RSCB02ArticleTextChar"/>
          <w:b w:val="0"/>
          <w:bCs/>
        </w:rPr>
        <w:t xml:space="preserve">Basically, the mixture was introduced in several </w:t>
      </w:r>
      <w:proofErr w:type="spellStart"/>
      <w:r w:rsidR="00746375" w:rsidRPr="00746375">
        <w:rPr>
          <w:rStyle w:val="RSCB02ArticleTextChar"/>
          <w:b w:val="0"/>
          <w:bCs/>
        </w:rPr>
        <w:t>molds</w:t>
      </w:r>
      <w:proofErr w:type="spellEnd"/>
      <w:r w:rsidR="00746375" w:rsidRPr="00746375">
        <w:rPr>
          <w:rStyle w:val="RSCB02ArticleTextChar"/>
          <w:b w:val="0"/>
          <w:bCs/>
        </w:rPr>
        <w:t xml:space="preserve"> consisting o</w:t>
      </w:r>
      <w:r w:rsidR="006C1293">
        <w:rPr>
          <w:rStyle w:val="RSCB02ArticleTextChar"/>
          <w:b w:val="0"/>
          <w:bCs/>
        </w:rPr>
        <w:t>f</w:t>
      </w:r>
      <w:r w:rsidR="00746375" w:rsidRPr="00746375">
        <w:rPr>
          <w:rStyle w:val="RSCB02ArticleTextChar"/>
          <w:b w:val="0"/>
          <w:bCs/>
        </w:rPr>
        <w:t xml:space="preserve"> two microscope slides separated in both extremes by two microscope coverslips (Menzel-</w:t>
      </w:r>
      <w:proofErr w:type="spellStart"/>
      <w:r w:rsidR="00746375" w:rsidRPr="00746375">
        <w:rPr>
          <w:rStyle w:val="RSCB02ArticleTextChar"/>
          <w:b w:val="0"/>
          <w:bCs/>
        </w:rPr>
        <w:t>Glässer</w:t>
      </w:r>
      <w:proofErr w:type="spellEnd"/>
      <w:r w:rsidR="00746375" w:rsidRPr="00746375">
        <w:rPr>
          <w:rStyle w:val="RSCB02ArticleTextChar"/>
          <w:b w:val="0"/>
          <w:bCs/>
        </w:rPr>
        <w:t xml:space="preserve">, 0.13-0.16 mm thickness) and the </w:t>
      </w:r>
      <w:proofErr w:type="spellStart"/>
      <w:r w:rsidR="00746375" w:rsidRPr="00746375">
        <w:rPr>
          <w:rStyle w:val="RSCB02ArticleTextChar"/>
          <w:b w:val="0"/>
          <w:bCs/>
        </w:rPr>
        <w:t>molds</w:t>
      </w:r>
      <w:proofErr w:type="spellEnd"/>
      <w:r w:rsidR="00746375" w:rsidRPr="00746375">
        <w:rPr>
          <w:rStyle w:val="RSCB02ArticleTextChar"/>
          <w:b w:val="0"/>
          <w:bCs/>
        </w:rPr>
        <w:t xml:space="preserve"> were introduced in an oven at 80 °C </w:t>
      </w:r>
      <w:r w:rsidR="006C1293">
        <w:rPr>
          <w:rStyle w:val="RSCB02ArticleTextChar"/>
          <w:b w:val="0"/>
          <w:bCs/>
        </w:rPr>
        <w:t>for</w:t>
      </w:r>
      <w:r w:rsidR="00746375" w:rsidRPr="00746375">
        <w:rPr>
          <w:rStyle w:val="RSCB02ArticleTextChar"/>
          <w:b w:val="0"/>
          <w:bCs/>
        </w:rPr>
        <w:t xml:space="preserve"> 10 min. After cooling, the polymerized </w:t>
      </w:r>
      <w:r w:rsidR="00746375" w:rsidRPr="00276ACA">
        <w:rPr>
          <w:rStyle w:val="RSCB02ArticleTextChar"/>
        </w:rPr>
        <w:t>NR</w:t>
      </w:r>
      <w:r w:rsidR="00746375" w:rsidRPr="009F0873">
        <w:rPr>
          <w:rStyle w:val="RSCB02ArticleTextChar"/>
          <w:vertAlign w:val="subscript"/>
        </w:rPr>
        <w:t>0</w:t>
      </w:r>
      <w:r w:rsidR="007A70FB" w:rsidRPr="009F0873">
        <w:rPr>
          <w:rStyle w:val="RSCB02ArticleTextChar"/>
          <w:vertAlign w:val="subscript"/>
        </w:rPr>
        <w:t>.</w:t>
      </w:r>
      <w:r w:rsidR="00746375" w:rsidRPr="009F0873">
        <w:rPr>
          <w:rStyle w:val="RSCB02ArticleTextChar"/>
          <w:vertAlign w:val="subscript"/>
        </w:rPr>
        <w:t>17</w:t>
      </w:r>
      <w:r w:rsidR="00746375" w:rsidRPr="00276ACA">
        <w:rPr>
          <w:rStyle w:val="RSCB02ArticleTextChar"/>
        </w:rPr>
        <w:t>-CONs@pHEMA</w:t>
      </w:r>
      <w:r w:rsidR="00746375" w:rsidRPr="00746375">
        <w:rPr>
          <w:rStyle w:val="RSCB02ArticleTextChar"/>
          <w:b w:val="0"/>
          <w:bCs/>
        </w:rPr>
        <w:t xml:space="preserve"> films were </w:t>
      </w:r>
      <w:r w:rsidR="006C1293">
        <w:rPr>
          <w:rStyle w:val="RSCB02ArticleTextChar"/>
          <w:b w:val="0"/>
          <w:bCs/>
        </w:rPr>
        <w:t>removed</w:t>
      </w:r>
      <w:r w:rsidR="00746375" w:rsidRPr="00746375">
        <w:rPr>
          <w:rStyle w:val="RSCB02ArticleTextChar"/>
          <w:b w:val="0"/>
          <w:bCs/>
        </w:rPr>
        <w:t xml:space="preserve"> washed with water </w:t>
      </w:r>
      <w:r w:rsidR="006C1293">
        <w:rPr>
          <w:rStyle w:val="RSCB02ArticleTextChar"/>
          <w:b w:val="0"/>
          <w:bCs/>
        </w:rPr>
        <w:t>for</w:t>
      </w:r>
      <w:r w:rsidR="00746375" w:rsidRPr="00746375">
        <w:rPr>
          <w:rStyle w:val="RSCB02ArticleTextChar"/>
          <w:b w:val="0"/>
          <w:bCs/>
        </w:rPr>
        <w:t xml:space="preserve"> 20 </w:t>
      </w:r>
      <w:proofErr w:type="gramStart"/>
      <w:r w:rsidR="00746375" w:rsidRPr="00746375">
        <w:rPr>
          <w:rStyle w:val="RSCB02ArticleTextChar"/>
          <w:b w:val="0"/>
          <w:bCs/>
        </w:rPr>
        <w:t>min</w:t>
      </w:r>
      <w:r w:rsidR="006C1293">
        <w:rPr>
          <w:rStyle w:val="RSCB02ArticleTextChar"/>
          <w:b w:val="0"/>
          <w:bCs/>
        </w:rPr>
        <w:t>,</w:t>
      </w:r>
      <w:r w:rsidR="00746375" w:rsidRPr="00746375">
        <w:rPr>
          <w:rStyle w:val="RSCB02ArticleTextChar"/>
          <w:b w:val="0"/>
          <w:bCs/>
        </w:rPr>
        <w:t xml:space="preserve"> and</w:t>
      </w:r>
      <w:proofErr w:type="gramEnd"/>
      <w:r w:rsidR="00746375" w:rsidRPr="00746375">
        <w:rPr>
          <w:rStyle w:val="RSCB02ArticleTextChar"/>
          <w:b w:val="0"/>
          <w:bCs/>
        </w:rPr>
        <w:t xml:space="preserve"> let dry </w:t>
      </w:r>
      <w:r w:rsidR="006C1293">
        <w:rPr>
          <w:rStyle w:val="RSCB02ArticleTextChar"/>
          <w:b w:val="0"/>
          <w:bCs/>
        </w:rPr>
        <w:t>in the</w:t>
      </w:r>
      <w:r w:rsidR="00746375" w:rsidRPr="00746375">
        <w:rPr>
          <w:rStyle w:val="RSCB02ArticleTextChar"/>
          <w:b w:val="0"/>
          <w:bCs/>
        </w:rPr>
        <w:t xml:space="preserve"> air. Control </w:t>
      </w:r>
      <w:proofErr w:type="spellStart"/>
      <w:r w:rsidR="00746375" w:rsidRPr="00746375">
        <w:rPr>
          <w:rStyle w:val="RSCB02ArticleTextChar"/>
          <w:b w:val="0"/>
          <w:bCs/>
        </w:rPr>
        <w:t>pHEMA</w:t>
      </w:r>
      <w:proofErr w:type="spellEnd"/>
      <w:r w:rsidR="00746375" w:rsidRPr="00746375">
        <w:rPr>
          <w:rStyle w:val="RSCB02ArticleTextChar"/>
          <w:b w:val="0"/>
          <w:bCs/>
        </w:rPr>
        <w:t xml:space="preserve"> films without COF nanosheets were obtained using an analogous polymerization procedure.</w:t>
      </w:r>
    </w:p>
    <w:p w14:paraId="7DB051C0" w14:textId="16F8D4C9" w:rsidR="00DF2671" w:rsidRDefault="009F0873" w:rsidP="00D46EDF">
      <w:pPr>
        <w:pStyle w:val="RSCB02ArticleText"/>
      </w:pPr>
      <w:r w:rsidRPr="00DF2671">
        <w:rPr>
          <w:b/>
        </w:rPr>
        <w:t>Preparation of NR</w:t>
      </w:r>
      <w:r w:rsidRPr="00DF2671">
        <w:rPr>
          <w:b/>
          <w:vertAlign w:val="subscript"/>
        </w:rPr>
        <w:t>0</w:t>
      </w:r>
      <w:r w:rsidR="00251392" w:rsidRPr="00DF2671">
        <w:rPr>
          <w:b/>
          <w:vertAlign w:val="subscript"/>
        </w:rPr>
        <w:t>.</w:t>
      </w:r>
      <w:r w:rsidRPr="00DF2671">
        <w:rPr>
          <w:b/>
          <w:vertAlign w:val="subscript"/>
        </w:rPr>
        <w:t>17</w:t>
      </w:r>
      <w:r w:rsidRPr="00DF2671">
        <w:rPr>
          <w:b/>
        </w:rPr>
        <w:t>-CONs@pHEMA composites as 3D</w:t>
      </w:r>
      <w:r w:rsidR="006C1293">
        <w:rPr>
          <w:b/>
        </w:rPr>
        <w:t xml:space="preserve"> </w:t>
      </w:r>
      <w:r w:rsidRPr="00DF2671">
        <w:rPr>
          <w:b/>
        </w:rPr>
        <w:t>printed cubes</w:t>
      </w:r>
      <w:r w:rsidR="00251392" w:rsidRPr="00DF2671">
        <w:rPr>
          <w:b/>
        </w:rPr>
        <w:t>.</w:t>
      </w:r>
      <w:r w:rsidR="00251392">
        <w:t xml:space="preserve"> </w:t>
      </w:r>
      <w:r w:rsidR="00DF2671" w:rsidRPr="00DF2671">
        <w:t>Preparation of the</w:t>
      </w:r>
      <w:r w:rsidR="00DF2671" w:rsidRPr="00DF2671">
        <w:rPr>
          <w:b/>
        </w:rPr>
        <w:t xml:space="preserve"> NR</w:t>
      </w:r>
      <w:r w:rsidR="00DF2671" w:rsidRPr="00DF2671">
        <w:rPr>
          <w:b/>
          <w:vertAlign w:val="subscript"/>
        </w:rPr>
        <w:t>0.17</w:t>
      </w:r>
      <w:r w:rsidR="00DF2671" w:rsidRPr="00DF2671">
        <w:rPr>
          <w:b/>
        </w:rPr>
        <w:t xml:space="preserve">-CONs </w:t>
      </w:r>
      <w:r w:rsidR="00DF2671" w:rsidRPr="00DF2671">
        <w:t>polymerizable</w:t>
      </w:r>
      <w:r w:rsidR="00DF2671" w:rsidRPr="00DF2671">
        <w:rPr>
          <w:b/>
        </w:rPr>
        <w:t xml:space="preserve"> </w:t>
      </w:r>
      <w:r w:rsidR="00DF2671" w:rsidRPr="00DF2671">
        <w:t xml:space="preserve">colloid was carried out similarly as described above. Thus, </w:t>
      </w:r>
      <w:r w:rsidR="00DF2671" w:rsidRPr="00DF2671">
        <w:rPr>
          <w:b/>
        </w:rPr>
        <w:t>NR</w:t>
      </w:r>
      <w:r w:rsidR="00DF2671" w:rsidRPr="00DF2671">
        <w:rPr>
          <w:b/>
          <w:vertAlign w:val="subscript"/>
        </w:rPr>
        <w:t>0.17</w:t>
      </w:r>
      <w:r w:rsidR="00DF2671" w:rsidRPr="00DF2671">
        <w:rPr>
          <w:b/>
        </w:rPr>
        <w:t>-COF</w:t>
      </w:r>
      <w:r w:rsidR="00DF2671" w:rsidRPr="00DF2671">
        <w:t xml:space="preserve"> (4.4 mg) was mixed with a solution containing 2-hydroxyethyl methacrylate (19.8 g), ethylene glycol </w:t>
      </w:r>
      <w:proofErr w:type="spellStart"/>
      <w:r w:rsidR="00DF2671" w:rsidRPr="00DF2671">
        <w:t>dimethacrylate</w:t>
      </w:r>
      <w:proofErr w:type="spellEnd"/>
      <w:r w:rsidR="00DF2671" w:rsidRPr="00DF2671">
        <w:t xml:space="preserve"> (2.2 g)</w:t>
      </w:r>
      <w:r w:rsidR="006C1293">
        <w:t>,</w:t>
      </w:r>
      <w:r w:rsidR="00DF2671" w:rsidRPr="00DF2671">
        <w:t xml:space="preserve"> and diphenyl(2,4,6-</w:t>
      </w:r>
      <w:proofErr w:type="gramStart"/>
      <w:r w:rsidR="00DF2671" w:rsidRPr="00DF2671">
        <w:t>trimethylbenzoyl)phosphine</w:t>
      </w:r>
      <w:proofErr w:type="gramEnd"/>
      <w:r w:rsidR="00DF2671" w:rsidRPr="00DF2671">
        <w:t xml:space="preserve"> oxide (TPO, 220 mg). Then, 220 </w:t>
      </w:r>
      <w:proofErr w:type="spellStart"/>
      <w:r w:rsidR="00DF2671" w:rsidRPr="00DF2671">
        <w:rPr>
          <w:rFonts w:cstheme="minorHAnsi"/>
        </w:rPr>
        <w:t>μ</w:t>
      </w:r>
      <w:r w:rsidR="00DF2671" w:rsidRPr="00DF2671">
        <w:t>L</w:t>
      </w:r>
      <w:proofErr w:type="spellEnd"/>
      <w:r w:rsidR="00DF2671" w:rsidRPr="00DF2671">
        <w:t xml:space="preserve"> of concentrated HCl (37 wt.%) were added</w:t>
      </w:r>
      <w:r w:rsidR="006C1293">
        <w:t>,</w:t>
      </w:r>
      <w:r w:rsidR="00DF2671" w:rsidRPr="00DF2671">
        <w:t xml:space="preserve"> and the mixture was gently stirred for 10 min in the dark. Afterward, the dispersion was transferred to 50 mL Falcon tubes </w:t>
      </w:r>
      <w:r w:rsidR="00DF2671" w:rsidRPr="00DF2671">
        <w:t>and centrifuged at 4600 rpm for 5 min in a</w:t>
      </w:r>
      <w:r w:rsidR="006C1293">
        <w:t>n</w:t>
      </w:r>
      <w:r w:rsidR="00DF2671" w:rsidRPr="00DF2671">
        <w:t xml:space="preserve"> MPW-350R centrifuge. The resulting supernatant </w:t>
      </w:r>
      <w:r w:rsidR="00DF2671" w:rsidRPr="00DF2671">
        <w:rPr>
          <w:b/>
        </w:rPr>
        <w:t>NR</w:t>
      </w:r>
      <w:r w:rsidR="00DF2671" w:rsidRPr="00DF2671">
        <w:rPr>
          <w:b/>
          <w:vertAlign w:val="subscript"/>
        </w:rPr>
        <w:t>0.17</w:t>
      </w:r>
      <w:r w:rsidR="00DF2671" w:rsidRPr="00DF2671">
        <w:rPr>
          <w:b/>
        </w:rPr>
        <w:t>-CONs</w:t>
      </w:r>
      <w:r w:rsidR="00DF2671" w:rsidRPr="00DF2671">
        <w:t xml:space="preserve"> colloid was separated from the non-exfoliated COF and transferred to a vial. 3D</w:t>
      </w:r>
      <w:r w:rsidR="006C1293">
        <w:t xml:space="preserve"> </w:t>
      </w:r>
      <w:r w:rsidR="00DF2671" w:rsidRPr="00DF2671">
        <w:t xml:space="preserve">printing of the colloid as </w:t>
      </w:r>
      <w:r w:rsidR="00DF2671" w:rsidRPr="00DF2671">
        <w:rPr>
          <w:lang w:val="en-US"/>
        </w:rPr>
        <w:t>cubes of 1 cm (width x length x height)</w:t>
      </w:r>
      <w:r w:rsidR="00DF2671" w:rsidRPr="00DF2671">
        <w:t xml:space="preserve"> was performed on a</w:t>
      </w:r>
      <w:r w:rsidR="006C1293">
        <w:t>n</w:t>
      </w:r>
      <w:r w:rsidR="00DF2671" w:rsidRPr="00DF2671">
        <w:t xml:space="preserve"> LCD printer (</w:t>
      </w:r>
      <w:proofErr w:type="spellStart"/>
      <w:r w:rsidR="00DF2671" w:rsidRPr="00DF2671">
        <w:t>Elegoo</w:t>
      </w:r>
      <w:proofErr w:type="spellEnd"/>
      <w:r w:rsidR="00DF2671" w:rsidRPr="00DF2671">
        <w:t xml:space="preserve"> Mars) using as excitation light at 405 nm from a 40W LED array to initiate the photopolymerization. The parameters settings for the printing are detailed in Table S</w:t>
      </w:r>
      <w:r w:rsidR="00D30137">
        <w:t>2</w:t>
      </w:r>
      <w:r w:rsidR="00DF2671" w:rsidRPr="00DF2671">
        <w:t xml:space="preserve"> (ESI). The obtained 3D models were post-cured by heating at 95 </w:t>
      </w:r>
      <w:r w:rsidR="00DF2671" w:rsidRPr="00DF2671">
        <w:rPr>
          <w:rFonts w:cstheme="minorHAnsi"/>
        </w:rPr>
        <w:t>°</w:t>
      </w:r>
      <w:r w:rsidR="00DF2671" w:rsidRPr="00DF2671">
        <w:t xml:space="preserve">C overnight. Then, they were washed with basic water (pH = 10) for 48 h and next with neutral water for the same time. Finally, the 3D models were let dry </w:t>
      </w:r>
      <w:r w:rsidR="006C1293">
        <w:t>in</w:t>
      </w:r>
      <w:r w:rsidR="00DF2671" w:rsidRPr="00DF2671">
        <w:t xml:space="preserve"> air. An analogous procedure was performed to prepare control </w:t>
      </w:r>
      <w:proofErr w:type="spellStart"/>
      <w:r w:rsidR="00DF2671" w:rsidRPr="00DF2671">
        <w:rPr>
          <w:b/>
        </w:rPr>
        <w:t>pHEMA</w:t>
      </w:r>
      <w:proofErr w:type="spellEnd"/>
      <w:r w:rsidR="00DF2671" w:rsidRPr="00DF2671">
        <w:t xml:space="preserve"> 3D cubes in the absence of COF nanosheets.</w:t>
      </w:r>
    </w:p>
    <w:p w14:paraId="405A6F35" w14:textId="519B5EC3" w:rsidR="006C1293" w:rsidRDefault="006C1293" w:rsidP="00D46EDF">
      <w:pPr>
        <w:pStyle w:val="RSCB02ArticleText"/>
        <w:rPr>
          <w:sz w:val="24"/>
          <w:szCs w:val="24"/>
        </w:rPr>
      </w:pPr>
      <w:r>
        <w:t>For further experimental details, check ESI.</w:t>
      </w:r>
    </w:p>
    <w:p w14:paraId="7F948B1F" w14:textId="5F2BD4AB" w:rsidR="00E61949" w:rsidRPr="00976A58" w:rsidRDefault="00180ABE" w:rsidP="00AF4737">
      <w:pPr>
        <w:pStyle w:val="RSCB04AHeadingSection"/>
      </w:pPr>
      <w:r w:rsidRPr="00976A58">
        <w:t>Conclusions</w:t>
      </w:r>
    </w:p>
    <w:p w14:paraId="74260AEE" w14:textId="4167B3A1" w:rsidR="006C1293" w:rsidRDefault="003054DA" w:rsidP="00E61949">
      <w:pPr>
        <w:pStyle w:val="RSCB02ArticleText"/>
      </w:pPr>
      <w:r>
        <w:t xml:space="preserve">A new </w:t>
      </w:r>
      <w:r w:rsidR="00C111CE">
        <w:t xml:space="preserve">imine-based COF functionalized with </w:t>
      </w:r>
      <w:r w:rsidR="00C16E42">
        <w:t xml:space="preserve">Nile Red has been </w:t>
      </w:r>
      <w:r w:rsidR="00CA20CC">
        <w:t xml:space="preserve">synthesized and thoroughly characterized. </w:t>
      </w:r>
      <w:r w:rsidR="004B5DAF">
        <w:t xml:space="preserve">The material has been exfoliated </w:t>
      </w:r>
      <w:r w:rsidR="00D7270F">
        <w:t>using</w:t>
      </w:r>
      <w:r w:rsidR="004B189A">
        <w:t xml:space="preserve"> both an ultrasonic-assisted method and </w:t>
      </w:r>
      <w:r w:rsidR="00CF2D5E">
        <w:t xml:space="preserve">an acid-assisted method, being the latter more efficient </w:t>
      </w:r>
      <w:r w:rsidR="00E56887">
        <w:t xml:space="preserve">regarding </w:t>
      </w:r>
      <w:r w:rsidR="00CF2D5E">
        <w:t xml:space="preserve">the amount </w:t>
      </w:r>
      <w:r w:rsidR="0053212D">
        <w:t>and quality of the</w:t>
      </w:r>
      <w:r w:rsidR="00AA13A3">
        <w:t xml:space="preserve"> resulting</w:t>
      </w:r>
      <w:r w:rsidR="0053212D">
        <w:t xml:space="preserve"> nanosheet</w:t>
      </w:r>
      <w:r w:rsidR="00AA13A3">
        <w:t xml:space="preserve">s. The exfoliated COF exhibits dual emission </w:t>
      </w:r>
      <w:r w:rsidR="00DD3AF9">
        <w:t xml:space="preserve">in </w:t>
      </w:r>
      <w:r w:rsidR="003F4C2A">
        <w:t>water/organic media</w:t>
      </w:r>
      <w:r w:rsidR="00DD3AF9">
        <w:t xml:space="preserve">, namely green emission coming from the COF framework and red emission from the Nile Red chromophores. </w:t>
      </w:r>
      <w:r w:rsidR="006C1293">
        <w:t xml:space="preserve">Free-standing polymeric composite films have been prepared by </w:t>
      </w:r>
      <w:r w:rsidR="006C1293" w:rsidRPr="006C1293">
        <w:rPr>
          <w:i/>
          <w:iCs/>
        </w:rPr>
        <w:t>in situ</w:t>
      </w:r>
      <w:r w:rsidR="006C1293">
        <w:t xml:space="preserve"> COF exfoliation in an acidic mixture of methacrylic monomers </w:t>
      </w:r>
      <w:proofErr w:type="gramStart"/>
      <w:r w:rsidR="006C1293">
        <w:t>and,</w:t>
      </w:r>
      <w:proofErr w:type="gramEnd"/>
      <w:r w:rsidR="006C1293">
        <w:t xml:space="preserve"> then, further polymerization. </w:t>
      </w:r>
      <w:r w:rsidR="009F5562">
        <w:t>Th</w:t>
      </w:r>
      <w:r w:rsidR="006C1293">
        <w:t>e</w:t>
      </w:r>
      <w:r w:rsidR="009A3126">
        <w:t xml:space="preserve"> </w:t>
      </w:r>
      <w:r w:rsidR="009F5562">
        <w:t xml:space="preserve">dual emission </w:t>
      </w:r>
      <w:r w:rsidR="006C1293">
        <w:t>observed in the pristine exfoliated COF is also retained and allows the</w:t>
      </w:r>
      <w:r w:rsidR="00EF39DC">
        <w:t xml:space="preserve"> prepar</w:t>
      </w:r>
      <w:r w:rsidR="006C1293">
        <w:t>ation of</w:t>
      </w:r>
      <w:r w:rsidR="00EF39DC">
        <w:t xml:space="preserve"> </w:t>
      </w:r>
      <w:proofErr w:type="spellStart"/>
      <w:r w:rsidR="00EF39DC">
        <w:t>ratiometric</w:t>
      </w:r>
      <w:proofErr w:type="spellEnd"/>
      <w:r w:rsidR="00EF39DC">
        <w:t xml:space="preserve"> </w:t>
      </w:r>
      <w:r w:rsidR="00157937">
        <w:t xml:space="preserve">sensors of </w:t>
      </w:r>
      <w:r w:rsidR="006C1293">
        <w:t xml:space="preserve">solvent </w:t>
      </w:r>
      <w:r w:rsidR="00157937">
        <w:t>polarity and acidity</w:t>
      </w:r>
      <w:r w:rsidR="006C1293">
        <w:t>.</w:t>
      </w:r>
      <w:r w:rsidR="009A3126">
        <w:t xml:space="preserve"> </w:t>
      </w:r>
    </w:p>
    <w:p w14:paraId="168896B8" w14:textId="0B3870FB" w:rsidR="009C253B" w:rsidRDefault="00EF6148" w:rsidP="00E61949">
      <w:pPr>
        <w:pStyle w:val="RSCB02ArticleText"/>
      </w:pPr>
      <w:r>
        <w:t xml:space="preserve">Finally, taking profit </w:t>
      </w:r>
      <w:r w:rsidR="006C1293">
        <w:t>from these composites' easy processability, fluorescent 3D models with tailored shapes have</w:t>
      </w:r>
      <w:r w:rsidR="00A556A4">
        <w:t xml:space="preserve"> been prepared </w:t>
      </w:r>
      <w:r w:rsidR="006C1293">
        <w:t>using</w:t>
      </w:r>
      <w:r w:rsidR="00A556A4">
        <w:t xml:space="preserve"> </w:t>
      </w:r>
      <w:r w:rsidR="006C1293" w:rsidRPr="006C1293">
        <w:t xml:space="preserve">3D </w:t>
      </w:r>
      <w:r w:rsidR="0023415B">
        <w:t>LCD</w:t>
      </w:r>
      <w:r w:rsidR="006C1293" w:rsidRPr="006C1293">
        <w:t xml:space="preserve"> additive manufacturing</w:t>
      </w:r>
      <w:r w:rsidR="00A556A4">
        <w:t>.</w:t>
      </w:r>
      <w:r w:rsidR="002F1CB2">
        <w:t xml:space="preserve"> </w:t>
      </w:r>
      <w:r w:rsidR="00A46DA8">
        <w:t xml:space="preserve">To the best of our knowledge, </w:t>
      </w:r>
      <w:r w:rsidR="001A2A86">
        <w:t xml:space="preserve">this approach represents a new methodology to prepare </w:t>
      </w:r>
      <w:r w:rsidR="0084188D">
        <w:t xml:space="preserve">3D tailored </w:t>
      </w:r>
      <w:r w:rsidR="007E080E">
        <w:t xml:space="preserve">composites </w:t>
      </w:r>
      <w:r w:rsidR="00222312">
        <w:t>containing COF nanosheets.</w:t>
      </w:r>
    </w:p>
    <w:p w14:paraId="177CDB0E" w14:textId="30DD831C" w:rsidR="00C9557D" w:rsidRDefault="00C9557D" w:rsidP="00C9557D">
      <w:pPr>
        <w:pStyle w:val="RSCB04AHeadingSection"/>
      </w:pPr>
      <w:r>
        <w:t>Conflict</w:t>
      </w:r>
      <w:r w:rsidR="00F05C18">
        <w:t>s</w:t>
      </w:r>
      <w:r>
        <w:t xml:space="preserve"> of interest</w:t>
      </w:r>
    </w:p>
    <w:p w14:paraId="246AAD08" w14:textId="7A9F5243" w:rsidR="00A05364" w:rsidRPr="00A05364" w:rsidRDefault="00A05364" w:rsidP="00A05364">
      <w:pPr>
        <w:rPr>
          <w:rFonts w:cs="Times New Roman"/>
          <w:w w:val="108"/>
          <w:sz w:val="18"/>
          <w:szCs w:val="18"/>
        </w:rPr>
      </w:pPr>
      <w:r w:rsidRPr="00A05364">
        <w:rPr>
          <w:rFonts w:cs="Times New Roman"/>
          <w:w w:val="108"/>
          <w:sz w:val="18"/>
          <w:szCs w:val="18"/>
        </w:rPr>
        <w:t>There are no conflicts to declare.</w:t>
      </w:r>
    </w:p>
    <w:p w14:paraId="2B7CDDB1" w14:textId="22A5C954" w:rsidR="00FA2DA2" w:rsidRDefault="00FA2DA2" w:rsidP="00FA2DA2">
      <w:pPr>
        <w:pStyle w:val="RSCB04AHeadingSection"/>
      </w:pPr>
      <w:r w:rsidRPr="00E740C6">
        <w:t>Acknowledgements</w:t>
      </w:r>
    </w:p>
    <w:p w14:paraId="70519FF5" w14:textId="7540B43C" w:rsidR="00FA2DA2" w:rsidRPr="00E740C6" w:rsidRDefault="00E740C6" w:rsidP="00FA2DA2">
      <w:pPr>
        <w:pStyle w:val="RSCB02ArticleText"/>
        <w:rPr>
          <w:lang w:val="es-ES"/>
        </w:rPr>
      </w:pPr>
      <w:r w:rsidRPr="00E740C6">
        <w:t xml:space="preserve">This work has been supported by the Spanish MINECO (PID2019-106268GB-C32, PID2019-106268GB-C33, PID2020-113142RB-C21), and through the “María de </w:t>
      </w:r>
      <w:proofErr w:type="spellStart"/>
      <w:r w:rsidRPr="00E740C6">
        <w:t>Maeztu</w:t>
      </w:r>
      <w:proofErr w:type="spellEnd"/>
      <w:r w:rsidRPr="00E740C6">
        <w:t xml:space="preserve">” Programme for Units of Excellence in R&amp;D (CEX2018-000805-M). </w:t>
      </w:r>
      <w:r w:rsidRPr="00E740C6">
        <w:rPr>
          <w:lang w:val="es-ES"/>
        </w:rPr>
        <w:t xml:space="preserve">JIM </w:t>
      </w:r>
      <w:proofErr w:type="spellStart"/>
      <w:r w:rsidRPr="00E740C6">
        <w:rPr>
          <w:lang w:val="es-ES"/>
        </w:rPr>
        <w:t>acknowledges</w:t>
      </w:r>
      <w:proofErr w:type="spellEnd"/>
      <w:r w:rsidRPr="00E740C6">
        <w:rPr>
          <w:lang w:val="es-ES"/>
        </w:rPr>
        <w:t xml:space="preserve"> Comunidad de Madrid </w:t>
      </w:r>
      <w:proofErr w:type="spellStart"/>
      <w:r w:rsidRPr="00E740C6">
        <w:rPr>
          <w:lang w:val="es-ES"/>
        </w:rPr>
        <w:t>via</w:t>
      </w:r>
      <w:proofErr w:type="spellEnd"/>
      <w:r w:rsidRPr="00E740C6">
        <w:rPr>
          <w:lang w:val="es-ES"/>
        </w:rPr>
        <w:t xml:space="preserve"> ‘Programa de Investigación Tecnologías 2018’ (FOTOART-CM S2018/NMT-4367)”</w:t>
      </w:r>
      <w:r w:rsidR="00C5798A" w:rsidRPr="00E740C6">
        <w:rPr>
          <w:lang w:val="es-ES"/>
        </w:rPr>
        <w:t xml:space="preserve"> </w:t>
      </w:r>
      <w:r w:rsidRPr="00E740C6">
        <w:rPr>
          <w:rFonts w:cstheme="minorHAnsi"/>
          <w:lang w:val="es-ES"/>
        </w:rPr>
        <w:t xml:space="preserve">MMF </w:t>
      </w:r>
      <w:proofErr w:type="spellStart"/>
      <w:r w:rsidRPr="00E740C6">
        <w:rPr>
          <w:rFonts w:cstheme="minorHAnsi"/>
          <w:lang w:val="es-ES"/>
        </w:rPr>
        <w:t>acknowledges</w:t>
      </w:r>
      <w:proofErr w:type="spellEnd"/>
      <w:r w:rsidRPr="00E740C6">
        <w:rPr>
          <w:rFonts w:cstheme="minorHAnsi"/>
          <w:lang w:val="es-ES"/>
        </w:rPr>
        <w:t xml:space="preserve"> Comunidad de Madrid </w:t>
      </w:r>
      <w:proofErr w:type="spellStart"/>
      <w:r w:rsidRPr="00E740C6">
        <w:rPr>
          <w:rFonts w:cstheme="minorHAnsi"/>
          <w:lang w:val="es-ES"/>
        </w:rPr>
        <w:t>for</w:t>
      </w:r>
      <w:proofErr w:type="spellEnd"/>
      <w:r w:rsidRPr="00E740C6">
        <w:rPr>
          <w:rFonts w:cstheme="minorHAnsi"/>
          <w:lang w:val="es-ES"/>
        </w:rPr>
        <w:t xml:space="preserve"> a predoctoral </w:t>
      </w:r>
      <w:proofErr w:type="spellStart"/>
      <w:r w:rsidRPr="00E740C6">
        <w:rPr>
          <w:rFonts w:cstheme="minorHAnsi"/>
          <w:lang w:val="es-ES"/>
        </w:rPr>
        <w:t>contract</w:t>
      </w:r>
      <w:proofErr w:type="spellEnd"/>
      <w:r w:rsidRPr="00E740C6">
        <w:rPr>
          <w:rFonts w:cstheme="minorHAnsi"/>
          <w:lang w:val="es-ES"/>
        </w:rPr>
        <w:t>.</w:t>
      </w:r>
    </w:p>
    <w:p w14:paraId="1892B867" w14:textId="7B758BE7" w:rsidR="00D010E8" w:rsidRPr="00D93422" w:rsidRDefault="00E61949" w:rsidP="0047645B">
      <w:pPr>
        <w:spacing w:before="400" w:after="80" w:line="240" w:lineRule="auto"/>
        <w:rPr>
          <w:sz w:val="18"/>
          <w:szCs w:val="18"/>
          <w:lang w:val="en-US"/>
        </w:rPr>
      </w:pPr>
      <w:r w:rsidRPr="00D93422">
        <w:rPr>
          <w:b/>
          <w:sz w:val="24"/>
          <w:lang w:val="en-US"/>
        </w:rPr>
        <w:t>Notes and references</w:t>
      </w:r>
    </w:p>
    <w:p w14:paraId="0A4CC726" w14:textId="725B6D08" w:rsidR="00855E4C" w:rsidRPr="00855E4C" w:rsidRDefault="00B54EA1" w:rsidP="00855E4C">
      <w:pPr>
        <w:widowControl w:val="0"/>
        <w:autoSpaceDE w:val="0"/>
        <w:autoSpaceDN w:val="0"/>
        <w:adjustRightInd w:val="0"/>
        <w:spacing w:after="0" w:line="240" w:lineRule="exact"/>
        <w:ind w:left="640" w:hanging="640"/>
        <w:rPr>
          <w:rFonts w:ascii="Calibri" w:hAnsi="Calibri" w:cs="Calibri"/>
          <w:noProof/>
          <w:sz w:val="18"/>
          <w:szCs w:val="24"/>
        </w:rPr>
      </w:pPr>
      <w:r>
        <w:fldChar w:fldCharType="begin" w:fldLock="1"/>
      </w:r>
      <w:r>
        <w:instrText xml:space="preserve">ADDIN Mendeley Bibliography CSL_BIBLIOGRAPHY </w:instrText>
      </w:r>
      <w:r>
        <w:fldChar w:fldCharType="separate"/>
      </w:r>
      <w:r w:rsidR="00855E4C" w:rsidRPr="00855E4C">
        <w:rPr>
          <w:rFonts w:ascii="Calibri" w:hAnsi="Calibri" w:cs="Calibri"/>
          <w:noProof/>
          <w:sz w:val="18"/>
          <w:szCs w:val="24"/>
        </w:rPr>
        <w:t>1</w:t>
      </w:r>
      <w:r w:rsidR="00855E4C" w:rsidRPr="00855E4C">
        <w:rPr>
          <w:rFonts w:ascii="Calibri" w:hAnsi="Calibri" w:cs="Calibri"/>
          <w:noProof/>
          <w:sz w:val="18"/>
          <w:szCs w:val="24"/>
        </w:rPr>
        <w:tab/>
        <w:t xml:space="preserve">N. W. Ockwig, A. P. Co, M. O. Keeffe, A. J. Matzger and O. M. Yaghi, </w:t>
      </w:r>
      <w:r w:rsidR="00855E4C" w:rsidRPr="00855E4C">
        <w:rPr>
          <w:rFonts w:ascii="Calibri" w:hAnsi="Calibri" w:cs="Calibri"/>
          <w:i/>
          <w:iCs/>
          <w:noProof/>
          <w:sz w:val="18"/>
          <w:szCs w:val="24"/>
        </w:rPr>
        <w:t>Science (80-. ).</w:t>
      </w:r>
      <w:r w:rsidR="00855E4C" w:rsidRPr="00855E4C">
        <w:rPr>
          <w:rFonts w:ascii="Calibri" w:hAnsi="Calibri" w:cs="Calibri"/>
          <w:noProof/>
          <w:sz w:val="18"/>
          <w:szCs w:val="24"/>
        </w:rPr>
        <w:t xml:space="preserve">, 2005, </w:t>
      </w:r>
      <w:r w:rsidR="00855E4C" w:rsidRPr="00855E4C">
        <w:rPr>
          <w:rFonts w:ascii="Calibri" w:hAnsi="Calibri" w:cs="Calibri"/>
          <w:b/>
          <w:bCs/>
          <w:noProof/>
          <w:sz w:val="18"/>
          <w:szCs w:val="24"/>
        </w:rPr>
        <w:t>310</w:t>
      </w:r>
      <w:r w:rsidR="00855E4C" w:rsidRPr="00855E4C">
        <w:rPr>
          <w:rFonts w:ascii="Calibri" w:hAnsi="Calibri" w:cs="Calibri"/>
          <w:noProof/>
          <w:sz w:val="18"/>
          <w:szCs w:val="24"/>
        </w:rPr>
        <w:t>, 1166–1171.</w:t>
      </w:r>
    </w:p>
    <w:p w14:paraId="3E80AF3B"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855E4C">
        <w:rPr>
          <w:rFonts w:ascii="Calibri" w:hAnsi="Calibri" w:cs="Calibri"/>
          <w:noProof/>
          <w:sz w:val="18"/>
          <w:szCs w:val="24"/>
        </w:rPr>
        <w:lastRenderedPageBreak/>
        <w:t>2</w:t>
      </w:r>
      <w:r w:rsidRPr="00855E4C">
        <w:rPr>
          <w:rFonts w:ascii="Calibri" w:hAnsi="Calibri" w:cs="Calibri"/>
          <w:noProof/>
          <w:sz w:val="18"/>
          <w:szCs w:val="24"/>
        </w:rPr>
        <w:tab/>
        <w:t xml:space="preserve">K. Geng, T. He, R. Liu, S. Dalapati, K. T. Tan, Z. Li, S. Tao, Y. Gong, Q. Jiang and D. Jiang, </w:t>
      </w:r>
      <w:r w:rsidRPr="00855E4C">
        <w:rPr>
          <w:rFonts w:ascii="Calibri" w:hAnsi="Calibri" w:cs="Calibri"/>
          <w:i/>
          <w:iCs/>
          <w:noProof/>
          <w:sz w:val="18"/>
          <w:szCs w:val="24"/>
        </w:rPr>
        <w:t>Chem. Rev.</w:t>
      </w:r>
      <w:r w:rsidRPr="00855E4C">
        <w:rPr>
          <w:rFonts w:ascii="Calibri" w:hAnsi="Calibri" w:cs="Calibri"/>
          <w:noProof/>
          <w:sz w:val="18"/>
          <w:szCs w:val="24"/>
        </w:rPr>
        <w:t xml:space="preserve">, 2020, </w:t>
      </w:r>
      <w:r w:rsidRPr="00855E4C">
        <w:rPr>
          <w:rFonts w:ascii="Calibri" w:hAnsi="Calibri" w:cs="Calibri"/>
          <w:b/>
          <w:bCs/>
          <w:noProof/>
          <w:sz w:val="18"/>
          <w:szCs w:val="24"/>
        </w:rPr>
        <w:t>120</w:t>
      </w:r>
      <w:r w:rsidRPr="00855E4C">
        <w:rPr>
          <w:rFonts w:ascii="Calibri" w:hAnsi="Calibri" w:cs="Calibri"/>
          <w:noProof/>
          <w:sz w:val="18"/>
          <w:szCs w:val="24"/>
        </w:rPr>
        <w:t>, 8814–8933.</w:t>
      </w:r>
    </w:p>
    <w:p w14:paraId="69CF4DA3"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855E4C">
        <w:rPr>
          <w:rFonts w:ascii="Calibri" w:hAnsi="Calibri" w:cs="Calibri"/>
          <w:noProof/>
          <w:sz w:val="18"/>
          <w:szCs w:val="24"/>
        </w:rPr>
        <w:t>3</w:t>
      </w:r>
      <w:r w:rsidRPr="00855E4C">
        <w:rPr>
          <w:rFonts w:ascii="Calibri" w:hAnsi="Calibri" w:cs="Calibri"/>
          <w:noProof/>
          <w:sz w:val="18"/>
          <w:szCs w:val="24"/>
        </w:rPr>
        <w:tab/>
        <w:t xml:space="preserve">X. Chen, K. Geng, R. Liu, K. T. Tan, Y. Gong, Z. Li, S. Tao, Q. Jiang and D. Jiang, </w:t>
      </w:r>
      <w:r w:rsidRPr="00855E4C">
        <w:rPr>
          <w:rFonts w:ascii="Calibri" w:hAnsi="Calibri" w:cs="Calibri"/>
          <w:i/>
          <w:iCs/>
          <w:noProof/>
          <w:sz w:val="18"/>
          <w:szCs w:val="24"/>
        </w:rPr>
        <w:t>Angew. Chemie - Int. Ed.</w:t>
      </w:r>
      <w:r w:rsidRPr="00855E4C">
        <w:rPr>
          <w:rFonts w:ascii="Calibri" w:hAnsi="Calibri" w:cs="Calibri"/>
          <w:noProof/>
          <w:sz w:val="18"/>
          <w:szCs w:val="24"/>
        </w:rPr>
        <w:t xml:space="preserve">, 2020, </w:t>
      </w:r>
      <w:r w:rsidRPr="00855E4C">
        <w:rPr>
          <w:rFonts w:ascii="Calibri" w:hAnsi="Calibri" w:cs="Calibri"/>
          <w:b/>
          <w:bCs/>
          <w:noProof/>
          <w:sz w:val="18"/>
          <w:szCs w:val="24"/>
        </w:rPr>
        <w:t>59</w:t>
      </w:r>
      <w:r w:rsidRPr="00855E4C">
        <w:rPr>
          <w:rFonts w:ascii="Calibri" w:hAnsi="Calibri" w:cs="Calibri"/>
          <w:noProof/>
          <w:sz w:val="18"/>
          <w:szCs w:val="24"/>
        </w:rPr>
        <w:t>, 5050–5091.</w:t>
      </w:r>
    </w:p>
    <w:p w14:paraId="50E252EF"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855E4C">
        <w:rPr>
          <w:rFonts w:ascii="Calibri" w:hAnsi="Calibri" w:cs="Calibri"/>
          <w:noProof/>
          <w:sz w:val="18"/>
          <w:szCs w:val="24"/>
        </w:rPr>
        <w:t>4</w:t>
      </w:r>
      <w:r w:rsidRPr="00855E4C">
        <w:rPr>
          <w:rFonts w:ascii="Calibri" w:hAnsi="Calibri" w:cs="Calibri"/>
          <w:noProof/>
          <w:sz w:val="18"/>
          <w:szCs w:val="24"/>
        </w:rPr>
        <w:tab/>
        <w:t xml:space="preserve">C. Li and G. Yu, </w:t>
      </w:r>
      <w:r w:rsidRPr="00855E4C">
        <w:rPr>
          <w:rFonts w:ascii="Calibri" w:hAnsi="Calibri" w:cs="Calibri"/>
          <w:i/>
          <w:iCs/>
          <w:noProof/>
          <w:sz w:val="18"/>
          <w:szCs w:val="24"/>
        </w:rPr>
        <w:t>Small</w:t>
      </w:r>
      <w:r w:rsidRPr="00855E4C">
        <w:rPr>
          <w:rFonts w:ascii="Calibri" w:hAnsi="Calibri" w:cs="Calibri"/>
          <w:noProof/>
          <w:sz w:val="18"/>
          <w:szCs w:val="24"/>
        </w:rPr>
        <w:t xml:space="preserve">, 2021, </w:t>
      </w:r>
      <w:r w:rsidRPr="00855E4C">
        <w:rPr>
          <w:rFonts w:ascii="Calibri" w:hAnsi="Calibri" w:cs="Calibri"/>
          <w:b/>
          <w:bCs/>
          <w:noProof/>
          <w:sz w:val="18"/>
          <w:szCs w:val="24"/>
        </w:rPr>
        <w:t>2100918</w:t>
      </w:r>
      <w:r w:rsidRPr="00855E4C">
        <w:rPr>
          <w:rFonts w:ascii="Calibri" w:hAnsi="Calibri" w:cs="Calibri"/>
          <w:noProof/>
          <w:sz w:val="18"/>
          <w:szCs w:val="24"/>
        </w:rPr>
        <w:t>, 1–39.</w:t>
      </w:r>
    </w:p>
    <w:p w14:paraId="15948A2C"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855E4C">
        <w:rPr>
          <w:rFonts w:ascii="Calibri" w:hAnsi="Calibri" w:cs="Calibri"/>
          <w:noProof/>
          <w:sz w:val="18"/>
          <w:szCs w:val="24"/>
        </w:rPr>
        <w:t>5</w:t>
      </w:r>
      <w:r w:rsidRPr="00855E4C">
        <w:rPr>
          <w:rFonts w:ascii="Calibri" w:hAnsi="Calibri" w:cs="Calibri"/>
          <w:noProof/>
          <w:sz w:val="18"/>
          <w:szCs w:val="24"/>
        </w:rPr>
        <w:tab/>
        <w:t xml:space="preserve">M. S. Lohse and T. Bein, </w:t>
      </w:r>
      <w:r w:rsidRPr="00855E4C">
        <w:rPr>
          <w:rFonts w:ascii="Calibri" w:hAnsi="Calibri" w:cs="Calibri"/>
          <w:i/>
          <w:iCs/>
          <w:noProof/>
          <w:sz w:val="18"/>
          <w:szCs w:val="24"/>
        </w:rPr>
        <w:t>Adv. Funct. Mater.</w:t>
      </w:r>
      <w:r w:rsidRPr="00855E4C">
        <w:rPr>
          <w:rFonts w:ascii="Calibri" w:hAnsi="Calibri" w:cs="Calibri"/>
          <w:noProof/>
          <w:sz w:val="18"/>
          <w:szCs w:val="24"/>
        </w:rPr>
        <w:t xml:space="preserve">, 2018, </w:t>
      </w:r>
      <w:r w:rsidRPr="00855E4C">
        <w:rPr>
          <w:rFonts w:ascii="Calibri" w:hAnsi="Calibri" w:cs="Calibri"/>
          <w:b/>
          <w:bCs/>
          <w:noProof/>
          <w:sz w:val="18"/>
          <w:szCs w:val="24"/>
        </w:rPr>
        <w:t>28</w:t>
      </w:r>
      <w:r w:rsidRPr="00855E4C">
        <w:rPr>
          <w:rFonts w:ascii="Calibri" w:hAnsi="Calibri" w:cs="Calibri"/>
          <w:noProof/>
          <w:sz w:val="18"/>
          <w:szCs w:val="24"/>
        </w:rPr>
        <w:t>, 1705553.</w:t>
      </w:r>
    </w:p>
    <w:p w14:paraId="7E856A4F"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855E4C">
        <w:rPr>
          <w:rFonts w:ascii="Calibri" w:hAnsi="Calibri" w:cs="Calibri"/>
          <w:noProof/>
          <w:sz w:val="18"/>
          <w:szCs w:val="24"/>
        </w:rPr>
        <w:t>6</w:t>
      </w:r>
      <w:r w:rsidRPr="00855E4C">
        <w:rPr>
          <w:rFonts w:ascii="Calibri" w:hAnsi="Calibri" w:cs="Calibri"/>
          <w:noProof/>
          <w:sz w:val="18"/>
          <w:szCs w:val="24"/>
        </w:rPr>
        <w:tab/>
        <w:t xml:space="preserve">R. P. Bisbey and W. R. Dichtel, </w:t>
      </w:r>
      <w:r w:rsidRPr="00855E4C">
        <w:rPr>
          <w:rFonts w:ascii="Calibri" w:hAnsi="Calibri" w:cs="Calibri"/>
          <w:i/>
          <w:iCs/>
          <w:noProof/>
          <w:sz w:val="18"/>
          <w:szCs w:val="24"/>
        </w:rPr>
        <w:t>ACS Cent. Sci.</w:t>
      </w:r>
      <w:r w:rsidRPr="00855E4C">
        <w:rPr>
          <w:rFonts w:ascii="Calibri" w:hAnsi="Calibri" w:cs="Calibri"/>
          <w:noProof/>
          <w:sz w:val="18"/>
          <w:szCs w:val="24"/>
        </w:rPr>
        <w:t xml:space="preserve">, 2017, </w:t>
      </w:r>
      <w:r w:rsidRPr="00855E4C">
        <w:rPr>
          <w:rFonts w:ascii="Calibri" w:hAnsi="Calibri" w:cs="Calibri"/>
          <w:b/>
          <w:bCs/>
          <w:noProof/>
          <w:sz w:val="18"/>
          <w:szCs w:val="24"/>
        </w:rPr>
        <w:t>3</w:t>
      </w:r>
      <w:r w:rsidRPr="00855E4C">
        <w:rPr>
          <w:rFonts w:ascii="Calibri" w:hAnsi="Calibri" w:cs="Calibri"/>
          <w:noProof/>
          <w:sz w:val="18"/>
          <w:szCs w:val="24"/>
        </w:rPr>
        <w:t>, 533–543.</w:t>
      </w:r>
    </w:p>
    <w:p w14:paraId="5F4C5EF8"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855E4C">
        <w:rPr>
          <w:rFonts w:ascii="Calibri" w:hAnsi="Calibri" w:cs="Calibri"/>
          <w:noProof/>
          <w:sz w:val="18"/>
          <w:szCs w:val="24"/>
        </w:rPr>
        <w:t>7</w:t>
      </w:r>
      <w:r w:rsidRPr="00855E4C">
        <w:rPr>
          <w:rFonts w:ascii="Calibri" w:hAnsi="Calibri" w:cs="Calibri"/>
          <w:noProof/>
          <w:sz w:val="18"/>
          <w:szCs w:val="24"/>
        </w:rPr>
        <w:tab/>
        <w:t xml:space="preserve">J. L. Segura, M. J. Mancheño and F. Zamora, </w:t>
      </w:r>
      <w:r w:rsidRPr="00855E4C">
        <w:rPr>
          <w:rFonts w:ascii="Calibri" w:hAnsi="Calibri" w:cs="Calibri"/>
          <w:i/>
          <w:iCs/>
          <w:noProof/>
          <w:sz w:val="18"/>
          <w:szCs w:val="24"/>
        </w:rPr>
        <w:t>Chem. Soc. Rev.</w:t>
      </w:r>
      <w:r w:rsidRPr="00855E4C">
        <w:rPr>
          <w:rFonts w:ascii="Calibri" w:hAnsi="Calibri" w:cs="Calibri"/>
          <w:noProof/>
          <w:sz w:val="18"/>
          <w:szCs w:val="24"/>
        </w:rPr>
        <w:t xml:space="preserve">, 2016, </w:t>
      </w:r>
      <w:r w:rsidRPr="00855E4C">
        <w:rPr>
          <w:rFonts w:ascii="Calibri" w:hAnsi="Calibri" w:cs="Calibri"/>
          <w:b/>
          <w:bCs/>
          <w:noProof/>
          <w:sz w:val="18"/>
          <w:szCs w:val="24"/>
        </w:rPr>
        <w:t>45</w:t>
      </w:r>
      <w:r w:rsidRPr="00855E4C">
        <w:rPr>
          <w:rFonts w:ascii="Calibri" w:hAnsi="Calibri" w:cs="Calibri"/>
          <w:noProof/>
          <w:sz w:val="18"/>
          <w:szCs w:val="24"/>
        </w:rPr>
        <w:t>, 5635–5671.</w:t>
      </w:r>
    </w:p>
    <w:p w14:paraId="0FE43D1E"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855E4C">
        <w:rPr>
          <w:rFonts w:ascii="Calibri" w:hAnsi="Calibri" w:cs="Calibri"/>
          <w:noProof/>
          <w:sz w:val="18"/>
          <w:szCs w:val="24"/>
        </w:rPr>
        <w:t>8</w:t>
      </w:r>
      <w:r w:rsidRPr="00855E4C">
        <w:rPr>
          <w:rFonts w:ascii="Calibri" w:hAnsi="Calibri" w:cs="Calibri"/>
          <w:noProof/>
          <w:sz w:val="18"/>
          <w:szCs w:val="24"/>
        </w:rPr>
        <w:tab/>
        <w:t xml:space="preserve">L. Zhu and Y. B. Zhang, </w:t>
      </w:r>
      <w:r w:rsidRPr="00855E4C">
        <w:rPr>
          <w:rFonts w:ascii="Calibri" w:hAnsi="Calibri" w:cs="Calibri"/>
          <w:i/>
          <w:iCs/>
          <w:noProof/>
          <w:sz w:val="18"/>
          <w:szCs w:val="24"/>
        </w:rPr>
        <w:t>Molecules</w:t>
      </w:r>
      <w:r w:rsidRPr="00855E4C">
        <w:rPr>
          <w:rFonts w:ascii="Calibri" w:hAnsi="Calibri" w:cs="Calibri"/>
          <w:noProof/>
          <w:sz w:val="18"/>
          <w:szCs w:val="24"/>
        </w:rPr>
        <w:t xml:space="preserve">, 2017, </w:t>
      </w:r>
      <w:r w:rsidRPr="00855E4C">
        <w:rPr>
          <w:rFonts w:ascii="Calibri" w:hAnsi="Calibri" w:cs="Calibri"/>
          <w:b/>
          <w:bCs/>
          <w:noProof/>
          <w:sz w:val="18"/>
          <w:szCs w:val="24"/>
        </w:rPr>
        <w:t>22</w:t>
      </w:r>
      <w:r w:rsidRPr="00855E4C">
        <w:rPr>
          <w:rFonts w:ascii="Calibri" w:hAnsi="Calibri" w:cs="Calibri"/>
          <w:noProof/>
          <w:sz w:val="18"/>
          <w:szCs w:val="24"/>
        </w:rPr>
        <w:t>, 1149.</w:t>
      </w:r>
    </w:p>
    <w:p w14:paraId="42096664"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855E4C">
        <w:rPr>
          <w:rFonts w:ascii="Calibri" w:hAnsi="Calibri" w:cs="Calibri"/>
          <w:noProof/>
          <w:sz w:val="18"/>
          <w:szCs w:val="24"/>
        </w:rPr>
        <w:t>9</w:t>
      </w:r>
      <w:r w:rsidRPr="00855E4C">
        <w:rPr>
          <w:rFonts w:ascii="Calibri" w:hAnsi="Calibri" w:cs="Calibri"/>
          <w:noProof/>
          <w:sz w:val="18"/>
          <w:szCs w:val="24"/>
        </w:rPr>
        <w:tab/>
        <w:t xml:space="preserve">C. Y. Lin, D. Zhang, Z. Zhao and Z. Xia, </w:t>
      </w:r>
      <w:r w:rsidRPr="00855E4C">
        <w:rPr>
          <w:rFonts w:ascii="Calibri" w:hAnsi="Calibri" w:cs="Calibri"/>
          <w:i/>
          <w:iCs/>
          <w:noProof/>
          <w:sz w:val="18"/>
          <w:szCs w:val="24"/>
        </w:rPr>
        <w:t>Adv. Mater.</w:t>
      </w:r>
      <w:r w:rsidRPr="00855E4C">
        <w:rPr>
          <w:rFonts w:ascii="Calibri" w:hAnsi="Calibri" w:cs="Calibri"/>
          <w:noProof/>
          <w:sz w:val="18"/>
          <w:szCs w:val="24"/>
        </w:rPr>
        <w:t xml:space="preserve">, 2018, </w:t>
      </w:r>
      <w:r w:rsidRPr="00855E4C">
        <w:rPr>
          <w:rFonts w:ascii="Calibri" w:hAnsi="Calibri" w:cs="Calibri"/>
          <w:b/>
          <w:bCs/>
          <w:noProof/>
          <w:sz w:val="18"/>
          <w:szCs w:val="24"/>
        </w:rPr>
        <w:t>30</w:t>
      </w:r>
      <w:r w:rsidRPr="00855E4C">
        <w:rPr>
          <w:rFonts w:ascii="Calibri" w:hAnsi="Calibri" w:cs="Calibri"/>
          <w:noProof/>
          <w:sz w:val="18"/>
          <w:szCs w:val="24"/>
        </w:rPr>
        <w:t>, 1–16.</w:t>
      </w:r>
    </w:p>
    <w:p w14:paraId="7DA9D088"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855E4C">
        <w:rPr>
          <w:rFonts w:ascii="Calibri" w:hAnsi="Calibri" w:cs="Calibri"/>
          <w:noProof/>
          <w:sz w:val="18"/>
          <w:szCs w:val="24"/>
        </w:rPr>
        <w:t>10</w:t>
      </w:r>
      <w:r w:rsidRPr="00855E4C">
        <w:rPr>
          <w:rFonts w:ascii="Calibri" w:hAnsi="Calibri" w:cs="Calibri"/>
          <w:noProof/>
          <w:sz w:val="18"/>
          <w:szCs w:val="24"/>
        </w:rPr>
        <w:tab/>
        <w:t xml:space="preserve">X. Cui, H. Dong, S. Chen, M. Wu and Y. Wang, </w:t>
      </w:r>
      <w:r w:rsidRPr="00855E4C">
        <w:rPr>
          <w:rFonts w:ascii="Calibri" w:hAnsi="Calibri" w:cs="Calibri"/>
          <w:i/>
          <w:iCs/>
          <w:noProof/>
          <w:sz w:val="18"/>
          <w:szCs w:val="24"/>
        </w:rPr>
        <w:t>Batter. Supercaps</w:t>
      </w:r>
      <w:r w:rsidRPr="00855E4C">
        <w:rPr>
          <w:rFonts w:ascii="Calibri" w:hAnsi="Calibri" w:cs="Calibri"/>
          <w:noProof/>
          <w:sz w:val="18"/>
          <w:szCs w:val="24"/>
        </w:rPr>
        <w:t xml:space="preserve">, 2021, </w:t>
      </w:r>
      <w:r w:rsidRPr="00855E4C">
        <w:rPr>
          <w:rFonts w:ascii="Calibri" w:hAnsi="Calibri" w:cs="Calibri"/>
          <w:b/>
          <w:bCs/>
          <w:noProof/>
          <w:sz w:val="18"/>
          <w:szCs w:val="24"/>
        </w:rPr>
        <w:t>4</w:t>
      </w:r>
      <w:r w:rsidRPr="00855E4C">
        <w:rPr>
          <w:rFonts w:ascii="Calibri" w:hAnsi="Calibri" w:cs="Calibri"/>
          <w:noProof/>
          <w:sz w:val="18"/>
          <w:szCs w:val="24"/>
        </w:rPr>
        <w:t>, 72–97.</w:t>
      </w:r>
    </w:p>
    <w:p w14:paraId="76B1F92C"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855E4C">
        <w:rPr>
          <w:rFonts w:ascii="Calibri" w:hAnsi="Calibri" w:cs="Calibri"/>
          <w:noProof/>
          <w:sz w:val="18"/>
          <w:szCs w:val="24"/>
        </w:rPr>
        <w:t>11</w:t>
      </w:r>
      <w:r w:rsidRPr="00855E4C">
        <w:rPr>
          <w:rFonts w:ascii="Calibri" w:hAnsi="Calibri" w:cs="Calibri"/>
          <w:noProof/>
          <w:sz w:val="18"/>
          <w:szCs w:val="24"/>
        </w:rPr>
        <w:tab/>
        <w:t xml:space="preserve">N. Zhang, A. Ishag, Y. Li, H. Wang, H. Guo, P. Mei, Q. Meng and Y. Sun, </w:t>
      </w:r>
      <w:r w:rsidRPr="00855E4C">
        <w:rPr>
          <w:rFonts w:ascii="Calibri" w:hAnsi="Calibri" w:cs="Calibri"/>
          <w:i/>
          <w:iCs/>
          <w:noProof/>
          <w:sz w:val="18"/>
          <w:szCs w:val="24"/>
        </w:rPr>
        <w:t>J. Clean. Prod.</w:t>
      </w:r>
      <w:r w:rsidRPr="00855E4C">
        <w:rPr>
          <w:rFonts w:ascii="Calibri" w:hAnsi="Calibri" w:cs="Calibri"/>
          <w:noProof/>
          <w:sz w:val="18"/>
          <w:szCs w:val="24"/>
        </w:rPr>
        <w:t xml:space="preserve">, 2020, </w:t>
      </w:r>
      <w:r w:rsidRPr="00855E4C">
        <w:rPr>
          <w:rFonts w:ascii="Calibri" w:hAnsi="Calibri" w:cs="Calibri"/>
          <w:b/>
          <w:bCs/>
          <w:noProof/>
          <w:sz w:val="18"/>
          <w:szCs w:val="24"/>
        </w:rPr>
        <w:t>277</w:t>
      </w:r>
      <w:r w:rsidRPr="00855E4C">
        <w:rPr>
          <w:rFonts w:ascii="Calibri" w:hAnsi="Calibri" w:cs="Calibri"/>
          <w:noProof/>
          <w:sz w:val="18"/>
          <w:szCs w:val="24"/>
        </w:rPr>
        <w:t>, 123360.</w:t>
      </w:r>
    </w:p>
    <w:p w14:paraId="24B11249"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855E4C">
        <w:rPr>
          <w:rFonts w:ascii="Calibri" w:hAnsi="Calibri" w:cs="Calibri"/>
          <w:noProof/>
          <w:sz w:val="18"/>
          <w:szCs w:val="24"/>
        </w:rPr>
        <w:t>12</w:t>
      </w:r>
      <w:r w:rsidRPr="00855E4C">
        <w:rPr>
          <w:rFonts w:ascii="Calibri" w:hAnsi="Calibri" w:cs="Calibri"/>
          <w:noProof/>
          <w:sz w:val="18"/>
          <w:szCs w:val="24"/>
        </w:rPr>
        <w:tab/>
        <w:t xml:space="preserve">J. Wang and S. Zhuang, </w:t>
      </w:r>
      <w:r w:rsidRPr="00855E4C">
        <w:rPr>
          <w:rFonts w:ascii="Calibri" w:hAnsi="Calibri" w:cs="Calibri"/>
          <w:i/>
          <w:iCs/>
          <w:noProof/>
          <w:sz w:val="18"/>
          <w:szCs w:val="24"/>
        </w:rPr>
        <w:t>Coord. Chem. Rev.</w:t>
      </w:r>
      <w:r w:rsidRPr="00855E4C">
        <w:rPr>
          <w:rFonts w:ascii="Calibri" w:hAnsi="Calibri" w:cs="Calibri"/>
          <w:noProof/>
          <w:sz w:val="18"/>
          <w:szCs w:val="24"/>
        </w:rPr>
        <w:t xml:space="preserve">, 2019, </w:t>
      </w:r>
      <w:r w:rsidRPr="00855E4C">
        <w:rPr>
          <w:rFonts w:ascii="Calibri" w:hAnsi="Calibri" w:cs="Calibri"/>
          <w:b/>
          <w:bCs/>
          <w:noProof/>
          <w:sz w:val="18"/>
          <w:szCs w:val="24"/>
        </w:rPr>
        <w:t>400</w:t>
      </w:r>
      <w:r w:rsidRPr="00855E4C">
        <w:rPr>
          <w:rFonts w:ascii="Calibri" w:hAnsi="Calibri" w:cs="Calibri"/>
          <w:noProof/>
          <w:sz w:val="18"/>
          <w:szCs w:val="24"/>
        </w:rPr>
        <w:t>, 213046.</w:t>
      </w:r>
    </w:p>
    <w:p w14:paraId="38173364"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855E4C">
        <w:rPr>
          <w:rFonts w:ascii="Calibri" w:hAnsi="Calibri" w:cs="Calibri"/>
          <w:noProof/>
          <w:sz w:val="18"/>
          <w:szCs w:val="24"/>
        </w:rPr>
        <w:t>13</w:t>
      </w:r>
      <w:r w:rsidRPr="00855E4C">
        <w:rPr>
          <w:rFonts w:ascii="Calibri" w:hAnsi="Calibri" w:cs="Calibri"/>
          <w:noProof/>
          <w:sz w:val="18"/>
          <w:szCs w:val="24"/>
        </w:rPr>
        <w:tab/>
        <w:t xml:space="preserve">H. Zhu, D. Liu, D. Zou and J. Zhang, </w:t>
      </w:r>
      <w:r w:rsidRPr="00855E4C">
        <w:rPr>
          <w:rFonts w:ascii="Calibri" w:hAnsi="Calibri" w:cs="Calibri"/>
          <w:i/>
          <w:iCs/>
          <w:noProof/>
          <w:sz w:val="18"/>
          <w:szCs w:val="24"/>
        </w:rPr>
        <w:t>J. Mater. Chem. A</w:t>
      </w:r>
      <w:r w:rsidRPr="00855E4C">
        <w:rPr>
          <w:rFonts w:ascii="Calibri" w:hAnsi="Calibri" w:cs="Calibri"/>
          <w:noProof/>
          <w:sz w:val="18"/>
          <w:szCs w:val="24"/>
        </w:rPr>
        <w:t xml:space="preserve">, 2018, </w:t>
      </w:r>
      <w:r w:rsidRPr="00855E4C">
        <w:rPr>
          <w:rFonts w:ascii="Calibri" w:hAnsi="Calibri" w:cs="Calibri"/>
          <w:b/>
          <w:bCs/>
          <w:noProof/>
          <w:sz w:val="18"/>
          <w:szCs w:val="24"/>
        </w:rPr>
        <w:t>6</w:t>
      </w:r>
      <w:r w:rsidRPr="00855E4C">
        <w:rPr>
          <w:rFonts w:ascii="Calibri" w:hAnsi="Calibri" w:cs="Calibri"/>
          <w:noProof/>
          <w:sz w:val="18"/>
          <w:szCs w:val="24"/>
        </w:rPr>
        <w:t>, 6130–6154.</w:t>
      </w:r>
    </w:p>
    <w:p w14:paraId="6D1B57FF"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855E4C">
        <w:rPr>
          <w:rFonts w:ascii="Calibri" w:hAnsi="Calibri" w:cs="Calibri"/>
          <w:noProof/>
          <w:sz w:val="18"/>
          <w:szCs w:val="24"/>
        </w:rPr>
        <w:t>14</w:t>
      </w:r>
      <w:r w:rsidRPr="00855E4C">
        <w:rPr>
          <w:rFonts w:ascii="Calibri" w:hAnsi="Calibri" w:cs="Calibri"/>
          <w:noProof/>
          <w:sz w:val="18"/>
          <w:szCs w:val="24"/>
        </w:rPr>
        <w:tab/>
        <w:t xml:space="preserve">T. Skorjanc, D. Shetty and M. Valant, </w:t>
      </w:r>
      <w:r w:rsidRPr="00855E4C">
        <w:rPr>
          <w:rFonts w:ascii="Calibri" w:hAnsi="Calibri" w:cs="Calibri"/>
          <w:i/>
          <w:iCs/>
          <w:noProof/>
          <w:sz w:val="18"/>
          <w:szCs w:val="24"/>
        </w:rPr>
        <w:t>ACS Sensors</w:t>
      </w:r>
      <w:r w:rsidRPr="00855E4C">
        <w:rPr>
          <w:rFonts w:ascii="Calibri" w:hAnsi="Calibri" w:cs="Calibri"/>
          <w:noProof/>
          <w:sz w:val="18"/>
          <w:szCs w:val="24"/>
        </w:rPr>
        <w:t xml:space="preserve">, 2021, </w:t>
      </w:r>
      <w:r w:rsidRPr="00855E4C">
        <w:rPr>
          <w:rFonts w:ascii="Calibri" w:hAnsi="Calibri" w:cs="Calibri"/>
          <w:b/>
          <w:bCs/>
          <w:noProof/>
          <w:sz w:val="18"/>
          <w:szCs w:val="24"/>
        </w:rPr>
        <w:t>6</w:t>
      </w:r>
      <w:r w:rsidRPr="00855E4C">
        <w:rPr>
          <w:rFonts w:ascii="Calibri" w:hAnsi="Calibri" w:cs="Calibri"/>
          <w:noProof/>
          <w:sz w:val="18"/>
          <w:szCs w:val="24"/>
        </w:rPr>
        <w:t>, 1461–1481.</w:t>
      </w:r>
    </w:p>
    <w:p w14:paraId="4D0BB537"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855E4C">
        <w:rPr>
          <w:rFonts w:ascii="Calibri" w:hAnsi="Calibri" w:cs="Calibri"/>
          <w:noProof/>
          <w:sz w:val="18"/>
          <w:szCs w:val="24"/>
        </w:rPr>
        <w:t>15</w:t>
      </w:r>
      <w:r w:rsidRPr="00855E4C">
        <w:rPr>
          <w:rFonts w:ascii="Calibri" w:hAnsi="Calibri" w:cs="Calibri"/>
          <w:noProof/>
          <w:sz w:val="18"/>
          <w:szCs w:val="24"/>
        </w:rPr>
        <w:tab/>
        <w:t xml:space="preserve">L. Guo, L. Yang, M. Li, L. Kuang, Y. Song and L. Wang, </w:t>
      </w:r>
      <w:r w:rsidRPr="00855E4C">
        <w:rPr>
          <w:rFonts w:ascii="Calibri" w:hAnsi="Calibri" w:cs="Calibri"/>
          <w:i/>
          <w:iCs/>
          <w:noProof/>
          <w:sz w:val="18"/>
          <w:szCs w:val="24"/>
        </w:rPr>
        <w:t>Coord. Chem. Rev.</w:t>
      </w:r>
      <w:r w:rsidRPr="00855E4C">
        <w:rPr>
          <w:rFonts w:ascii="Calibri" w:hAnsi="Calibri" w:cs="Calibri"/>
          <w:noProof/>
          <w:sz w:val="18"/>
          <w:szCs w:val="24"/>
        </w:rPr>
        <w:t xml:space="preserve">, 2021, </w:t>
      </w:r>
      <w:r w:rsidRPr="00855E4C">
        <w:rPr>
          <w:rFonts w:ascii="Calibri" w:hAnsi="Calibri" w:cs="Calibri"/>
          <w:b/>
          <w:bCs/>
          <w:noProof/>
          <w:sz w:val="18"/>
          <w:szCs w:val="24"/>
        </w:rPr>
        <w:t>440</w:t>
      </w:r>
      <w:r w:rsidRPr="00855E4C">
        <w:rPr>
          <w:rFonts w:ascii="Calibri" w:hAnsi="Calibri" w:cs="Calibri"/>
          <w:noProof/>
          <w:sz w:val="18"/>
          <w:szCs w:val="24"/>
        </w:rPr>
        <w:t>, 213957.</w:t>
      </w:r>
    </w:p>
    <w:p w14:paraId="5533E841"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855E4C">
        <w:rPr>
          <w:rFonts w:ascii="Calibri" w:hAnsi="Calibri" w:cs="Calibri"/>
          <w:noProof/>
          <w:sz w:val="18"/>
          <w:szCs w:val="24"/>
        </w:rPr>
        <w:t>16</w:t>
      </w:r>
      <w:r w:rsidRPr="00855E4C">
        <w:rPr>
          <w:rFonts w:ascii="Calibri" w:hAnsi="Calibri" w:cs="Calibri"/>
          <w:noProof/>
          <w:sz w:val="18"/>
          <w:szCs w:val="24"/>
        </w:rPr>
        <w:tab/>
        <w:t xml:space="preserve">X. Liu, D. Huang, C. Lai, G. Zeng, L. Qin, H. Wang, H. Yi, B. Li, S. Liu, M. Zhang, R. Deng, Y. Fu, L. Li, W. Xue and S. Chen, </w:t>
      </w:r>
      <w:r w:rsidRPr="00855E4C">
        <w:rPr>
          <w:rFonts w:ascii="Calibri" w:hAnsi="Calibri" w:cs="Calibri"/>
          <w:i/>
          <w:iCs/>
          <w:noProof/>
          <w:sz w:val="18"/>
          <w:szCs w:val="24"/>
        </w:rPr>
        <w:t>Chem. Soc. Rev.</w:t>
      </w:r>
      <w:r w:rsidRPr="00855E4C">
        <w:rPr>
          <w:rFonts w:ascii="Calibri" w:hAnsi="Calibri" w:cs="Calibri"/>
          <w:noProof/>
          <w:sz w:val="18"/>
          <w:szCs w:val="24"/>
        </w:rPr>
        <w:t xml:space="preserve">, 2019, </w:t>
      </w:r>
      <w:r w:rsidRPr="00855E4C">
        <w:rPr>
          <w:rFonts w:ascii="Calibri" w:hAnsi="Calibri" w:cs="Calibri"/>
          <w:b/>
          <w:bCs/>
          <w:noProof/>
          <w:sz w:val="18"/>
          <w:szCs w:val="24"/>
        </w:rPr>
        <w:t>48</w:t>
      </w:r>
      <w:r w:rsidRPr="00855E4C">
        <w:rPr>
          <w:rFonts w:ascii="Calibri" w:hAnsi="Calibri" w:cs="Calibri"/>
          <w:noProof/>
          <w:sz w:val="18"/>
          <w:szCs w:val="24"/>
        </w:rPr>
        <w:t>, 5266–5302.</w:t>
      </w:r>
    </w:p>
    <w:p w14:paraId="4361E752"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855E4C">
        <w:rPr>
          <w:rFonts w:ascii="Calibri" w:hAnsi="Calibri" w:cs="Calibri"/>
          <w:noProof/>
          <w:sz w:val="18"/>
          <w:szCs w:val="24"/>
        </w:rPr>
        <w:t>17</w:t>
      </w:r>
      <w:r w:rsidRPr="00855E4C">
        <w:rPr>
          <w:rFonts w:ascii="Calibri" w:hAnsi="Calibri" w:cs="Calibri"/>
          <w:noProof/>
          <w:sz w:val="18"/>
          <w:szCs w:val="24"/>
        </w:rPr>
        <w:tab/>
        <w:t xml:space="preserve">L. Gilmanova, V. Bon, L. Shupletsov, D. Pohl, M. Rauche, E. Brunner and S. Kaskel, </w:t>
      </w:r>
      <w:r w:rsidRPr="00855E4C">
        <w:rPr>
          <w:rFonts w:ascii="Calibri" w:hAnsi="Calibri" w:cs="Calibri"/>
          <w:i/>
          <w:iCs/>
          <w:noProof/>
          <w:sz w:val="18"/>
          <w:szCs w:val="24"/>
        </w:rPr>
        <w:t>J. Am. Chem. Soc.</w:t>
      </w:r>
      <w:r w:rsidRPr="00855E4C">
        <w:rPr>
          <w:rFonts w:ascii="Calibri" w:hAnsi="Calibri" w:cs="Calibri"/>
          <w:noProof/>
          <w:sz w:val="18"/>
          <w:szCs w:val="24"/>
        </w:rPr>
        <w:t>, , DOI:10.1021/jacs.1c07148.</w:t>
      </w:r>
    </w:p>
    <w:p w14:paraId="1DF4093C"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855E4C">
        <w:rPr>
          <w:rFonts w:ascii="Calibri" w:hAnsi="Calibri" w:cs="Calibri"/>
          <w:noProof/>
          <w:sz w:val="18"/>
          <w:szCs w:val="24"/>
        </w:rPr>
        <w:t>18</w:t>
      </w:r>
      <w:r w:rsidRPr="00855E4C">
        <w:rPr>
          <w:rFonts w:ascii="Calibri" w:hAnsi="Calibri" w:cs="Calibri"/>
          <w:noProof/>
          <w:sz w:val="18"/>
          <w:szCs w:val="24"/>
        </w:rPr>
        <w:tab/>
        <w:t xml:space="preserve">S. Xu and Q. Zhang, </w:t>
      </w:r>
      <w:r w:rsidRPr="00855E4C">
        <w:rPr>
          <w:rFonts w:ascii="Calibri" w:hAnsi="Calibri" w:cs="Calibri"/>
          <w:i/>
          <w:iCs/>
          <w:noProof/>
          <w:sz w:val="18"/>
          <w:szCs w:val="24"/>
        </w:rPr>
        <w:t>Mater. Today Energy</w:t>
      </w:r>
      <w:r w:rsidRPr="00855E4C">
        <w:rPr>
          <w:rFonts w:ascii="Calibri" w:hAnsi="Calibri" w:cs="Calibri"/>
          <w:noProof/>
          <w:sz w:val="18"/>
          <w:szCs w:val="24"/>
        </w:rPr>
        <w:t xml:space="preserve">, 2021, </w:t>
      </w:r>
      <w:r w:rsidRPr="00855E4C">
        <w:rPr>
          <w:rFonts w:ascii="Calibri" w:hAnsi="Calibri" w:cs="Calibri"/>
          <w:b/>
          <w:bCs/>
          <w:noProof/>
          <w:sz w:val="18"/>
          <w:szCs w:val="24"/>
        </w:rPr>
        <w:t>20</w:t>
      </w:r>
      <w:r w:rsidRPr="00855E4C">
        <w:rPr>
          <w:rFonts w:ascii="Calibri" w:hAnsi="Calibri" w:cs="Calibri"/>
          <w:noProof/>
          <w:sz w:val="18"/>
          <w:szCs w:val="24"/>
        </w:rPr>
        <w:t>, 100635.</w:t>
      </w:r>
    </w:p>
    <w:p w14:paraId="36131179"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855E4C">
        <w:rPr>
          <w:rFonts w:ascii="Calibri" w:hAnsi="Calibri" w:cs="Calibri"/>
          <w:noProof/>
          <w:sz w:val="18"/>
          <w:szCs w:val="24"/>
        </w:rPr>
        <w:t>19</w:t>
      </w:r>
      <w:r w:rsidRPr="00855E4C">
        <w:rPr>
          <w:rFonts w:ascii="Calibri" w:hAnsi="Calibri" w:cs="Calibri"/>
          <w:noProof/>
          <w:sz w:val="18"/>
          <w:szCs w:val="24"/>
        </w:rPr>
        <w:tab/>
        <w:t xml:space="preserve">J. Y. Zeng, X. S. Wang and X. Z. Zhang, </w:t>
      </w:r>
      <w:r w:rsidRPr="00855E4C">
        <w:rPr>
          <w:rFonts w:ascii="Calibri" w:hAnsi="Calibri" w:cs="Calibri"/>
          <w:i/>
          <w:iCs/>
          <w:noProof/>
          <w:sz w:val="18"/>
          <w:szCs w:val="24"/>
        </w:rPr>
        <w:t>Chem. - A Eur. J.</w:t>
      </w:r>
      <w:r w:rsidRPr="00855E4C">
        <w:rPr>
          <w:rFonts w:ascii="Calibri" w:hAnsi="Calibri" w:cs="Calibri"/>
          <w:noProof/>
          <w:sz w:val="18"/>
          <w:szCs w:val="24"/>
        </w:rPr>
        <w:t xml:space="preserve">, 2020, </w:t>
      </w:r>
      <w:r w:rsidRPr="00855E4C">
        <w:rPr>
          <w:rFonts w:ascii="Calibri" w:hAnsi="Calibri" w:cs="Calibri"/>
          <w:b/>
          <w:bCs/>
          <w:noProof/>
          <w:sz w:val="18"/>
          <w:szCs w:val="24"/>
        </w:rPr>
        <w:t>26</w:t>
      </w:r>
      <w:r w:rsidRPr="00855E4C">
        <w:rPr>
          <w:rFonts w:ascii="Calibri" w:hAnsi="Calibri" w:cs="Calibri"/>
          <w:noProof/>
          <w:sz w:val="18"/>
          <w:szCs w:val="24"/>
        </w:rPr>
        <w:t>, 16568–16581.</w:t>
      </w:r>
    </w:p>
    <w:p w14:paraId="14921E29" w14:textId="77777777" w:rsidR="00855E4C" w:rsidRPr="00642FFC" w:rsidRDefault="00855E4C" w:rsidP="00855E4C">
      <w:pPr>
        <w:widowControl w:val="0"/>
        <w:autoSpaceDE w:val="0"/>
        <w:autoSpaceDN w:val="0"/>
        <w:adjustRightInd w:val="0"/>
        <w:spacing w:after="0" w:line="240" w:lineRule="exact"/>
        <w:ind w:left="640" w:hanging="640"/>
        <w:rPr>
          <w:rFonts w:ascii="Calibri" w:hAnsi="Calibri" w:cs="Calibri"/>
          <w:noProof/>
          <w:sz w:val="18"/>
          <w:szCs w:val="24"/>
          <w:lang w:val="es-ES"/>
        </w:rPr>
      </w:pPr>
      <w:r w:rsidRPr="00642FFC">
        <w:rPr>
          <w:rFonts w:ascii="Calibri" w:hAnsi="Calibri" w:cs="Calibri"/>
          <w:noProof/>
          <w:sz w:val="18"/>
          <w:szCs w:val="24"/>
          <w:lang w:val="es-ES"/>
        </w:rPr>
        <w:t>20</w:t>
      </w:r>
      <w:r w:rsidRPr="00642FFC">
        <w:rPr>
          <w:rFonts w:ascii="Calibri" w:hAnsi="Calibri" w:cs="Calibri"/>
          <w:noProof/>
          <w:sz w:val="18"/>
          <w:szCs w:val="24"/>
          <w:lang w:val="es-ES"/>
        </w:rPr>
        <w:tab/>
        <w:t xml:space="preserve">D. Rodríguez-San-Miguel, C. Montoro and F. Zamora, </w:t>
      </w:r>
      <w:r w:rsidRPr="00642FFC">
        <w:rPr>
          <w:rFonts w:ascii="Calibri" w:hAnsi="Calibri" w:cs="Calibri"/>
          <w:i/>
          <w:iCs/>
          <w:noProof/>
          <w:sz w:val="18"/>
          <w:szCs w:val="24"/>
          <w:lang w:val="es-ES"/>
        </w:rPr>
        <w:t>Chem. Soc. Rev.</w:t>
      </w:r>
      <w:r w:rsidRPr="00642FFC">
        <w:rPr>
          <w:rFonts w:ascii="Calibri" w:hAnsi="Calibri" w:cs="Calibri"/>
          <w:noProof/>
          <w:sz w:val="18"/>
          <w:szCs w:val="24"/>
          <w:lang w:val="es-ES"/>
        </w:rPr>
        <w:t xml:space="preserve">, 2020, </w:t>
      </w:r>
      <w:r w:rsidRPr="00642FFC">
        <w:rPr>
          <w:rFonts w:ascii="Calibri" w:hAnsi="Calibri" w:cs="Calibri"/>
          <w:b/>
          <w:bCs/>
          <w:noProof/>
          <w:sz w:val="18"/>
          <w:szCs w:val="24"/>
          <w:lang w:val="es-ES"/>
        </w:rPr>
        <w:t>49</w:t>
      </w:r>
      <w:r w:rsidRPr="00642FFC">
        <w:rPr>
          <w:rFonts w:ascii="Calibri" w:hAnsi="Calibri" w:cs="Calibri"/>
          <w:noProof/>
          <w:sz w:val="18"/>
          <w:szCs w:val="24"/>
          <w:lang w:val="es-ES"/>
        </w:rPr>
        <w:t>, 2291–2302.</w:t>
      </w:r>
    </w:p>
    <w:p w14:paraId="449BBE25"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642FFC">
        <w:rPr>
          <w:rFonts w:ascii="Calibri" w:hAnsi="Calibri" w:cs="Calibri"/>
          <w:noProof/>
          <w:sz w:val="18"/>
          <w:szCs w:val="24"/>
          <w:lang w:val="es-ES"/>
        </w:rPr>
        <w:t>21</w:t>
      </w:r>
      <w:r w:rsidRPr="00642FFC">
        <w:rPr>
          <w:rFonts w:ascii="Calibri" w:hAnsi="Calibri" w:cs="Calibri"/>
          <w:noProof/>
          <w:sz w:val="18"/>
          <w:szCs w:val="24"/>
          <w:lang w:val="es-ES"/>
        </w:rPr>
        <w:tab/>
        <w:t xml:space="preserve">P. Albacete, A. López-Moreno, S. Mena-Hernando, A. E. Platero-Prats, E. M. Pérez and F. Zamora, </w:t>
      </w:r>
      <w:r w:rsidRPr="00642FFC">
        <w:rPr>
          <w:rFonts w:ascii="Calibri" w:hAnsi="Calibri" w:cs="Calibri"/>
          <w:i/>
          <w:iCs/>
          <w:noProof/>
          <w:sz w:val="18"/>
          <w:szCs w:val="24"/>
          <w:lang w:val="es-ES"/>
        </w:rPr>
        <w:t xml:space="preserve">Chem. </w:t>
      </w:r>
      <w:r w:rsidRPr="00855E4C">
        <w:rPr>
          <w:rFonts w:ascii="Calibri" w:hAnsi="Calibri" w:cs="Calibri"/>
          <w:i/>
          <w:iCs/>
          <w:noProof/>
          <w:sz w:val="18"/>
          <w:szCs w:val="24"/>
        </w:rPr>
        <w:t>Commun.</w:t>
      </w:r>
      <w:r w:rsidRPr="00855E4C">
        <w:rPr>
          <w:rFonts w:ascii="Calibri" w:hAnsi="Calibri" w:cs="Calibri"/>
          <w:noProof/>
          <w:sz w:val="18"/>
          <w:szCs w:val="24"/>
        </w:rPr>
        <w:t xml:space="preserve">, 2019, </w:t>
      </w:r>
      <w:r w:rsidRPr="00855E4C">
        <w:rPr>
          <w:rFonts w:ascii="Calibri" w:hAnsi="Calibri" w:cs="Calibri"/>
          <w:b/>
          <w:bCs/>
          <w:noProof/>
          <w:sz w:val="18"/>
          <w:szCs w:val="24"/>
        </w:rPr>
        <w:t>55</w:t>
      </w:r>
      <w:r w:rsidRPr="00855E4C">
        <w:rPr>
          <w:rFonts w:ascii="Calibri" w:hAnsi="Calibri" w:cs="Calibri"/>
          <w:noProof/>
          <w:sz w:val="18"/>
          <w:szCs w:val="24"/>
        </w:rPr>
        <w:t>, 1382–1385.</w:t>
      </w:r>
    </w:p>
    <w:p w14:paraId="25DA7493"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855E4C">
        <w:rPr>
          <w:rFonts w:ascii="Calibri" w:hAnsi="Calibri" w:cs="Calibri"/>
          <w:noProof/>
          <w:sz w:val="18"/>
          <w:szCs w:val="24"/>
        </w:rPr>
        <w:t>22</w:t>
      </w:r>
      <w:r w:rsidRPr="00855E4C">
        <w:rPr>
          <w:rFonts w:ascii="Calibri" w:hAnsi="Calibri" w:cs="Calibri"/>
          <w:noProof/>
          <w:sz w:val="18"/>
          <w:szCs w:val="24"/>
        </w:rPr>
        <w:tab/>
        <w:t xml:space="preserve">C. Zhang, S. Zhang, Y. Yan, F. Xia, A. Huang and Y. Xian, </w:t>
      </w:r>
      <w:r w:rsidRPr="00855E4C">
        <w:rPr>
          <w:rFonts w:ascii="Calibri" w:hAnsi="Calibri" w:cs="Calibri"/>
          <w:i/>
          <w:iCs/>
          <w:noProof/>
          <w:sz w:val="18"/>
          <w:szCs w:val="24"/>
        </w:rPr>
        <w:t>ACS Appl. Mater. Interfaces</w:t>
      </w:r>
      <w:r w:rsidRPr="00855E4C">
        <w:rPr>
          <w:rFonts w:ascii="Calibri" w:hAnsi="Calibri" w:cs="Calibri"/>
          <w:noProof/>
          <w:sz w:val="18"/>
          <w:szCs w:val="24"/>
        </w:rPr>
        <w:t xml:space="preserve">, 2017, </w:t>
      </w:r>
      <w:r w:rsidRPr="00855E4C">
        <w:rPr>
          <w:rFonts w:ascii="Calibri" w:hAnsi="Calibri" w:cs="Calibri"/>
          <w:b/>
          <w:bCs/>
          <w:noProof/>
          <w:sz w:val="18"/>
          <w:szCs w:val="24"/>
        </w:rPr>
        <w:t>9</w:t>
      </w:r>
      <w:r w:rsidRPr="00855E4C">
        <w:rPr>
          <w:rFonts w:ascii="Calibri" w:hAnsi="Calibri" w:cs="Calibri"/>
          <w:noProof/>
          <w:sz w:val="18"/>
          <w:szCs w:val="24"/>
        </w:rPr>
        <w:t>, 13415–13421.</w:t>
      </w:r>
    </w:p>
    <w:p w14:paraId="48B6EACB" w14:textId="77777777" w:rsidR="00855E4C" w:rsidRPr="00642FFC" w:rsidRDefault="00855E4C" w:rsidP="00855E4C">
      <w:pPr>
        <w:widowControl w:val="0"/>
        <w:autoSpaceDE w:val="0"/>
        <w:autoSpaceDN w:val="0"/>
        <w:adjustRightInd w:val="0"/>
        <w:spacing w:after="0" w:line="240" w:lineRule="exact"/>
        <w:ind w:left="640" w:hanging="640"/>
        <w:rPr>
          <w:rFonts w:ascii="Calibri" w:hAnsi="Calibri" w:cs="Calibri"/>
          <w:noProof/>
          <w:sz w:val="18"/>
          <w:szCs w:val="24"/>
          <w:lang w:val="es-ES"/>
        </w:rPr>
      </w:pPr>
      <w:r w:rsidRPr="00855E4C">
        <w:rPr>
          <w:rFonts w:ascii="Calibri" w:hAnsi="Calibri" w:cs="Calibri"/>
          <w:noProof/>
          <w:sz w:val="18"/>
          <w:szCs w:val="24"/>
        </w:rPr>
        <w:t>23</w:t>
      </w:r>
      <w:r w:rsidRPr="00855E4C">
        <w:rPr>
          <w:rFonts w:ascii="Calibri" w:hAnsi="Calibri" w:cs="Calibri"/>
          <w:noProof/>
          <w:sz w:val="18"/>
          <w:szCs w:val="24"/>
        </w:rPr>
        <w:tab/>
        <w:t xml:space="preserve">S. Haldar, D. Chakraborty, B. Roy, G. Banappanavar, K. Rinku, D. Mullangi, P. Hazra, D. Kabra and R. Vaidhyanathan, </w:t>
      </w:r>
      <w:r w:rsidRPr="00855E4C">
        <w:rPr>
          <w:rFonts w:ascii="Calibri" w:hAnsi="Calibri" w:cs="Calibri"/>
          <w:i/>
          <w:iCs/>
          <w:noProof/>
          <w:sz w:val="18"/>
          <w:szCs w:val="24"/>
        </w:rPr>
        <w:t xml:space="preserve">J. Am. </w:t>
      </w:r>
      <w:r w:rsidRPr="00642FFC">
        <w:rPr>
          <w:rFonts w:ascii="Calibri" w:hAnsi="Calibri" w:cs="Calibri"/>
          <w:i/>
          <w:iCs/>
          <w:noProof/>
          <w:sz w:val="18"/>
          <w:szCs w:val="24"/>
          <w:lang w:val="es-ES"/>
        </w:rPr>
        <w:t>Chem. Soc.</w:t>
      </w:r>
      <w:r w:rsidRPr="00642FFC">
        <w:rPr>
          <w:rFonts w:ascii="Calibri" w:hAnsi="Calibri" w:cs="Calibri"/>
          <w:noProof/>
          <w:sz w:val="18"/>
          <w:szCs w:val="24"/>
          <w:lang w:val="es-ES"/>
        </w:rPr>
        <w:t xml:space="preserve">, 2018, </w:t>
      </w:r>
      <w:r w:rsidRPr="00642FFC">
        <w:rPr>
          <w:rFonts w:ascii="Calibri" w:hAnsi="Calibri" w:cs="Calibri"/>
          <w:b/>
          <w:bCs/>
          <w:noProof/>
          <w:sz w:val="18"/>
          <w:szCs w:val="24"/>
          <w:lang w:val="es-ES"/>
        </w:rPr>
        <w:t>140</w:t>
      </w:r>
      <w:r w:rsidRPr="00642FFC">
        <w:rPr>
          <w:rFonts w:ascii="Calibri" w:hAnsi="Calibri" w:cs="Calibri"/>
          <w:noProof/>
          <w:sz w:val="18"/>
          <w:szCs w:val="24"/>
          <w:lang w:val="es-ES"/>
        </w:rPr>
        <w:t>, 13367–13374.</w:t>
      </w:r>
    </w:p>
    <w:p w14:paraId="2C5A3AD9" w14:textId="77777777" w:rsidR="00855E4C" w:rsidRPr="00642FFC" w:rsidRDefault="00855E4C" w:rsidP="00855E4C">
      <w:pPr>
        <w:widowControl w:val="0"/>
        <w:autoSpaceDE w:val="0"/>
        <w:autoSpaceDN w:val="0"/>
        <w:adjustRightInd w:val="0"/>
        <w:spacing w:after="0" w:line="240" w:lineRule="exact"/>
        <w:ind w:left="640" w:hanging="640"/>
        <w:rPr>
          <w:rFonts w:ascii="Calibri" w:hAnsi="Calibri" w:cs="Calibri"/>
          <w:noProof/>
          <w:sz w:val="18"/>
          <w:szCs w:val="24"/>
          <w:lang w:val="es-ES"/>
        </w:rPr>
      </w:pPr>
      <w:r w:rsidRPr="00642FFC">
        <w:rPr>
          <w:rFonts w:ascii="Calibri" w:hAnsi="Calibri" w:cs="Calibri"/>
          <w:noProof/>
          <w:sz w:val="18"/>
          <w:szCs w:val="24"/>
          <w:lang w:val="es-ES"/>
        </w:rPr>
        <w:t>24</w:t>
      </w:r>
      <w:r w:rsidRPr="00642FFC">
        <w:rPr>
          <w:rFonts w:ascii="Calibri" w:hAnsi="Calibri" w:cs="Calibri"/>
          <w:noProof/>
          <w:sz w:val="18"/>
          <w:szCs w:val="24"/>
          <w:lang w:val="es-ES"/>
        </w:rPr>
        <w:tab/>
        <w:t xml:space="preserve">P. García-Arroyo, M. P. Arrieta, D. Garcia-Garcia, R. Cuervo-Rodríguez, V. Fombuena, M. J. Mancheño and J. L. Segura, </w:t>
      </w:r>
      <w:r w:rsidRPr="00642FFC">
        <w:rPr>
          <w:rFonts w:ascii="Calibri" w:hAnsi="Calibri" w:cs="Calibri"/>
          <w:i/>
          <w:iCs/>
          <w:noProof/>
          <w:sz w:val="18"/>
          <w:szCs w:val="24"/>
          <w:lang w:val="es-ES"/>
        </w:rPr>
        <w:t>Polymer (Guildf).</w:t>
      </w:r>
      <w:r w:rsidRPr="00642FFC">
        <w:rPr>
          <w:rFonts w:ascii="Calibri" w:hAnsi="Calibri" w:cs="Calibri"/>
          <w:noProof/>
          <w:sz w:val="18"/>
          <w:szCs w:val="24"/>
          <w:lang w:val="es-ES"/>
        </w:rPr>
        <w:t xml:space="preserve">, 2020, </w:t>
      </w:r>
      <w:r w:rsidRPr="00642FFC">
        <w:rPr>
          <w:rFonts w:ascii="Calibri" w:hAnsi="Calibri" w:cs="Calibri"/>
          <w:b/>
          <w:bCs/>
          <w:noProof/>
          <w:sz w:val="18"/>
          <w:szCs w:val="24"/>
          <w:lang w:val="es-ES"/>
        </w:rPr>
        <w:t>196</w:t>
      </w:r>
      <w:r w:rsidRPr="00642FFC">
        <w:rPr>
          <w:rFonts w:ascii="Calibri" w:hAnsi="Calibri" w:cs="Calibri"/>
          <w:noProof/>
          <w:sz w:val="18"/>
          <w:szCs w:val="24"/>
          <w:lang w:val="es-ES"/>
        </w:rPr>
        <w:t>, 122466.</w:t>
      </w:r>
    </w:p>
    <w:p w14:paraId="1C906D27"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855E4C">
        <w:rPr>
          <w:rFonts w:ascii="Calibri" w:hAnsi="Calibri" w:cs="Calibri"/>
          <w:noProof/>
          <w:sz w:val="18"/>
          <w:szCs w:val="24"/>
        </w:rPr>
        <w:t>25</w:t>
      </w:r>
      <w:r w:rsidRPr="00855E4C">
        <w:rPr>
          <w:rFonts w:ascii="Calibri" w:hAnsi="Calibri" w:cs="Calibri"/>
          <w:noProof/>
          <w:sz w:val="18"/>
          <w:szCs w:val="24"/>
        </w:rPr>
        <w:tab/>
        <w:t xml:space="preserve">M. Afshari and M. Dinari, </w:t>
      </w:r>
      <w:r w:rsidRPr="00855E4C">
        <w:rPr>
          <w:rFonts w:ascii="Calibri" w:hAnsi="Calibri" w:cs="Calibri"/>
          <w:i/>
          <w:iCs/>
          <w:noProof/>
          <w:sz w:val="18"/>
          <w:szCs w:val="24"/>
        </w:rPr>
        <w:t>Compos. Part A Appl. Sci. Manuf.</w:t>
      </w:r>
      <w:r w:rsidRPr="00855E4C">
        <w:rPr>
          <w:rFonts w:ascii="Calibri" w:hAnsi="Calibri" w:cs="Calibri"/>
          <w:noProof/>
          <w:sz w:val="18"/>
          <w:szCs w:val="24"/>
        </w:rPr>
        <w:t xml:space="preserve">, 2021, </w:t>
      </w:r>
      <w:r w:rsidRPr="00855E4C">
        <w:rPr>
          <w:rFonts w:ascii="Calibri" w:hAnsi="Calibri" w:cs="Calibri"/>
          <w:b/>
          <w:bCs/>
          <w:noProof/>
          <w:sz w:val="18"/>
          <w:szCs w:val="24"/>
        </w:rPr>
        <w:t>147</w:t>
      </w:r>
      <w:r w:rsidRPr="00855E4C">
        <w:rPr>
          <w:rFonts w:ascii="Calibri" w:hAnsi="Calibri" w:cs="Calibri"/>
          <w:noProof/>
          <w:sz w:val="18"/>
          <w:szCs w:val="24"/>
        </w:rPr>
        <w:t>, 106453.</w:t>
      </w:r>
    </w:p>
    <w:p w14:paraId="6BB82E3B"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855E4C">
        <w:rPr>
          <w:rFonts w:ascii="Calibri" w:hAnsi="Calibri" w:cs="Calibri"/>
          <w:noProof/>
          <w:sz w:val="18"/>
          <w:szCs w:val="24"/>
        </w:rPr>
        <w:t>26</w:t>
      </w:r>
      <w:r w:rsidRPr="00855E4C">
        <w:rPr>
          <w:rFonts w:ascii="Calibri" w:hAnsi="Calibri" w:cs="Calibri"/>
          <w:noProof/>
          <w:sz w:val="18"/>
          <w:szCs w:val="24"/>
        </w:rPr>
        <w:tab/>
        <w:t xml:space="preserve">Y. Ying, Z. Yang, D. Shi, S. B. Peh, Y. Wang, X. Yu, H. Yang, K. Chai and D. Zhao, </w:t>
      </w:r>
      <w:r w:rsidRPr="00855E4C">
        <w:rPr>
          <w:rFonts w:ascii="Calibri" w:hAnsi="Calibri" w:cs="Calibri"/>
          <w:i/>
          <w:iCs/>
          <w:noProof/>
          <w:sz w:val="18"/>
          <w:szCs w:val="24"/>
        </w:rPr>
        <w:t>J. Memb. Sci.</w:t>
      </w:r>
      <w:r w:rsidRPr="00855E4C">
        <w:rPr>
          <w:rFonts w:ascii="Calibri" w:hAnsi="Calibri" w:cs="Calibri"/>
          <w:noProof/>
          <w:sz w:val="18"/>
          <w:szCs w:val="24"/>
        </w:rPr>
        <w:t xml:space="preserve">, 2021, </w:t>
      </w:r>
      <w:r w:rsidRPr="00855E4C">
        <w:rPr>
          <w:rFonts w:ascii="Calibri" w:hAnsi="Calibri" w:cs="Calibri"/>
          <w:b/>
          <w:bCs/>
          <w:noProof/>
          <w:sz w:val="18"/>
          <w:szCs w:val="24"/>
        </w:rPr>
        <w:t>632</w:t>
      </w:r>
      <w:r w:rsidRPr="00855E4C">
        <w:rPr>
          <w:rFonts w:ascii="Calibri" w:hAnsi="Calibri" w:cs="Calibri"/>
          <w:noProof/>
          <w:sz w:val="18"/>
          <w:szCs w:val="24"/>
        </w:rPr>
        <w:t>, 119384.</w:t>
      </w:r>
    </w:p>
    <w:p w14:paraId="13D28F10" w14:textId="77777777" w:rsidR="00855E4C" w:rsidRPr="00642FFC" w:rsidRDefault="00855E4C" w:rsidP="00855E4C">
      <w:pPr>
        <w:widowControl w:val="0"/>
        <w:autoSpaceDE w:val="0"/>
        <w:autoSpaceDN w:val="0"/>
        <w:adjustRightInd w:val="0"/>
        <w:spacing w:after="0" w:line="240" w:lineRule="exact"/>
        <w:ind w:left="640" w:hanging="640"/>
        <w:rPr>
          <w:rFonts w:ascii="Calibri" w:hAnsi="Calibri" w:cs="Calibri"/>
          <w:noProof/>
          <w:sz w:val="18"/>
          <w:szCs w:val="24"/>
          <w:lang w:val="es-ES"/>
        </w:rPr>
      </w:pPr>
      <w:r w:rsidRPr="00855E4C">
        <w:rPr>
          <w:rFonts w:ascii="Calibri" w:hAnsi="Calibri" w:cs="Calibri"/>
          <w:noProof/>
          <w:sz w:val="18"/>
          <w:szCs w:val="24"/>
        </w:rPr>
        <w:t>27</w:t>
      </w:r>
      <w:r w:rsidRPr="00855E4C">
        <w:rPr>
          <w:rFonts w:ascii="Calibri" w:hAnsi="Calibri" w:cs="Calibri"/>
          <w:noProof/>
          <w:sz w:val="18"/>
          <w:szCs w:val="24"/>
        </w:rPr>
        <w:tab/>
        <w:t xml:space="preserve">J. Li and M. Pumera, </w:t>
      </w:r>
      <w:r w:rsidRPr="00855E4C">
        <w:rPr>
          <w:rFonts w:ascii="Calibri" w:hAnsi="Calibri" w:cs="Calibri"/>
          <w:i/>
          <w:iCs/>
          <w:noProof/>
          <w:sz w:val="18"/>
          <w:szCs w:val="24"/>
        </w:rPr>
        <w:t xml:space="preserve">Chem. Soc. </w:t>
      </w:r>
      <w:r w:rsidRPr="00642FFC">
        <w:rPr>
          <w:rFonts w:ascii="Calibri" w:hAnsi="Calibri" w:cs="Calibri"/>
          <w:i/>
          <w:iCs/>
          <w:noProof/>
          <w:sz w:val="18"/>
          <w:szCs w:val="24"/>
          <w:lang w:val="es-ES"/>
        </w:rPr>
        <w:t>Rev.</w:t>
      </w:r>
      <w:r w:rsidRPr="00642FFC">
        <w:rPr>
          <w:rFonts w:ascii="Calibri" w:hAnsi="Calibri" w:cs="Calibri"/>
          <w:noProof/>
          <w:sz w:val="18"/>
          <w:szCs w:val="24"/>
          <w:lang w:val="es-ES"/>
        </w:rPr>
        <w:t xml:space="preserve">, 2021, </w:t>
      </w:r>
      <w:r w:rsidRPr="00642FFC">
        <w:rPr>
          <w:rFonts w:ascii="Calibri" w:hAnsi="Calibri" w:cs="Calibri"/>
          <w:b/>
          <w:bCs/>
          <w:noProof/>
          <w:sz w:val="18"/>
          <w:szCs w:val="24"/>
          <w:lang w:val="es-ES"/>
        </w:rPr>
        <w:t>50</w:t>
      </w:r>
      <w:r w:rsidRPr="00642FFC">
        <w:rPr>
          <w:rFonts w:ascii="Calibri" w:hAnsi="Calibri" w:cs="Calibri"/>
          <w:noProof/>
          <w:sz w:val="18"/>
          <w:szCs w:val="24"/>
          <w:lang w:val="es-ES"/>
        </w:rPr>
        <w:t>, 2794–2838.</w:t>
      </w:r>
    </w:p>
    <w:p w14:paraId="0FC71595"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642FFC">
        <w:rPr>
          <w:rFonts w:ascii="Calibri" w:hAnsi="Calibri" w:cs="Calibri"/>
          <w:noProof/>
          <w:sz w:val="18"/>
          <w:szCs w:val="24"/>
          <w:lang w:val="es-ES"/>
        </w:rPr>
        <w:t>28</w:t>
      </w:r>
      <w:r w:rsidRPr="00642FFC">
        <w:rPr>
          <w:rFonts w:ascii="Calibri" w:hAnsi="Calibri" w:cs="Calibri"/>
          <w:noProof/>
          <w:sz w:val="18"/>
          <w:szCs w:val="24"/>
          <w:lang w:val="es-ES"/>
        </w:rPr>
        <w:tab/>
        <w:t xml:space="preserve">M. Del Rosario, H. S. Heil, A. Mendes, V. Saggiomo and R. Henriques, </w:t>
      </w:r>
      <w:r w:rsidRPr="00642FFC">
        <w:rPr>
          <w:rFonts w:ascii="Calibri" w:hAnsi="Calibri" w:cs="Calibri"/>
          <w:i/>
          <w:iCs/>
          <w:noProof/>
          <w:sz w:val="18"/>
          <w:szCs w:val="24"/>
          <w:lang w:val="es-ES"/>
        </w:rPr>
        <w:t xml:space="preserve">Adv. </w:t>
      </w:r>
      <w:r w:rsidRPr="00855E4C">
        <w:rPr>
          <w:rFonts w:ascii="Calibri" w:hAnsi="Calibri" w:cs="Calibri"/>
          <w:i/>
          <w:iCs/>
          <w:noProof/>
          <w:sz w:val="18"/>
          <w:szCs w:val="24"/>
        </w:rPr>
        <w:t>Biol.</w:t>
      </w:r>
      <w:r w:rsidRPr="00855E4C">
        <w:rPr>
          <w:rFonts w:ascii="Calibri" w:hAnsi="Calibri" w:cs="Calibri"/>
          <w:noProof/>
          <w:sz w:val="18"/>
          <w:szCs w:val="24"/>
        </w:rPr>
        <w:t>, 2021, 2100994.</w:t>
      </w:r>
    </w:p>
    <w:p w14:paraId="6393B484"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855E4C">
        <w:rPr>
          <w:rFonts w:ascii="Calibri" w:hAnsi="Calibri" w:cs="Calibri"/>
          <w:noProof/>
          <w:sz w:val="18"/>
          <w:szCs w:val="24"/>
        </w:rPr>
        <w:t>29</w:t>
      </w:r>
      <w:r w:rsidRPr="00855E4C">
        <w:rPr>
          <w:rFonts w:ascii="Calibri" w:hAnsi="Calibri" w:cs="Calibri"/>
          <w:noProof/>
          <w:sz w:val="18"/>
          <w:szCs w:val="24"/>
        </w:rPr>
        <w:tab/>
        <w:t xml:space="preserve">Y. L. Kong, I. A. Tamargo, H. Kim, B. N. Johnson, M. K. Gupta, T. W. Koh, H. A. Chin, D. A. Steingart, B. P. Rand and M. C. McAlpine, </w:t>
      </w:r>
      <w:r w:rsidRPr="00855E4C">
        <w:rPr>
          <w:rFonts w:ascii="Calibri" w:hAnsi="Calibri" w:cs="Calibri"/>
          <w:i/>
          <w:iCs/>
          <w:noProof/>
          <w:sz w:val="18"/>
          <w:szCs w:val="24"/>
        </w:rPr>
        <w:t>Nano Lett.</w:t>
      </w:r>
      <w:r w:rsidRPr="00855E4C">
        <w:rPr>
          <w:rFonts w:ascii="Calibri" w:hAnsi="Calibri" w:cs="Calibri"/>
          <w:noProof/>
          <w:sz w:val="18"/>
          <w:szCs w:val="24"/>
        </w:rPr>
        <w:t xml:space="preserve">, 2014, </w:t>
      </w:r>
      <w:r w:rsidRPr="00855E4C">
        <w:rPr>
          <w:rFonts w:ascii="Calibri" w:hAnsi="Calibri" w:cs="Calibri"/>
          <w:b/>
          <w:bCs/>
          <w:noProof/>
          <w:sz w:val="18"/>
          <w:szCs w:val="24"/>
        </w:rPr>
        <w:t>14</w:t>
      </w:r>
      <w:r w:rsidRPr="00855E4C">
        <w:rPr>
          <w:rFonts w:ascii="Calibri" w:hAnsi="Calibri" w:cs="Calibri"/>
          <w:noProof/>
          <w:sz w:val="18"/>
          <w:szCs w:val="24"/>
        </w:rPr>
        <w:t>, 7017–7023.</w:t>
      </w:r>
    </w:p>
    <w:p w14:paraId="34811F6B"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855E4C">
        <w:rPr>
          <w:rFonts w:ascii="Calibri" w:hAnsi="Calibri" w:cs="Calibri"/>
          <w:noProof/>
          <w:sz w:val="18"/>
          <w:szCs w:val="24"/>
        </w:rPr>
        <w:t>30</w:t>
      </w:r>
      <w:r w:rsidRPr="00855E4C">
        <w:rPr>
          <w:rFonts w:ascii="Calibri" w:hAnsi="Calibri" w:cs="Calibri"/>
          <w:noProof/>
          <w:sz w:val="18"/>
          <w:szCs w:val="24"/>
        </w:rPr>
        <w:tab/>
        <w:t xml:space="preserve">X. Wang, M. Jiang, Z. Zhou, J. Gou and D. Hui, </w:t>
      </w:r>
      <w:r w:rsidRPr="00855E4C">
        <w:rPr>
          <w:rFonts w:ascii="Calibri" w:hAnsi="Calibri" w:cs="Calibri"/>
          <w:i/>
          <w:iCs/>
          <w:noProof/>
          <w:sz w:val="18"/>
          <w:szCs w:val="24"/>
        </w:rPr>
        <w:t>Compos. Part B Eng.</w:t>
      </w:r>
      <w:r w:rsidRPr="00855E4C">
        <w:rPr>
          <w:rFonts w:ascii="Calibri" w:hAnsi="Calibri" w:cs="Calibri"/>
          <w:noProof/>
          <w:sz w:val="18"/>
          <w:szCs w:val="24"/>
        </w:rPr>
        <w:t xml:space="preserve">, 2017, </w:t>
      </w:r>
      <w:r w:rsidRPr="00855E4C">
        <w:rPr>
          <w:rFonts w:ascii="Calibri" w:hAnsi="Calibri" w:cs="Calibri"/>
          <w:b/>
          <w:bCs/>
          <w:noProof/>
          <w:sz w:val="18"/>
          <w:szCs w:val="24"/>
        </w:rPr>
        <w:t>110</w:t>
      </w:r>
      <w:r w:rsidRPr="00855E4C">
        <w:rPr>
          <w:rFonts w:ascii="Calibri" w:hAnsi="Calibri" w:cs="Calibri"/>
          <w:noProof/>
          <w:sz w:val="18"/>
          <w:szCs w:val="24"/>
        </w:rPr>
        <w:t>, 442–458.</w:t>
      </w:r>
    </w:p>
    <w:p w14:paraId="589F2230"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855E4C">
        <w:rPr>
          <w:rFonts w:ascii="Calibri" w:hAnsi="Calibri" w:cs="Calibri"/>
          <w:noProof/>
          <w:sz w:val="18"/>
          <w:szCs w:val="24"/>
        </w:rPr>
        <w:t>31</w:t>
      </w:r>
      <w:r w:rsidRPr="00855E4C">
        <w:rPr>
          <w:rFonts w:ascii="Calibri" w:hAnsi="Calibri" w:cs="Calibri"/>
          <w:noProof/>
          <w:sz w:val="18"/>
          <w:szCs w:val="24"/>
        </w:rPr>
        <w:tab/>
        <w:t xml:space="preserve">A. Bagheri and J. Jin, </w:t>
      </w:r>
      <w:r w:rsidRPr="00855E4C">
        <w:rPr>
          <w:rFonts w:ascii="Calibri" w:hAnsi="Calibri" w:cs="Calibri"/>
          <w:i/>
          <w:iCs/>
          <w:noProof/>
          <w:sz w:val="18"/>
          <w:szCs w:val="24"/>
        </w:rPr>
        <w:t>ACS Appl. Polym. Mater.</w:t>
      </w:r>
      <w:r w:rsidRPr="00855E4C">
        <w:rPr>
          <w:rFonts w:ascii="Calibri" w:hAnsi="Calibri" w:cs="Calibri"/>
          <w:noProof/>
          <w:sz w:val="18"/>
          <w:szCs w:val="24"/>
        </w:rPr>
        <w:t xml:space="preserve">, 2019, </w:t>
      </w:r>
      <w:r w:rsidRPr="00855E4C">
        <w:rPr>
          <w:rFonts w:ascii="Calibri" w:hAnsi="Calibri" w:cs="Calibri"/>
          <w:b/>
          <w:bCs/>
          <w:noProof/>
          <w:sz w:val="18"/>
          <w:szCs w:val="24"/>
        </w:rPr>
        <w:t>1</w:t>
      </w:r>
      <w:r w:rsidRPr="00855E4C">
        <w:rPr>
          <w:rFonts w:ascii="Calibri" w:hAnsi="Calibri" w:cs="Calibri"/>
          <w:noProof/>
          <w:sz w:val="18"/>
          <w:szCs w:val="24"/>
        </w:rPr>
        <w:t>, 593–611.</w:t>
      </w:r>
    </w:p>
    <w:p w14:paraId="6BEF6EDD"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855E4C">
        <w:rPr>
          <w:rFonts w:ascii="Calibri" w:hAnsi="Calibri" w:cs="Calibri"/>
          <w:noProof/>
          <w:sz w:val="18"/>
          <w:szCs w:val="24"/>
        </w:rPr>
        <w:t>32</w:t>
      </w:r>
      <w:r w:rsidRPr="00855E4C">
        <w:rPr>
          <w:rFonts w:ascii="Calibri" w:hAnsi="Calibri" w:cs="Calibri"/>
          <w:noProof/>
          <w:sz w:val="18"/>
          <w:szCs w:val="24"/>
        </w:rPr>
        <w:tab/>
        <w:t xml:space="preserve">V. M. Vaz and L. Kumar, </w:t>
      </w:r>
      <w:r w:rsidRPr="00855E4C">
        <w:rPr>
          <w:rFonts w:ascii="Calibri" w:hAnsi="Calibri" w:cs="Calibri"/>
          <w:i/>
          <w:iCs/>
          <w:noProof/>
          <w:sz w:val="18"/>
          <w:szCs w:val="24"/>
        </w:rPr>
        <w:t>AAPS PharmSciTech</w:t>
      </w:r>
      <w:r w:rsidRPr="00855E4C">
        <w:rPr>
          <w:rFonts w:ascii="Calibri" w:hAnsi="Calibri" w:cs="Calibri"/>
          <w:noProof/>
          <w:sz w:val="18"/>
          <w:szCs w:val="24"/>
        </w:rPr>
        <w:t xml:space="preserve">, 2021, </w:t>
      </w:r>
      <w:r w:rsidRPr="00855E4C">
        <w:rPr>
          <w:rFonts w:ascii="Calibri" w:hAnsi="Calibri" w:cs="Calibri"/>
          <w:b/>
          <w:bCs/>
          <w:noProof/>
          <w:sz w:val="18"/>
          <w:szCs w:val="24"/>
        </w:rPr>
        <w:t>22</w:t>
      </w:r>
      <w:r w:rsidRPr="00855E4C">
        <w:rPr>
          <w:rFonts w:ascii="Calibri" w:hAnsi="Calibri" w:cs="Calibri"/>
          <w:noProof/>
          <w:sz w:val="18"/>
          <w:szCs w:val="24"/>
        </w:rPr>
        <w:t>, 49.</w:t>
      </w:r>
    </w:p>
    <w:p w14:paraId="5B7D15E9"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855E4C">
        <w:rPr>
          <w:rFonts w:ascii="Calibri" w:hAnsi="Calibri" w:cs="Calibri"/>
          <w:noProof/>
          <w:sz w:val="18"/>
          <w:szCs w:val="24"/>
        </w:rPr>
        <w:t>33</w:t>
      </w:r>
      <w:r w:rsidRPr="00855E4C">
        <w:rPr>
          <w:rFonts w:ascii="Calibri" w:hAnsi="Calibri" w:cs="Calibri"/>
          <w:noProof/>
          <w:sz w:val="18"/>
          <w:szCs w:val="24"/>
        </w:rPr>
        <w:tab/>
        <w:t xml:space="preserve">G. L. Goh, H. Zhang, T. H. Chong and W. Y. Yeong, </w:t>
      </w:r>
      <w:r w:rsidRPr="00855E4C">
        <w:rPr>
          <w:rFonts w:ascii="Calibri" w:hAnsi="Calibri" w:cs="Calibri"/>
          <w:i/>
          <w:iCs/>
          <w:noProof/>
          <w:sz w:val="18"/>
          <w:szCs w:val="24"/>
        </w:rPr>
        <w:t>Adv. Electron. Mater.</w:t>
      </w:r>
      <w:r w:rsidRPr="00855E4C">
        <w:rPr>
          <w:rFonts w:ascii="Calibri" w:hAnsi="Calibri" w:cs="Calibri"/>
          <w:noProof/>
          <w:sz w:val="18"/>
          <w:szCs w:val="24"/>
        </w:rPr>
        <w:t xml:space="preserve">, 2021, </w:t>
      </w:r>
      <w:r w:rsidRPr="00855E4C">
        <w:rPr>
          <w:rFonts w:ascii="Calibri" w:hAnsi="Calibri" w:cs="Calibri"/>
          <w:b/>
          <w:bCs/>
          <w:noProof/>
          <w:sz w:val="18"/>
          <w:szCs w:val="24"/>
        </w:rPr>
        <w:t>7</w:t>
      </w:r>
      <w:r w:rsidRPr="00855E4C">
        <w:rPr>
          <w:rFonts w:ascii="Calibri" w:hAnsi="Calibri" w:cs="Calibri"/>
          <w:noProof/>
          <w:sz w:val="18"/>
          <w:szCs w:val="24"/>
        </w:rPr>
        <w:t>, 1–28.</w:t>
      </w:r>
    </w:p>
    <w:p w14:paraId="68BE6EC6"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855E4C">
        <w:rPr>
          <w:rFonts w:ascii="Calibri" w:hAnsi="Calibri" w:cs="Calibri"/>
          <w:noProof/>
          <w:sz w:val="18"/>
          <w:szCs w:val="24"/>
        </w:rPr>
        <w:t>34</w:t>
      </w:r>
      <w:r w:rsidRPr="00855E4C">
        <w:rPr>
          <w:rFonts w:ascii="Calibri" w:hAnsi="Calibri" w:cs="Calibri"/>
          <w:noProof/>
          <w:sz w:val="18"/>
          <w:szCs w:val="24"/>
        </w:rPr>
        <w:tab/>
        <w:t xml:space="preserve">X. Liu, G. J. H. Lim, Y. Wang, L. Zhang, D. Mullangi, Y. Wu, D. Zhao, J. Ding, A. K. Cheetham and J. Wang, </w:t>
      </w:r>
      <w:r w:rsidRPr="00855E4C">
        <w:rPr>
          <w:rFonts w:ascii="Calibri" w:hAnsi="Calibri" w:cs="Calibri"/>
          <w:i/>
          <w:iCs/>
          <w:noProof/>
          <w:sz w:val="18"/>
          <w:szCs w:val="24"/>
        </w:rPr>
        <w:t>Chem. Eng. J.</w:t>
      </w:r>
      <w:r w:rsidRPr="00855E4C">
        <w:rPr>
          <w:rFonts w:ascii="Calibri" w:hAnsi="Calibri" w:cs="Calibri"/>
          <w:noProof/>
          <w:sz w:val="18"/>
          <w:szCs w:val="24"/>
        </w:rPr>
        <w:t xml:space="preserve">, 2021, </w:t>
      </w:r>
      <w:r w:rsidRPr="00855E4C">
        <w:rPr>
          <w:rFonts w:ascii="Calibri" w:hAnsi="Calibri" w:cs="Calibri"/>
          <w:b/>
          <w:bCs/>
          <w:noProof/>
          <w:sz w:val="18"/>
          <w:szCs w:val="24"/>
        </w:rPr>
        <w:t>403</w:t>
      </w:r>
      <w:r w:rsidRPr="00855E4C">
        <w:rPr>
          <w:rFonts w:ascii="Calibri" w:hAnsi="Calibri" w:cs="Calibri"/>
          <w:noProof/>
          <w:sz w:val="18"/>
          <w:szCs w:val="24"/>
        </w:rPr>
        <w:t>, 126333.</w:t>
      </w:r>
    </w:p>
    <w:p w14:paraId="6CAC87AE"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855E4C">
        <w:rPr>
          <w:rFonts w:ascii="Calibri" w:hAnsi="Calibri" w:cs="Calibri"/>
          <w:noProof/>
          <w:sz w:val="18"/>
          <w:szCs w:val="24"/>
        </w:rPr>
        <w:t>35</w:t>
      </w:r>
      <w:r w:rsidRPr="00855E4C">
        <w:rPr>
          <w:rFonts w:ascii="Calibri" w:hAnsi="Calibri" w:cs="Calibri"/>
          <w:noProof/>
          <w:sz w:val="18"/>
          <w:szCs w:val="24"/>
        </w:rPr>
        <w:tab/>
        <w:t xml:space="preserve">M. Y. Teo, S. Kee, L. Stuart, J. Stringer and K. C. Aw, </w:t>
      </w:r>
      <w:r w:rsidRPr="00855E4C">
        <w:rPr>
          <w:rFonts w:ascii="Calibri" w:hAnsi="Calibri" w:cs="Calibri"/>
          <w:i/>
          <w:iCs/>
          <w:noProof/>
          <w:sz w:val="18"/>
          <w:szCs w:val="24"/>
        </w:rPr>
        <w:t>J. Mater. Chem. C</w:t>
      </w:r>
      <w:r w:rsidRPr="00855E4C">
        <w:rPr>
          <w:rFonts w:ascii="Calibri" w:hAnsi="Calibri" w:cs="Calibri"/>
          <w:noProof/>
          <w:sz w:val="18"/>
          <w:szCs w:val="24"/>
        </w:rPr>
        <w:t>, , DOI:10.1039/d1tc03189a.</w:t>
      </w:r>
    </w:p>
    <w:p w14:paraId="31DE11AD"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855E4C">
        <w:rPr>
          <w:rFonts w:ascii="Calibri" w:hAnsi="Calibri" w:cs="Calibri"/>
          <w:noProof/>
          <w:sz w:val="18"/>
          <w:szCs w:val="24"/>
        </w:rPr>
        <w:t>36</w:t>
      </w:r>
      <w:r w:rsidRPr="00855E4C">
        <w:rPr>
          <w:rFonts w:ascii="Calibri" w:hAnsi="Calibri" w:cs="Calibri"/>
          <w:noProof/>
          <w:sz w:val="18"/>
          <w:szCs w:val="24"/>
        </w:rPr>
        <w:tab/>
        <w:t xml:space="preserve">M. Zhang, L. Li, Q. Lin, M. Tang, Y. Wu and C. Ke, </w:t>
      </w:r>
      <w:r w:rsidRPr="00855E4C">
        <w:rPr>
          <w:rFonts w:ascii="Calibri" w:hAnsi="Calibri" w:cs="Calibri"/>
          <w:i/>
          <w:iCs/>
          <w:noProof/>
          <w:sz w:val="18"/>
          <w:szCs w:val="24"/>
        </w:rPr>
        <w:t>J. Am. Chem. Soc.</w:t>
      </w:r>
      <w:r w:rsidRPr="00855E4C">
        <w:rPr>
          <w:rFonts w:ascii="Calibri" w:hAnsi="Calibri" w:cs="Calibri"/>
          <w:noProof/>
          <w:sz w:val="18"/>
          <w:szCs w:val="24"/>
        </w:rPr>
        <w:t xml:space="preserve">, 2019, </w:t>
      </w:r>
      <w:r w:rsidRPr="00855E4C">
        <w:rPr>
          <w:rFonts w:ascii="Calibri" w:hAnsi="Calibri" w:cs="Calibri"/>
          <w:b/>
          <w:bCs/>
          <w:noProof/>
          <w:sz w:val="18"/>
          <w:szCs w:val="24"/>
        </w:rPr>
        <w:t>141</w:t>
      </w:r>
      <w:r w:rsidRPr="00855E4C">
        <w:rPr>
          <w:rFonts w:ascii="Calibri" w:hAnsi="Calibri" w:cs="Calibri"/>
          <w:noProof/>
          <w:sz w:val="18"/>
          <w:szCs w:val="24"/>
        </w:rPr>
        <w:t>, 5154–5158.</w:t>
      </w:r>
    </w:p>
    <w:p w14:paraId="2F58F03E"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855E4C">
        <w:rPr>
          <w:rFonts w:ascii="Calibri" w:hAnsi="Calibri" w:cs="Calibri"/>
          <w:noProof/>
          <w:sz w:val="18"/>
          <w:szCs w:val="24"/>
        </w:rPr>
        <w:t>37</w:t>
      </w:r>
      <w:r w:rsidRPr="00855E4C">
        <w:rPr>
          <w:rFonts w:ascii="Calibri" w:hAnsi="Calibri" w:cs="Calibri"/>
          <w:noProof/>
          <w:sz w:val="18"/>
          <w:szCs w:val="24"/>
        </w:rPr>
        <w:tab/>
        <w:t xml:space="preserve">M. H. Omar, K. A. Razak, M. N. Ab Wahab and H. H. Hamzah, </w:t>
      </w:r>
      <w:r w:rsidRPr="00855E4C">
        <w:rPr>
          <w:rFonts w:ascii="Calibri" w:hAnsi="Calibri" w:cs="Calibri"/>
          <w:i/>
          <w:iCs/>
          <w:noProof/>
          <w:sz w:val="18"/>
          <w:szCs w:val="24"/>
        </w:rPr>
        <w:t>RSC Adv.</w:t>
      </w:r>
      <w:r w:rsidRPr="00855E4C">
        <w:rPr>
          <w:rFonts w:ascii="Calibri" w:hAnsi="Calibri" w:cs="Calibri"/>
          <w:noProof/>
          <w:sz w:val="18"/>
          <w:szCs w:val="24"/>
        </w:rPr>
        <w:t xml:space="preserve">, 2021, </w:t>
      </w:r>
      <w:r w:rsidRPr="00855E4C">
        <w:rPr>
          <w:rFonts w:ascii="Calibri" w:hAnsi="Calibri" w:cs="Calibri"/>
          <w:b/>
          <w:bCs/>
          <w:noProof/>
          <w:sz w:val="18"/>
          <w:szCs w:val="24"/>
        </w:rPr>
        <w:t>11</w:t>
      </w:r>
      <w:r w:rsidRPr="00855E4C">
        <w:rPr>
          <w:rFonts w:ascii="Calibri" w:hAnsi="Calibri" w:cs="Calibri"/>
          <w:noProof/>
          <w:sz w:val="18"/>
          <w:szCs w:val="24"/>
        </w:rPr>
        <w:t>, 16557–16571.</w:t>
      </w:r>
    </w:p>
    <w:p w14:paraId="02053E90"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855E4C">
        <w:rPr>
          <w:rFonts w:ascii="Calibri" w:hAnsi="Calibri" w:cs="Calibri"/>
          <w:noProof/>
          <w:sz w:val="18"/>
          <w:szCs w:val="24"/>
        </w:rPr>
        <w:t>38</w:t>
      </w:r>
      <w:r w:rsidRPr="00855E4C">
        <w:rPr>
          <w:rFonts w:ascii="Calibri" w:hAnsi="Calibri" w:cs="Calibri"/>
          <w:noProof/>
          <w:sz w:val="18"/>
          <w:szCs w:val="24"/>
        </w:rPr>
        <w:tab/>
        <w:t xml:space="preserve">R. Sun, H. Chen, L. Sutrisno, N. Kawazoe and G. Chen, </w:t>
      </w:r>
      <w:r w:rsidRPr="00855E4C">
        <w:rPr>
          <w:rFonts w:ascii="Calibri" w:hAnsi="Calibri" w:cs="Calibri"/>
          <w:i/>
          <w:iCs/>
          <w:noProof/>
          <w:sz w:val="18"/>
          <w:szCs w:val="24"/>
        </w:rPr>
        <w:t>Sci. Technol. Adv. Mater.</w:t>
      </w:r>
      <w:r w:rsidRPr="00855E4C">
        <w:rPr>
          <w:rFonts w:ascii="Calibri" w:hAnsi="Calibri" w:cs="Calibri"/>
          <w:noProof/>
          <w:sz w:val="18"/>
          <w:szCs w:val="24"/>
        </w:rPr>
        <w:t xml:space="preserve">, 2021, </w:t>
      </w:r>
      <w:r w:rsidRPr="00855E4C">
        <w:rPr>
          <w:rFonts w:ascii="Calibri" w:hAnsi="Calibri" w:cs="Calibri"/>
          <w:b/>
          <w:bCs/>
          <w:noProof/>
          <w:sz w:val="18"/>
          <w:szCs w:val="24"/>
        </w:rPr>
        <w:t>22</w:t>
      </w:r>
      <w:r w:rsidRPr="00855E4C">
        <w:rPr>
          <w:rFonts w:ascii="Calibri" w:hAnsi="Calibri" w:cs="Calibri"/>
          <w:noProof/>
          <w:sz w:val="18"/>
          <w:szCs w:val="24"/>
        </w:rPr>
        <w:t>, 404–428.</w:t>
      </w:r>
    </w:p>
    <w:p w14:paraId="1E3DCB18"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855E4C">
        <w:rPr>
          <w:rFonts w:ascii="Calibri" w:hAnsi="Calibri" w:cs="Calibri"/>
          <w:noProof/>
          <w:sz w:val="18"/>
          <w:szCs w:val="24"/>
        </w:rPr>
        <w:t>39</w:t>
      </w:r>
      <w:r w:rsidRPr="00855E4C">
        <w:rPr>
          <w:rFonts w:ascii="Calibri" w:hAnsi="Calibri" w:cs="Calibri"/>
          <w:noProof/>
          <w:sz w:val="18"/>
          <w:szCs w:val="24"/>
        </w:rPr>
        <w:tab/>
        <w:t xml:space="preserve">M. Y. Xia, Y. Xie, C. H. Yu, G. Y. Chen, Y. H. Li, T. Zhang and Q. Peng, </w:t>
      </w:r>
      <w:r w:rsidRPr="00855E4C">
        <w:rPr>
          <w:rFonts w:ascii="Calibri" w:hAnsi="Calibri" w:cs="Calibri"/>
          <w:i/>
          <w:iCs/>
          <w:noProof/>
          <w:sz w:val="18"/>
          <w:szCs w:val="24"/>
        </w:rPr>
        <w:t>J. Control. Release</w:t>
      </w:r>
      <w:r w:rsidRPr="00855E4C">
        <w:rPr>
          <w:rFonts w:ascii="Calibri" w:hAnsi="Calibri" w:cs="Calibri"/>
          <w:noProof/>
          <w:sz w:val="18"/>
          <w:szCs w:val="24"/>
        </w:rPr>
        <w:t xml:space="preserve">, 2019, </w:t>
      </w:r>
      <w:r w:rsidRPr="00855E4C">
        <w:rPr>
          <w:rFonts w:ascii="Calibri" w:hAnsi="Calibri" w:cs="Calibri"/>
          <w:b/>
          <w:bCs/>
          <w:noProof/>
          <w:sz w:val="18"/>
          <w:szCs w:val="24"/>
        </w:rPr>
        <w:t>307</w:t>
      </w:r>
      <w:r w:rsidRPr="00855E4C">
        <w:rPr>
          <w:rFonts w:ascii="Calibri" w:hAnsi="Calibri" w:cs="Calibri"/>
          <w:noProof/>
          <w:sz w:val="18"/>
          <w:szCs w:val="24"/>
        </w:rPr>
        <w:t>, 16–31.</w:t>
      </w:r>
    </w:p>
    <w:p w14:paraId="43A514B6"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855E4C">
        <w:rPr>
          <w:rFonts w:ascii="Calibri" w:hAnsi="Calibri" w:cs="Calibri"/>
          <w:noProof/>
          <w:sz w:val="18"/>
          <w:szCs w:val="24"/>
        </w:rPr>
        <w:t>40</w:t>
      </w:r>
      <w:r w:rsidRPr="00855E4C">
        <w:rPr>
          <w:rFonts w:ascii="Calibri" w:hAnsi="Calibri" w:cs="Calibri"/>
          <w:noProof/>
          <w:sz w:val="18"/>
          <w:szCs w:val="24"/>
        </w:rPr>
        <w:tab/>
        <w:t xml:space="preserve">G. H. Lu, W. T. Shang, H. Deng, Z. Y. Han, M. Hu, X. Y. Liang, C. H. Fang, X. H. Zhu, Y. F. Fan and J. Tian, </w:t>
      </w:r>
      <w:r w:rsidRPr="00855E4C">
        <w:rPr>
          <w:rFonts w:ascii="Calibri" w:hAnsi="Calibri" w:cs="Calibri"/>
          <w:i/>
          <w:iCs/>
          <w:noProof/>
          <w:sz w:val="18"/>
          <w:szCs w:val="24"/>
        </w:rPr>
        <w:t>Biomaterials</w:t>
      </w:r>
      <w:r w:rsidRPr="00855E4C">
        <w:rPr>
          <w:rFonts w:ascii="Calibri" w:hAnsi="Calibri" w:cs="Calibri"/>
          <w:noProof/>
          <w:sz w:val="18"/>
          <w:szCs w:val="24"/>
        </w:rPr>
        <w:t xml:space="preserve">, 2019, </w:t>
      </w:r>
      <w:r w:rsidRPr="00855E4C">
        <w:rPr>
          <w:rFonts w:ascii="Calibri" w:hAnsi="Calibri" w:cs="Calibri"/>
          <w:b/>
          <w:bCs/>
          <w:noProof/>
          <w:sz w:val="18"/>
          <w:szCs w:val="24"/>
        </w:rPr>
        <w:t>195</w:t>
      </w:r>
      <w:r w:rsidRPr="00855E4C">
        <w:rPr>
          <w:rFonts w:ascii="Calibri" w:hAnsi="Calibri" w:cs="Calibri"/>
          <w:noProof/>
          <w:sz w:val="18"/>
          <w:szCs w:val="24"/>
        </w:rPr>
        <w:t>, 13–22.</w:t>
      </w:r>
    </w:p>
    <w:p w14:paraId="2F18756A"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855E4C">
        <w:rPr>
          <w:rFonts w:ascii="Calibri" w:hAnsi="Calibri" w:cs="Calibri"/>
          <w:noProof/>
          <w:sz w:val="18"/>
          <w:szCs w:val="24"/>
        </w:rPr>
        <w:t>41</w:t>
      </w:r>
      <w:r w:rsidRPr="00855E4C">
        <w:rPr>
          <w:rFonts w:ascii="Calibri" w:hAnsi="Calibri" w:cs="Calibri"/>
          <w:noProof/>
          <w:sz w:val="18"/>
          <w:szCs w:val="24"/>
        </w:rPr>
        <w:tab/>
        <w:t xml:space="preserve">H. Xu, J. Gao and D. Jiang, </w:t>
      </w:r>
      <w:r w:rsidRPr="00855E4C">
        <w:rPr>
          <w:rFonts w:ascii="Calibri" w:hAnsi="Calibri" w:cs="Calibri"/>
          <w:i/>
          <w:iCs/>
          <w:noProof/>
          <w:sz w:val="18"/>
          <w:szCs w:val="24"/>
        </w:rPr>
        <w:t>Nat. Chem.</w:t>
      </w:r>
      <w:r w:rsidRPr="00855E4C">
        <w:rPr>
          <w:rFonts w:ascii="Calibri" w:hAnsi="Calibri" w:cs="Calibri"/>
          <w:noProof/>
          <w:sz w:val="18"/>
          <w:szCs w:val="24"/>
        </w:rPr>
        <w:t xml:space="preserve">, 2015, </w:t>
      </w:r>
      <w:r w:rsidRPr="00855E4C">
        <w:rPr>
          <w:rFonts w:ascii="Calibri" w:hAnsi="Calibri" w:cs="Calibri"/>
          <w:b/>
          <w:bCs/>
          <w:noProof/>
          <w:sz w:val="18"/>
          <w:szCs w:val="24"/>
        </w:rPr>
        <w:t>7</w:t>
      </w:r>
      <w:r w:rsidRPr="00855E4C">
        <w:rPr>
          <w:rFonts w:ascii="Calibri" w:hAnsi="Calibri" w:cs="Calibri"/>
          <w:noProof/>
          <w:sz w:val="18"/>
          <w:szCs w:val="24"/>
        </w:rPr>
        <w:t>, 905–912.</w:t>
      </w:r>
    </w:p>
    <w:p w14:paraId="585D418B"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855E4C">
        <w:rPr>
          <w:rFonts w:ascii="Calibri" w:hAnsi="Calibri" w:cs="Calibri"/>
          <w:noProof/>
          <w:sz w:val="18"/>
          <w:szCs w:val="24"/>
        </w:rPr>
        <w:t>42</w:t>
      </w:r>
      <w:r w:rsidRPr="00855E4C">
        <w:rPr>
          <w:rFonts w:ascii="Calibri" w:hAnsi="Calibri" w:cs="Calibri"/>
          <w:noProof/>
          <w:sz w:val="18"/>
          <w:szCs w:val="24"/>
        </w:rPr>
        <w:tab/>
        <w:t xml:space="preserve">G. Ghini, L. Lascialfari, C. Vinattieri, S. Cicchi, A. Brandi, D. Berti, F. Betti, P. Baglioni and M. Mannini, </w:t>
      </w:r>
      <w:r w:rsidRPr="00855E4C">
        <w:rPr>
          <w:rFonts w:ascii="Calibri" w:hAnsi="Calibri" w:cs="Calibri"/>
          <w:i/>
          <w:iCs/>
          <w:noProof/>
          <w:sz w:val="18"/>
          <w:szCs w:val="24"/>
        </w:rPr>
        <w:t>Soft Matter</w:t>
      </w:r>
      <w:r w:rsidRPr="00855E4C">
        <w:rPr>
          <w:rFonts w:ascii="Calibri" w:hAnsi="Calibri" w:cs="Calibri"/>
          <w:noProof/>
          <w:sz w:val="18"/>
          <w:szCs w:val="24"/>
        </w:rPr>
        <w:t xml:space="preserve">, 2009, </w:t>
      </w:r>
      <w:r w:rsidRPr="00855E4C">
        <w:rPr>
          <w:rFonts w:ascii="Calibri" w:hAnsi="Calibri" w:cs="Calibri"/>
          <w:b/>
          <w:bCs/>
          <w:noProof/>
          <w:sz w:val="18"/>
          <w:szCs w:val="24"/>
        </w:rPr>
        <w:t>5</w:t>
      </w:r>
      <w:r w:rsidRPr="00855E4C">
        <w:rPr>
          <w:rFonts w:ascii="Calibri" w:hAnsi="Calibri" w:cs="Calibri"/>
          <w:noProof/>
          <w:sz w:val="18"/>
          <w:szCs w:val="24"/>
        </w:rPr>
        <w:t>, 1863–1869.</w:t>
      </w:r>
    </w:p>
    <w:p w14:paraId="0CA849C4"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855E4C">
        <w:rPr>
          <w:rFonts w:ascii="Calibri" w:hAnsi="Calibri" w:cs="Calibri"/>
          <w:noProof/>
          <w:sz w:val="18"/>
          <w:szCs w:val="24"/>
        </w:rPr>
        <w:t>43</w:t>
      </w:r>
      <w:r w:rsidRPr="00855E4C">
        <w:rPr>
          <w:rFonts w:ascii="Calibri" w:hAnsi="Calibri" w:cs="Calibri"/>
          <w:noProof/>
          <w:sz w:val="18"/>
          <w:szCs w:val="24"/>
        </w:rPr>
        <w:tab/>
        <w:t xml:space="preserve">V. Martinez and M. Henary, </w:t>
      </w:r>
      <w:r w:rsidRPr="00855E4C">
        <w:rPr>
          <w:rFonts w:ascii="Calibri" w:hAnsi="Calibri" w:cs="Calibri"/>
          <w:i/>
          <w:iCs/>
          <w:noProof/>
          <w:sz w:val="18"/>
          <w:szCs w:val="24"/>
        </w:rPr>
        <w:t>Chem. - A Eur. J.</w:t>
      </w:r>
      <w:r w:rsidRPr="00855E4C">
        <w:rPr>
          <w:rFonts w:ascii="Calibri" w:hAnsi="Calibri" w:cs="Calibri"/>
          <w:noProof/>
          <w:sz w:val="18"/>
          <w:szCs w:val="24"/>
        </w:rPr>
        <w:t xml:space="preserve">, 2016, </w:t>
      </w:r>
      <w:r w:rsidRPr="00855E4C">
        <w:rPr>
          <w:rFonts w:ascii="Calibri" w:hAnsi="Calibri" w:cs="Calibri"/>
          <w:b/>
          <w:bCs/>
          <w:noProof/>
          <w:sz w:val="18"/>
          <w:szCs w:val="24"/>
        </w:rPr>
        <w:t>22</w:t>
      </w:r>
      <w:r w:rsidRPr="00855E4C">
        <w:rPr>
          <w:rFonts w:ascii="Calibri" w:hAnsi="Calibri" w:cs="Calibri"/>
          <w:noProof/>
          <w:sz w:val="18"/>
          <w:szCs w:val="24"/>
        </w:rPr>
        <w:t>, 13764–13782.</w:t>
      </w:r>
    </w:p>
    <w:p w14:paraId="2F2296A2"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855E4C">
        <w:rPr>
          <w:rFonts w:ascii="Calibri" w:hAnsi="Calibri" w:cs="Calibri"/>
          <w:noProof/>
          <w:sz w:val="18"/>
          <w:szCs w:val="24"/>
        </w:rPr>
        <w:t>44</w:t>
      </w:r>
      <w:r w:rsidRPr="00855E4C">
        <w:rPr>
          <w:rFonts w:ascii="Calibri" w:hAnsi="Calibri" w:cs="Calibri"/>
          <w:noProof/>
          <w:sz w:val="18"/>
          <w:szCs w:val="24"/>
        </w:rPr>
        <w:tab/>
        <w:t xml:space="preserve">F. Zhao, H. Liu, S. D. R. Mathe, A. Dong and J. Zhang, </w:t>
      </w:r>
      <w:r w:rsidRPr="00855E4C">
        <w:rPr>
          <w:rFonts w:ascii="Calibri" w:hAnsi="Calibri" w:cs="Calibri"/>
          <w:i/>
          <w:iCs/>
          <w:noProof/>
          <w:sz w:val="18"/>
          <w:szCs w:val="24"/>
        </w:rPr>
        <w:t>Nanomaterials</w:t>
      </w:r>
      <w:r w:rsidRPr="00855E4C">
        <w:rPr>
          <w:rFonts w:ascii="Calibri" w:hAnsi="Calibri" w:cs="Calibri"/>
          <w:noProof/>
          <w:sz w:val="18"/>
          <w:szCs w:val="24"/>
        </w:rPr>
        <w:t xml:space="preserve">, 2018, </w:t>
      </w:r>
      <w:r w:rsidRPr="00855E4C">
        <w:rPr>
          <w:rFonts w:ascii="Calibri" w:hAnsi="Calibri" w:cs="Calibri"/>
          <w:b/>
          <w:bCs/>
          <w:noProof/>
          <w:sz w:val="18"/>
          <w:szCs w:val="24"/>
        </w:rPr>
        <w:t>8</w:t>
      </w:r>
      <w:r w:rsidRPr="00855E4C">
        <w:rPr>
          <w:rFonts w:ascii="Calibri" w:hAnsi="Calibri" w:cs="Calibri"/>
          <w:noProof/>
          <w:sz w:val="18"/>
          <w:szCs w:val="24"/>
        </w:rPr>
        <w:t>, 8010015.</w:t>
      </w:r>
    </w:p>
    <w:p w14:paraId="5CF981B1"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855E4C">
        <w:rPr>
          <w:rFonts w:ascii="Calibri" w:hAnsi="Calibri" w:cs="Calibri"/>
          <w:noProof/>
          <w:sz w:val="18"/>
          <w:szCs w:val="24"/>
        </w:rPr>
        <w:t>45</w:t>
      </w:r>
      <w:r w:rsidRPr="00855E4C">
        <w:rPr>
          <w:rFonts w:ascii="Calibri" w:hAnsi="Calibri" w:cs="Calibri"/>
          <w:noProof/>
          <w:sz w:val="18"/>
          <w:szCs w:val="24"/>
        </w:rPr>
        <w:tab/>
        <w:t xml:space="preserve">Y. R. Du, B. H. Xu, S. P. Xia, G. R. Ding and S. J. Zhang, </w:t>
      </w:r>
      <w:r w:rsidRPr="00855E4C">
        <w:rPr>
          <w:rFonts w:ascii="Calibri" w:hAnsi="Calibri" w:cs="Calibri"/>
          <w:i/>
          <w:iCs/>
          <w:noProof/>
          <w:sz w:val="18"/>
          <w:szCs w:val="24"/>
        </w:rPr>
        <w:t>ACS Appl. Mater. Interfaces</w:t>
      </w:r>
      <w:r w:rsidRPr="00855E4C">
        <w:rPr>
          <w:rFonts w:ascii="Calibri" w:hAnsi="Calibri" w:cs="Calibri"/>
          <w:noProof/>
          <w:sz w:val="18"/>
          <w:szCs w:val="24"/>
        </w:rPr>
        <w:t xml:space="preserve">, 2021, </w:t>
      </w:r>
      <w:r w:rsidRPr="00855E4C">
        <w:rPr>
          <w:rFonts w:ascii="Calibri" w:hAnsi="Calibri" w:cs="Calibri"/>
          <w:b/>
          <w:bCs/>
          <w:noProof/>
          <w:sz w:val="18"/>
          <w:szCs w:val="24"/>
        </w:rPr>
        <w:t>13</w:t>
      </w:r>
      <w:r w:rsidRPr="00855E4C">
        <w:rPr>
          <w:rFonts w:ascii="Calibri" w:hAnsi="Calibri" w:cs="Calibri"/>
          <w:noProof/>
          <w:sz w:val="18"/>
          <w:szCs w:val="24"/>
        </w:rPr>
        <w:t>, 552–562.</w:t>
      </w:r>
    </w:p>
    <w:p w14:paraId="6AF15005"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855E4C">
        <w:rPr>
          <w:rFonts w:ascii="Calibri" w:hAnsi="Calibri" w:cs="Calibri"/>
          <w:noProof/>
          <w:sz w:val="18"/>
          <w:szCs w:val="24"/>
        </w:rPr>
        <w:t>46</w:t>
      </w:r>
      <w:r w:rsidRPr="00855E4C">
        <w:rPr>
          <w:rFonts w:ascii="Calibri" w:hAnsi="Calibri" w:cs="Calibri"/>
          <w:noProof/>
          <w:sz w:val="18"/>
          <w:szCs w:val="24"/>
        </w:rPr>
        <w:tab/>
        <w:t xml:space="preserve">P. Wang, Q. Xu, Z. Li, W. Jiang, Q. Jiang and D. Jiang, </w:t>
      </w:r>
      <w:r w:rsidRPr="00855E4C">
        <w:rPr>
          <w:rFonts w:ascii="Calibri" w:hAnsi="Calibri" w:cs="Calibri"/>
          <w:i/>
          <w:iCs/>
          <w:noProof/>
          <w:sz w:val="18"/>
          <w:szCs w:val="24"/>
        </w:rPr>
        <w:t>Adv. Mater.</w:t>
      </w:r>
      <w:r w:rsidRPr="00855E4C">
        <w:rPr>
          <w:rFonts w:ascii="Calibri" w:hAnsi="Calibri" w:cs="Calibri"/>
          <w:noProof/>
          <w:sz w:val="18"/>
          <w:szCs w:val="24"/>
        </w:rPr>
        <w:t xml:space="preserve">, 2018, </w:t>
      </w:r>
      <w:r w:rsidRPr="00855E4C">
        <w:rPr>
          <w:rFonts w:ascii="Calibri" w:hAnsi="Calibri" w:cs="Calibri"/>
          <w:b/>
          <w:bCs/>
          <w:noProof/>
          <w:sz w:val="18"/>
          <w:szCs w:val="24"/>
        </w:rPr>
        <w:t>30</w:t>
      </w:r>
      <w:r w:rsidRPr="00855E4C">
        <w:rPr>
          <w:rFonts w:ascii="Calibri" w:hAnsi="Calibri" w:cs="Calibri"/>
          <w:noProof/>
          <w:sz w:val="18"/>
          <w:szCs w:val="24"/>
        </w:rPr>
        <w:t>, 1801991.</w:t>
      </w:r>
    </w:p>
    <w:p w14:paraId="4697BF29"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855E4C">
        <w:rPr>
          <w:rFonts w:ascii="Calibri" w:hAnsi="Calibri" w:cs="Calibri"/>
          <w:noProof/>
          <w:sz w:val="18"/>
          <w:szCs w:val="24"/>
        </w:rPr>
        <w:t>47</w:t>
      </w:r>
      <w:r w:rsidRPr="00855E4C">
        <w:rPr>
          <w:rFonts w:ascii="Calibri" w:hAnsi="Calibri" w:cs="Calibri"/>
          <w:noProof/>
          <w:sz w:val="18"/>
          <w:szCs w:val="24"/>
        </w:rPr>
        <w:tab/>
        <w:t xml:space="preserve">Z. J. Mu, X. Ding, Z. Y. Chen and B. H. Han, </w:t>
      </w:r>
      <w:r w:rsidRPr="00855E4C">
        <w:rPr>
          <w:rFonts w:ascii="Calibri" w:hAnsi="Calibri" w:cs="Calibri"/>
          <w:i/>
          <w:iCs/>
          <w:noProof/>
          <w:sz w:val="18"/>
          <w:szCs w:val="24"/>
        </w:rPr>
        <w:t>ACS Appl. Mater. Interfaces</w:t>
      </w:r>
      <w:r w:rsidRPr="00855E4C">
        <w:rPr>
          <w:rFonts w:ascii="Calibri" w:hAnsi="Calibri" w:cs="Calibri"/>
          <w:noProof/>
          <w:sz w:val="18"/>
          <w:szCs w:val="24"/>
        </w:rPr>
        <w:t xml:space="preserve">, 2018, </w:t>
      </w:r>
      <w:r w:rsidRPr="00855E4C">
        <w:rPr>
          <w:rFonts w:ascii="Calibri" w:hAnsi="Calibri" w:cs="Calibri"/>
          <w:b/>
          <w:bCs/>
          <w:noProof/>
          <w:sz w:val="18"/>
          <w:szCs w:val="24"/>
        </w:rPr>
        <w:t>10</w:t>
      </w:r>
      <w:r w:rsidRPr="00855E4C">
        <w:rPr>
          <w:rFonts w:ascii="Calibri" w:hAnsi="Calibri" w:cs="Calibri"/>
          <w:noProof/>
          <w:sz w:val="18"/>
          <w:szCs w:val="24"/>
        </w:rPr>
        <w:t>, 41350–41358.</w:t>
      </w:r>
    </w:p>
    <w:p w14:paraId="468D5EBD"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855E4C">
        <w:rPr>
          <w:rFonts w:ascii="Calibri" w:hAnsi="Calibri" w:cs="Calibri"/>
          <w:noProof/>
          <w:sz w:val="18"/>
          <w:szCs w:val="24"/>
        </w:rPr>
        <w:t>48</w:t>
      </w:r>
      <w:r w:rsidRPr="00855E4C">
        <w:rPr>
          <w:rFonts w:ascii="Calibri" w:hAnsi="Calibri" w:cs="Calibri"/>
          <w:noProof/>
          <w:sz w:val="18"/>
          <w:szCs w:val="24"/>
        </w:rPr>
        <w:tab/>
        <w:t xml:space="preserve">S. A. Ahmed, Q. B. Liao, Q. Shen, M. M. F. Ashraf Baig, J. Zhou, C. F. Shi, P. Muhammad, S. Hanif, K. Xi, X. H. Xia and K. Wang, </w:t>
      </w:r>
      <w:r w:rsidRPr="00855E4C">
        <w:rPr>
          <w:rFonts w:ascii="Calibri" w:hAnsi="Calibri" w:cs="Calibri"/>
          <w:i/>
          <w:iCs/>
          <w:noProof/>
          <w:sz w:val="18"/>
          <w:szCs w:val="24"/>
        </w:rPr>
        <w:t>Chem. - A Eur. J.</w:t>
      </w:r>
      <w:r w:rsidRPr="00855E4C">
        <w:rPr>
          <w:rFonts w:ascii="Calibri" w:hAnsi="Calibri" w:cs="Calibri"/>
          <w:noProof/>
          <w:sz w:val="18"/>
          <w:szCs w:val="24"/>
        </w:rPr>
        <w:t xml:space="preserve">, 2020, </w:t>
      </w:r>
      <w:r w:rsidRPr="00855E4C">
        <w:rPr>
          <w:rFonts w:ascii="Calibri" w:hAnsi="Calibri" w:cs="Calibri"/>
          <w:b/>
          <w:bCs/>
          <w:noProof/>
          <w:sz w:val="18"/>
          <w:szCs w:val="24"/>
        </w:rPr>
        <w:t>26</w:t>
      </w:r>
      <w:r w:rsidRPr="00855E4C">
        <w:rPr>
          <w:rFonts w:ascii="Calibri" w:hAnsi="Calibri" w:cs="Calibri"/>
          <w:noProof/>
          <w:sz w:val="18"/>
          <w:szCs w:val="24"/>
        </w:rPr>
        <w:t>, 12996–13001.</w:t>
      </w:r>
    </w:p>
    <w:p w14:paraId="38784024"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855E4C">
        <w:rPr>
          <w:rFonts w:ascii="Calibri" w:hAnsi="Calibri" w:cs="Calibri"/>
          <w:noProof/>
          <w:sz w:val="18"/>
          <w:szCs w:val="24"/>
        </w:rPr>
        <w:t>49</w:t>
      </w:r>
      <w:r w:rsidRPr="00855E4C">
        <w:rPr>
          <w:rFonts w:ascii="Calibri" w:hAnsi="Calibri" w:cs="Calibri"/>
          <w:noProof/>
          <w:sz w:val="18"/>
          <w:szCs w:val="24"/>
        </w:rPr>
        <w:tab/>
        <w:t xml:space="preserve">D. W. Burke, C. Sun, I. Castano, N. C. Flanders, A. M. Evans, E. Vitaku, D. C. McLeod, R. H. Lambeth, L. X. Chen, N. C. Gianneschi and W. R. Dichtel, </w:t>
      </w:r>
      <w:r w:rsidRPr="00855E4C">
        <w:rPr>
          <w:rFonts w:ascii="Calibri" w:hAnsi="Calibri" w:cs="Calibri"/>
          <w:i/>
          <w:iCs/>
          <w:noProof/>
          <w:sz w:val="18"/>
          <w:szCs w:val="24"/>
        </w:rPr>
        <w:t>Angew. Chemie - Int. Ed.</w:t>
      </w:r>
      <w:r w:rsidRPr="00855E4C">
        <w:rPr>
          <w:rFonts w:ascii="Calibri" w:hAnsi="Calibri" w:cs="Calibri"/>
          <w:noProof/>
          <w:sz w:val="18"/>
          <w:szCs w:val="24"/>
        </w:rPr>
        <w:t xml:space="preserve">, 2020, </w:t>
      </w:r>
      <w:r w:rsidRPr="00855E4C">
        <w:rPr>
          <w:rFonts w:ascii="Calibri" w:hAnsi="Calibri" w:cs="Calibri"/>
          <w:b/>
          <w:bCs/>
          <w:noProof/>
          <w:sz w:val="18"/>
          <w:szCs w:val="24"/>
        </w:rPr>
        <w:t>59</w:t>
      </w:r>
      <w:r w:rsidRPr="00855E4C">
        <w:rPr>
          <w:rFonts w:ascii="Calibri" w:hAnsi="Calibri" w:cs="Calibri"/>
          <w:noProof/>
          <w:sz w:val="18"/>
          <w:szCs w:val="24"/>
        </w:rPr>
        <w:t>, 5165–5171.</w:t>
      </w:r>
    </w:p>
    <w:p w14:paraId="784189DB"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855E4C">
        <w:rPr>
          <w:rFonts w:ascii="Calibri" w:hAnsi="Calibri" w:cs="Calibri"/>
          <w:noProof/>
          <w:sz w:val="18"/>
          <w:szCs w:val="24"/>
        </w:rPr>
        <w:t>50</w:t>
      </w:r>
      <w:r w:rsidRPr="00855E4C">
        <w:rPr>
          <w:rFonts w:ascii="Calibri" w:hAnsi="Calibri" w:cs="Calibri"/>
          <w:noProof/>
          <w:sz w:val="18"/>
          <w:szCs w:val="24"/>
        </w:rPr>
        <w:tab/>
        <w:t xml:space="preserve">G. Nizri and S. Magdassi, </w:t>
      </w:r>
      <w:r w:rsidRPr="00855E4C">
        <w:rPr>
          <w:rFonts w:ascii="Calibri" w:hAnsi="Calibri" w:cs="Calibri"/>
          <w:i/>
          <w:iCs/>
          <w:noProof/>
          <w:sz w:val="18"/>
          <w:szCs w:val="24"/>
        </w:rPr>
        <w:t>J. Colloid Interface Sci.</w:t>
      </w:r>
      <w:r w:rsidRPr="00855E4C">
        <w:rPr>
          <w:rFonts w:ascii="Calibri" w:hAnsi="Calibri" w:cs="Calibri"/>
          <w:noProof/>
          <w:sz w:val="18"/>
          <w:szCs w:val="24"/>
        </w:rPr>
        <w:t xml:space="preserve">, 2005, </w:t>
      </w:r>
      <w:r w:rsidRPr="00855E4C">
        <w:rPr>
          <w:rFonts w:ascii="Calibri" w:hAnsi="Calibri" w:cs="Calibri"/>
          <w:b/>
          <w:bCs/>
          <w:noProof/>
          <w:sz w:val="18"/>
          <w:szCs w:val="24"/>
        </w:rPr>
        <w:t>291</w:t>
      </w:r>
      <w:r w:rsidRPr="00855E4C">
        <w:rPr>
          <w:rFonts w:ascii="Calibri" w:hAnsi="Calibri" w:cs="Calibri"/>
          <w:noProof/>
          <w:sz w:val="18"/>
          <w:szCs w:val="24"/>
        </w:rPr>
        <w:t>, 169–174.</w:t>
      </w:r>
    </w:p>
    <w:p w14:paraId="05527C2A"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855E4C">
        <w:rPr>
          <w:rFonts w:ascii="Calibri" w:hAnsi="Calibri" w:cs="Calibri"/>
          <w:noProof/>
          <w:sz w:val="18"/>
          <w:szCs w:val="24"/>
        </w:rPr>
        <w:t>51</w:t>
      </w:r>
      <w:r w:rsidRPr="00855E4C">
        <w:rPr>
          <w:rFonts w:ascii="Calibri" w:hAnsi="Calibri" w:cs="Calibri"/>
          <w:noProof/>
          <w:sz w:val="18"/>
          <w:szCs w:val="24"/>
        </w:rPr>
        <w:tab/>
        <w:t xml:space="preserve">J. Jose and K. Burgess, </w:t>
      </w:r>
      <w:r w:rsidRPr="00855E4C">
        <w:rPr>
          <w:rFonts w:ascii="Calibri" w:hAnsi="Calibri" w:cs="Calibri"/>
          <w:i/>
          <w:iCs/>
          <w:noProof/>
          <w:sz w:val="18"/>
          <w:szCs w:val="24"/>
        </w:rPr>
        <w:t>J. Org. Chem.</w:t>
      </w:r>
      <w:r w:rsidRPr="00855E4C">
        <w:rPr>
          <w:rFonts w:ascii="Calibri" w:hAnsi="Calibri" w:cs="Calibri"/>
          <w:noProof/>
          <w:sz w:val="18"/>
          <w:szCs w:val="24"/>
        </w:rPr>
        <w:t xml:space="preserve">, 2006, </w:t>
      </w:r>
      <w:r w:rsidRPr="00855E4C">
        <w:rPr>
          <w:rFonts w:ascii="Calibri" w:hAnsi="Calibri" w:cs="Calibri"/>
          <w:b/>
          <w:bCs/>
          <w:noProof/>
          <w:sz w:val="18"/>
          <w:szCs w:val="24"/>
        </w:rPr>
        <w:t>71</w:t>
      </w:r>
      <w:r w:rsidRPr="00855E4C">
        <w:rPr>
          <w:rFonts w:ascii="Calibri" w:hAnsi="Calibri" w:cs="Calibri"/>
          <w:noProof/>
          <w:sz w:val="18"/>
          <w:szCs w:val="24"/>
        </w:rPr>
        <w:t>, 7835–7839.</w:t>
      </w:r>
    </w:p>
    <w:p w14:paraId="4872166C"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855E4C">
        <w:rPr>
          <w:rFonts w:ascii="Calibri" w:hAnsi="Calibri" w:cs="Calibri"/>
          <w:noProof/>
          <w:sz w:val="18"/>
          <w:szCs w:val="24"/>
        </w:rPr>
        <w:t>52</w:t>
      </w:r>
      <w:r w:rsidRPr="00855E4C">
        <w:rPr>
          <w:rFonts w:ascii="Calibri" w:hAnsi="Calibri" w:cs="Calibri"/>
          <w:noProof/>
          <w:sz w:val="18"/>
          <w:szCs w:val="24"/>
        </w:rPr>
        <w:tab/>
        <w:t xml:space="preserve">N. I. Selivanov, L. G. Samsonova, V. Y. Artyukhov and T. N. Kopylova, </w:t>
      </w:r>
      <w:r w:rsidRPr="00855E4C">
        <w:rPr>
          <w:rFonts w:ascii="Calibri" w:hAnsi="Calibri" w:cs="Calibri"/>
          <w:i/>
          <w:iCs/>
          <w:noProof/>
          <w:sz w:val="18"/>
          <w:szCs w:val="24"/>
        </w:rPr>
        <w:t>Russ. Phys. J.</w:t>
      </w:r>
      <w:r w:rsidRPr="00855E4C">
        <w:rPr>
          <w:rFonts w:ascii="Calibri" w:hAnsi="Calibri" w:cs="Calibri"/>
          <w:noProof/>
          <w:sz w:val="18"/>
          <w:szCs w:val="24"/>
        </w:rPr>
        <w:t xml:space="preserve">, 2011, </w:t>
      </w:r>
      <w:r w:rsidRPr="00855E4C">
        <w:rPr>
          <w:rFonts w:ascii="Calibri" w:hAnsi="Calibri" w:cs="Calibri"/>
          <w:b/>
          <w:bCs/>
          <w:noProof/>
          <w:sz w:val="18"/>
          <w:szCs w:val="24"/>
        </w:rPr>
        <w:t>54</w:t>
      </w:r>
      <w:r w:rsidRPr="00855E4C">
        <w:rPr>
          <w:rFonts w:ascii="Calibri" w:hAnsi="Calibri" w:cs="Calibri"/>
          <w:noProof/>
          <w:sz w:val="18"/>
          <w:szCs w:val="24"/>
        </w:rPr>
        <w:t>, 601–606.</w:t>
      </w:r>
    </w:p>
    <w:p w14:paraId="5BD30BCB"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855E4C">
        <w:rPr>
          <w:rFonts w:ascii="Calibri" w:hAnsi="Calibri" w:cs="Calibri"/>
          <w:noProof/>
          <w:sz w:val="18"/>
          <w:szCs w:val="24"/>
        </w:rPr>
        <w:t>53</w:t>
      </w:r>
      <w:r w:rsidRPr="00855E4C">
        <w:rPr>
          <w:rFonts w:ascii="Calibri" w:hAnsi="Calibri" w:cs="Calibri"/>
          <w:noProof/>
          <w:sz w:val="18"/>
          <w:szCs w:val="24"/>
        </w:rPr>
        <w:tab/>
        <w:t xml:space="preserve">E. M. Moreno and D. Levy, </w:t>
      </w:r>
      <w:r w:rsidRPr="00855E4C">
        <w:rPr>
          <w:rFonts w:ascii="Calibri" w:hAnsi="Calibri" w:cs="Calibri"/>
          <w:i/>
          <w:iCs/>
          <w:noProof/>
          <w:sz w:val="18"/>
          <w:szCs w:val="24"/>
        </w:rPr>
        <w:t>Chem. Mater.</w:t>
      </w:r>
      <w:r w:rsidRPr="00855E4C">
        <w:rPr>
          <w:rFonts w:ascii="Calibri" w:hAnsi="Calibri" w:cs="Calibri"/>
          <w:noProof/>
          <w:sz w:val="18"/>
          <w:szCs w:val="24"/>
        </w:rPr>
        <w:t xml:space="preserve">, 2000, </w:t>
      </w:r>
      <w:r w:rsidRPr="00855E4C">
        <w:rPr>
          <w:rFonts w:ascii="Calibri" w:hAnsi="Calibri" w:cs="Calibri"/>
          <w:b/>
          <w:bCs/>
          <w:noProof/>
          <w:sz w:val="18"/>
          <w:szCs w:val="24"/>
        </w:rPr>
        <w:t>12</w:t>
      </w:r>
      <w:r w:rsidRPr="00855E4C">
        <w:rPr>
          <w:rFonts w:ascii="Calibri" w:hAnsi="Calibri" w:cs="Calibri"/>
          <w:noProof/>
          <w:sz w:val="18"/>
          <w:szCs w:val="24"/>
        </w:rPr>
        <w:t>, 2334–2340.</w:t>
      </w:r>
    </w:p>
    <w:p w14:paraId="4A784D6D"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855E4C">
        <w:rPr>
          <w:rFonts w:ascii="Calibri" w:hAnsi="Calibri" w:cs="Calibri"/>
          <w:noProof/>
          <w:sz w:val="18"/>
          <w:szCs w:val="24"/>
        </w:rPr>
        <w:t>54</w:t>
      </w:r>
      <w:r w:rsidRPr="00855E4C">
        <w:rPr>
          <w:rFonts w:ascii="Calibri" w:hAnsi="Calibri" w:cs="Calibri"/>
          <w:noProof/>
          <w:sz w:val="18"/>
          <w:szCs w:val="24"/>
        </w:rPr>
        <w:tab/>
        <w:t xml:space="preserve">P. Gao, R. Wei, Y. Chen, X. Liu, J. Zhang, W. Pan, N. Li and B. </w:t>
      </w:r>
      <w:r w:rsidRPr="00855E4C">
        <w:rPr>
          <w:rFonts w:ascii="Calibri" w:hAnsi="Calibri" w:cs="Calibri"/>
          <w:noProof/>
          <w:sz w:val="18"/>
          <w:szCs w:val="24"/>
        </w:rPr>
        <w:lastRenderedPageBreak/>
        <w:t xml:space="preserve">Tang, </w:t>
      </w:r>
      <w:r w:rsidRPr="00855E4C">
        <w:rPr>
          <w:rFonts w:ascii="Calibri" w:hAnsi="Calibri" w:cs="Calibri"/>
          <w:i/>
          <w:iCs/>
          <w:noProof/>
          <w:sz w:val="18"/>
          <w:szCs w:val="24"/>
        </w:rPr>
        <w:t>Anal. Chem.</w:t>
      </w:r>
      <w:r w:rsidRPr="00855E4C">
        <w:rPr>
          <w:rFonts w:ascii="Calibri" w:hAnsi="Calibri" w:cs="Calibri"/>
          <w:noProof/>
          <w:sz w:val="18"/>
          <w:szCs w:val="24"/>
        </w:rPr>
        <w:t>, , DOI:10.1021/acs.analchem.1c03545.</w:t>
      </w:r>
    </w:p>
    <w:p w14:paraId="043F30E8"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855E4C">
        <w:rPr>
          <w:rFonts w:ascii="Calibri" w:hAnsi="Calibri" w:cs="Calibri"/>
          <w:noProof/>
          <w:sz w:val="18"/>
          <w:szCs w:val="24"/>
        </w:rPr>
        <w:t>55</w:t>
      </w:r>
      <w:r w:rsidRPr="00855E4C">
        <w:rPr>
          <w:rFonts w:ascii="Calibri" w:hAnsi="Calibri" w:cs="Calibri"/>
          <w:noProof/>
          <w:sz w:val="18"/>
          <w:szCs w:val="24"/>
        </w:rPr>
        <w:tab/>
        <w:t xml:space="preserve">S. Hayashi, T. Koizumi and N. Kamiya, </w:t>
      </w:r>
      <w:r w:rsidRPr="00855E4C">
        <w:rPr>
          <w:rFonts w:ascii="Calibri" w:hAnsi="Calibri" w:cs="Calibri"/>
          <w:i/>
          <w:iCs/>
          <w:noProof/>
          <w:sz w:val="18"/>
          <w:szCs w:val="24"/>
        </w:rPr>
        <w:t>Chempluschem</w:t>
      </w:r>
      <w:r w:rsidRPr="00855E4C">
        <w:rPr>
          <w:rFonts w:ascii="Calibri" w:hAnsi="Calibri" w:cs="Calibri"/>
          <w:noProof/>
          <w:sz w:val="18"/>
          <w:szCs w:val="24"/>
        </w:rPr>
        <w:t xml:space="preserve">, 2019, </w:t>
      </w:r>
      <w:r w:rsidRPr="00855E4C">
        <w:rPr>
          <w:rFonts w:ascii="Calibri" w:hAnsi="Calibri" w:cs="Calibri"/>
          <w:b/>
          <w:bCs/>
          <w:noProof/>
          <w:sz w:val="18"/>
          <w:szCs w:val="24"/>
        </w:rPr>
        <w:t>84</w:t>
      </w:r>
      <w:r w:rsidRPr="00855E4C">
        <w:rPr>
          <w:rFonts w:ascii="Calibri" w:hAnsi="Calibri" w:cs="Calibri"/>
          <w:noProof/>
          <w:sz w:val="18"/>
          <w:szCs w:val="24"/>
        </w:rPr>
        <w:t>, 247–251.</w:t>
      </w:r>
    </w:p>
    <w:p w14:paraId="0743F3C0"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855E4C">
        <w:rPr>
          <w:rFonts w:ascii="Calibri" w:hAnsi="Calibri" w:cs="Calibri"/>
          <w:noProof/>
          <w:sz w:val="18"/>
          <w:szCs w:val="24"/>
        </w:rPr>
        <w:t>56</w:t>
      </w:r>
      <w:r w:rsidRPr="00855E4C">
        <w:rPr>
          <w:rFonts w:ascii="Calibri" w:hAnsi="Calibri" w:cs="Calibri"/>
          <w:noProof/>
          <w:sz w:val="18"/>
          <w:szCs w:val="24"/>
        </w:rPr>
        <w:tab/>
        <w:t xml:space="preserve">N. Ghoneim, </w:t>
      </w:r>
      <w:r w:rsidRPr="00855E4C">
        <w:rPr>
          <w:rFonts w:ascii="Calibri" w:hAnsi="Calibri" w:cs="Calibri"/>
          <w:i/>
          <w:iCs/>
          <w:noProof/>
          <w:sz w:val="18"/>
          <w:szCs w:val="24"/>
        </w:rPr>
        <w:t>Spectrochim. Acta - Part A Mol. Biomol. Spectrosc.</w:t>
      </w:r>
      <w:r w:rsidRPr="00855E4C">
        <w:rPr>
          <w:rFonts w:ascii="Calibri" w:hAnsi="Calibri" w:cs="Calibri"/>
          <w:noProof/>
          <w:sz w:val="18"/>
          <w:szCs w:val="24"/>
        </w:rPr>
        <w:t xml:space="preserve">, 2000, </w:t>
      </w:r>
      <w:r w:rsidRPr="00855E4C">
        <w:rPr>
          <w:rFonts w:ascii="Calibri" w:hAnsi="Calibri" w:cs="Calibri"/>
          <w:b/>
          <w:bCs/>
          <w:noProof/>
          <w:sz w:val="18"/>
          <w:szCs w:val="24"/>
        </w:rPr>
        <w:t>56</w:t>
      </w:r>
      <w:r w:rsidRPr="00855E4C">
        <w:rPr>
          <w:rFonts w:ascii="Calibri" w:hAnsi="Calibri" w:cs="Calibri"/>
          <w:noProof/>
          <w:sz w:val="18"/>
          <w:szCs w:val="24"/>
        </w:rPr>
        <w:t>, 1003–1010.</w:t>
      </w:r>
    </w:p>
    <w:p w14:paraId="54EABA75"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855E4C">
        <w:rPr>
          <w:rFonts w:ascii="Calibri" w:hAnsi="Calibri" w:cs="Calibri"/>
          <w:noProof/>
          <w:sz w:val="18"/>
          <w:szCs w:val="24"/>
        </w:rPr>
        <w:t>57</w:t>
      </w:r>
      <w:r w:rsidRPr="00855E4C">
        <w:rPr>
          <w:rFonts w:ascii="Calibri" w:hAnsi="Calibri" w:cs="Calibri"/>
          <w:noProof/>
          <w:sz w:val="18"/>
          <w:szCs w:val="24"/>
        </w:rPr>
        <w:tab/>
        <w:t xml:space="preserve">A. K. Dutta, K. Kamada and K. Ohta, </w:t>
      </w:r>
      <w:r w:rsidRPr="00855E4C">
        <w:rPr>
          <w:rFonts w:ascii="Calibri" w:hAnsi="Calibri" w:cs="Calibri"/>
          <w:i/>
          <w:iCs/>
          <w:noProof/>
          <w:sz w:val="18"/>
          <w:szCs w:val="24"/>
        </w:rPr>
        <w:t>J. Photochem. Photobiol. A Chem.</w:t>
      </w:r>
      <w:r w:rsidRPr="00855E4C">
        <w:rPr>
          <w:rFonts w:ascii="Calibri" w:hAnsi="Calibri" w:cs="Calibri"/>
          <w:noProof/>
          <w:sz w:val="18"/>
          <w:szCs w:val="24"/>
        </w:rPr>
        <w:t xml:space="preserve">, 1996, </w:t>
      </w:r>
      <w:r w:rsidRPr="00855E4C">
        <w:rPr>
          <w:rFonts w:ascii="Calibri" w:hAnsi="Calibri" w:cs="Calibri"/>
          <w:b/>
          <w:bCs/>
          <w:noProof/>
          <w:sz w:val="18"/>
          <w:szCs w:val="24"/>
        </w:rPr>
        <w:t>93</w:t>
      </w:r>
      <w:r w:rsidRPr="00855E4C">
        <w:rPr>
          <w:rFonts w:ascii="Calibri" w:hAnsi="Calibri" w:cs="Calibri"/>
          <w:noProof/>
          <w:sz w:val="18"/>
          <w:szCs w:val="24"/>
        </w:rPr>
        <w:t>, 57–64.</w:t>
      </w:r>
    </w:p>
    <w:p w14:paraId="4BFFECB3"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855E4C">
        <w:rPr>
          <w:rFonts w:ascii="Calibri" w:hAnsi="Calibri" w:cs="Calibri"/>
          <w:noProof/>
          <w:sz w:val="18"/>
          <w:szCs w:val="24"/>
        </w:rPr>
        <w:t>58</w:t>
      </w:r>
      <w:r w:rsidRPr="00855E4C">
        <w:rPr>
          <w:rFonts w:ascii="Calibri" w:hAnsi="Calibri" w:cs="Calibri"/>
          <w:noProof/>
          <w:sz w:val="18"/>
          <w:szCs w:val="24"/>
        </w:rPr>
        <w:tab/>
        <w:t xml:space="preserve">J. Wang, X. Qu, L. Zhao and B. Yan, </w:t>
      </w:r>
      <w:r w:rsidRPr="00855E4C">
        <w:rPr>
          <w:rFonts w:ascii="Calibri" w:hAnsi="Calibri" w:cs="Calibri"/>
          <w:i/>
          <w:iCs/>
          <w:noProof/>
          <w:sz w:val="18"/>
          <w:szCs w:val="24"/>
        </w:rPr>
        <w:t>Anal. Chem.</w:t>
      </w:r>
      <w:r w:rsidRPr="00855E4C">
        <w:rPr>
          <w:rFonts w:ascii="Calibri" w:hAnsi="Calibri" w:cs="Calibri"/>
          <w:noProof/>
          <w:sz w:val="18"/>
          <w:szCs w:val="24"/>
        </w:rPr>
        <w:t xml:space="preserve">, 2021, </w:t>
      </w:r>
      <w:r w:rsidRPr="00855E4C">
        <w:rPr>
          <w:rFonts w:ascii="Calibri" w:hAnsi="Calibri" w:cs="Calibri"/>
          <w:b/>
          <w:bCs/>
          <w:noProof/>
          <w:sz w:val="18"/>
          <w:szCs w:val="24"/>
        </w:rPr>
        <w:t>93</w:t>
      </w:r>
      <w:r w:rsidRPr="00855E4C">
        <w:rPr>
          <w:rFonts w:ascii="Calibri" w:hAnsi="Calibri" w:cs="Calibri"/>
          <w:noProof/>
          <w:sz w:val="18"/>
          <w:szCs w:val="24"/>
        </w:rPr>
        <w:t>, 4308–4316.</w:t>
      </w:r>
    </w:p>
    <w:p w14:paraId="342872D5"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855E4C">
        <w:rPr>
          <w:rFonts w:ascii="Calibri" w:hAnsi="Calibri" w:cs="Calibri"/>
          <w:noProof/>
          <w:sz w:val="18"/>
          <w:szCs w:val="24"/>
        </w:rPr>
        <w:t>59</w:t>
      </w:r>
      <w:r w:rsidRPr="00855E4C">
        <w:rPr>
          <w:rFonts w:ascii="Calibri" w:hAnsi="Calibri" w:cs="Calibri"/>
          <w:noProof/>
          <w:sz w:val="18"/>
          <w:szCs w:val="24"/>
        </w:rPr>
        <w:tab/>
        <w:t xml:space="preserve">M. Huang, J. Chong, C. Hu and Y. Yang, </w:t>
      </w:r>
      <w:r w:rsidRPr="00855E4C">
        <w:rPr>
          <w:rFonts w:ascii="Calibri" w:hAnsi="Calibri" w:cs="Calibri"/>
          <w:i/>
          <w:iCs/>
          <w:noProof/>
          <w:sz w:val="18"/>
          <w:szCs w:val="24"/>
        </w:rPr>
        <w:t>Inorg. Chem. Commun.</w:t>
      </w:r>
      <w:r w:rsidRPr="00855E4C">
        <w:rPr>
          <w:rFonts w:ascii="Calibri" w:hAnsi="Calibri" w:cs="Calibri"/>
          <w:noProof/>
          <w:sz w:val="18"/>
          <w:szCs w:val="24"/>
        </w:rPr>
        <w:t xml:space="preserve">, 2020, </w:t>
      </w:r>
      <w:r w:rsidRPr="00855E4C">
        <w:rPr>
          <w:rFonts w:ascii="Calibri" w:hAnsi="Calibri" w:cs="Calibri"/>
          <w:b/>
          <w:bCs/>
          <w:noProof/>
          <w:sz w:val="18"/>
          <w:szCs w:val="24"/>
        </w:rPr>
        <w:t>119</w:t>
      </w:r>
      <w:r w:rsidRPr="00855E4C">
        <w:rPr>
          <w:rFonts w:ascii="Calibri" w:hAnsi="Calibri" w:cs="Calibri"/>
          <w:noProof/>
          <w:sz w:val="18"/>
          <w:szCs w:val="24"/>
        </w:rPr>
        <w:t>, 108094.</w:t>
      </w:r>
    </w:p>
    <w:p w14:paraId="0ECA2D20"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855E4C">
        <w:rPr>
          <w:rFonts w:ascii="Calibri" w:hAnsi="Calibri" w:cs="Calibri"/>
          <w:noProof/>
          <w:sz w:val="18"/>
          <w:szCs w:val="24"/>
        </w:rPr>
        <w:t>60</w:t>
      </w:r>
      <w:r w:rsidRPr="00855E4C">
        <w:rPr>
          <w:rFonts w:ascii="Calibri" w:hAnsi="Calibri" w:cs="Calibri"/>
          <w:noProof/>
          <w:sz w:val="18"/>
          <w:szCs w:val="24"/>
        </w:rPr>
        <w:tab/>
        <w:t xml:space="preserve">H. Xiao, P. Li, W. Zhang and B. Tang, </w:t>
      </w:r>
      <w:r w:rsidRPr="00855E4C">
        <w:rPr>
          <w:rFonts w:ascii="Calibri" w:hAnsi="Calibri" w:cs="Calibri"/>
          <w:i/>
          <w:iCs/>
          <w:noProof/>
          <w:sz w:val="18"/>
          <w:szCs w:val="24"/>
        </w:rPr>
        <w:t>Chem. Sci.</w:t>
      </w:r>
      <w:r w:rsidRPr="00855E4C">
        <w:rPr>
          <w:rFonts w:ascii="Calibri" w:hAnsi="Calibri" w:cs="Calibri"/>
          <w:noProof/>
          <w:sz w:val="18"/>
          <w:szCs w:val="24"/>
        </w:rPr>
        <w:t xml:space="preserve">, 2016, </w:t>
      </w:r>
      <w:r w:rsidRPr="00855E4C">
        <w:rPr>
          <w:rFonts w:ascii="Calibri" w:hAnsi="Calibri" w:cs="Calibri"/>
          <w:b/>
          <w:bCs/>
          <w:noProof/>
          <w:sz w:val="18"/>
          <w:szCs w:val="24"/>
        </w:rPr>
        <w:t>7</w:t>
      </w:r>
      <w:r w:rsidRPr="00855E4C">
        <w:rPr>
          <w:rFonts w:ascii="Calibri" w:hAnsi="Calibri" w:cs="Calibri"/>
          <w:noProof/>
          <w:sz w:val="18"/>
          <w:szCs w:val="24"/>
        </w:rPr>
        <w:t>, 1588–1593.</w:t>
      </w:r>
    </w:p>
    <w:p w14:paraId="7D31CCA2"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855E4C">
        <w:rPr>
          <w:rFonts w:ascii="Calibri" w:hAnsi="Calibri" w:cs="Calibri"/>
          <w:noProof/>
          <w:sz w:val="18"/>
          <w:szCs w:val="24"/>
        </w:rPr>
        <w:t>61</w:t>
      </w:r>
      <w:r w:rsidRPr="00855E4C">
        <w:rPr>
          <w:rFonts w:ascii="Calibri" w:hAnsi="Calibri" w:cs="Calibri"/>
          <w:noProof/>
          <w:sz w:val="18"/>
          <w:szCs w:val="24"/>
        </w:rPr>
        <w:tab/>
        <w:t xml:space="preserve">T. Doussineau, A. Schulz, A. Lapresta-Fernandez, A. Moro, S. Körsten, S. Trupp and G. J. Mohr, </w:t>
      </w:r>
      <w:r w:rsidRPr="00855E4C">
        <w:rPr>
          <w:rFonts w:ascii="Calibri" w:hAnsi="Calibri" w:cs="Calibri"/>
          <w:i/>
          <w:iCs/>
          <w:noProof/>
          <w:sz w:val="18"/>
          <w:szCs w:val="24"/>
        </w:rPr>
        <w:t>Chem. - A Eur. J.</w:t>
      </w:r>
      <w:r w:rsidRPr="00855E4C">
        <w:rPr>
          <w:rFonts w:ascii="Calibri" w:hAnsi="Calibri" w:cs="Calibri"/>
          <w:noProof/>
          <w:sz w:val="18"/>
          <w:szCs w:val="24"/>
        </w:rPr>
        <w:t xml:space="preserve">, 2010, </w:t>
      </w:r>
      <w:r w:rsidRPr="00855E4C">
        <w:rPr>
          <w:rFonts w:ascii="Calibri" w:hAnsi="Calibri" w:cs="Calibri"/>
          <w:b/>
          <w:bCs/>
          <w:noProof/>
          <w:sz w:val="18"/>
          <w:szCs w:val="24"/>
        </w:rPr>
        <w:t>16</w:t>
      </w:r>
      <w:r w:rsidRPr="00855E4C">
        <w:rPr>
          <w:rFonts w:ascii="Calibri" w:hAnsi="Calibri" w:cs="Calibri"/>
          <w:noProof/>
          <w:sz w:val="18"/>
          <w:szCs w:val="24"/>
        </w:rPr>
        <w:t>, 10290–10299.</w:t>
      </w:r>
    </w:p>
    <w:p w14:paraId="7A8462E7" w14:textId="77777777" w:rsidR="00855E4C" w:rsidRPr="00642FFC" w:rsidRDefault="00855E4C" w:rsidP="00855E4C">
      <w:pPr>
        <w:widowControl w:val="0"/>
        <w:autoSpaceDE w:val="0"/>
        <w:autoSpaceDN w:val="0"/>
        <w:adjustRightInd w:val="0"/>
        <w:spacing w:after="0" w:line="240" w:lineRule="exact"/>
        <w:ind w:left="640" w:hanging="640"/>
        <w:rPr>
          <w:rFonts w:ascii="Calibri" w:hAnsi="Calibri" w:cs="Calibri"/>
          <w:noProof/>
          <w:sz w:val="18"/>
          <w:szCs w:val="24"/>
          <w:lang w:val="es-ES"/>
        </w:rPr>
      </w:pPr>
      <w:r w:rsidRPr="00855E4C">
        <w:rPr>
          <w:rFonts w:ascii="Calibri" w:hAnsi="Calibri" w:cs="Calibri"/>
          <w:noProof/>
          <w:sz w:val="18"/>
          <w:szCs w:val="24"/>
        </w:rPr>
        <w:t>62</w:t>
      </w:r>
      <w:r w:rsidRPr="00855E4C">
        <w:rPr>
          <w:rFonts w:ascii="Calibri" w:hAnsi="Calibri" w:cs="Calibri"/>
          <w:noProof/>
          <w:sz w:val="18"/>
          <w:szCs w:val="24"/>
        </w:rPr>
        <w:tab/>
        <w:t xml:space="preserve">M. S. Tremblay, M. Halim and D. Sames, </w:t>
      </w:r>
      <w:r w:rsidRPr="00855E4C">
        <w:rPr>
          <w:rFonts w:ascii="Calibri" w:hAnsi="Calibri" w:cs="Calibri"/>
          <w:i/>
          <w:iCs/>
          <w:noProof/>
          <w:sz w:val="18"/>
          <w:szCs w:val="24"/>
        </w:rPr>
        <w:t xml:space="preserve">J. Am. </w:t>
      </w:r>
      <w:r w:rsidRPr="00642FFC">
        <w:rPr>
          <w:rFonts w:ascii="Calibri" w:hAnsi="Calibri" w:cs="Calibri"/>
          <w:i/>
          <w:iCs/>
          <w:noProof/>
          <w:sz w:val="18"/>
          <w:szCs w:val="24"/>
          <w:lang w:val="es-ES"/>
        </w:rPr>
        <w:t>Chem. Soc.</w:t>
      </w:r>
      <w:r w:rsidRPr="00642FFC">
        <w:rPr>
          <w:rFonts w:ascii="Calibri" w:hAnsi="Calibri" w:cs="Calibri"/>
          <w:noProof/>
          <w:sz w:val="18"/>
          <w:szCs w:val="24"/>
          <w:lang w:val="es-ES"/>
        </w:rPr>
        <w:t xml:space="preserve">, 2007, </w:t>
      </w:r>
      <w:r w:rsidRPr="00642FFC">
        <w:rPr>
          <w:rFonts w:ascii="Calibri" w:hAnsi="Calibri" w:cs="Calibri"/>
          <w:b/>
          <w:bCs/>
          <w:noProof/>
          <w:sz w:val="18"/>
          <w:szCs w:val="24"/>
          <w:lang w:val="es-ES"/>
        </w:rPr>
        <w:t>129</w:t>
      </w:r>
      <w:r w:rsidRPr="00642FFC">
        <w:rPr>
          <w:rFonts w:ascii="Calibri" w:hAnsi="Calibri" w:cs="Calibri"/>
          <w:noProof/>
          <w:sz w:val="18"/>
          <w:szCs w:val="24"/>
          <w:lang w:val="es-ES"/>
        </w:rPr>
        <w:t>, 7570–7577.</w:t>
      </w:r>
    </w:p>
    <w:p w14:paraId="43D32217" w14:textId="77777777" w:rsidR="00855E4C" w:rsidRPr="00642FFC" w:rsidRDefault="00855E4C" w:rsidP="00855E4C">
      <w:pPr>
        <w:widowControl w:val="0"/>
        <w:autoSpaceDE w:val="0"/>
        <w:autoSpaceDN w:val="0"/>
        <w:adjustRightInd w:val="0"/>
        <w:spacing w:after="0" w:line="240" w:lineRule="exact"/>
        <w:ind w:left="640" w:hanging="640"/>
        <w:rPr>
          <w:rFonts w:ascii="Calibri" w:hAnsi="Calibri" w:cs="Calibri"/>
          <w:noProof/>
          <w:sz w:val="18"/>
          <w:szCs w:val="24"/>
          <w:lang w:val="es-ES"/>
        </w:rPr>
      </w:pPr>
      <w:r w:rsidRPr="00642FFC">
        <w:rPr>
          <w:rFonts w:ascii="Calibri" w:hAnsi="Calibri" w:cs="Calibri"/>
          <w:noProof/>
          <w:sz w:val="18"/>
          <w:szCs w:val="24"/>
          <w:lang w:val="es-ES"/>
        </w:rPr>
        <w:t>63</w:t>
      </w:r>
      <w:r w:rsidRPr="00642FFC">
        <w:rPr>
          <w:rFonts w:ascii="Calibri" w:hAnsi="Calibri" w:cs="Calibri"/>
          <w:noProof/>
          <w:sz w:val="18"/>
          <w:szCs w:val="24"/>
          <w:lang w:val="es-ES"/>
        </w:rPr>
        <w:tab/>
        <w:t xml:space="preserve">J. J. Jarju, A. M. Lavender, B. Espiña, V. Romero and L. M. Salonen, </w:t>
      </w:r>
      <w:r w:rsidRPr="00642FFC">
        <w:rPr>
          <w:rFonts w:ascii="Calibri" w:hAnsi="Calibri" w:cs="Calibri"/>
          <w:i/>
          <w:iCs/>
          <w:noProof/>
          <w:sz w:val="18"/>
          <w:szCs w:val="24"/>
          <w:lang w:val="es-ES"/>
        </w:rPr>
        <w:t>Molecules</w:t>
      </w:r>
      <w:r w:rsidRPr="00642FFC">
        <w:rPr>
          <w:rFonts w:ascii="Calibri" w:hAnsi="Calibri" w:cs="Calibri"/>
          <w:noProof/>
          <w:sz w:val="18"/>
          <w:szCs w:val="24"/>
          <w:lang w:val="es-ES"/>
        </w:rPr>
        <w:t xml:space="preserve">, 2020, </w:t>
      </w:r>
      <w:r w:rsidRPr="00642FFC">
        <w:rPr>
          <w:rFonts w:ascii="Calibri" w:hAnsi="Calibri" w:cs="Calibri"/>
          <w:b/>
          <w:bCs/>
          <w:noProof/>
          <w:sz w:val="18"/>
          <w:szCs w:val="24"/>
          <w:lang w:val="es-ES"/>
        </w:rPr>
        <w:t>25</w:t>
      </w:r>
      <w:r w:rsidRPr="00642FFC">
        <w:rPr>
          <w:rFonts w:ascii="Calibri" w:hAnsi="Calibri" w:cs="Calibri"/>
          <w:noProof/>
          <w:sz w:val="18"/>
          <w:szCs w:val="24"/>
          <w:lang w:val="es-ES"/>
        </w:rPr>
        <w:t>, 5404.</w:t>
      </w:r>
    </w:p>
    <w:p w14:paraId="15CFB508"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855E4C">
        <w:rPr>
          <w:rFonts w:ascii="Calibri" w:hAnsi="Calibri" w:cs="Calibri"/>
          <w:noProof/>
          <w:sz w:val="18"/>
          <w:szCs w:val="24"/>
        </w:rPr>
        <w:t>64</w:t>
      </w:r>
      <w:r w:rsidRPr="00855E4C">
        <w:rPr>
          <w:rFonts w:ascii="Calibri" w:hAnsi="Calibri" w:cs="Calibri"/>
          <w:noProof/>
          <w:sz w:val="18"/>
          <w:szCs w:val="24"/>
        </w:rPr>
        <w:tab/>
        <w:t xml:space="preserve">M. Zare, A. Bigham, M. Zare, H. Luo, E. Rezvani Ghomi and S. Ramakrishna, </w:t>
      </w:r>
      <w:r w:rsidRPr="00855E4C">
        <w:rPr>
          <w:rFonts w:ascii="Calibri" w:hAnsi="Calibri" w:cs="Calibri"/>
          <w:i/>
          <w:iCs/>
          <w:noProof/>
          <w:sz w:val="18"/>
          <w:szCs w:val="24"/>
        </w:rPr>
        <w:t>Int. J. Mol. Sci.</w:t>
      </w:r>
      <w:r w:rsidRPr="00855E4C">
        <w:rPr>
          <w:rFonts w:ascii="Calibri" w:hAnsi="Calibri" w:cs="Calibri"/>
          <w:noProof/>
          <w:sz w:val="18"/>
          <w:szCs w:val="24"/>
        </w:rPr>
        <w:t xml:space="preserve">, 2021, </w:t>
      </w:r>
      <w:r w:rsidRPr="00855E4C">
        <w:rPr>
          <w:rFonts w:ascii="Calibri" w:hAnsi="Calibri" w:cs="Calibri"/>
          <w:b/>
          <w:bCs/>
          <w:noProof/>
          <w:sz w:val="18"/>
          <w:szCs w:val="24"/>
        </w:rPr>
        <w:t>22</w:t>
      </w:r>
      <w:r w:rsidRPr="00855E4C">
        <w:rPr>
          <w:rFonts w:ascii="Calibri" w:hAnsi="Calibri" w:cs="Calibri"/>
          <w:noProof/>
          <w:sz w:val="18"/>
          <w:szCs w:val="24"/>
        </w:rPr>
        <w:t>, 6376.</w:t>
      </w:r>
    </w:p>
    <w:p w14:paraId="5C60C43A" w14:textId="77777777" w:rsidR="00855E4C" w:rsidRPr="00642FFC" w:rsidRDefault="00855E4C" w:rsidP="00855E4C">
      <w:pPr>
        <w:widowControl w:val="0"/>
        <w:autoSpaceDE w:val="0"/>
        <w:autoSpaceDN w:val="0"/>
        <w:adjustRightInd w:val="0"/>
        <w:spacing w:after="0" w:line="240" w:lineRule="exact"/>
        <w:ind w:left="640" w:hanging="640"/>
        <w:rPr>
          <w:rFonts w:ascii="Calibri" w:hAnsi="Calibri" w:cs="Calibri"/>
          <w:noProof/>
          <w:sz w:val="18"/>
          <w:szCs w:val="24"/>
          <w:lang w:val="es-ES"/>
        </w:rPr>
      </w:pPr>
      <w:r w:rsidRPr="00642FFC">
        <w:rPr>
          <w:rFonts w:ascii="Calibri" w:hAnsi="Calibri" w:cs="Calibri"/>
          <w:noProof/>
          <w:sz w:val="18"/>
          <w:szCs w:val="24"/>
          <w:lang w:val="es-ES"/>
        </w:rPr>
        <w:t>65</w:t>
      </w:r>
      <w:r w:rsidRPr="00642FFC">
        <w:rPr>
          <w:rFonts w:ascii="Calibri" w:hAnsi="Calibri" w:cs="Calibri"/>
          <w:noProof/>
          <w:sz w:val="18"/>
          <w:szCs w:val="24"/>
          <w:lang w:val="es-ES"/>
        </w:rPr>
        <w:tab/>
        <w:t xml:space="preserve">F. Galindo, J. C. Lima, S. V. Luis, A. J. Parola and F. Pina, </w:t>
      </w:r>
      <w:r w:rsidRPr="00642FFC">
        <w:rPr>
          <w:rFonts w:ascii="Calibri" w:hAnsi="Calibri" w:cs="Calibri"/>
          <w:i/>
          <w:iCs/>
          <w:noProof/>
          <w:sz w:val="18"/>
          <w:szCs w:val="24"/>
          <w:lang w:val="es-ES"/>
        </w:rPr>
        <w:t>Adv. Funct. Mater.</w:t>
      </w:r>
      <w:r w:rsidRPr="00642FFC">
        <w:rPr>
          <w:rFonts w:ascii="Calibri" w:hAnsi="Calibri" w:cs="Calibri"/>
          <w:noProof/>
          <w:sz w:val="18"/>
          <w:szCs w:val="24"/>
          <w:lang w:val="es-ES"/>
        </w:rPr>
        <w:t xml:space="preserve">, 2005, </w:t>
      </w:r>
      <w:r w:rsidRPr="00642FFC">
        <w:rPr>
          <w:rFonts w:ascii="Calibri" w:hAnsi="Calibri" w:cs="Calibri"/>
          <w:b/>
          <w:bCs/>
          <w:noProof/>
          <w:sz w:val="18"/>
          <w:szCs w:val="24"/>
          <w:lang w:val="es-ES"/>
        </w:rPr>
        <w:t>15</w:t>
      </w:r>
      <w:r w:rsidRPr="00642FFC">
        <w:rPr>
          <w:rFonts w:ascii="Calibri" w:hAnsi="Calibri" w:cs="Calibri"/>
          <w:noProof/>
          <w:sz w:val="18"/>
          <w:szCs w:val="24"/>
          <w:lang w:val="es-ES"/>
        </w:rPr>
        <w:t>, 541–545.</w:t>
      </w:r>
    </w:p>
    <w:p w14:paraId="0754DA7D" w14:textId="77777777" w:rsidR="00855E4C" w:rsidRPr="00642FFC" w:rsidRDefault="00855E4C" w:rsidP="00855E4C">
      <w:pPr>
        <w:widowControl w:val="0"/>
        <w:autoSpaceDE w:val="0"/>
        <w:autoSpaceDN w:val="0"/>
        <w:adjustRightInd w:val="0"/>
        <w:spacing w:after="0" w:line="240" w:lineRule="exact"/>
        <w:ind w:left="640" w:hanging="640"/>
        <w:rPr>
          <w:rFonts w:ascii="Calibri" w:hAnsi="Calibri" w:cs="Calibri"/>
          <w:noProof/>
          <w:sz w:val="18"/>
          <w:szCs w:val="24"/>
          <w:lang w:val="es-ES"/>
        </w:rPr>
      </w:pPr>
      <w:r w:rsidRPr="00642FFC">
        <w:rPr>
          <w:rFonts w:ascii="Calibri" w:hAnsi="Calibri" w:cs="Calibri"/>
          <w:noProof/>
          <w:sz w:val="18"/>
          <w:szCs w:val="24"/>
          <w:lang w:val="es-ES"/>
        </w:rPr>
        <w:t>66</w:t>
      </w:r>
      <w:r w:rsidRPr="00642FFC">
        <w:rPr>
          <w:rFonts w:ascii="Calibri" w:hAnsi="Calibri" w:cs="Calibri"/>
          <w:noProof/>
          <w:sz w:val="18"/>
          <w:szCs w:val="24"/>
          <w:lang w:val="es-ES"/>
        </w:rPr>
        <w:tab/>
        <w:t xml:space="preserve">F. Galindo, J. C. Lima, S. V. Luis, M. J. Melo, A. Jorge Parola and F. Pina, </w:t>
      </w:r>
      <w:r w:rsidRPr="00642FFC">
        <w:rPr>
          <w:rFonts w:ascii="Calibri" w:hAnsi="Calibri" w:cs="Calibri"/>
          <w:i/>
          <w:iCs/>
          <w:noProof/>
          <w:sz w:val="18"/>
          <w:szCs w:val="24"/>
          <w:lang w:val="es-ES"/>
        </w:rPr>
        <w:t>J. Mater. Chem.</w:t>
      </w:r>
      <w:r w:rsidRPr="00642FFC">
        <w:rPr>
          <w:rFonts w:ascii="Calibri" w:hAnsi="Calibri" w:cs="Calibri"/>
          <w:noProof/>
          <w:sz w:val="18"/>
          <w:szCs w:val="24"/>
          <w:lang w:val="es-ES"/>
        </w:rPr>
        <w:t xml:space="preserve">, 2005, </w:t>
      </w:r>
      <w:r w:rsidRPr="00642FFC">
        <w:rPr>
          <w:rFonts w:ascii="Calibri" w:hAnsi="Calibri" w:cs="Calibri"/>
          <w:b/>
          <w:bCs/>
          <w:noProof/>
          <w:sz w:val="18"/>
          <w:szCs w:val="24"/>
          <w:lang w:val="es-ES"/>
        </w:rPr>
        <w:t>15</w:t>
      </w:r>
      <w:r w:rsidRPr="00642FFC">
        <w:rPr>
          <w:rFonts w:ascii="Calibri" w:hAnsi="Calibri" w:cs="Calibri"/>
          <w:noProof/>
          <w:sz w:val="18"/>
          <w:szCs w:val="24"/>
          <w:lang w:val="es-ES"/>
        </w:rPr>
        <w:t>, 2840–2847.</w:t>
      </w:r>
    </w:p>
    <w:p w14:paraId="5D4E92B9" w14:textId="77777777" w:rsidR="00855E4C" w:rsidRPr="00642FFC" w:rsidRDefault="00855E4C" w:rsidP="00855E4C">
      <w:pPr>
        <w:widowControl w:val="0"/>
        <w:autoSpaceDE w:val="0"/>
        <w:autoSpaceDN w:val="0"/>
        <w:adjustRightInd w:val="0"/>
        <w:spacing w:after="0" w:line="240" w:lineRule="exact"/>
        <w:ind w:left="640" w:hanging="640"/>
        <w:rPr>
          <w:rFonts w:ascii="Calibri" w:hAnsi="Calibri" w:cs="Calibri"/>
          <w:noProof/>
          <w:sz w:val="18"/>
          <w:szCs w:val="24"/>
          <w:lang w:val="es-ES"/>
        </w:rPr>
      </w:pPr>
      <w:r w:rsidRPr="00642FFC">
        <w:rPr>
          <w:rFonts w:ascii="Calibri" w:hAnsi="Calibri" w:cs="Calibri"/>
          <w:noProof/>
          <w:sz w:val="18"/>
          <w:szCs w:val="24"/>
          <w:lang w:val="es-ES"/>
        </w:rPr>
        <w:t>67</w:t>
      </w:r>
      <w:r w:rsidRPr="00642FFC">
        <w:rPr>
          <w:rFonts w:ascii="Calibri" w:hAnsi="Calibri" w:cs="Calibri"/>
          <w:noProof/>
          <w:sz w:val="18"/>
          <w:szCs w:val="24"/>
          <w:lang w:val="es-ES"/>
        </w:rPr>
        <w:tab/>
        <w:t xml:space="preserve">V. Fabregat, M. Á. Izquierdo, M. I. Burguete, F. Galindo and S. V. Luis, </w:t>
      </w:r>
      <w:r w:rsidRPr="00642FFC">
        <w:rPr>
          <w:rFonts w:ascii="Calibri" w:hAnsi="Calibri" w:cs="Calibri"/>
          <w:i/>
          <w:iCs/>
          <w:noProof/>
          <w:sz w:val="18"/>
          <w:szCs w:val="24"/>
          <w:lang w:val="es-ES"/>
        </w:rPr>
        <w:t>Eur. Polym. J.</w:t>
      </w:r>
      <w:r w:rsidRPr="00642FFC">
        <w:rPr>
          <w:rFonts w:ascii="Calibri" w:hAnsi="Calibri" w:cs="Calibri"/>
          <w:noProof/>
          <w:sz w:val="18"/>
          <w:szCs w:val="24"/>
          <w:lang w:val="es-ES"/>
        </w:rPr>
        <w:t xml:space="preserve">, 2014, </w:t>
      </w:r>
      <w:r w:rsidRPr="00642FFC">
        <w:rPr>
          <w:rFonts w:ascii="Calibri" w:hAnsi="Calibri" w:cs="Calibri"/>
          <w:b/>
          <w:bCs/>
          <w:noProof/>
          <w:sz w:val="18"/>
          <w:szCs w:val="24"/>
          <w:lang w:val="es-ES"/>
        </w:rPr>
        <w:t>55</w:t>
      </w:r>
      <w:r w:rsidRPr="00642FFC">
        <w:rPr>
          <w:rFonts w:ascii="Calibri" w:hAnsi="Calibri" w:cs="Calibri"/>
          <w:noProof/>
          <w:sz w:val="18"/>
          <w:szCs w:val="24"/>
          <w:lang w:val="es-ES"/>
        </w:rPr>
        <w:t>, 108–113.</w:t>
      </w:r>
    </w:p>
    <w:p w14:paraId="2A5FAE95"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642FFC">
        <w:rPr>
          <w:rFonts w:ascii="Calibri" w:hAnsi="Calibri" w:cs="Calibri"/>
          <w:noProof/>
          <w:sz w:val="18"/>
          <w:szCs w:val="24"/>
          <w:lang w:val="es-ES"/>
        </w:rPr>
        <w:t>68</w:t>
      </w:r>
      <w:r w:rsidRPr="00642FFC">
        <w:rPr>
          <w:rFonts w:ascii="Calibri" w:hAnsi="Calibri" w:cs="Calibri"/>
          <w:noProof/>
          <w:sz w:val="18"/>
          <w:szCs w:val="24"/>
          <w:lang w:val="es-ES"/>
        </w:rPr>
        <w:tab/>
        <w:t xml:space="preserve">N. López-López, I. Muñoz Resta, R. De Llanos, J. F. Miravet, M. Mikhaylov, M. N. Sokolov, S. Ballesta, I. García-Luque and F. Galindo, </w:t>
      </w:r>
      <w:r w:rsidRPr="00642FFC">
        <w:rPr>
          <w:rFonts w:ascii="Calibri" w:hAnsi="Calibri" w:cs="Calibri"/>
          <w:i/>
          <w:iCs/>
          <w:noProof/>
          <w:sz w:val="18"/>
          <w:szCs w:val="24"/>
          <w:lang w:val="es-ES"/>
        </w:rPr>
        <w:t xml:space="preserve">ACS Biomater. </w:t>
      </w:r>
      <w:r w:rsidRPr="00855E4C">
        <w:rPr>
          <w:rFonts w:ascii="Calibri" w:hAnsi="Calibri" w:cs="Calibri"/>
          <w:i/>
          <w:iCs/>
          <w:noProof/>
          <w:sz w:val="18"/>
          <w:szCs w:val="24"/>
        </w:rPr>
        <w:t>Sci. Eng.</w:t>
      </w:r>
      <w:r w:rsidRPr="00855E4C">
        <w:rPr>
          <w:rFonts w:ascii="Calibri" w:hAnsi="Calibri" w:cs="Calibri"/>
          <w:noProof/>
          <w:sz w:val="18"/>
          <w:szCs w:val="24"/>
        </w:rPr>
        <w:t xml:space="preserve">, 2020, </w:t>
      </w:r>
      <w:r w:rsidRPr="00855E4C">
        <w:rPr>
          <w:rFonts w:ascii="Calibri" w:hAnsi="Calibri" w:cs="Calibri"/>
          <w:b/>
          <w:bCs/>
          <w:noProof/>
          <w:sz w:val="18"/>
          <w:szCs w:val="24"/>
        </w:rPr>
        <w:t>6</w:t>
      </w:r>
      <w:r w:rsidRPr="00855E4C">
        <w:rPr>
          <w:rFonts w:ascii="Calibri" w:hAnsi="Calibri" w:cs="Calibri"/>
          <w:noProof/>
          <w:sz w:val="18"/>
          <w:szCs w:val="24"/>
        </w:rPr>
        <w:t>, 6995–7003.</w:t>
      </w:r>
    </w:p>
    <w:p w14:paraId="33B948C5"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855E4C">
        <w:rPr>
          <w:rFonts w:ascii="Calibri" w:hAnsi="Calibri" w:cs="Calibri"/>
          <w:noProof/>
          <w:sz w:val="18"/>
          <w:szCs w:val="24"/>
        </w:rPr>
        <w:t>69</w:t>
      </w:r>
      <w:r w:rsidRPr="00855E4C">
        <w:rPr>
          <w:rFonts w:ascii="Calibri" w:hAnsi="Calibri" w:cs="Calibri"/>
          <w:noProof/>
          <w:sz w:val="18"/>
          <w:szCs w:val="24"/>
        </w:rPr>
        <w:tab/>
        <w:t xml:space="preserve">S. Kim, H. Kim, T. Qiao, C. Cha, S. K. Lee, K. Lee, H. J. Ro, Y. Kim, W. Lee and H. Lee, </w:t>
      </w:r>
      <w:r w:rsidRPr="00855E4C">
        <w:rPr>
          <w:rFonts w:ascii="Calibri" w:hAnsi="Calibri" w:cs="Calibri"/>
          <w:i/>
          <w:iCs/>
          <w:noProof/>
          <w:sz w:val="18"/>
          <w:szCs w:val="24"/>
        </w:rPr>
        <w:t>ACS Appl. Mater. Interfaces</w:t>
      </w:r>
      <w:r w:rsidRPr="00855E4C">
        <w:rPr>
          <w:rFonts w:ascii="Calibri" w:hAnsi="Calibri" w:cs="Calibri"/>
          <w:noProof/>
          <w:sz w:val="18"/>
          <w:szCs w:val="24"/>
        </w:rPr>
        <w:t xml:space="preserve">, 2019, </w:t>
      </w:r>
      <w:r w:rsidRPr="00855E4C">
        <w:rPr>
          <w:rFonts w:ascii="Calibri" w:hAnsi="Calibri" w:cs="Calibri"/>
          <w:b/>
          <w:bCs/>
          <w:noProof/>
          <w:sz w:val="18"/>
          <w:szCs w:val="24"/>
        </w:rPr>
        <w:t>11</w:t>
      </w:r>
      <w:r w:rsidRPr="00855E4C">
        <w:rPr>
          <w:rFonts w:ascii="Calibri" w:hAnsi="Calibri" w:cs="Calibri"/>
          <w:noProof/>
          <w:sz w:val="18"/>
          <w:szCs w:val="24"/>
        </w:rPr>
        <w:t>, 14354–14361.</w:t>
      </w:r>
    </w:p>
    <w:p w14:paraId="662981B5" w14:textId="77777777" w:rsidR="00855E4C" w:rsidRPr="00642FFC" w:rsidRDefault="00855E4C" w:rsidP="00855E4C">
      <w:pPr>
        <w:widowControl w:val="0"/>
        <w:autoSpaceDE w:val="0"/>
        <w:autoSpaceDN w:val="0"/>
        <w:adjustRightInd w:val="0"/>
        <w:spacing w:after="0" w:line="240" w:lineRule="exact"/>
        <w:ind w:left="640" w:hanging="640"/>
        <w:rPr>
          <w:rFonts w:ascii="Calibri" w:hAnsi="Calibri" w:cs="Calibri"/>
          <w:noProof/>
          <w:sz w:val="18"/>
          <w:szCs w:val="24"/>
          <w:lang w:val="es-ES"/>
        </w:rPr>
      </w:pPr>
      <w:r w:rsidRPr="00855E4C">
        <w:rPr>
          <w:rFonts w:ascii="Calibri" w:hAnsi="Calibri" w:cs="Calibri"/>
          <w:noProof/>
          <w:sz w:val="18"/>
          <w:szCs w:val="24"/>
        </w:rPr>
        <w:t>70</w:t>
      </w:r>
      <w:r w:rsidRPr="00855E4C">
        <w:rPr>
          <w:rFonts w:ascii="Calibri" w:hAnsi="Calibri" w:cs="Calibri"/>
          <w:noProof/>
          <w:sz w:val="18"/>
          <w:szCs w:val="24"/>
        </w:rPr>
        <w:tab/>
        <w:t xml:space="preserve">A. H. Milani, J. M. Saunders, N. T. Nguyen, S. Wu and B. R. Saunders, </w:t>
      </w:r>
      <w:r w:rsidRPr="00855E4C">
        <w:rPr>
          <w:rFonts w:ascii="Calibri" w:hAnsi="Calibri" w:cs="Calibri"/>
          <w:i/>
          <w:iCs/>
          <w:noProof/>
          <w:sz w:val="18"/>
          <w:szCs w:val="24"/>
        </w:rPr>
        <w:t xml:space="preserve">Chem. </w:t>
      </w:r>
      <w:r w:rsidRPr="00642FFC">
        <w:rPr>
          <w:rFonts w:ascii="Calibri" w:hAnsi="Calibri" w:cs="Calibri"/>
          <w:i/>
          <w:iCs/>
          <w:noProof/>
          <w:sz w:val="18"/>
          <w:szCs w:val="24"/>
          <w:lang w:val="es-ES"/>
        </w:rPr>
        <w:t>Mater.</w:t>
      </w:r>
      <w:r w:rsidRPr="00642FFC">
        <w:rPr>
          <w:rFonts w:ascii="Calibri" w:hAnsi="Calibri" w:cs="Calibri"/>
          <w:noProof/>
          <w:sz w:val="18"/>
          <w:szCs w:val="24"/>
          <w:lang w:val="es-ES"/>
        </w:rPr>
        <w:t xml:space="preserve">, 2021, </w:t>
      </w:r>
      <w:r w:rsidRPr="00642FFC">
        <w:rPr>
          <w:rFonts w:ascii="Calibri" w:hAnsi="Calibri" w:cs="Calibri"/>
          <w:b/>
          <w:bCs/>
          <w:noProof/>
          <w:sz w:val="18"/>
          <w:szCs w:val="24"/>
          <w:lang w:val="es-ES"/>
        </w:rPr>
        <w:t>33</w:t>
      </w:r>
      <w:r w:rsidRPr="00642FFC">
        <w:rPr>
          <w:rFonts w:ascii="Calibri" w:hAnsi="Calibri" w:cs="Calibri"/>
          <w:noProof/>
          <w:sz w:val="18"/>
          <w:szCs w:val="24"/>
          <w:lang w:val="es-ES"/>
        </w:rPr>
        <w:t>, 2319–2330.</w:t>
      </w:r>
    </w:p>
    <w:p w14:paraId="6161FC48" w14:textId="77777777" w:rsidR="00855E4C" w:rsidRPr="00642FFC" w:rsidRDefault="00855E4C" w:rsidP="00855E4C">
      <w:pPr>
        <w:widowControl w:val="0"/>
        <w:autoSpaceDE w:val="0"/>
        <w:autoSpaceDN w:val="0"/>
        <w:adjustRightInd w:val="0"/>
        <w:spacing w:after="0" w:line="240" w:lineRule="exact"/>
        <w:ind w:left="640" w:hanging="640"/>
        <w:rPr>
          <w:rFonts w:ascii="Calibri" w:hAnsi="Calibri" w:cs="Calibri"/>
          <w:noProof/>
          <w:sz w:val="18"/>
          <w:szCs w:val="24"/>
          <w:lang w:val="es-ES"/>
        </w:rPr>
      </w:pPr>
      <w:r w:rsidRPr="00642FFC">
        <w:rPr>
          <w:rFonts w:ascii="Calibri" w:hAnsi="Calibri" w:cs="Calibri"/>
          <w:noProof/>
          <w:sz w:val="18"/>
          <w:szCs w:val="24"/>
          <w:lang w:val="es-ES"/>
        </w:rPr>
        <w:t>71</w:t>
      </w:r>
      <w:r w:rsidRPr="00642FFC">
        <w:rPr>
          <w:rFonts w:ascii="Calibri" w:hAnsi="Calibri" w:cs="Calibri"/>
          <w:noProof/>
          <w:sz w:val="18"/>
          <w:szCs w:val="24"/>
          <w:lang w:val="es-ES"/>
        </w:rPr>
        <w:tab/>
        <w:t xml:space="preserve">M. I. Burguete, F. Galindo, R. Gavara, M. A. Izquierdo, J. C. Lima, S. V. Luis, A. J. Parola and F. Pina, </w:t>
      </w:r>
      <w:r w:rsidRPr="00642FFC">
        <w:rPr>
          <w:rFonts w:ascii="Calibri" w:hAnsi="Calibri" w:cs="Calibri"/>
          <w:i/>
          <w:iCs/>
          <w:noProof/>
          <w:sz w:val="18"/>
          <w:szCs w:val="24"/>
          <w:lang w:val="es-ES"/>
        </w:rPr>
        <w:t>Langmuir</w:t>
      </w:r>
      <w:r w:rsidRPr="00642FFC">
        <w:rPr>
          <w:rFonts w:ascii="Calibri" w:hAnsi="Calibri" w:cs="Calibri"/>
          <w:noProof/>
          <w:sz w:val="18"/>
          <w:szCs w:val="24"/>
          <w:lang w:val="es-ES"/>
        </w:rPr>
        <w:t xml:space="preserve">, 2008, </w:t>
      </w:r>
      <w:r w:rsidRPr="00642FFC">
        <w:rPr>
          <w:rFonts w:ascii="Calibri" w:hAnsi="Calibri" w:cs="Calibri"/>
          <w:b/>
          <w:bCs/>
          <w:noProof/>
          <w:sz w:val="18"/>
          <w:szCs w:val="24"/>
          <w:lang w:val="es-ES"/>
        </w:rPr>
        <w:t>24</w:t>
      </w:r>
      <w:r w:rsidRPr="00642FFC">
        <w:rPr>
          <w:rFonts w:ascii="Calibri" w:hAnsi="Calibri" w:cs="Calibri"/>
          <w:noProof/>
          <w:sz w:val="18"/>
          <w:szCs w:val="24"/>
          <w:lang w:val="es-ES"/>
        </w:rPr>
        <w:t>, 9795–9803.</w:t>
      </w:r>
    </w:p>
    <w:p w14:paraId="071835D8"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855E4C">
        <w:rPr>
          <w:rFonts w:ascii="Calibri" w:hAnsi="Calibri" w:cs="Calibri"/>
          <w:noProof/>
          <w:sz w:val="18"/>
          <w:szCs w:val="24"/>
        </w:rPr>
        <w:t>72</w:t>
      </w:r>
      <w:r w:rsidRPr="00855E4C">
        <w:rPr>
          <w:rFonts w:ascii="Calibri" w:hAnsi="Calibri" w:cs="Calibri"/>
          <w:noProof/>
          <w:sz w:val="18"/>
          <w:szCs w:val="24"/>
        </w:rPr>
        <w:tab/>
        <w:t xml:space="preserve">S. Ray and R. P. Cooney, </w:t>
      </w:r>
      <w:r w:rsidRPr="00855E4C">
        <w:rPr>
          <w:rFonts w:ascii="Calibri" w:hAnsi="Calibri" w:cs="Calibri"/>
          <w:i/>
          <w:iCs/>
          <w:noProof/>
          <w:sz w:val="18"/>
          <w:szCs w:val="24"/>
        </w:rPr>
        <w:t>Thermal Degradation of Polymer and Polymer Composites</w:t>
      </w:r>
      <w:r w:rsidRPr="00855E4C">
        <w:rPr>
          <w:rFonts w:ascii="Calibri" w:hAnsi="Calibri" w:cs="Calibri"/>
          <w:noProof/>
          <w:sz w:val="18"/>
          <w:szCs w:val="24"/>
        </w:rPr>
        <w:t>, Elsevier Inc., Second Edi., 2012.</w:t>
      </w:r>
    </w:p>
    <w:p w14:paraId="46D65139"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855E4C">
        <w:rPr>
          <w:rFonts w:ascii="Calibri" w:hAnsi="Calibri" w:cs="Calibri"/>
          <w:noProof/>
          <w:sz w:val="18"/>
          <w:szCs w:val="24"/>
        </w:rPr>
        <w:t>73</w:t>
      </w:r>
      <w:r w:rsidRPr="00855E4C">
        <w:rPr>
          <w:rFonts w:ascii="Calibri" w:hAnsi="Calibri" w:cs="Calibri"/>
          <w:noProof/>
          <w:sz w:val="18"/>
          <w:szCs w:val="24"/>
        </w:rPr>
        <w:tab/>
        <w:t xml:space="preserve">F. Biryan, A. Açıkses and K. Demirelli, </w:t>
      </w:r>
      <w:r w:rsidRPr="00855E4C">
        <w:rPr>
          <w:rFonts w:ascii="Calibri" w:hAnsi="Calibri" w:cs="Calibri"/>
          <w:i/>
          <w:iCs/>
          <w:noProof/>
          <w:sz w:val="18"/>
          <w:szCs w:val="24"/>
        </w:rPr>
        <w:t>J. Therm. Anal. Calorim.</w:t>
      </w:r>
      <w:r w:rsidRPr="00855E4C">
        <w:rPr>
          <w:rFonts w:ascii="Calibri" w:hAnsi="Calibri" w:cs="Calibri"/>
          <w:noProof/>
          <w:sz w:val="18"/>
          <w:szCs w:val="24"/>
        </w:rPr>
        <w:t xml:space="preserve">, 2021, </w:t>
      </w:r>
      <w:r w:rsidRPr="00855E4C">
        <w:rPr>
          <w:rFonts w:ascii="Calibri" w:hAnsi="Calibri" w:cs="Calibri"/>
          <w:b/>
          <w:bCs/>
          <w:noProof/>
          <w:sz w:val="18"/>
          <w:szCs w:val="24"/>
        </w:rPr>
        <w:t>143</w:t>
      </w:r>
      <w:r w:rsidRPr="00855E4C">
        <w:rPr>
          <w:rFonts w:ascii="Calibri" w:hAnsi="Calibri" w:cs="Calibri"/>
          <w:noProof/>
          <w:sz w:val="18"/>
          <w:szCs w:val="24"/>
        </w:rPr>
        <w:t>, 213–226.</w:t>
      </w:r>
    </w:p>
    <w:p w14:paraId="26F6C290"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855E4C">
        <w:rPr>
          <w:rFonts w:ascii="Calibri" w:hAnsi="Calibri" w:cs="Calibri"/>
          <w:noProof/>
          <w:sz w:val="18"/>
          <w:szCs w:val="24"/>
        </w:rPr>
        <w:t>74</w:t>
      </w:r>
      <w:r w:rsidRPr="00855E4C">
        <w:rPr>
          <w:rFonts w:ascii="Calibri" w:hAnsi="Calibri" w:cs="Calibri"/>
          <w:noProof/>
          <w:sz w:val="18"/>
          <w:szCs w:val="24"/>
        </w:rPr>
        <w:tab/>
        <w:t xml:space="preserve">J. Fan, Z. Shi, L. Zhang, J. Wang and J. Yin, </w:t>
      </w:r>
      <w:r w:rsidRPr="00855E4C">
        <w:rPr>
          <w:rFonts w:ascii="Calibri" w:hAnsi="Calibri" w:cs="Calibri"/>
          <w:i/>
          <w:iCs/>
          <w:noProof/>
          <w:sz w:val="18"/>
          <w:szCs w:val="24"/>
        </w:rPr>
        <w:t>Nanoscale</w:t>
      </w:r>
      <w:r w:rsidRPr="00855E4C">
        <w:rPr>
          <w:rFonts w:ascii="Calibri" w:hAnsi="Calibri" w:cs="Calibri"/>
          <w:noProof/>
          <w:sz w:val="18"/>
          <w:szCs w:val="24"/>
        </w:rPr>
        <w:t xml:space="preserve">, 2012, </w:t>
      </w:r>
      <w:r w:rsidRPr="00855E4C">
        <w:rPr>
          <w:rFonts w:ascii="Calibri" w:hAnsi="Calibri" w:cs="Calibri"/>
          <w:b/>
          <w:bCs/>
          <w:noProof/>
          <w:sz w:val="18"/>
          <w:szCs w:val="24"/>
        </w:rPr>
        <w:t>4</w:t>
      </w:r>
      <w:r w:rsidRPr="00855E4C">
        <w:rPr>
          <w:rFonts w:ascii="Calibri" w:hAnsi="Calibri" w:cs="Calibri"/>
          <w:noProof/>
          <w:sz w:val="18"/>
          <w:szCs w:val="24"/>
        </w:rPr>
        <w:t>, 7046–7055.</w:t>
      </w:r>
    </w:p>
    <w:p w14:paraId="6392D365"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855E4C">
        <w:rPr>
          <w:rFonts w:ascii="Calibri" w:hAnsi="Calibri" w:cs="Calibri"/>
          <w:noProof/>
          <w:sz w:val="18"/>
          <w:szCs w:val="24"/>
        </w:rPr>
        <w:t>75</w:t>
      </w:r>
      <w:r w:rsidRPr="00855E4C">
        <w:rPr>
          <w:rFonts w:ascii="Calibri" w:hAnsi="Calibri" w:cs="Calibri"/>
          <w:noProof/>
          <w:sz w:val="18"/>
          <w:szCs w:val="24"/>
        </w:rPr>
        <w:tab/>
        <w:t xml:space="preserve">S. S. Rahman, M. Arshad, M. Zubair, M. Ghasri-Khouzani, A. Qureshi and A. Ullah, </w:t>
      </w:r>
      <w:r w:rsidRPr="00855E4C">
        <w:rPr>
          <w:rFonts w:ascii="Calibri" w:hAnsi="Calibri" w:cs="Calibri"/>
          <w:i/>
          <w:iCs/>
          <w:noProof/>
          <w:sz w:val="18"/>
          <w:szCs w:val="24"/>
        </w:rPr>
        <w:t>Mater. Today Commun.</w:t>
      </w:r>
      <w:r w:rsidRPr="00855E4C">
        <w:rPr>
          <w:rFonts w:ascii="Calibri" w:hAnsi="Calibri" w:cs="Calibri"/>
          <w:noProof/>
          <w:sz w:val="18"/>
          <w:szCs w:val="24"/>
        </w:rPr>
        <w:t xml:space="preserve">, 2020, </w:t>
      </w:r>
      <w:r w:rsidRPr="00855E4C">
        <w:rPr>
          <w:rFonts w:ascii="Calibri" w:hAnsi="Calibri" w:cs="Calibri"/>
          <w:b/>
          <w:bCs/>
          <w:noProof/>
          <w:sz w:val="18"/>
          <w:szCs w:val="24"/>
        </w:rPr>
        <w:t>25</w:t>
      </w:r>
      <w:r w:rsidRPr="00855E4C">
        <w:rPr>
          <w:rFonts w:ascii="Calibri" w:hAnsi="Calibri" w:cs="Calibri"/>
          <w:noProof/>
          <w:sz w:val="18"/>
          <w:szCs w:val="24"/>
        </w:rPr>
        <w:t>, 101633.</w:t>
      </w:r>
    </w:p>
    <w:p w14:paraId="12C4B5AB"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855E4C">
        <w:rPr>
          <w:rFonts w:ascii="Calibri" w:hAnsi="Calibri" w:cs="Calibri"/>
          <w:noProof/>
          <w:sz w:val="18"/>
          <w:szCs w:val="24"/>
        </w:rPr>
        <w:t>76</w:t>
      </w:r>
      <w:r w:rsidRPr="00855E4C">
        <w:rPr>
          <w:rFonts w:ascii="Calibri" w:hAnsi="Calibri" w:cs="Calibri"/>
          <w:noProof/>
          <w:sz w:val="18"/>
          <w:szCs w:val="24"/>
        </w:rPr>
        <w:tab/>
        <w:t xml:space="preserve">Y. Bai, X. Shi, Y. Chen, C. Zhu, Y. Jiao, Z. Han, W. He and Z. Guo, </w:t>
      </w:r>
      <w:r w:rsidRPr="00855E4C">
        <w:rPr>
          <w:rFonts w:ascii="Calibri" w:hAnsi="Calibri" w:cs="Calibri"/>
          <w:i/>
          <w:iCs/>
          <w:noProof/>
          <w:sz w:val="18"/>
          <w:szCs w:val="24"/>
        </w:rPr>
        <w:t>Chem. - A Eur. J.</w:t>
      </w:r>
      <w:r w:rsidRPr="00855E4C">
        <w:rPr>
          <w:rFonts w:ascii="Calibri" w:hAnsi="Calibri" w:cs="Calibri"/>
          <w:noProof/>
          <w:sz w:val="18"/>
          <w:szCs w:val="24"/>
        </w:rPr>
        <w:t xml:space="preserve">, 2018, </w:t>
      </w:r>
      <w:r w:rsidRPr="00855E4C">
        <w:rPr>
          <w:rFonts w:ascii="Calibri" w:hAnsi="Calibri" w:cs="Calibri"/>
          <w:b/>
          <w:bCs/>
          <w:noProof/>
          <w:sz w:val="18"/>
          <w:szCs w:val="24"/>
        </w:rPr>
        <w:t>24</w:t>
      </w:r>
      <w:r w:rsidRPr="00855E4C">
        <w:rPr>
          <w:rFonts w:ascii="Calibri" w:hAnsi="Calibri" w:cs="Calibri"/>
          <w:noProof/>
          <w:sz w:val="18"/>
          <w:szCs w:val="24"/>
        </w:rPr>
        <w:t>, 7513–7524.</w:t>
      </w:r>
    </w:p>
    <w:p w14:paraId="1F7A0AC9"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855E4C">
        <w:rPr>
          <w:rFonts w:ascii="Calibri" w:hAnsi="Calibri" w:cs="Calibri"/>
          <w:noProof/>
          <w:sz w:val="18"/>
          <w:szCs w:val="24"/>
        </w:rPr>
        <w:t>77</w:t>
      </w:r>
      <w:r w:rsidRPr="00855E4C">
        <w:rPr>
          <w:rFonts w:ascii="Calibri" w:hAnsi="Calibri" w:cs="Calibri"/>
          <w:noProof/>
          <w:sz w:val="18"/>
          <w:szCs w:val="24"/>
        </w:rPr>
        <w:tab/>
        <w:t xml:space="preserve">Z. Yang, Y. He, J. H. Lee, W. S. Chae, W. X. Ren, J. H. Lee, C. Kang and J. S. Kim, </w:t>
      </w:r>
      <w:r w:rsidRPr="00855E4C">
        <w:rPr>
          <w:rFonts w:ascii="Calibri" w:hAnsi="Calibri" w:cs="Calibri"/>
          <w:i/>
          <w:iCs/>
          <w:noProof/>
          <w:sz w:val="18"/>
          <w:szCs w:val="24"/>
        </w:rPr>
        <w:t>Chem. Commun.</w:t>
      </w:r>
      <w:r w:rsidRPr="00855E4C">
        <w:rPr>
          <w:rFonts w:ascii="Calibri" w:hAnsi="Calibri" w:cs="Calibri"/>
          <w:noProof/>
          <w:sz w:val="18"/>
          <w:szCs w:val="24"/>
        </w:rPr>
        <w:t xml:space="preserve">, 2014, </w:t>
      </w:r>
      <w:r w:rsidRPr="00855E4C">
        <w:rPr>
          <w:rFonts w:ascii="Calibri" w:hAnsi="Calibri" w:cs="Calibri"/>
          <w:b/>
          <w:bCs/>
          <w:noProof/>
          <w:sz w:val="18"/>
          <w:szCs w:val="24"/>
        </w:rPr>
        <w:t>50</w:t>
      </w:r>
      <w:r w:rsidRPr="00855E4C">
        <w:rPr>
          <w:rFonts w:ascii="Calibri" w:hAnsi="Calibri" w:cs="Calibri"/>
          <w:noProof/>
          <w:sz w:val="18"/>
          <w:szCs w:val="24"/>
        </w:rPr>
        <w:t>, 11672–11675.</w:t>
      </w:r>
    </w:p>
    <w:p w14:paraId="27FC7433"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855E4C">
        <w:rPr>
          <w:rFonts w:ascii="Calibri" w:hAnsi="Calibri" w:cs="Calibri"/>
          <w:noProof/>
          <w:sz w:val="18"/>
          <w:szCs w:val="24"/>
        </w:rPr>
        <w:t>78</w:t>
      </w:r>
      <w:r w:rsidRPr="00855E4C">
        <w:rPr>
          <w:rFonts w:ascii="Calibri" w:hAnsi="Calibri" w:cs="Calibri"/>
          <w:noProof/>
          <w:sz w:val="18"/>
          <w:szCs w:val="24"/>
        </w:rPr>
        <w:tab/>
        <w:t xml:space="preserve">L. Saitta, C. Tosto, E. Pergolizzi, A. Patti and G. Cicala, </w:t>
      </w:r>
      <w:r w:rsidRPr="00855E4C">
        <w:rPr>
          <w:rFonts w:ascii="Calibri" w:hAnsi="Calibri" w:cs="Calibri"/>
          <w:i/>
          <w:iCs/>
          <w:noProof/>
          <w:sz w:val="18"/>
          <w:szCs w:val="24"/>
        </w:rPr>
        <w:t>Macromol. Symp.</w:t>
      </w:r>
      <w:r w:rsidRPr="00855E4C">
        <w:rPr>
          <w:rFonts w:ascii="Calibri" w:hAnsi="Calibri" w:cs="Calibri"/>
          <w:noProof/>
          <w:sz w:val="18"/>
          <w:szCs w:val="24"/>
        </w:rPr>
        <w:t xml:space="preserve">, 2021, </w:t>
      </w:r>
      <w:r w:rsidRPr="00855E4C">
        <w:rPr>
          <w:rFonts w:ascii="Calibri" w:hAnsi="Calibri" w:cs="Calibri"/>
          <w:b/>
          <w:bCs/>
          <w:noProof/>
          <w:sz w:val="18"/>
          <w:szCs w:val="24"/>
        </w:rPr>
        <w:t>395</w:t>
      </w:r>
      <w:r w:rsidRPr="00855E4C">
        <w:rPr>
          <w:rFonts w:ascii="Calibri" w:hAnsi="Calibri" w:cs="Calibri"/>
          <w:noProof/>
          <w:sz w:val="18"/>
          <w:szCs w:val="24"/>
        </w:rPr>
        <w:t>, 1–3.</w:t>
      </w:r>
    </w:p>
    <w:p w14:paraId="1B027E54"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szCs w:val="24"/>
        </w:rPr>
      </w:pPr>
      <w:r w:rsidRPr="00855E4C">
        <w:rPr>
          <w:rFonts w:ascii="Calibri" w:hAnsi="Calibri" w:cs="Calibri"/>
          <w:noProof/>
          <w:sz w:val="18"/>
          <w:szCs w:val="24"/>
        </w:rPr>
        <w:t>79</w:t>
      </w:r>
      <w:r w:rsidRPr="00855E4C">
        <w:rPr>
          <w:rFonts w:ascii="Calibri" w:hAnsi="Calibri" w:cs="Calibri"/>
          <w:noProof/>
          <w:sz w:val="18"/>
          <w:szCs w:val="24"/>
        </w:rPr>
        <w:tab/>
        <w:t xml:space="preserve">J. Shan, Z. Yang, G. Chen, Y. Hu, Y. Luo, X. Dong, W. Zheng </w:t>
      </w:r>
      <w:r w:rsidRPr="00855E4C">
        <w:rPr>
          <w:rFonts w:ascii="Calibri" w:hAnsi="Calibri" w:cs="Calibri"/>
          <w:noProof/>
          <w:sz w:val="18"/>
          <w:szCs w:val="24"/>
        </w:rPr>
        <w:t xml:space="preserve">and W. Zhou, </w:t>
      </w:r>
      <w:r w:rsidRPr="00855E4C">
        <w:rPr>
          <w:rFonts w:ascii="Calibri" w:hAnsi="Calibri" w:cs="Calibri"/>
          <w:i/>
          <w:iCs/>
          <w:noProof/>
          <w:sz w:val="18"/>
          <w:szCs w:val="24"/>
        </w:rPr>
        <w:t>Polymers (Basel).</w:t>
      </w:r>
      <w:r w:rsidRPr="00855E4C">
        <w:rPr>
          <w:rFonts w:ascii="Calibri" w:hAnsi="Calibri" w:cs="Calibri"/>
          <w:noProof/>
          <w:sz w:val="18"/>
          <w:szCs w:val="24"/>
        </w:rPr>
        <w:t xml:space="preserve">, 2020, </w:t>
      </w:r>
      <w:r w:rsidRPr="00855E4C">
        <w:rPr>
          <w:rFonts w:ascii="Calibri" w:hAnsi="Calibri" w:cs="Calibri"/>
          <w:b/>
          <w:bCs/>
          <w:noProof/>
          <w:sz w:val="18"/>
          <w:szCs w:val="24"/>
        </w:rPr>
        <w:t>12</w:t>
      </w:r>
      <w:r w:rsidRPr="00855E4C">
        <w:rPr>
          <w:rFonts w:ascii="Calibri" w:hAnsi="Calibri" w:cs="Calibri"/>
          <w:noProof/>
          <w:sz w:val="18"/>
          <w:szCs w:val="24"/>
        </w:rPr>
        <w:t>, 1346.</w:t>
      </w:r>
    </w:p>
    <w:p w14:paraId="49B52007" w14:textId="77777777" w:rsidR="00855E4C" w:rsidRPr="00855E4C" w:rsidRDefault="00855E4C" w:rsidP="00855E4C">
      <w:pPr>
        <w:widowControl w:val="0"/>
        <w:autoSpaceDE w:val="0"/>
        <w:autoSpaceDN w:val="0"/>
        <w:adjustRightInd w:val="0"/>
        <w:spacing w:after="0" w:line="240" w:lineRule="exact"/>
        <w:ind w:left="640" w:hanging="640"/>
        <w:rPr>
          <w:rFonts w:ascii="Calibri" w:hAnsi="Calibri" w:cs="Calibri"/>
          <w:noProof/>
          <w:sz w:val="18"/>
        </w:rPr>
      </w:pPr>
      <w:r w:rsidRPr="00855E4C">
        <w:rPr>
          <w:rFonts w:ascii="Calibri" w:hAnsi="Calibri" w:cs="Calibri"/>
          <w:noProof/>
          <w:sz w:val="18"/>
          <w:szCs w:val="24"/>
        </w:rPr>
        <w:t>80</w:t>
      </w:r>
      <w:r w:rsidRPr="00855E4C">
        <w:rPr>
          <w:rFonts w:ascii="Calibri" w:hAnsi="Calibri" w:cs="Calibri"/>
          <w:noProof/>
          <w:sz w:val="18"/>
          <w:szCs w:val="24"/>
        </w:rPr>
        <w:tab/>
        <w:t xml:space="preserve">C. S. Colley, D. C. Grills, N. A. Besley, S. Jockusch, P. Matousek, A. W. Parker, M. Towrie, N. J. Turro, P. M. W. Gill and M. W. George, </w:t>
      </w:r>
      <w:r w:rsidRPr="00855E4C">
        <w:rPr>
          <w:rFonts w:ascii="Calibri" w:hAnsi="Calibri" w:cs="Calibri"/>
          <w:i/>
          <w:iCs/>
          <w:noProof/>
          <w:sz w:val="18"/>
          <w:szCs w:val="24"/>
        </w:rPr>
        <w:t>J. Am. Chem. Soc.</w:t>
      </w:r>
      <w:r w:rsidRPr="00855E4C">
        <w:rPr>
          <w:rFonts w:ascii="Calibri" w:hAnsi="Calibri" w:cs="Calibri"/>
          <w:noProof/>
          <w:sz w:val="18"/>
          <w:szCs w:val="24"/>
        </w:rPr>
        <w:t xml:space="preserve">, 2002, </w:t>
      </w:r>
      <w:r w:rsidRPr="00855E4C">
        <w:rPr>
          <w:rFonts w:ascii="Calibri" w:hAnsi="Calibri" w:cs="Calibri"/>
          <w:b/>
          <w:bCs/>
          <w:noProof/>
          <w:sz w:val="18"/>
          <w:szCs w:val="24"/>
        </w:rPr>
        <w:t>124</w:t>
      </w:r>
      <w:r w:rsidRPr="00855E4C">
        <w:rPr>
          <w:rFonts w:ascii="Calibri" w:hAnsi="Calibri" w:cs="Calibri"/>
          <w:noProof/>
          <w:sz w:val="18"/>
          <w:szCs w:val="24"/>
        </w:rPr>
        <w:t>, 14952–14958.</w:t>
      </w:r>
    </w:p>
    <w:p w14:paraId="075D194F" w14:textId="23D233D8" w:rsidR="002A5421" w:rsidRPr="00934EA4" w:rsidRDefault="00B54EA1" w:rsidP="00B54EA1">
      <w:pPr>
        <w:pStyle w:val="RSCR02References"/>
        <w:numPr>
          <w:ilvl w:val="0"/>
          <w:numId w:val="0"/>
        </w:numPr>
        <w:ind w:left="284" w:hanging="284"/>
      </w:pPr>
      <w:r>
        <w:fldChar w:fldCharType="end"/>
      </w:r>
    </w:p>
    <w:sectPr w:rsidR="002A5421" w:rsidRPr="00934EA4" w:rsidSect="00514CBA">
      <w:type w:val="continuous"/>
      <w:pgSz w:w="11907" w:h="16840" w:code="9"/>
      <w:pgMar w:top="1009" w:right="851" w:bottom="1758" w:left="851" w:header="851" w:footer="1049" w:gutter="0"/>
      <w:cols w:num="2" w:space="227"/>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438BFD" w14:textId="77777777" w:rsidR="00873FDE" w:rsidRDefault="00873FDE" w:rsidP="00E547DB">
      <w:pPr>
        <w:spacing w:after="0" w:line="240" w:lineRule="auto"/>
      </w:pPr>
      <w:r>
        <w:separator/>
      </w:r>
    </w:p>
    <w:p w14:paraId="275E473F" w14:textId="77777777" w:rsidR="00873FDE" w:rsidRDefault="00873FDE"/>
    <w:p w14:paraId="66E009A9" w14:textId="77777777" w:rsidR="00873FDE" w:rsidRDefault="00873FDE"/>
    <w:p w14:paraId="3BDF8710" w14:textId="77777777" w:rsidR="00873FDE" w:rsidRDefault="00873FDE"/>
    <w:p w14:paraId="094D5585" w14:textId="77777777" w:rsidR="00873FDE" w:rsidRDefault="00873FDE"/>
    <w:p w14:paraId="76D68796" w14:textId="77777777" w:rsidR="00873FDE" w:rsidRDefault="00873FDE"/>
  </w:endnote>
  <w:endnote w:type="continuationSeparator" w:id="0">
    <w:p w14:paraId="20E0966A" w14:textId="77777777" w:rsidR="00873FDE" w:rsidRDefault="00873FDE" w:rsidP="00E547DB">
      <w:pPr>
        <w:spacing w:after="0" w:line="240" w:lineRule="auto"/>
      </w:pPr>
      <w:r>
        <w:continuationSeparator/>
      </w:r>
    </w:p>
    <w:p w14:paraId="62F72E48" w14:textId="77777777" w:rsidR="00873FDE" w:rsidRDefault="00873FDE"/>
    <w:p w14:paraId="3FB76ED3" w14:textId="77777777" w:rsidR="00873FDE" w:rsidRDefault="00873FDE"/>
    <w:p w14:paraId="7B23795A" w14:textId="77777777" w:rsidR="00873FDE" w:rsidRDefault="00873FDE"/>
    <w:p w14:paraId="1AF376B2" w14:textId="77777777" w:rsidR="00873FDE" w:rsidRDefault="00873FDE"/>
    <w:p w14:paraId="091D4E07" w14:textId="77777777" w:rsidR="00873FDE" w:rsidRDefault="00873FD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embedRegular r:id="rId1" w:fontKey="{1EBD1D09-57C4-42D1-8F69-54E035231A54}"/>
    <w:embedBold r:id="rId2" w:fontKey="{DFBCCFB9-1C29-4881-A954-D18CCA884D98}"/>
    <w:embedItalic r:id="rId3" w:fontKey="{6E76BFC9-9FCA-4E2C-8665-0282EE2B6965}"/>
    <w:embedBoldItalic r:id="rId4" w:fontKey="{1D1B9FB9-31B7-463B-B170-26145EC6D28A}"/>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embedRegular r:id="rId5" w:fontKey="{C794D21A-AC19-411F-A8FE-47CEE688D5E8}"/>
  </w:font>
  <w:font w:name="Consolas">
    <w:panose1 w:val="020B0609020204030204"/>
    <w:charset w:val="00"/>
    <w:family w:val="modern"/>
    <w:pitch w:val="fixed"/>
    <w:sig w:usb0="E00006FF" w:usb1="0000FCFF" w:usb2="00000001" w:usb3="00000000" w:csb0="0000019F" w:csb1="00000000"/>
    <w:embedRegular r:id="rId6" w:fontKey="{A6284517-8E1F-405F-B1C0-7DB119642975}"/>
  </w:font>
  <w:font w:name="Cambria Math">
    <w:panose1 w:val="02040503050406030204"/>
    <w:charset w:val="00"/>
    <w:family w:val="roman"/>
    <w:pitch w:val="variable"/>
    <w:sig w:usb0="E00006FF" w:usb1="420024FF" w:usb2="02000000" w:usb3="00000000" w:csb0="0000019F" w:csb1="00000000"/>
    <w:embedRegular r:id="rId7" w:fontKey="{9532A82B-BAEF-4D46-B8ED-CE3A24C4A820}"/>
    <w:embedBold r:id="rId8" w:fontKey="{544D0912-0B48-45D6-B369-B80BA97A7F48}"/>
  </w:font>
  <w:font w:name="Cambria">
    <w:panose1 w:val="02040503050406030204"/>
    <w:charset w:val="00"/>
    <w:family w:val="roman"/>
    <w:pitch w:val="variable"/>
    <w:sig w:usb0="E00006FF" w:usb1="420024FF" w:usb2="02000000" w:usb3="00000000" w:csb0="0000019F" w:csb1="00000000"/>
    <w:embedRegular r:id="rId9" w:fontKey="{5F1DEF23-EBBA-429B-A34E-C2AA63FD2172}"/>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87C395" w14:textId="077B84D3" w:rsidR="005E17D5" w:rsidRPr="006602F1" w:rsidRDefault="005E17D5" w:rsidP="00D45ADF">
    <w:pPr>
      <w:pStyle w:val="Piedepgina"/>
      <w:tabs>
        <w:tab w:val="clear" w:pos="4513"/>
        <w:tab w:val="clear" w:pos="9026"/>
        <w:tab w:val="right" w:pos="10206"/>
      </w:tabs>
      <w:spacing w:before="480"/>
      <w:rPr>
        <w:spacing w:val="10"/>
        <w:sz w:val="16"/>
        <w:szCs w:val="16"/>
      </w:rPr>
    </w:pPr>
    <w:r w:rsidRPr="006602F1">
      <w:rPr>
        <w:b/>
        <w:spacing w:val="10"/>
        <w:sz w:val="16"/>
        <w:szCs w:val="16"/>
      </w:rPr>
      <w:fldChar w:fldCharType="begin"/>
    </w:r>
    <w:r w:rsidRPr="006602F1">
      <w:rPr>
        <w:b/>
        <w:spacing w:val="10"/>
        <w:sz w:val="16"/>
        <w:szCs w:val="16"/>
      </w:rPr>
      <w:instrText xml:space="preserve"> PAGE   \* MERGEFORMAT </w:instrText>
    </w:r>
    <w:r w:rsidRPr="006602F1">
      <w:rPr>
        <w:b/>
        <w:spacing w:val="10"/>
        <w:sz w:val="16"/>
        <w:szCs w:val="16"/>
      </w:rPr>
      <w:fldChar w:fldCharType="separate"/>
    </w:r>
    <w:r>
      <w:rPr>
        <w:b/>
        <w:noProof/>
        <w:spacing w:val="10"/>
        <w:sz w:val="16"/>
        <w:szCs w:val="16"/>
      </w:rPr>
      <w:t>2</w:t>
    </w:r>
    <w:r w:rsidRPr="006602F1">
      <w:rPr>
        <w:b/>
        <w:noProof/>
        <w:spacing w:val="10"/>
        <w:sz w:val="16"/>
        <w:szCs w:val="16"/>
      </w:rPr>
      <w:fldChar w:fldCharType="end"/>
    </w:r>
    <w:r w:rsidRPr="006602F1">
      <w:rPr>
        <w:noProof/>
        <w:spacing w:val="10"/>
        <w:sz w:val="16"/>
        <w:szCs w:val="16"/>
      </w:rPr>
      <w:t xml:space="preserve"> | </w:t>
    </w:r>
    <w:r>
      <w:rPr>
        <w:i/>
        <w:noProof/>
        <w:spacing w:val="10"/>
        <w:sz w:val="16"/>
        <w:szCs w:val="16"/>
      </w:rPr>
      <w:t>J</w:t>
    </w:r>
    <w:r w:rsidRPr="006602F1">
      <w:rPr>
        <w:i/>
        <w:noProof/>
        <w:spacing w:val="10"/>
        <w:sz w:val="16"/>
        <w:szCs w:val="16"/>
      </w:rPr>
      <w:t xml:space="preserve">. </w:t>
    </w:r>
    <w:r>
      <w:rPr>
        <w:i/>
        <w:noProof/>
        <w:spacing w:val="10"/>
        <w:sz w:val="16"/>
        <w:szCs w:val="16"/>
      </w:rPr>
      <w:t>Name</w:t>
    </w:r>
    <w:r w:rsidRPr="006602F1">
      <w:rPr>
        <w:noProof/>
        <w:spacing w:val="10"/>
        <w:sz w:val="16"/>
        <w:szCs w:val="16"/>
      </w:rPr>
      <w:t xml:space="preserve">., 2012, </w:t>
    </w:r>
    <w:r w:rsidRPr="006602F1">
      <w:rPr>
        <w:b/>
        <w:noProof/>
        <w:spacing w:val="10"/>
        <w:sz w:val="16"/>
        <w:szCs w:val="16"/>
      </w:rPr>
      <w:t>00</w:t>
    </w:r>
    <w:r w:rsidRPr="006602F1">
      <w:rPr>
        <w:noProof/>
        <w:spacing w:val="10"/>
        <w:sz w:val="16"/>
        <w:szCs w:val="16"/>
      </w:rPr>
      <w:t>, 1-3</w:t>
    </w:r>
    <w:r w:rsidRPr="006602F1">
      <w:rPr>
        <w:noProof/>
        <w:spacing w:val="10"/>
        <w:sz w:val="16"/>
        <w:szCs w:val="16"/>
      </w:rPr>
      <w:tab/>
    </w:r>
    <w:r w:rsidRPr="00AC3BF2">
      <w:rPr>
        <w:noProof/>
        <w:spacing w:val="2"/>
        <w:sz w:val="16"/>
        <w:szCs w:val="16"/>
      </w:rPr>
      <w:t xml:space="preserve">This journal is </w:t>
    </w:r>
    <w:r w:rsidRPr="00AC3BF2">
      <w:rPr>
        <w:rFonts w:cstheme="minorHAnsi"/>
        <w:noProof/>
        <w:spacing w:val="2"/>
        <w:sz w:val="16"/>
        <w:szCs w:val="16"/>
      </w:rPr>
      <w:t>©</w:t>
    </w:r>
    <w:r w:rsidRPr="00AC3BF2">
      <w:rPr>
        <w:noProof/>
        <w:spacing w:val="2"/>
        <w:sz w:val="16"/>
        <w:szCs w:val="16"/>
      </w:rPr>
      <w:t xml:space="preserve"> The Royal Society of Chemistry 20</w:t>
    </w:r>
    <w:r>
      <w:rPr>
        <w:noProof/>
        <w:spacing w:val="2"/>
        <w:sz w:val="16"/>
        <w:szCs w:val="16"/>
      </w:rPr>
      <w:t>xx</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CC148E" w14:textId="77777777" w:rsidR="005E17D5" w:rsidRPr="006602F1" w:rsidRDefault="005E17D5" w:rsidP="00D45ADF">
    <w:pPr>
      <w:pStyle w:val="Piedepgina"/>
      <w:tabs>
        <w:tab w:val="clear" w:pos="4513"/>
        <w:tab w:val="clear" w:pos="9026"/>
        <w:tab w:val="right" w:pos="10205"/>
      </w:tabs>
      <w:spacing w:before="480"/>
      <w:rPr>
        <w:sz w:val="16"/>
        <w:szCs w:val="16"/>
      </w:rPr>
    </w:pPr>
    <w:r w:rsidRPr="00AC3BF2">
      <w:rPr>
        <w:noProof/>
        <w:spacing w:val="2"/>
        <w:sz w:val="16"/>
        <w:szCs w:val="16"/>
      </w:rPr>
      <w:t xml:space="preserve">This journal is </w:t>
    </w:r>
    <w:r w:rsidRPr="00AC3BF2">
      <w:rPr>
        <w:rFonts w:cstheme="minorHAnsi"/>
        <w:noProof/>
        <w:spacing w:val="2"/>
        <w:sz w:val="16"/>
        <w:szCs w:val="16"/>
      </w:rPr>
      <w:t>©</w:t>
    </w:r>
    <w:r w:rsidRPr="00AC3BF2">
      <w:rPr>
        <w:noProof/>
        <w:spacing w:val="2"/>
        <w:sz w:val="16"/>
        <w:szCs w:val="16"/>
      </w:rPr>
      <w:t xml:space="preserve"> The</w:t>
    </w:r>
    <w:r>
      <w:rPr>
        <w:noProof/>
        <w:spacing w:val="2"/>
        <w:sz w:val="16"/>
        <w:szCs w:val="16"/>
      </w:rPr>
      <w:t xml:space="preserve"> Royal Society of Chemistry 20xx</w:t>
    </w:r>
    <w:r>
      <w:rPr>
        <w:i/>
        <w:noProof/>
        <w:spacing w:val="10"/>
        <w:sz w:val="16"/>
        <w:szCs w:val="16"/>
      </w:rPr>
      <w:tab/>
      <w:t>J</w:t>
    </w:r>
    <w:r w:rsidRPr="002C0803">
      <w:rPr>
        <w:i/>
        <w:noProof/>
        <w:spacing w:val="10"/>
        <w:sz w:val="16"/>
        <w:szCs w:val="16"/>
      </w:rPr>
      <w:t xml:space="preserve">. </w:t>
    </w:r>
    <w:r>
      <w:rPr>
        <w:i/>
        <w:noProof/>
        <w:spacing w:val="10"/>
        <w:sz w:val="16"/>
        <w:szCs w:val="16"/>
      </w:rPr>
      <w:t>Name</w:t>
    </w:r>
    <w:r w:rsidRPr="002C0803">
      <w:rPr>
        <w:noProof/>
        <w:spacing w:val="10"/>
        <w:sz w:val="16"/>
        <w:szCs w:val="16"/>
      </w:rPr>
      <w:t>., 201</w:t>
    </w:r>
    <w:r>
      <w:rPr>
        <w:noProof/>
        <w:spacing w:val="10"/>
        <w:sz w:val="16"/>
        <w:szCs w:val="16"/>
      </w:rPr>
      <w:t>3</w:t>
    </w:r>
    <w:r w:rsidRPr="002C0803">
      <w:rPr>
        <w:noProof/>
        <w:spacing w:val="10"/>
        <w:sz w:val="16"/>
        <w:szCs w:val="16"/>
      </w:rPr>
      <w:t xml:space="preserve">, </w:t>
    </w:r>
    <w:r w:rsidRPr="002C0803">
      <w:rPr>
        <w:b/>
        <w:noProof/>
        <w:spacing w:val="10"/>
        <w:sz w:val="16"/>
        <w:szCs w:val="16"/>
      </w:rPr>
      <w:t>00</w:t>
    </w:r>
    <w:r w:rsidRPr="002C0803">
      <w:rPr>
        <w:noProof/>
        <w:spacing w:val="10"/>
        <w:sz w:val="16"/>
        <w:szCs w:val="16"/>
      </w:rPr>
      <w:t>, 1-3</w:t>
    </w:r>
    <w:r w:rsidRPr="002C0803">
      <w:rPr>
        <w:spacing w:val="10"/>
        <w:sz w:val="16"/>
        <w:szCs w:val="16"/>
      </w:rPr>
      <w:t xml:space="preserve"> | </w:t>
    </w:r>
    <w:r w:rsidRPr="008C1387">
      <w:rPr>
        <w:b/>
        <w:spacing w:val="10"/>
        <w:sz w:val="16"/>
        <w:szCs w:val="16"/>
      </w:rPr>
      <w:fldChar w:fldCharType="begin"/>
    </w:r>
    <w:r w:rsidRPr="008C1387">
      <w:rPr>
        <w:b/>
        <w:spacing w:val="10"/>
        <w:sz w:val="16"/>
        <w:szCs w:val="16"/>
      </w:rPr>
      <w:instrText xml:space="preserve"> PAGE   \* MERGEFORMAT </w:instrText>
    </w:r>
    <w:r w:rsidRPr="008C1387">
      <w:rPr>
        <w:b/>
        <w:spacing w:val="10"/>
        <w:sz w:val="16"/>
        <w:szCs w:val="16"/>
      </w:rPr>
      <w:fldChar w:fldCharType="separate"/>
    </w:r>
    <w:r>
      <w:rPr>
        <w:b/>
        <w:noProof/>
        <w:spacing w:val="10"/>
        <w:sz w:val="16"/>
        <w:szCs w:val="16"/>
      </w:rPr>
      <w:t>3</w:t>
    </w:r>
    <w:r w:rsidRPr="008C1387">
      <w:rPr>
        <w:b/>
        <w:noProof/>
        <w:spacing w:val="10"/>
        <w:sz w:val="16"/>
        <w:szCs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C4DD8" w14:textId="77777777" w:rsidR="005E17D5" w:rsidRPr="006602F1" w:rsidRDefault="005E17D5" w:rsidP="00D45ADF">
    <w:pPr>
      <w:pStyle w:val="Piedepgina"/>
      <w:tabs>
        <w:tab w:val="clear" w:pos="4513"/>
        <w:tab w:val="clear" w:pos="9026"/>
        <w:tab w:val="right" w:pos="10206"/>
      </w:tabs>
      <w:spacing w:before="480"/>
      <w:rPr>
        <w:sz w:val="16"/>
        <w:szCs w:val="16"/>
      </w:rPr>
    </w:pPr>
    <w:r>
      <w:rPr>
        <w:noProof/>
        <w:lang w:eastAsia="en-GB"/>
      </w:rPr>
      <mc:AlternateContent>
        <mc:Choice Requires="wps">
          <w:drawing>
            <wp:anchor distT="0" distB="0" distL="114300" distR="114300" simplePos="0" relativeHeight="251664384" behindDoc="0" locked="0" layoutInCell="1" allowOverlap="1" wp14:anchorId="70BDE793" wp14:editId="4069E006">
              <wp:simplePos x="0" y="0"/>
              <wp:positionH relativeFrom="column">
                <wp:align>center</wp:align>
              </wp:positionH>
              <wp:positionV relativeFrom="page">
                <wp:align>bottom</wp:align>
              </wp:positionV>
              <wp:extent cx="7700400" cy="396000"/>
              <wp:effectExtent l="0" t="0" r="0" b="4445"/>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6000"/>
                      </a:xfrm>
                      <a:prstGeom prst="rect">
                        <a:avLst/>
                      </a:prstGeom>
                      <a:solidFill>
                        <a:schemeClr val="bg1">
                          <a:lumMod val="65000"/>
                        </a:schemeClr>
                      </a:solidFill>
                      <a:ln w="9525">
                        <a:noFill/>
                        <a:miter lim="800000"/>
                        <a:headEnd/>
                        <a:tailEnd/>
                      </a:ln>
                    </wps:spPr>
                    <wps:txbx>
                      <w:txbxContent>
                        <w:p w14:paraId="2BD3FB71" w14:textId="77777777" w:rsidR="005E17D5" w:rsidRPr="00F20A7C" w:rsidRDefault="005E17D5" w:rsidP="00514CBA">
                          <w:pPr>
                            <w:spacing w:after="0"/>
                            <w:jc w:val="center"/>
                            <w:rPr>
                              <w:color w:val="FFFFFF" w:themeColor="background1"/>
                            </w:rPr>
                          </w:pPr>
                          <w:r w:rsidRPr="00514CBA">
                            <w:rPr>
                              <w:color w:val="FFFFFF" w:themeColor="background1"/>
                            </w:rPr>
                            <w:t>Please</w:t>
                          </w:r>
                          <w:r w:rsidRPr="00F20A7C">
                            <w:rPr>
                              <w:color w:val="FFFFFF" w:themeColor="background1"/>
                            </w:rPr>
                            <w:t xml:space="preserv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70BDE793" id="_x0000_t202" coordsize="21600,21600" o:spt="202" path="m,l,21600r21600,l21600,xe">
              <v:stroke joinstyle="miter"/>
              <v:path gradientshapeok="t" o:connecttype="rect"/>
            </v:shapetype>
            <v:shape id="_x0000_s1032" type="#_x0000_t202" style="position:absolute;margin-left:0;margin-top:0;width:606.35pt;height:31.2pt;z-index:251664384;visibility:visible;mso-wrap-style:square;mso-width-percent:0;mso-height-percent:0;mso-wrap-distance-left:9pt;mso-wrap-distance-top:0;mso-wrap-distance-right:9pt;mso-wrap-distance-bottom:0;mso-position-horizontal:center;mso-position-horizontal-relative:text;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u5YMQIAAEcEAAAOAAAAZHJzL2Uyb0RvYy54bWysU9tu2zAMfR+wfxD0vtjJcmmMOEWXrsOA&#10;7gK0+wBGlmNhkuhJSuzs60vJSRpsb8NeBFGkDg8PydVtbzQ7SOcV2pKPRzln0gqslN2V/Mfzw7sb&#10;znwAW4FGK0t+lJ7frt++WXVtISfYoK6kYwRifdG1JW9CaIss86KRBvwIW2nJWaMzEMh0u6xy0BG6&#10;0dkkz+dZh65qHQrpPb3eD06+Tvh1LUX4VtdeBqZLTtxCOl06t/HM1isodg7aRokTDfgHFgaUpaQX&#10;qHsIwPZO/QVllHDosQ4jgSbDulZCphqomnH+RzVPDbQy1ULi+PYik/9/sOLr4btjqqLecWbBUIue&#10;ZR/YB+zZJKrTtb6goKeWwkJPzzEyVurbRxQ/PbO4acDu5J1z2DUSKmI3jj+zq68Djo8g2+4LVpQG&#10;9gETUF87EwFJDEbo1KXjpTORiqDHxSLPpzm5BPneL+c53WMKKM6/W+fDJ4mGxUvJHXU+ocPh0Ych&#10;9ByS2KNW1YPSOhlx2uRGO3YAmpPtbqhQ7w1RHd7ms9eUaThjeCLgr5G0ZV3Jl7PJLCW3GFNQdiiM&#10;CjToWpmS3xDUwB+KKNhHW6WQAEoPd6pL25OCUbRBvtBv+9Sq2bkxW6yOJKnDYa5pD+nSoPvNWUcz&#10;XXL/aw9OcqY/W2rLcjydxiVIxnS2mJDhrj3baw9YQVAlF8FxNhibkFYn1mPxjhpYq6Rt7PTA5USa&#10;pjWJc9qsuA7Xdop63f/1CwAAAP//AwBQSwMEFAAGAAgAAAAhAP82+oDcAAAABQEAAA8AAABkcnMv&#10;ZG93bnJldi54bWxMj0FLw0AQhe+C/2EZwZvdNEgtaSalinrQQzAWvG6z0yS4Oxuy2yb592696GXg&#10;8R7vfZNvJ2vEmQbfOUZYLhIQxLXTHTcI+8+XuzUIHxRrZRwTwkwetsX1Va4y7Ub+oHMVGhFL2GcK&#10;oQ2hz6T0dUtW+YXriaN3dINVIcqhkXpQYyy3RqZJspJWdRwXWtXTU0v1d3WyCGvdf5XP5TzuyvL1&#10;kffJ/PZuKsTbm2m3ARFoCn9huOBHdCgi08GdWHthEOIj4fdevHSZPoA4IKzSe5BFLv/TFz8AAAD/&#10;/wMAUEsBAi0AFAAGAAgAAAAhALaDOJL+AAAA4QEAABMAAAAAAAAAAAAAAAAAAAAAAFtDb250ZW50&#10;X1R5cGVzXS54bWxQSwECLQAUAAYACAAAACEAOP0h/9YAAACUAQAACwAAAAAAAAAAAAAAAAAvAQAA&#10;X3JlbHMvLnJlbHNQSwECLQAUAAYACAAAACEA7UbuWDECAABHBAAADgAAAAAAAAAAAAAAAAAuAgAA&#10;ZHJzL2Uyb0RvYy54bWxQSwECLQAUAAYACAAAACEA/zb6gNwAAAAFAQAADwAAAAAAAAAAAAAAAACL&#10;BAAAZHJzL2Rvd25yZXYueG1sUEsFBgAAAAAEAAQA8wAAAJQFAAAAAA==&#10;" fillcolor="#a5a5a5 [2092]" stroked="f">
              <v:textbox>
                <w:txbxContent>
                  <w:p w14:paraId="2BD3FB71" w14:textId="77777777" w:rsidR="005E17D5" w:rsidRPr="00F20A7C" w:rsidRDefault="005E17D5" w:rsidP="00514CBA">
                    <w:pPr>
                      <w:spacing w:after="0"/>
                      <w:jc w:val="center"/>
                      <w:rPr>
                        <w:color w:val="FFFFFF" w:themeColor="background1"/>
                      </w:rPr>
                    </w:pPr>
                    <w:r w:rsidRPr="00514CBA">
                      <w:rPr>
                        <w:color w:val="FFFFFF" w:themeColor="background1"/>
                      </w:rPr>
                      <w:t>Please</w:t>
                    </w:r>
                    <w:r w:rsidRPr="00F20A7C">
                      <w:rPr>
                        <w:color w:val="FFFFFF" w:themeColor="background1"/>
                      </w:rPr>
                      <w:t xml:space="preserve"> do not adjust margins</w:t>
                    </w:r>
                  </w:p>
                </w:txbxContent>
              </v:textbox>
              <w10:wrap anchory="page"/>
            </v:shape>
          </w:pict>
        </mc:Fallback>
      </mc:AlternateContent>
    </w:r>
    <w:r w:rsidRPr="006602F1">
      <w:rPr>
        <w:i/>
        <w:noProof/>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F7D945" w14:textId="77777777" w:rsidR="00873FDE" w:rsidRDefault="00873FDE" w:rsidP="00E547DB">
      <w:pPr>
        <w:spacing w:after="0" w:line="240" w:lineRule="auto"/>
      </w:pPr>
      <w:r>
        <w:separator/>
      </w:r>
    </w:p>
    <w:p w14:paraId="3757198A" w14:textId="77777777" w:rsidR="00873FDE" w:rsidRDefault="00873FDE"/>
    <w:p w14:paraId="237B8512" w14:textId="77777777" w:rsidR="00873FDE" w:rsidRDefault="00873FDE"/>
    <w:p w14:paraId="54ACD762" w14:textId="77777777" w:rsidR="00873FDE" w:rsidRDefault="00873FDE"/>
    <w:p w14:paraId="05CFAE43" w14:textId="77777777" w:rsidR="00873FDE" w:rsidRDefault="00873FDE"/>
    <w:p w14:paraId="0B5CE3C9" w14:textId="77777777" w:rsidR="00873FDE" w:rsidRDefault="00873FDE"/>
  </w:footnote>
  <w:footnote w:type="continuationSeparator" w:id="0">
    <w:p w14:paraId="30E3C45F" w14:textId="77777777" w:rsidR="00873FDE" w:rsidRDefault="00873FDE" w:rsidP="00E547DB">
      <w:pPr>
        <w:spacing w:after="0" w:line="240" w:lineRule="auto"/>
      </w:pPr>
      <w:r>
        <w:continuationSeparator/>
      </w:r>
    </w:p>
    <w:p w14:paraId="2CF13B4B" w14:textId="77777777" w:rsidR="00873FDE" w:rsidRDefault="00873FDE"/>
    <w:p w14:paraId="3D7C6A5D" w14:textId="77777777" w:rsidR="00873FDE" w:rsidRDefault="00873FDE"/>
    <w:p w14:paraId="69093B83" w14:textId="77777777" w:rsidR="00873FDE" w:rsidRDefault="00873FDE"/>
    <w:p w14:paraId="223D069B" w14:textId="77777777" w:rsidR="00873FDE" w:rsidRDefault="00873FDE"/>
    <w:p w14:paraId="1A331F02" w14:textId="77777777" w:rsidR="00873FDE" w:rsidRDefault="00873FD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C5D6BB" w14:textId="77777777" w:rsidR="005E17D5" w:rsidRPr="00E70DCE" w:rsidRDefault="005E17D5" w:rsidP="00D45ADF">
    <w:pPr>
      <w:pStyle w:val="Encabezado"/>
      <w:tabs>
        <w:tab w:val="clear" w:pos="4513"/>
        <w:tab w:val="clear" w:pos="9026"/>
        <w:tab w:val="right" w:pos="10206"/>
      </w:tabs>
      <w:spacing w:after="240"/>
      <w:rPr>
        <w:rFonts w:cstheme="minorHAnsi"/>
        <w:color w:val="999999"/>
        <w:sz w:val="20"/>
        <w:szCs w:val="20"/>
      </w:rPr>
    </w:pPr>
    <w:r>
      <w:rPr>
        <w:noProof/>
        <w:lang w:eastAsia="en-GB"/>
      </w:rPr>
      <mc:AlternateContent>
        <mc:Choice Requires="wps">
          <w:drawing>
            <wp:anchor distT="0" distB="0" distL="114300" distR="114300" simplePos="0" relativeHeight="251668480" behindDoc="0" locked="0" layoutInCell="1" allowOverlap="1" wp14:anchorId="13524EC0" wp14:editId="57A3D1D9">
              <wp:simplePos x="0" y="0"/>
              <wp:positionH relativeFrom="column">
                <wp:align>center</wp:align>
              </wp:positionH>
              <wp:positionV relativeFrom="page">
                <wp:align>bottom</wp:align>
              </wp:positionV>
              <wp:extent cx="7700400" cy="396000"/>
              <wp:effectExtent l="0" t="0" r="0" b="4445"/>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6000"/>
                      </a:xfrm>
                      <a:prstGeom prst="rect">
                        <a:avLst/>
                      </a:prstGeom>
                      <a:solidFill>
                        <a:schemeClr val="bg1">
                          <a:lumMod val="65000"/>
                        </a:schemeClr>
                      </a:solidFill>
                      <a:ln w="9525">
                        <a:noFill/>
                        <a:miter lim="800000"/>
                        <a:headEnd/>
                        <a:tailEnd/>
                      </a:ln>
                    </wps:spPr>
                    <wps:txbx>
                      <w:txbxContent>
                        <w:p w14:paraId="3C389A26" w14:textId="77777777" w:rsidR="005E17D5" w:rsidRPr="00F20A7C" w:rsidRDefault="005E17D5"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13524EC0" id="_x0000_t202" coordsize="21600,21600" o:spt="202" path="m,l,21600r21600,l21600,xe">
              <v:stroke joinstyle="miter"/>
              <v:path gradientshapeok="t" o:connecttype="rect"/>
            </v:shapetype>
            <v:shape id="_x0000_s1027" type="#_x0000_t202" style="position:absolute;margin-left:0;margin-top:0;width:606.35pt;height:31.2pt;z-index:251668480;visibility:visible;mso-wrap-style:square;mso-width-percent:0;mso-height-percent:0;mso-wrap-distance-left:9pt;mso-wrap-distance-top:0;mso-wrap-distance-right:9pt;mso-wrap-distance-bottom:0;mso-position-horizontal:center;mso-position-horizontal-relative:text;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s2tLwIAAEAEAAAOAAAAZHJzL2Uyb0RvYy54bWysU9tu2zAMfR+wfxD0vthJk7Qx4hRdug4D&#10;ugvQ7gMYWY6FSaInKbGzry8lp0m2vQ17EUSROjw8JJe3vdFsL51XaEs+HuWcSSuwUnZb8u/PD+9u&#10;OPMBbAUarSz5QXp+u3r7Ztm1hZxgg7qSjhGI9UXXlrwJoS2yzItGGvAjbKUlZ43OQCDTbbPKQUfo&#10;RmeTPJ9nHbqqdSik9/R6Pzj5KuHXtRTha117GZguOXEL6XTp3MQzWy2h2DpoGyWONOAfWBhQlpKe&#10;oO4hANs59ReUUcKhxzqMBJoM61oJmWqgasb5H9U8NdDKVAuJ49uTTP7/wYov+2+OqarkV5xZMNSi&#10;Z9kH9h57NonqdK0vKOippbDQ0zN1OVXq20cUPzyzuG7AbuWdc9g1EipiN44/s4uvA46PIJvuM1aU&#10;BnYBE1BfOxOlIzEYoVOXDqfORCqCHq+v83yak0uQ72oxz+keU0Dx+rt1PnyUaFi8lNxR5xM67B99&#10;GEJfQ2Iyj1pVD0rrZMRpk2vt2B5oTjbboUK9M0R1eJvPzinTcMbwROA3JG1ZV/LFbDJLyS3GFJQd&#10;CqMCDbpWpuQ3BDXwhyIK9sFWKSSA0sOd6tL2qGAUbZAv9JueAqOsG6wOpKXDYaBpAenSoPvFWUfD&#10;XHL/cwdOcqY/WerHYjydxulPxnR2PSHDXXo2lx6wgqBKLoLjbDDWIe1MLMTiHXWuVknUM5cjWxrT&#10;pMpxpeIeXNop6rz4qxcAAAD//wMAUEsDBBQABgAIAAAAIQD/NvqA3AAAAAUBAAAPAAAAZHJzL2Rv&#10;d25yZXYueG1sTI9BS8NAEIXvgv9hGcGb3TRILWkmpYp60EMwFrxus9MkuDsbstsm+fduvehl4PEe&#10;732TbydrxJkG3zlGWC4SEMS10x03CPvPl7s1CB8Ua2UcE8JMHrbF9VWuMu1G/qBzFRoRS9hnCqEN&#10;oc+k9HVLVvmF64mjd3SDVSHKoZF6UGMst0amSbKSVnUcF1rV01NL9Xd1sghr3X+Vz+U87sry9ZH3&#10;yfz2birE25tptwERaAp/YbjgR3QoItPBnVh7YRDiI+H3Xrx0mT6AOCCs0nuQRS7/0xc/AAAA//8D&#10;AFBLAQItABQABgAIAAAAIQC2gziS/gAAAOEBAAATAAAAAAAAAAAAAAAAAAAAAABbQ29udGVudF9U&#10;eXBlc10ueG1sUEsBAi0AFAAGAAgAAAAhADj9If/WAAAAlAEAAAsAAAAAAAAAAAAAAAAALwEAAF9y&#10;ZWxzLy5yZWxzUEsBAi0AFAAGAAgAAAAhAKlGza0vAgAAQAQAAA4AAAAAAAAAAAAAAAAALgIAAGRy&#10;cy9lMm9Eb2MueG1sUEsBAi0AFAAGAAgAAAAhAP82+oDcAAAABQEAAA8AAAAAAAAAAAAAAAAAiQQA&#10;AGRycy9kb3ducmV2LnhtbFBLBQYAAAAABAAEAPMAAACSBQAAAAA=&#10;" fillcolor="#a5a5a5 [2092]" stroked="f">
              <v:textbox>
                <w:txbxContent>
                  <w:p w14:paraId="3C389A26" w14:textId="77777777" w:rsidR="005E17D5" w:rsidRPr="00F20A7C" w:rsidRDefault="005E17D5"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noProof/>
        <w:lang w:eastAsia="en-GB"/>
      </w:rPr>
      <mc:AlternateContent>
        <mc:Choice Requires="wps">
          <w:drawing>
            <wp:anchor distT="0" distB="0" distL="114300" distR="114300" simplePos="0" relativeHeight="251666432" behindDoc="0" locked="0" layoutInCell="1" allowOverlap="1" wp14:anchorId="42B65137" wp14:editId="67568D96">
              <wp:simplePos x="0" y="0"/>
              <wp:positionH relativeFrom="column">
                <wp:align>center</wp:align>
              </wp:positionH>
              <wp:positionV relativeFrom="page">
                <wp:align>top</wp:align>
              </wp:positionV>
              <wp:extent cx="7700400" cy="396000"/>
              <wp:effectExtent l="0" t="0" r="0" b="444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6000"/>
                      </a:xfrm>
                      <a:prstGeom prst="rect">
                        <a:avLst/>
                      </a:prstGeom>
                      <a:solidFill>
                        <a:schemeClr val="bg1">
                          <a:lumMod val="65000"/>
                        </a:schemeClr>
                      </a:solidFill>
                      <a:ln w="9525">
                        <a:noFill/>
                        <a:miter lim="800000"/>
                        <a:headEnd/>
                        <a:tailEnd/>
                      </a:ln>
                    </wps:spPr>
                    <wps:txbx>
                      <w:txbxContent>
                        <w:p w14:paraId="2A3F4DC3" w14:textId="77777777" w:rsidR="005E17D5" w:rsidRPr="00F20A7C" w:rsidRDefault="005E17D5"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w14:anchorId="42B65137" id="_x0000_s1028" type="#_x0000_t202" style="position:absolute;margin-left:0;margin-top:0;width:606.35pt;height:31.2pt;z-index:251666432;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JDaqMQIAAEcEAAAOAAAAZHJzL2Uyb0RvYy54bWysU9tu2zAMfR+wfxD0vtjxcmmMOEWXrsOA&#10;7gK0+wBZlmNhkqhJSuzs60fJaZJtb8NeBFGkDg8PyfXtoBU5COclmIpOJzklwnBopNlV9Nvzw5sb&#10;SnxgpmEKjKjoUXh6u3n9at3bUhTQgWqEIwhifNnbinYh2DLLPO+EZn4CVhh0tuA0C2i6XdY41iO6&#10;VlmR54usB9dYB1x4j6/3o5NuEn7bCh6+tK0XgaiKIreQTpfOOp7ZZs3KnWO2k/xEg/0DC82kwaRn&#10;qHsWGNk7+ReUltyBhzZMOOgM2lZykWrAaqb5H9U8dcyKVAuK4+1ZJv//YPnnw1dHZFPRghLDNLbo&#10;WQyBvIOBFFGd3voSg54shoUBn7HLqVJvH4F/98TAtmNmJ+6cg74TrEF20/gzu/o64vgIUvefoME0&#10;bB8gAQ2t01E6FIMgOnbpeO5MpMLxcbnM81mOLo6+t6tFjveYgpUvv63z4YMATeKlog47n9DZ4dGH&#10;MfQlJCbzoGTzIJVKRpw2sVWOHBjOSb0bK1R7jVTHt8X8kjINZwxPBH5DUob0FV3Ni3lKbiCmwOys&#10;1DLgoCupK3qDUCN/VkbB3psmhQQm1XjHupQ5KRhFG+ULQz2kViV5o7o1NEeU1ME417iHeOnA/aSk&#10;x5muqP+xZ05Qoj4abMtqOpvFJUjGbL4s0HDXnvrawwxHqIry4CgZjW1IqxPrMXCHDWxl0vbC5UQa&#10;pzWJc9qsuA7Xdoq67P/mFwAAAP//AwBQSwMEFAAGAAgAAAAhAP82+oDcAAAABQEAAA8AAABkcnMv&#10;ZG93bnJldi54bWxMj0FLw0AQhe+C/2EZwZvdNEgtaSalinrQQzAWvG6z0yS4Oxuy2yb592696GXg&#10;8R7vfZNvJ2vEmQbfOUZYLhIQxLXTHTcI+8+XuzUIHxRrZRwTwkwetsX1Va4y7Ub+oHMVGhFL2GcK&#10;oQ2hz6T0dUtW+YXriaN3dINVIcqhkXpQYyy3RqZJspJWdRwXWtXTU0v1d3WyCGvdf5XP5TzuyvL1&#10;kffJ/PZuKsTbm2m3ARFoCn9huOBHdCgi08GdWHthEOIj4fdevHSZPoA4IKzSe5BFLv/TFz8AAAD/&#10;/wMAUEsBAi0AFAAGAAgAAAAhALaDOJL+AAAA4QEAABMAAAAAAAAAAAAAAAAAAAAAAFtDb250ZW50&#10;X1R5cGVzXS54bWxQSwECLQAUAAYACAAAACEAOP0h/9YAAACUAQAACwAAAAAAAAAAAAAAAAAvAQAA&#10;X3JlbHMvLnJlbHNQSwECLQAUAAYACAAAACEAYiQ2qjECAABHBAAADgAAAAAAAAAAAAAAAAAuAgAA&#10;ZHJzL2Uyb0RvYy54bWxQSwECLQAUAAYACAAAACEA/zb6gNwAAAAFAQAADwAAAAAAAAAAAAAAAACL&#10;BAAAZHJzL2Rvd25yZXYueG1sUEsFBgAAAAAEAAQA8wAAAJQFAAAAAA==&#10;" fillcolor="#a5a5a5 [2092]" stroked="f">
              <v:textbox>
                <w:txbxContent>
                  <w:p w14:paraId="2A3F4DC3" w14:textId="77777777" w:rsidR="005E17D5" w:rsidRPr="00F20A7C" w:rsidRDefault="005E17D5"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rFonts w:cstheme="minorHAnsi"/>
        <w:b/>
        <w:color w:val="999999"/>
        <w:sz w:val="20"/>
        <w:szCs w:val="20"/>
      </w:rPr>
      <w:t>ARTICLE</w:t>
    </w:r>
    <w:r w:rsidRPr="00E70DCE">
      <w:rPr>
        <w:rFonts w:cstheme="minorHAnsi"/>
        <w:color w:val="999999"/>
        <w:sz w:val="20"/>
        <w:szCs w:val="20"/>
      </w:rPr>
      <w:tab/>
    </w:r>
    <w:r>
      <w:rPr>
        <w:rFonts w:cstheme="minorHAnsi"/>
        <w:b/>
        <w:color w:val="999999"/>
        <w:sz w:val="20"/>
        <w:szCs w:val="20"/>
      </w:rPr>
      <w:t>Journal Name</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68EC0D" w14:textId="77777777" w:rsidR="005E17D5" w:rsidRPr="009316A6" w:rsidRDefault="005E17D5" w:rsidP="00D45ADF">
    <w:pPr>
      <w:pStyle w:val="Encabezado"/>
      <w:tabs>
        <w:tab w:val="clear" w:pos="4513"/>
        <w:tab w:val="clear" w:pos="9026"/>
        <w:tab w:val="right" w:pos="10206"/>
      </w:tabs>
      <w:spacing w:after="240"/>
      <w:rPr>
        <w:rFonts w:cstheme="minorHAnsi"/>
        <w:b/>
        <w:color w:val="999999"/>
        <w:sz w:val="20"/>
        <w:szCs w:val="20"/>
      </w:rPr>
    </w:pPr>
    <w:r>
      <w:rPr>
        <w:noProof/>
        <w:lang w:eastAsia="en-GB"/>
      </w:rPr>
      <mc:AlternateContent>
        <mc:Choice Requires="wps">
          <w:drawing>
            <wp:anchor distT="0" distB="0" distL="114300" distR="114300" simplePos="0" relativeHeight="251672576" behindDoc="0" locked="0" layoutInCell="1" allowOverlap="1" wp14:anchorId="7E828ED4" wp14:editId="71AE44F6">
              <wp:simplePos x="0" y="0"/>
              <wp:positionH relativeFrom="column">
                <wp:align>center</wp:align>
              </wp:positionH>
              <wp:positionV relativeFrom="page">
                <wp:align>bottom</wp:align>
              </wp:positionV>
              <wp:extent cx="7700400" cy="399600"/>
              <wp:effectExtent l="0" t="0" r="0" b="635"/>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9600"/>
                      </a:xfrm>
                      <a:prstGeom prst="rect">
                        <a:avLst/>
                      </a:prstGeom>
                      <a:solidFill>
                        <a:schemeClr val="bg1">
                          <a:lumMod val="65000"/>
                        </a:schemeClr>
                      </a:solidFill>
                      <a:ln w="9525">
                        <a:noFill/>
                        <a:miter lim="800000"/>
                        <a:headEnd/>
                        <a:tailEnd/>
                      </a:ln>
                    </wps:spPr>
                    <wps:txbx>
                      <w:txbxContent>
                        <w:p w14:paraId="0E9A3293" w14:textId="77777777" w:rsidR="005E17D5" w:rsidRPr="00F20A7C" w:rsidRDefault="005E17D5"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7E828ED4" id="_x0000_t202" coordsize="21600,21600" o:spt="202" path="m,l,21600r21600,l21600,xe">
              <v:stroke joinstyle="miter"/>
              <v:path gradientshapeok="t" o:connecttype="rect"/>
            </v:shapetype>
            <v:shape id="_x0000_s1029" type="#_x0000_t202" style="position:absolute;margin-left:0;margin-top:0;width:606.35pt;height:31.45pt;z-index:251672576;visibility:visible;mso-wrap-style:square;mso-width-percent:0;mso-height-percent:0;mso-wrap-distance-left:9pt;mso-wrap-distance-top:0;mso-wrap-distance-right:9pt;mso-wrap-distance-bottom:0;mso-position-horizontal:center;mso-position-horizontal-relative:text;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0nG+MgIAAEcEAAAOAAAAZHJzL2Uyb0RvYy54bWysU9tu2zAMfR+wfxD0vtjJkrQx4hRdug4D&#10;ugvQ7gNoWY6FSaInKbGzry8lp1m2vQ17EUSROiTPIdc3g9HsIJ1XaEs+neScSSuwVnZX8m9P92+u&#10;OfMBbA0arSz5UXp+s3n9at13hZxhi7qWjhGI9UXflbwNoSuyzItWGvAT7KQlZ4POQCDT7bLaQU/o&#10;RmezPF9mPbq6cyik9/R6Nzr5JuE3jRThS9N4GZguOdUW0unSWcUz26yh2DnoWiVOZcA/VGFAWUp6&#10;hrqDAGzv1F9QRgmHHpswEWgybBolZOqBupnmf3Tz2EInUy9Eju/ONPn/Bys+H746puqSLzizYEii&#10;JzkE9g4HNovs9J0vKOixo7Aw0DOpnDr13QOK755Z3LZgd/LWOexbCTVVN40/s4uvI46PIFX/CWtK&#10;A/uACWhonInUERmM0Eml41mZWIqgx6urPJ/n5BLke7taLekeU0Dx8rtzPnyQaFi8lNyR8gkdDg8+&#10;jKEvITGZR63qe6V1MuK0ya127AA0J9Vu7FDvDZU6vi0X+TllGs4Yngr4DUlb1pd8tZgtUnKLMQVl&#10;h8KoQIOulSn5NUGNYFBEwt7bOoUEUHq8U1/anhiMpI30haEaklRnYSqsj0Spw3GuaQ/p0qL7yVlP&#10;M11y/2MPTnKmP1qSZTWdz+MSJGO+uJqR4S491aUHrCCokovgOBuNbUirE/uxeEsCNipxG5UeazkV&#10;TdOayDltVlyHSztF/dr/zTMAAAD//wMAUEsDBBQABgAIAAAAIQDAptG33AAAAAUBAAAPAAAAZHJz&#10;L2Rvd25yZXYueG1sTI/BTsMwEETvSPyDtUjcqNMcSgnZVAUBB3qICJW4uvGSRNjrKHab5O9xe4HL&#10;SqMZzbzNN5M14kSD7xwjLBcJCOLa6Y4bhP3n690ahA+KtTKOCWEmD5vi+ipXmXYjf9CpCo2IJewz&#10;hdCG0GdS+rolq/zC9cTR+3aDVSHKoZF6UGMst0amSbKSVnUcF1rV03NL9U91tAhr3X+VL+U8bsvy&#10;7Yn3yfy+MxXi7c20fQQRaAp/YTjjR3QoItPBHVl7YRDiI+Fyz166TO9BHBBW6QPIIpf/6YtfAAAA&#10;//8DAFBLAQItABQABgAIAAAAIQC2gziS/gAAAOEBAAATAAAAAAAAAAAAAAAAAAAAAABbQ29udGVu&#10;dF9UeXBlc10ueG1sUEsBAi0AFAAGAAgAAAAhADj9If/WAAAAlAEAAAsAAAAAAAAAAAAAAAAALwEA&#10;AF9yZWxzLy5yZWxzUEsBAi0AFAAGAAgAAAAhANnScb4yAgAARwQAAA4AAAAAAAAAAAAAAAAALgIA&#10;AGRycy9lMm9Eb2MueG1sUEsBAi0AFAAGAAgAAAAhAMCm0bfcAAAABQEAAA8AAAAAAAAAAAAAAAAA&#10;jAQAAGRycy9kb3ducmV2LnhtbFBLBQYAAAAABAAEAPMAAACVBQAAAAA=&#10;" fillcolor="#a5a5a5 [2092]" stroked="f">
              <v:textbox>
                <w:txbxContent>
                  <w:p w14:paraId="0E9A3293" w14:textId="77777777" w:rsidR="005E17D5" w:rsidRPr="00F20A7C" w:rsidRDefault="005E17D5"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rFonts w:cstheme="minorHAnsi"/>
        <w:b/>
        <w:color w:val="999999"/>
        <w:sz w:val="20"/>
        <w:szCs w:val="20"/>
      </w:rPr>
      <w:t>Journal Name</w:t>
    </w:r>
    <w:r>
      <w:rPr>
        <w:noProof/>
        <w:lang w:eastAsia="en-GB"/>
      </w:rPr>
      <mc:AlternateContent>
        <mc:Choice Requires="wps">
          <w:drawing>
            <wp:anchor distT="0" distB="0" distL="114300" distR="114300" simplePos="0" relativeHeight="251670528" behindDoc="0" locked="0" layoutInCell="1" allowOverlap="1" wp14:anchorId="45988B93" wp14:editId="082F6A23">
              <wp:simplePos x="0" y="0"/>
              <wp:positionH relativeFrom="column">
                <wp:align>center</wp:align>
              </wp:positionH>
              <wp:positionV relativeFrom="page">
                <wp:align>top</wp:align>
              </wp:positionV>
              <wp:extent cx="7700400" cy="4248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424800"/>
                      </a:xfrm>
                      <a:prstGeom prst="rect">
                        <a:avLst/>
                      </a:prstGeom>
                      <a:solidFill>
                        <a:schemeClr val="bg1">
                          <a:lumMod val="65000"/>
                        </a:schemeClr>
                      </a:solidFill>
                      <a:ln w="9525">
                        <a:noFill/>
                        <a:miter lim="800000"/>
                        <a:headEnd/>
                        <a:tailEnd/>
                      </a:ln>
                    </wps:spPr>
                    <wps:txbx>
                      <w:txbxContent>
                        <w:p w14:paraId="390D4CCD" w14:textId="77777777" w:rsidR="005E17D5" w:rsidRPr="00F20A7C" w:rsidRDefault="005E17D5"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w14:anchorId="45988B93" id="_x0000_s1030" type="#_x0000_t202" style="position:absolute;margin-left:0;margin-top:0;width:606.35pt;height:33.45pt;z-index:251670528;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L7YnMgIAAEcEAAAOAAAAZHJzL2Uyb0RvYy54bWysU9tu2zAMfR+wfxD0vtjxnKY14hRdug4D&#10;ugvQ7gNkWY6FSaImKbGzry8lJ1m2vQ17EUSROjw8JFe3o1ZkL5yXYGo6n+WUCMOhlWZb02/PD2+u&#10;KfGBmZYpMKKmB+Hp7fr1q9VgK1FAD6oVjiCI8dVga9qHYKss87wXmvkZWGHQ2YHTLKDptlnr2IDo&#10;WmVFnl9lA7jWOuDCe3y9n5x0nfC7TvDwpeu8CETVFLmFdLp0NvHM1itWbR2zveRHGuwfWGgmDSY9&#10;Q92zwMjOyb+gtOQOPHRhxkFn0HWSi1QDVjPP/6jmqWdWpFpQHG/PMvn/B8s/7786ItualpQYprFF&#10;z2IM5B2MpIjqDNZXGPRkMSyM+IxdTpV6+wj8uycGNj0zW3HnHAy9YC2ym8ef2cXXCcdHkGb4BC2m&#10;YbsACWjsnI7SoRgE0bFLh3NnIhWOj8tlnpc5ujj6yqK8xntMwarTb+t8+CBAk3ipqcPOJ3S2f/Rh&#10;Cj2FxGQelGwfpFLJiNMmNsqRPcM5abZThWqnker0drXIzynTcMbwROA3JGXIUNObRbFIyQ3EFJid&#10;VVoGHHQldU2R/BGMVVGw96ZNIYFJNd2xLmWOCkbRJvnC2IypVW9PjWmgPaCkDqa5xj3ESw/uJyUD&#10;znRN/Y8dc4IS9dFgW27mZRmXIBnlYlmg4S49zaWHGY5QNeXBUTIZm5BWJ9Zj4A4b2Mmkbez0xOVI&#10;Gqc1iXPcrLgOl3aK+rX/6xcAAAD//wMAUEsDBBQABgAIAAAAIQCZTTz52wAAAAUBAAAPAAAAZHJz&#10;L2Rvd25yZXYueG1sTI/BTsMwEETvSPyDtUjcqNMcQgnZVAUBBzhEhEpc3XhJIux1FLtN8ve4XOCy&#10;0mhGM2+L7WyNONHoe8cI61UCgrhxuucWYf/xfLMB4YNirYxjQljIw7a8vChUrt3E73SqQytiCftc&#10;IXQhDLmUvunIKr9yA3H0vtxoVYhybKUe1RTLrZFpkmTSqp7jQqcGeuyo+a6PFmGjh8/qqVqmXVW9&#10;PPA+WV7fTI14fTXv7kEEmsNfGM74ER3KyHRwR9ZeGIT4SPi9Zy9dp7cgDghZdgeyLOR/+vIHAAD/&#10;/wMAUEsBAi0AFAAGAAgAAAAhALaDOJL+AAAA4QEAABMAAAAAAAAAAAAAAAAAAAAAAFtDb250ZW50&#10;X1R5cGVzXS54bWxQSwECLQAUAAYACAAAACEAOP0h/9YAAACUAQAACwAAAAAAAAAAAAAAAAAvAQAA&#10;X3JlbHMvLnJlbHNQSwECLQAUAAYACAAAACEAty+2JzICAABHBAAADgAAAAAAAAAAAAAAAAAuAgAA&#10;ZHJzL2Uyb0RvYy54bWxQSwECLQAUAAYACAAAACEAmU08+dsAAAAFAQAADwAAAAAAAAAAAAAAAACM&#10;BAAAZHJzL2Rvd25yZXYueG1sUEsFBgAAAAAEAAQA8wAAAJQFAAAAAA==&#10;" fillcolor="#a5a5a5 [2092]" stroked="f">
              <v:textbox>
                <w:txbxContent>
                  <w:p w14:paraId="390D4CCD" w14:textId="77777777" w:rsidR="005E17D5" w:rsidRPr="00F20A7C" w:rsidRDefault="005E17D5"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rFonts w:cstheme="minorHAnsi"/>
        <w:b/>
        <w:color w:val="999999"/>
        <w:sz w:val="20"/>
        <w:szCs w:val="20"/>
      </w:rPr>
      <w:ptab w:relativeTo="margin" w:alignment="right" w:leader="none"/>
    </w:r>
    <w:r w:rsidRPr="00E46BDF">
      <w:rPr>
        <w:rFonts w:cstheme="minorHAnsi"/>
        <w:b/>
        <w:color w:val="999999"/>
        <w:sz w:val="20"/>
        <w:szCs w:val="20"/>
      </w:rPr>
      <w:t xml:space="preserve"> </w:t>
    </w:r>
    <w:r>
      <w:rPr>
        <w:rFonts w:cstheme="minorHAnsi"/>
        <w:b/>
        <w:color w:val="999999"/>
        <w:sz w:val="20"/>
        <w:szCs w:val="20"/>
      </w:rPr>
      <w:t>ARTICLE</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727CF2" w14:textId="77777777" w:rsidR="005E17D5" w:rsidRDefault="005E17D5" w:rsidP="00180ABE">
    <w:pPr>
      <w:pStyle w:val="Encabezado"/>
      <w:shd w:val="clear" w:color="auto" w:fill="FFFFFF" w:themeFill="background1"/>
      <w:tabs>
        <w:tab w:val="clear" w:pos="4513"/>
        <w:tab w:val="clear" w:pos="9026"/>
        <w:tab w:val="right" w:pos="10205"/>
      </w:tabs>
      <w:spacing w:after="240"/>
      <w:rPr>
        <w:b/>
        <w:noProof/>
        <w:sz w:val="32"/>
        <w:szCs w:val="32"/>
        <w:lang w:eastAsia="en-GB"/>
      </w:rPr>
    </w:pPr>
    <w:r>
      <w:rPr>
        <w:noProof/>
        <w:lang w:eastAsia="en-GB"/>
      </w:rPr>
      <mc:AlternateContent>
        <mc:Choice Requires="wps">
          <w:drawing>
            <wp:anchor distT="0" distB="0" distL="114300" distR="114300" simplePos="0" relativeHeight="251662336" behindDoc="0" locked="0" layoutInCell="1" allowOverlap="1" wp14:anchorId="1E076B20" wp14:editId="1DA57D20">
              <wp:simplePos x="0" y="0"/>
              <wp:positionH relativeFrom="column">
                <wp:align>center</wp:align>
              </wp:positionH>
              <wp:positionV relativeFrom="page">
                <wp:align>top</wp:align>
              </wp:positionV>
              <wp:extent cx="7700400" cy="399600"/>
              <wp:effectExtent l="0" t="0" r="0" b="635"/>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9600"/>
                      </a:xfrm>
                      <a:prstGeom prst="rect">
                        <a:avLst/>
                      </a:prstGeom>
                      <a:solidFill>
                        <a:schemeClr val="bg1">
                          <a:lumMod val="65000"/>
                        </a:schemeClr>
                      </a:solidFill>
                      <a:ln w="9525">
                        <a:noFill/>
                        <a:miter lim="800000"/>
                        <a:headEnd/>
                        <a:tailEnd/>
                      </a:ln>
                    </wps:spPr>
                    <wps:txbx>
                      <w:txbxContent>
                        <w:p w14:paraId="40D533DE" w14:textId="77777777" w:rsidR="005E17D5" w:rsidRPr="00F20A7C" w:rsidRDefault="005E17D5"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1E076B20" id="_x0000_t202" coordsize="21600,21600" o:spt="202" path="m,l,21600r21600,l21600,xe">
              <v:stroke joinstyle="miter"/>
              <v:path gradientshapeok="t" o:connecttype="rect"/>
            </v:shapetype>
            <v:shape id="_x0000_s1031" type="#_x0000_t202" style="position:absolute;margin-left:0;margin-top:0;width:606.35pt;height:31.45pt;z-index:251662336;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c5bMgIAAEcEAAAOAAAAZHJzL2Uyb0RvYy54bWysU9tu2zAMfR+wfxD0vtjJcmmMOEWXrsOA&#10;7gK0+wBGlmNhkuhJSuzs60vJSZZtb8NeBFGkDslzyNVtbzQ7SOcV2pKPRzln0gqslN2V/Nvzw5sb&#10;znwAW4FGK0t+lJ7frl+/WnVtISfYoK6kYwRifdG1JW9CaIss86KRBvwIW2nJWaMzEMh0u6xy0BG6&#10;0dkkz+dZh65qHQrpPb3eD06+Tvh1LUX4UtdeBqZLTrWFdLp0buOZrVdQ7By0jRKnMuAfqjCgLCW9&#10;QN1DALZ36i8oo4RDj3UYCTQZ1rUSMvVA3YzzP7p5aqCVqRcix7cXmvz/gxWfD18dU1XJ55xZMCTR&#10;s+wDe4c9m0R2utYXFPTUUljo6ZlUTp369hHFd88sbhqwO3nnHHaNhIqqG8ef2dXXAcdHkG33CStK&#10;A/uACaivnYnUERmM0Eml40WZWIqgx8Uiz6c5uQT53i6Xc7rHFFCcf7fOhw8SDYuXkjtSPqHD4dGH&#10;IfQcEpN51Kp6UFonI06b3GjHDkBzst0NHeq9oVKHt/ksv6RMwxnDUwG/IWnLupIvZ5NZSm4xpqDs&#10;UBgVaNC1MiW/IagBDIpI2HtbpZAASg936kvbE4ORtIG+0G/7JNX0LMwWqyNR6nCYa9pDujTofnLW&#10;0UyX3P/Yg5Oc6Y+WZFmOp9O4BMmYzhYTMty1Z3vtASsIquQiOM4GYxPS6sR+LN6RgLVK3Ealh1pO&#10;RdO0JnJOmxXX4dpOUb/2f/0CAAD//wMAUEsDBBQABgAIAAAAIQDAptG33AAAAAUBAAAPAAAAZHJz&#10;L2Rvd25yZXYueG1sTI/BTsMwEETvSPyDtUjcqNMcSgnZVAUBB3qICJW4uvGSRNjrKHab5O9xe4HL&#10;SqMZzbzNN5M14kSD7xwjLBcJCOLa6Y4bhP3n690ahA+KtTKOCWEmD5vi+ipXmXYjf9CpCo2IJewz&#10;hdCG0GdS+rolq/zC9cTR+3aDVSHKoZF6UGMst0amSbKSVnUcF1rV03NL9U91tAhr3X+VL+U8bsvy&#10;7Yn3yfy+MxXi7c20fQQRaAp/YTjjR3QoItPBHVl7YRDiI+Fyz166TO9BHBBW6QPIIpf/6YtfAAAA&#10;//8DAFBLAQItABQABgAIAAAAIQC2gziS/gAAAOEBAAATAAAAAAAAAAAAAAAAAAAAAABbQ29udGVu&#10;dF9UeXBlc10ueG1sUEsBAi0AFAAGAAgAAAAhADj9If/WAAAAlAEAAAsAAAAAAAAAAAAAAAAALwEA&#10;AF9yZWxzLy5yZWxzUEsBAi0AFAAGAAgAAAAhAK9ZzlsyAgAARwQAAA4AAAAAAAAAAAAAAAAALgIA&#10;AGRycy9lMm9Eb2MueG1sUEsBAi0AFAAGAAgAAAAhAMCm0bfcAAAABQEAAA8AAAAAAAAAAAAAAAAA&#10;jAQAAGRycy9kb3ducmV2LnhtbFBLBQYAAAAABAAEAPMAAACVBQAAAAA=&#10;" fillcolor="#a5a5a5 [2092]" stroked="f">
              <v:textbox>
                <w:txbxContent>
                  <w:p w14:paraId="40D533DE" w14:textId="77777777" w:rsidR="005E17D5" w:rsidRPr="00F20A7C" w:rsidRDefault="005E17D5"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b/>
        <w:sz w:val="32"/>
        <w:szCs w:val="32"/>
      </w:rPr>
      <w:tab/>
    </w:r>
  </w:p>
  <w:p w14:paraId="25301B85" w14:textId="77777777" w:rsidR="005E17D5" w:rsidRDefault="005E17D5" w:rsidP="00180ABE">
    <w:pPr>
      <w:pStyle w:val="Encabezado"/>
      <w:shd w:val="clear" w:color="auto" w:fill="FFFFFF" w:themeFill="background1"/>
      <w:tabs>
        <w:tab w:val="clear" w:pos="4513"/>
        <w:tab w:val="clear" w:pos="9026"/>
        <w:tab w:val="right" w:pos="10205"/>
      </w:tabs>
      <w:spacing w:after="240"/>
      <w:rPr>
        <w:b/>
        <w:sz w:val="32"/>
        <w:szCs w:val="32"/>
      </w:rPr>
    </w:pPr>
  </w:p>
  <w:p w14:paraId="419C7B5B" w14:textId="77777777" w:rsidR="005E17D5" w:rsidRPr="00180ABE" w:rsidRDefault="005E17D5" w:rsidP="00180ABE">
    <w:pPr>
      <w:pStyle w:val="Encabezado"/>
      <w:pBdr>
        <w:top w:val="single" w:sz="4" w:space="9" w:color="9CB8C7"/>
        <w:left w:val="single" w:sz="4" w:space="6" w:color="9CB8C7"/>
        <w:bottom w:val="single" w:sz="4" w:space="9" w:color="9CB8C7"/>
        <w:right w:val="single" w:sz="4" w:space="6" w:color="9CB8C7"/>
      </w:pBdr>
      <w:shd w:val="clear" w:color="auto" w:fill="9CB8C7"/>
      <w:spacing w:after="240"/>
      <w:ind w:left="170" w:right="170"/>
      <w:rPr>
        <w:rFonts w:cstheme="minorHAnsi"/>
        <w:color w:val="FFFFFF" w:themeColor="background1"/>
        <w:sz w:val="32"/>
        <w:szCs w:val="32"/>
      </w:rPr>
    </w:pPr>
    <w:r>
      <w:rPr>
        <w:rFonts w:cstheme="minorHAnsi"/>
        <w:color w:val="FFFFFF" w:themeColor="background1"/>
        <w:sz w:val="32"/>
        <w:szCs w:val="32"/>
      </w:rPr>
      <w:t>ARTICLE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7A02B7"/>
    <w:multiLevelType w:val="hybridMultilevel"/>
    <w:tmpl w:val="1A9AFCFC"/>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4F15A1D"/>
    <w:multiLevelType w:val="hybridMultilevel"/>
    <w:tmpl w:val="F1DE7148"/>
    <w:lvl w:ilvl="0" w:tplc="F350F36A">
      <w:start w:val="14"/>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5CE18C1"/>
    <w:multiLevelType w:val="hybridMultilevel"/>
    <w:tmpl w:val="AD1698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CF16241"/>
    <w:multiLevelType w:val="hybridMultilevel"/>
    <w:tmpl w:val="3F620C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C2B0EBB"/>
    <w:multiLevelType w:val="hybridMultilevel"/>
    <w:tmpl w:val="AAD643F4"/>
    <w:lvl w:ilvl="0" w:tplc="54A6E152">
      <w:start w:val="1"/>
      <w:numFmt w:val="lowerLetter"/>
      <w:pStyle w:val="RSCF01FootnoteAuthorAddress"/>
      <w:lvlText w:val="%1."/>
      <w:lvlJc w:val="left"/>
      <w:pPr>
        <w:ind w:left="720" w:hanging="360"/>
      </w:pPr>
      <w:rPr>
        <w:rFonts w:ascii="Calibri" w:hAnsi="Calibri" w:hint="default"/>
        <w:b w:val="0"/>
        <w:i/>
        <w:vertAlign w:val="superscrip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CC4793E"/>
    <w:multiLevelType w:val="hybridMultilevel"/>
    <w:tmpl w:val="1E5E52AA"/>
    <w:lvl w:ilvl="0" w:tplc="A2DA1DF6">
      <w:start w:val="1"/>
      <w:numFmt w:val="decimal"/>
      <w:pStyle w:val="RSCR02References"/>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DE4064A"/>
    <w:multiLevelType w:val="hybridMultilevel"/>
    <w:tmpl w:val="CFE8A9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4DDD5E67"/>
    <w:multiLevelType w:val="hybridMultilevel"/>
    <w:tmpl w:val="918C1248"/>
    <w:lvl w:ilvl="0" w:tplc="F11A06DC">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A2E7F39"/>
    <w:multiLevelType w:val="hybridMultilevel"/>
    <w:tmpl w:val="14BA6562"/>
    <w:lvl w:ilvl="0" w:tplc="98B861D8">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4"/>
  </w:num>
  <w:num w:numId="4">
    <w:abstractNumId w:val="8"/>
  </w:num>
  <w:num w:numId="5">
    <w:abstractNumId w:val="7"/>
  </w:num>
  <w:num w:numId="6">
    <w:abstractNumId w:val="2"/>
  </w:num>
  <w:num w:numId="7">
    <w:abstractNumId w:val="6"/>
  </w:num>
  <w:num w:numId="8">
    <w:abstractNumId w:val="3"/>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TrueTypeFonts/>
  <w:hideSpellingErrors/>
  <w:hideGrammaticalErrors/>
  <w:proofState w:spelling="clean" w:grammar="clean"/>
  <w:stylePaneSortMethod w:val="0000"/>
  <w:defaultTabStop w:val="284"/>
  <w:hyphenationZone w:val="425"/>
  <w:evenAndOddHeader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t7S0NLA0tTA3NTcwsbBU0lEKTi0uzszPAykwrAUAVvR00ywAAAA="/>
  </w:docVars>
  <w:rsids>
    <w:rsidRoot w:val="008125A0"/>
    <w:rsid w:val="00001452"/>
    <w:rsid w:val="0000308D"/>
    <w:rsid w:val="00005B8A"/>
    <w:rsid w:val="00014E67"/>
    <w:rsid w:val="00020AF9"/>
    <w:rsid w:val="00021C10"/>
    <w:rsid w:val="00022D8A"/>
    <w:rsid w:val="00025C42"/>
    <w:rsid w:val="0003744F"/>
    <w:rsid w:val="0004561B"/>
    <w:rsid w:val="00053B30"/>
    <w:rsid w:val="000562DB"/>
    <w:rsid w:val="00056A60"/>
    <w:rsid w:val="0006114E"/>
    <w:rsid w:val="000622D1"/>
    <w:rsid w:val="000648EF"/>
    <w:rsid w:val="00064DD4"/>
    <w:rsid w:val="0006625D"/>
    <w:rsid w:val="00071E41"/>
    <w:rsid w:val="00073639"/>
    <w:rsid w:val="00074E13"/>
    <w:rsid w:val="00080565"/>
    <w:rsid w:val="00081A5F"/>
    <w:rsid w:val="000876A7"/>
    <w:rsid w:val="000919E4"/>
    <w:rsid w:val="00094038"/>
    <w:rsid w:val="00095B4C"/>
    <w:rsid w:val="000A2670"/>
    <w:rsid w:val="000A40B7"/>
    <w:rsid w:val="000B5EFC"/>
    <w:rsid w:val="000B710C"/>
    <w:rsid w:val="000C0A9D"/>
    <w:rsid w:val="000C266F"/>
    <w:rsid w:val="000C492F"/>
    <w:rsid w:val="000C69FF"/>
    <w:rsid w:val="000D2FAC"/>
    <w:rsid w:val="000D5891"/>
    <w:rsid w:val="000D6963"/>
    <w:rsid w:val="000D7B1E"/>
    <w:rsid w:val="000E0DA4"/>
    <w:rsid w:val="000E7A32"/>
    <w:rsid w:val="000F0959"/>
    <w:rsid w:val="000F2DA4"/>
    <w:rsid w:val="000F3A41"/>
    <w:rsid w:val="000F4D0A"/>
    <w:rsid w:val="00107544"/>
    <w:rsid w:val="001113D6"/>
    <w:rsid w:val="00112A6A"/>
    <w:rsid w:val="001136A2"/>
    <w:rsid w:val="00113C17"/>
    <w:rsid w:val="00113CBD"/>
    <w:rsid w:val="00117786"/>
    <w:rsid w:val="00120227"/>
    <w:rsid w:val="00126027"/>
    <w:rsid w:val="001403CD"/>
    <w:rsid w:val="001508E9"/>
    <w:rsid w:val="001540AB"/>
    <w:rsid w:val="00156F53"/>
    <w:rsid w:val="00157937"/>
    <w:rsid w:val="001633D9"/>
    <w:rsid w:val="0016727B"/>
    <w:rsid w:val="00167D30"/>
    <w:rsid w:val="00167EAA"/>
    <w:rsid w:val="001735BB"/>
    <w:rsid w:val="00175AF9"/>
    <w:rsid w:val="001776CC"/>
    <w:rsid w:val="00180ABE"/>
    <w:rsid w:val="00180BB4"/>
    <w:rsid w:val="00183CF9"/>
    <w:rsid w:val="00184012"/>
    <w:rsid w:val="001909B6"/>
    <w:rsid w:val="00190C72"/>
    <w:rsid w:val="0019117E"/>
    <w:rsid w:val="001923AB"/>
    <w:rsid w:val="001925B0"/>
    <w:rsid w:val="0019652E"/>
    <w:rsid w:val="001967E0"/>
    <w:rsid w:val="001A2365"/>
    <w:rsid w:val="001A2A86"/>
    <w:rsid w:val="001A3D04"/>
    <w:rsid w:val="001B2F7A"/>
    <w:rsid w:val="001B559C"/>
    <w:rsid w:val="001B785C"/>
    <w:rsid w:val="001C1EB8"/>
    <w:rsid w:val="001C3D87"/>
    <w:rsid w:val="001C5500"/>
    <w:rsid w:val="001D488D"/>
    <w:rsid w:val="001E6462"/>
    <w:rsid w:val="001F1D24"/>
    <w:rsid w:val="001F255F"/>
    <w:rsid w:val="001F30FC"/>
    <w:rsid w:val="001F60DF"/>
    <w:rsid w:val="00200B8D"/>
    <w:rsid w:val="0020456B"/>
    <w:rsid w:val="00206095"/>
    <w:rsid w:val="00206A82"/>
    <w:rsid w:val="00211F78"/>
    <w:rsid w:val="002140F3"/>
    <w:rsid w:val="00214259"/>
    <w:rsid w:val="00214BEC"/>
    <w:rsid w:val="00221FE1"/>
    <w:rsid w:val="00222312"/>
    <w:rsid w:val="0023415B"/>
    <w:rsid w:val="00236BB4"/>
    <w:rsid w:val="00237324"/>
    <w:rsid w:val="00237C8A"/>
    <w:rsid w:val="0024022C"/>
    <w:rsid w:val="00240353"/>
    <w:rsid w:val="00240E72"/>
    <w:rsid w:val="00241ACD"/>
    <w:rsid w:val="00251392"/>
    <w:rsid w:val="00253551"/>
    <w:rsid w:val="002538E5"/>
    <w:rsid w:val="002539B4"/>
    <w:rsid w:val="00253CE4"/>
    <w:rsid w:val="00261894"/>
    <w:rsid w:val="00262797"/>
    <w:rsid w:val="00270DD5"/>
    <w:rsid w:val="00271235"/>
    <w:rsid w:val="00272486"/>
    <w:rsid w:val="00272D6F"/>
    <w:rsid w:val="00273B83"/>
    <w:rsid w:val="002769CD"/>
    <w:rsid w:val="00276ACA"/>
    <w:rsid w:val="00280717"/>
    <w:rsid w:val="00286FEB"/>
    <w:rsid w:val="002907B2"/>
    <w:rsid w:val="0029238F"/>
    <w:rsid w:val="00292C5C"/>
    <w:rsid w:val="002934F6"/>
    <w:rsid w:val="002941D0"/>
    <w:rsid w:val="002A142E"/>
    <w:rsid w:val="002A40CE"/>
    <w:rsid w:val="002A5421"/>
    <w:rsid w:val="002A5CDC"/>
    <w:rsid w:val="002B1AF1"/>
    <w:rsid w:val="002C0803"/>
    <w:rsid w:val="002C2179"/>
    <w:rsid w:val="002C251C"/>
    <w:rsid w:val="002C3D7C"/>
    <w:rsid w:val="002C59B0"/>
    <w:rsid w:val="002C59F5"/>
    <w:rsid w:val="002D30F7"/>
    <w:rsid w:val="002D35B1"/>
    <w:rsid w:val="002E5B1D"/>
    <w:rsid w:val="002F1CB2"/>
    <w:rsid w:val="002F2704"/>
    <w:rsid w:val="002F52C3"/>
    <w:rsid w:val="002F7D6C"/>
    <w:rsid w:val="00300DA2"/>
    <w:rsid w:val="003015D3"/>
    <w:rsid w:val="00303448"/>
    <w:rsid w:val="003054DA"/>
    <w:rsid w:val="00314848"/>
    <w:rsid w:val="0031674C"/>
    <w:rsid w:val="00317879"/>
    <w:rsid w:val="00322967"/>
    <w:rsid w:val="0032482D"/>
    <w:rsid w:val="00325A02"/>
    <w:rsid w:val="00331AC3"/>
    <w:rsid w:val="00333BF2"/>
    <w:rsid w:val="00335E1E"/>
    <w:rsid w:val="00343DE3"/>
    <w:rsid w:val="0035092F"/>
    <w:rsid w:val="00352029"/>
    <w:rsid w:val="00352AA4"/>
    <w:rsid w:val="00354579"/>
    <w:rsid w:val="00356F00"/>
    <w:rsid w:val="00363AE6"/>
    <w:rsid w:val="0036421A"/>
    <w:rsid w:val="00364896"/>
    <w:rsid w:val="00367123"/>
    <w:rsid w:val="003704F4"/>
    <w:rsid w:val="00371B2D"/>
    <w:rsid w:val="0037590E"/>
    <w:rsid w:val="00377481"/>
    <w:rsid w:val="003805F1"/>
    <w:rsid w:val="00382F3F"/>
    <w:rsid w:val="003854E3"/>
    <w:rsid w:val="00385965"/>
    <w:rsid w:val="003859E6"/>
    <w:rsid w:val="00394319"/>
    <w:rsid w:val="0039666B"/>
    <w:rsid w:val="003A1AC5"/>
    <w:rsid w:val="003A68A4"/>
    <w:rsid w:val="003A7E95"/>
    <w:rsid w:val="003B739C"/>
    <w:rsid w:val="003C0DE1"/>
    <w:rsid w:val="003C2115"/>
    <w:rsid w:val="003C2D66"/>
    <w:rsid w:val="003C38CB"/>
    <w:rsid w:val="003C3B0B"/>
    <w:rsid w:val="003C58BA"/>
    <w:rsid w:val="003C6313"/>
    <w:rsid w:val="003D1013"/>
    <w:rsid w:val="003D4DA1"/>
    <w:rsid w:val="003D4ECA"/>
    <w:rsid w:val="003D6715"/>
    <w:rsid w:val="003D7910"/>
    <w:rsid w:val="003E55B2"/>
    <w:rsid w:val="003E55E7"/>
    <w:rsid w:val="003E7ECF"/>
    <w:rsid w:val="003F28D8"/>
    <w:rsid w:val="003F4C2A"/>
    <w:rsid w:val="003F6046"/>
    <w:rsid w:val="003F703D"/>
    <w:rsid w:val="003F7C18"/>
    <w:rsid w:val="00400AD3"/>
    <w:rsid w:val="00401372"/>
    <w:rsid w:val="004029FD"/>
    <w:rsid w:val="0041344B"/>
    <w:rsid w:val="004217EF"/>
    <w:rsid w:val="00421BCF"/>
    <w:rsid w:val="0042386C"/>
    <w:rsid w:val="004243C7"/>
    <w:rsid w:val="004263D3"/>
    <w:rsid w:val="0043180D"/>
    <w:rsid w:val="00435636"/>
    <w:rsid w:val="0044121C"/>
    <w:rsid w:val="004414A5"/>
    <w:rsid w:val="004420CD"/>
    <w:rsid w:val="00442B26"/>
    <w:rsid w:val="00443456"/>
    <w:rsid w:val="00445A74"/>
    <w:rsid w:val="0044700B"/>
    <w:rsid w:val="0046283A"/>
    <w:rsid w:val="00465623"/>
    <w:rsid w:val="00467171"/>
    <w:rsid w:val="00467C80"/>
    <w:rsid w:val="00471A4D"/>
    <w:rsid w:val="00472153"/>
    <w:rsid w:val="00472F5E"/>
    <w:rsid w:val="00474052"/>
    <w:rsid w:val="0047645B"/>
    <w:rsid w:val="00480310"/>
    <w:rsid w:val="00483041"/>
    <w:rsid w:val="004877C8"/>
    <w:rsid w:val="004901D3"/>
    <w:rsid w:val="00493A29"/>
    <w:rsid w:val="004A1F7D"/>
    <w:rsid w:val="004B189A"/>
    <w:rsid w:val="004B5DAF"/>
    <w:rsid w:val="004B5EA4"/>
    <w:rsid w:val="004B6FF6"/>
    <w:rsid w:val="004C15DF"/>
    <w:rsid w:val="004C1E85"/>
    <w:rsid w:val="004C4329"/>
    <w:rsid w:val="004C43C3"/>
    <w:rsid w:val="004C531E"/>
    <w:rsid w:val="004C6C90"/>
    <w:rsid w:val="004D1EAC"/>
    <w:rsid w:val="004D39F9"/>
    <w:rsid w:val="004D41EA"/>
    <w:rsid w:val="004D74F7"/>
    <w:rsid w:val="004E048A"/>
    <w:rsid w:val="004F082E"/>
    <w:rsid w:val="005037CD"/>
    <w:rsid w:val="00504795"/>
    <w:rsid w:val="00506980"/>
    <w:rsid w:val="00514CBA"/>
    <w:rsid w:val="005162F5"/>
    <w:rsid w:val="00523E9C"/>
    <w:rsid w:val="0052507B"/>
    <w:rsid w:val="0052630A"/>
    <w:rsid w:val="0052790A"/>
    <w:rsid w:val="0053177A"/>
    <w:rsid w:val="0053212D"/>
    <w:rsid w:val="00533EA1"/>
    <w:rsid w:val="00536397"/>
    <w:rsid w:val="00540BAA"/>
    <w:rsid w:val="0054192C"/>
    <w:rsid w:val="00561E83"/>
    <w:rsid w:val="00562262"/>
    <w:rsid w:val="00564B8D"/>
    <w:rsid w:val="00566885"/>
    <w:rsid w:val="00567E5A"/>
    <w:rsid w:val="005713DF"/>
    <w:rsid w:val="00573D14"/>
    <w:rsid w:val="00576055"/>
    <w:rsid w:val="005771C3"/>
    <w:rsid w:val="005771DF"/>
    <w:rsid w:val="00577B54"/>
    <w:rsid w:val="00580F0A"/>
    <w:rsid w:val="0058352A"/>
    <w:rsid w:val="005852D9"/>
    <w:rsid w:val="00590F6D"/>
    <w:rsid w:val="00591C02"/>
    <w:rsid w:val="005946A9"/>
    <w:rsid w:val="005A0C17"/>
    <w:rsid w:val="005A5A6D"/>
    <w:rsid w:val="005A5CF3"/>
    <w:rsid w:val="005A5ED7"/>
    <w:rsid w:val="005B2B5B"/>
    <w:rsid w:val="005B3659"/>
    <w:rsid w:val="005B486B"/>
    <w:rsid w:val="005B5510"/>
    <w:rsid w:val="005C0299"/>
    <w:rsid w:val="005C1A41"/>
    <w:rsid w:val="005C4565"/>
    <w:rsid w:val="005D2C3C"/>
    <w:rsid w:val="005D6F2C"/>
    <w:rsid w:val="005E05CD"/>
    <w:rsid w:val="005E17D5"/>
    <w:rsid w:val="005E4797"/>
    <w:rsid w:val="005E5868"/>
    <w:rsid w:val="005F00B3"/>
    <w:rsid w:val="0060134C"/>
    <w:rsid w:val="006029CE"/>
    <w:rsid w:val="0060627E"/>
    <w:rsid w:val="00607477"/>
    <w:rsid w:val="00607850"/>
    <w:rsid w:val="0061035D"/>
    <w:rsid w:val="006124C9"/>
    <w:rsid w:val="0061572F"/>
    <w:rsid w:val="00616D34"/>
    <w:rsid w:val="0061775F"/>
    <w:rsid w:val="006245DB"/>
    <w:rsid w:val="00626677"/>
    <w:rsid w:val="00627B0B"/>
    <w:rsid w:val="00631441"/>
    <w:rsid w:val="00636EAC"/>
    <w:rsid w:val="00641030"/>
    <w:rsid w:val="00642FFC"/>
    <w:rsid w:val="00645D52"/>
    <w:rsid w:val="006477C7"/>
    <w:rsid w:val="0065133B"/>
    <w:rsid w:val="00654E00"/>
    <w:rsid w:val="006556AC"/>
    <w:rsid w:val="006602F1"/>
    <w:rsid w:val="00670ED4"/>
    <w:rsid w:val="00672928"/>
    <w:rsid w:val="00674A86"/>
    <w:rsid w:val="00675D5B"/>
    <w:rsid w:val="0068304D"/>
    <w:rsid w:val="0068551B"/>
    <w:rsid w:val="00694B58"/>
    <w:rsid w:val="00697F2B"/>
    <w:rsid w:val="006A64D5"/>
    <w:rsid w:val="006A69C8"/>
    <w:rsid w:val="006B218D"/>
    <w:rsid w:val="006C1293"/>
    <w:rsid w:val="006C7020"/>
    <w:rsid w:val="006D5BD8"/>
    <w:rsid w:val="006D6163"/>
    <w:rsid w:val="006E18C7"/>
    <w:rsid w:val="006E58B1"/>
    <w:rsid w:val="006F01C4"/>
    <w:rsid w:val="006F15EF"/>
    <w:rsid w:val="006F326F"/>
    <w:rsid w:val="006F487B"/>
    <w:rsid w:val="006F7221"/>
    <w:rsid w:val="006F740B"/>
    <w:rsid w:val="006F7B4E"/>
    <w:rsid w:val="00711821"/>
    <w:rsid w:val="007132D3"/>
    <w:rsid w:val="00717208"/>
    <w:rsid w:val="00721149"/>
    <w:rsid w:val="007219B2"/>
    <w:rsid w:val="00726F7F"/>
    <w:rsid w:val="007278E0"/>
    <w:rsid w:val="00731040"/>
    <w:rsid w:val="00733247"/>
    <w:rsid w:val="00733B70"/>
    <w:rsid w:val="00737C48"/>
    <w:rsid w:val="007416A9"/>
    <w:rsid w:val="00741851"/>
    <w:rsid w:val="00744A41"/>
    <w:rsid w:val="00746375"/>
    <w:rsid w:val="00746408"/>
    <w:rsid w:val="00751144"/>
    <w:rsid w:val="00755214"/>
    <w:rsid w:val="00763687"/>
    <w:rsid w:val="00764CF4"/>
    <w:rsid w:val="00770561"/>
    <w:rsid w:val="00780A41"/>
    <w:rsid w:val="00784055"/>
    <w:rsid w:val="007877DC"/>
    <w:rsid w:val="00787A95"/>
    <w:rsid w:val="00790794"/>
    <w:rsid w:val="00794787"/>
    <w:rsid w:val="00794D72"/>
    <w:rsid w:val="007A37D8"/>
    <w:rsid w:val="007A70FB"/>
    <w:rsid w:val="007B4926"/>
    <w:rsid w:val="007B5DE5"/>
    <w:rsid w:val="007C3D03"/>
    <w:rsid w:val="007C529B"/>
    <w:rsid w:val="007C7112"/>
    <w:rsid w:val="007D020E"/>
    <w:rsid w:val="007D1EFA"/>
    <w:rsid w:val="007D5FE4"/>
    <w:rsid w:val="007D652D"/>
    <w:rsid w:val="007D7410"/>
    <w:rsid w:val="007E080E"/>
    <w:rsid w:val="007E1B7D"/>
    <w:rsid w:val="007E22F3"/>
    <w:rsid w:val="007E2B6C"/>
    <w:rsid w:val="007E54CA"/>
    <w:rsid w:val="007F414A"/>
    <w:rsid w:val="007F4589"/>
    <w:rsid w:val="00802058"/>
    <w:rsid w:val="00810023"/>
    <w:rsid w:val="008125A0"/>
    <w:rsid w:val="00812C4B"/>
    <w:rsid w:val="00817221"/>
    <w:rsid w:val="008350DB"/>
    <w:rsid w:val="00840D74"/>
    <w:rsid w:val="0084188D"/>
    <w:rsid w:val="00851445"/>
    <w:rsid w:val="0085270C"/>
    <w:rsid w:val="008529E9"/>
    <w:rsid w:val="008548DE"/>
    <w:rsid w:val="00855E4C"/>
    <w:rsid w:val="008560DE"/>
    <w:rsid w:val="0085624F"/>
    <w:rsid w:val="00856F43"/>
    <w:rsid w:val="008611FB"/>
    <w:rsid w:val="008628CB"/>
    <w:rsid w:val="0086377A"/>
    <w:rsid w:val="00873F0B"/>
    <w:rsid w:val="00873FDE"/>
    <w:rsid w:val="0087644B"/>
    <w:rsid w:val="00882B9B"/>
    <w:rsid w:val="00884F79"/>
    <w:rsid w:val="0088525A"/>
    <w:rsid w:val="00887CD6"/>
    <w:rsid w:val="0089226D"/>
    <w:rsid w:val="00893C74"/>
    <w:rsid w:val="00894509"/>
    <w:rsid w:val="008A005B"/>
    <w:rsid w:val="008A0D60"/>
    <w:rsid w:val="008A495E"/>
    <w:rsid w:val="008A686B"/>
    <w:rsid w:val="008B2398"/>
    <w:rsid w:val="008B6388"/>
    <w:rsid w:val="008C1387"/>
    <w:rsid w:val="008C14B5"/>
    <w:rsid w:val="008C1DFA"/>
    <w:rsid w:val="008C5811"/>
    <w:rsid w:val="008C682F"/>
    <w:rsid w:val="008D444A"/>
    <w:rsid w:val="008E13D9"/>
    <w:rsid w:val="008E48C8"/>
    <w:rsid w:val="008E509B"/>
    <w:rsid w:val="008F4811"/>
    <w:rsid w:val="008F525A"/>
    <w:rsid w:val="0090160B"/>
    <w:rsid w:val="009026D4"/>
    <w:rsid w:val="009114BD"/>
    <w:rsid w:val="00912C2B"/>
    <w:rsid w:val="00915566"/>
    <w:rsid w:val="00920446"/>
    <w:rsid w:val="009250AC"/>
    <w:rsid w:val="009255E1"/>
    <w:rsid w:val="0092763E"/>
    <w:rsid w:val="00927A60"/>
    <w:rsid w:val="00927A73"/>
    <w:rsid w:val="009316A6"/>
    <w:rsid w:val="00932892"/>
    <w:rsid w:val="00934EA4"/>
    <w:rsid w:val="00935BCB"/>
    <w:rsid w:val="00936114"/>
    <w:rsid w:val="00936EE1"/>
    <w:rsid w:val="009400E9"/>
    <w:rsid w:val="00946830"/>
    <w:rsid w:val="00952203"/>
    <w:rsid w:val="00962779"/>
    <w:rsid w:val="00963E7F"/>
    <w:rsid w:val="00964050"/>
    <w:rsid w:val="00964EC7"/>
    <w:rsid w:val="009654EC"/>
    <w:rsid w:val="00970629"/>
    <w:rsid w:val="009725A0"/>
    <w:rsid w:val="009752B7"/>
    <w:rsid w:val="00975AB6"/>
    <w:rsid w:val="00976A58"/>
    <w:rsid w:val="009839E8"/>
    <w:rsid w:val="00985EF9"/>
    <w:rsid w:val="0098679F"/>
    <w:rsid w:val="00986A34"/>
    <w:rsid w:val="009913B4"/>
    <w:rsid w:val="009918D9"/>
    <w:rsid w:val="009A3126"/>
    <w:rsid w:val="009A392D"/>
    <w:rsid w:val="009A3A32"/>
    <w:rsid w:val="009B14C6"/>
    <w:rsid w:val="009C0F64"/>
    <w:rsid w:val="009C253B"/>
    <w:rsid w:val="009C30AF"/>
    <w:rsid w:val="009C5FE3"/>
    <w:rsid w:val="009D0B83"/>
    <w:rsid w:val="009D107D"/>
    <w:rsid w:val="009D17C3"/>
    <w:rsid w:val="009D24A1"/>
    <w:rsid w:val="009D47C2"/>
    <w:rsid w:val="009D48E6"/>
    <w:rsid w:val="009D49DC"/>
    <w:rsid w:val="009D5F1E"/>
    <w:rsid w:val="009D6B48"/>
    <w:rsid w:val="009E51F8"/>
    <w:rsid w:val="009F0873"/>
    <w:rsid w:val="009F2649"/>
    <w:rsid w:val="009F5562"/>
    <w:rsid w:val="00A00639"/>
    <w:rsid w:val="00A05364"/>
    <w:rsid w:val="00A074D7"/>
    <w:rsid w:val="00A13E5F"/>
    <w:rsid w:val="00A147D8"/>
    <w:rsid w:val="00A161C2"/>
    <w:rsid w:val="00A17D23"/>
    <w:rsid w:val="00A208E1"/>
    <w:rsid w:val="00A23D81"/>
    <w:rsid w:val="00A242E2"/>
    <w:rsid w:val="00A46DA8"/>
    <w:rsid w:val="00A521AB"/>
    <w:rsid w:val="00A532DC"/>
    <w:rsid w:val="00A5421B"/>
    <w:rsid w:val="00A556A4"/>
    <w:rsid w:val="00A56CD0"/>
    <w:rsid w:val="00A61D3E"/>
    <w:rsid w:val="00A642B5"/>
    <w:rsid w:val="00A7643E"/>
    <w:rsid w:val="00A77276"/>
    <w:rsid w:val="00A848E6"/>
    <w:rsid w:val="00A864FA"/>
    <w:rsid w:val="00A94376"/>
    <w:rsid w:val="00A95AB9"/>
    <w:rsid w:val="00A9649E"/>
    <w:rsid w:val="00AA0154"/>
    <w:rsid w:val="00AA1341"/>
    <w:rsid w:val="00AA13A3"/>
    <w:rsid w:val="00AA1D93"/>
    <w:rsid w:val="00AA54CD"/>
    <w:rsid w:val="00AA6822"/>
    <w:rsid w:val="00AB0578"/>
    <w:rsid w:val="00AB16D0"/>
    <w:rsid w:val="00AB2C1B"/>
    <w:rsid w:val="00AB38C8"/>
    <w:rsid w:val="00AC3263"/>
    <w:rsid w:val="00AC3BF2"/>
    <w:rsid w:val="00AC3CBC"/>
    <w:rsid w:val="00AC5FE8"/>
    <w:rsid w:val="00AD0033"/>
    <w:rsid w:val="00AD5483"/>
    <w:rsid w:val="00AD79AE"/>
    <w:rsid w:val="00AE25D1"/>
    <w:rsid w:val="00AE409B"/>
    <w:rsid w:val="00AE6D00"/>
    <w:rsid w:val="00AE73EF"/>
    <w:rsid w:val="00AF0249"/>
    <w:rsid w:val="00AF150F"/>
    <w:rsid w:val="00AF3682"/>
    <w:rsid w:val="00AF4737"/>
    <w:rsid w:val="00AF7D9F"/>
    <w:rsid w:val="00B03EEC"/>
    <w:rsid w:val="00B0470A"/>
    <w:rsid w:val="00B06413"/>
    <w:rsid w:val="00B20DEB"/>
    <w:rsid w:val="00B222D9"/>
    <w:rsid w:val="00B2364D"/>
    <w:rsid w:val="00B23EFD"/>
    <w:rsid w:val="00B3706F"/>
    <w:rsid w:val="00B40353"/>
    <w:rsid w:val="00B403AE"/>
    <w:rsid w:val="00B41A93"/>
    <w:rsid w:val="00B449DA"/>
    <w:rsid w:val="00B50508"/>
    <w:rsid w:val="00B52A11"/>
    <w:rsid w:val="00B53582"/>
    <w:rsid w:val="00B53B44"/>
    <w:rsid w:val="00B54EA1"/>
    <w:rsid w:val="00B55B40"/>
    <w:rsid w:val="00B6239D"/>
    <w:rsid w:val="00B67630"/>
    <w:rsid w:val="00B70B18"/>
    <w:rsid w:val="00B722DE"/>
    <w:rsid w:val="00B74D17"/>
    <w:rsid w:val="00B80DDB"/>
    <w:rsid w:val="00B81EE1"/>
    <w:rsid w:val="00B8423D"/>
    <w:rsid w:val="00B847B5"/>
    <w:rsid w:val="00B91653"/>
    <w:rsid w:val="00B926D1"/>
    <w:rsid w:val="00B93136"/>
    <w:rsid w:val="00B9392D"/>
    <w:rsid w:val="00B94159"/>
    <w:rsid w:val="00BA31C7"/>
    <w:rsid w:val="00BA42DD"/>
    <w:rsid w:val="00BA67E6"/>
    <w:rsid w:val="00BA761E"/>
    <w:rsid w:val="00BB1839"/>
    <w:rsid w:val="00BB1C48"/>
    <w:rsid w:val="00BB3792"/>
    <w:rsid w:val="00BB3FBE"/>
    <w:rsid w:val="00BB704A"/>
    <w:rsid w:val="00BC2658"/>
    <w:rsid w:val="00BC3FBA"/>
    <w:rsid w:val="00BC603D"/>
    <w:rsid w:val="00BC6702"/>
    <w:rsid w:val="00BD3A86"/>
    <w:rsid w:val="00BE0527"/>
    <w:rsid w:val="00BE199D"/>
    <w:rsid w:val="00BE3B09"/>
    <w:rsid w:val="00BE75F5"/>
    <w:rsid w:val="00BF3E1E"/>
    <w:rsid w:val="00C01269"/>
    <w:rsid w:val="00C03CE1"/>
    <w:rsid w:val="00C111CE"/>
    <w:rsid w:val="00C142D5"/>
    <w:rsid w:val="00C154E1"/>
    <w:rsid w:val="00C16E42"/>
    <w:rsid w:val="00C17D3E"/>
    <w:rsid w:val="00C20954"/>
    <w:rsid w:val="00C2692A"/>
    <w:rsid w:val="00C3016F"/>
    <w:rsid w:val="00C3060D"/>
    <w:rsid w:val="00C306E8"/>
    <w:rsid w:val="00C31922"/>
    <w:rsid w:val="00C32EDF"/>
    <w:rsid w:val="00C36E40"/>
    <w:rsid w:val="00C405FD"/>
    <w:rsid w:val="00C40D1B"/>
    <w:rsid w:val="00C42573"/>
    <w:rsid w:val="00C43A1B"/>
    <w:rsid w:val="00C44CFE"/>
    <w:rsid w:val="00C47A98"/>
    <w:rsid w:val="00C5024A"/>
    <w:rsid w:val="00C57107"/>
    <w:rsid w:val="00C5798A"/>
    <w:rsid w:val="00C61DB2"/>
    <w:rsid w:val="00C62B50"/>
    <w:rsid w:val="00C62C2D"/>
    <w:rsid w:val="00C75BAC"/>
    <w:rsid w:val="00C86369"/>
    <w:rsid w:val="00C90D88"/>
    <w:rsid w:val="00C90F52"/>
    <w:rsid w:val="00C9227C"/>
    <w:rsid w:val="00C94573"/>
    <w:rsid w:val="00C9557D"/>
    <w:rsid w:val="00CA20CC"/>
    <w:rsid w:val="00CA2740"/>
    <w:rsid w:val="00CB4D65"/>
    <w:rsid w:val="00CB765D"/>
    <w:rsid w:val="00CC12E6"/>
    <w:rsid w:val="00CC2E25"/>
    <w:rsid w:val="00CC51D6"/>
    <w:rsid w:val="00CC6D16"/>
    <w:rsid w:val="00CC7C64"/>
    <w:rsid w:val="00CD0610"/>
    <w:rsid w:val="00CD0B47"/>
    <w:rsid w:val="00CD1CC1"/>
    <w:rsid w:val="00CD5CB2"/>
    <w:rsid w:val="00CF08E6"/>
    <w:rsid w:val="00CF2D5E"/>
    <w:rsid w:val="00CF5F1A"/>
    <w:rsid w:val="00D00B71"/>
    <w:rsid w:val="00D010E8"/>
    <w:rsid w:val="00D02C04"/>
    <w:rsid w:val="00D0379C"/>
    <w:rsid w:val="00D0707B"/>
    <w:rsid w:val="00D1218F"/>
    <w:rsid w:val="00D138E8"/>
    <w:rsid w:val="00D13EF6"/>
    <w:rsid w:val="00D20259"/>
    <w:rsid w:val="00D208BA"/>
    <w:rsid w:val="00D21668"/>
    <w:rsid w:val="00D216BC"/>
    <w:rsid w:val="00D30137"/>
    <w:rsid w:val="00D339B1"/>
    <w:rsid w:val="00D37ABA"/>
    <w:rsid w:val="00D42F8F"/>
    <w:rsid w:val="00D44157"/>
    <w:rsid w:val="00D458FD"/>
    <w:rsid w:val="00D45ADF"/>
    <w:rsid w:val="00D46EDF"/>
    <w:rsid w:val="00D47AE0"/>
    <w:rsid w:val="00D47EC1"/>
    <w:rsid w:val="00D539A0"/>
    <w:rsid w:val="00D548C0"/>
    <w:rsid w:val="00D61FC0"/>
    <w:rsid w:val="00D64056"/>
    <w:rsid w:val="00D70552"/>
    <w:rsid w:val="00D7270F"/>
    <w:rsid w:val="00D75263"/>
    <w:rsid w:val="00D775F3"/>
    <w:rsid w:val="00D778BC"/>
    <w:rsid w:val="00D84152"/>
    <w:rsid w:val="00D91839"/>
    <w:rsid w:val="00D93422"/>
    <w:rsid w:val="00D93CB3"/>
    <w:rsid w:val="00D969E2"/>
    <w:rsid w:val="00DA07F1"/>
    <w:rsid w:val="00DA2272"/>
    <w:rsid w:val="00DA4D73"/>
    <w:rsid w:val="00DA581C"/>
    <w:rsid w:val="00DA61F5"/>
    <w:rsid w:val="00DA68C1"/>
    <w:rsid w:val="00DB13D5"/>
    <w:rsid w:val="00DC28EC"/>
    <w:rsid w:val="00DC688D"/>
    <w:rsid w:val="00DD06F4"/>
    <w:rsid w:val="00DD3A0B"/>
    <w:rsid w:val="00DD3AF9"/>
    <w:rsid w:val="00DD3D86"/>
    <w:rsid w:val="00DD500F"/>
    <w:rsid w:val="00DF1905"/>
    <w:rsid w:val="00DF2671"/>
    <w:rsid w:val="00DF53E4"/>
    <w:rsid w:val="00E06D4C"/>
    <w:rsid w:val="00E10B8C"/>
    <w:rsid w:val="00E11134"/>
    <w:rsid w:val="00E203AA"/>
    <w:rsid w:val="00E20DA4"/>
    <w:rsid w:val="00E2136E"/>
    <w:rsid w:val="00E25AF8"/>
    <w:rsid w:val="00E26009"/>
    <w:rsid w:val="00E267C2"/>
    <w:rsid w:val="00E31A6A"/>
    <w:rsid w:val="00E33EFF"/>
    <w:rsid w:val="00E36827"/>
    <w:rsid w:val="00E36A8A"/>
    <w:rsid w:val="00E37D21"/>
    <w:rsid w:val="00E4311A"/>
    <w:rsid w:val="00E432D4"/>
    <w:rsid w:val="00E45013"/>
    <w:rsid w:val="00E45F54"/>
    <w:rsid w:val="00E46BDF"/>
    <w:rsid w:val="00E47265"/>
    <w:rsid w:val="00E5445A"/>
    <w:rsid w:val="00E5465B"/>
    <w:rsid w:val="00E547DB"/>
    <w:rsid w:val="00E555BF"/>
    <w:rsid w:val="00E56887"/>
    <w:rsid w:val="00E61342"/>
    <w:rsid w:val="00E61949"/>
    <w:rsid w:val="00E644E2"/>
    <w:rsid w:val="00E679A3"/>
    <w:rsid w:val="00E70DCE"/>
    <w:rsid w:val="00E740C6"/>
    <w:rsid w:val="00E74ADB"/>
    <w:rsid w:val="00E7662D"/>
    <w:rsid w:val="00E77E03"/>
    <w:rsid w:val="00E82453"/>
    <w:rsid w:val="00E87276"/>
    <w:rsid w:val="00E9164D"/>
    <w:rsid w:val="00E92B0E"/>
    <w:rsid w:val="00E93353"/>
    <w:rsid w:val="00E94B0D"/>
    <w:rsid w:val="00E94F0C"/>
    <w:rsid w:val="00EA2C0E"/>
    <w:rsid w:val="00EA3E79"/>
    <w:rsid w:val="00EA4028"/>
    <w:rsid w:val="00EA446A"/>
    <w:rsid w:val="00EA62DB"/>
    <w:rsid w:val="00EA74B0"/>
    <w:rsid w:val="00EA79D3"/>
    <w:rsid w:val="00EA7DC1"/>
    <w:rsid w:val="00EB1952"/>
    <w:rsid w:val="00EB5BA2"/>
    <w:rsid w:val="00EB5C28"/>
    <w:rsid w:val="00EB7532"/>
    <w:rsid w:val="00EC5E06"/>
    <w:rsid w:val="00EC6884"/>
    <w:rsid w:val="00EC7515"/>
    <w:rsid w:val="00ED1A5D"/>
    <w:rsid w:val="00ED22DE"/>
    <w:rsid w:val="00ED2753"/>
    <w:rsid w:val="00ED286B"/>
    <w:rsid w:val="00ED779A"/>
    <w:rsid w:val="00EE3AFB"/>
    <w:rsid w:val="00EE4406"/>
    <w:rsid w:val="00EF0D19"/>
    <w:rsid w:val="00EF1577"/>
    <w:rsid w:val="00EF1912"/>
    <w:rsid w:val="00EF2936"/>
    <w:rsid w:val="00EF39DC"/>
    <w:rsid w:val="00EF535E"/>
    <w:rsid w:val="00EF588E"/>
    <w:rsid w:val="00EF6148"/>
    <w:rsid w:val="00EF677C"/>
    <w:rsid w:val="00EF6BD4"/>
    <w:rsid w:val="00F02A47"/>
    <w:rsid w:val="00F02CB4"/>
    <w:rsid w:val="00F05665"/>
    <w:rsid w:val="00F05C18"/>
    <w:rsid w:val="00F115D2"/>
    <w:rsid w:val="00F1270F"/>
    <w:rsid w:val="00F157DD"/>
    <w:rsid w:val="00F15F90"/>
    <w:rsid w:val="00F21465"/>
    <w:rsid w:val="00F2703D"/>
    <w:rsid w:val="00F30ABE"/>
    <w:rsid w:val="00F32065"/>
    <w:rsid w:val="00F36782"/>
    <w:rsid w:val="00F372B1"/>
    <w:rsid w:val="00F372C3"/>
    <w:rsid w:val="00F4289B"/>
    <w:rsid w:val="00F432BC"/>
    <w:rsid w:val="00F4580C"/>
    <w:rsid w:val="00F46429"/>
    <w:rsid w:val="00F518BE"/>
    <w:rsid w:val="00F576BF"/>
    <w:rsid w:val="00F6065C"/>
    <w:rsid w:val="00F61EB1"/>
    <w:rsid w:val="00F62C8B"/>
    <w:rsid w:val="00F65221"/>
    <w:rsid w:val="00F65D58"/>
    <w:rsid w:val="00F665E0"/>
    <w:rsid w:val="00F71065"/>
    <w:rsid w:val="00F74A31"/>
    <w:rsid w:val="00F754EE"/>
    <w:rsid w:val="00F756BC"/>
    <w:rsid w:val="00F802D4"/>
    <w:rsid w:val="00F91982"/>
    <w:rsid w:val="00F92B46"/>
    <w:rsid w:val="00FA2DA2"/>
    <w:rsid w:val="00FA311A"/>
    <w:rsid w:val="00FA6089"/>
    <w:rsid w:val="00FB0AC7"/>
    <w:rsid w:val="00FB16A8"/>
    <w:rsid w:val="00FB6869"/>
    <w:rsid w:val="00FC1AAD"/>
    <w:rsid w:val="00FC316B"/>
    <w:rsid w:val="00FD2279"/>
    <w:rsid w:val="00FE0DFA"/>
    <w:rsid w:val="00FE0FE8"/>
    <w:rsid w:val="00FE401B"/>
    <w:rsid w:val="00FE478D"/>
    <w:rsid w:val="00FE602C"/>
    <w:rsid w:val="00FE7CAD"/>
    <w:rsid w:val="00FF3160"/>
    <w:rsid w:val="00FF40F2"/>
    <w:rsid w:val="00FF56A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5FF81D6"/>
  <w15:docId w15:val="{832BB04B-C88E-45BB-9BE4-22D412A49F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EF1577"/>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E547DB"/>
    <w:pPr>
      <w:tabs>
        <w:tab w:val="center" w:pos="4513"/>
        <w:tab w:val="right" w:pos="9026"/>
      </w:tabs>
      <w:spacing w:after="0" w:line="240" w:lineRule="auto"/>
    </w:pPr>
  </w:style>
  <w:style w:type="character" w:customStyle="1" w:styleId="EncabezadoCar">
    <w:name w:val="Encabezado Car"/>
    <w:basedOn w:val="Fuentedeprrafopredeter"/>
    <w:link w:val="Encabezado"/>
    <w:uiPriority w:val="99"/>
    <w:rsid w:val="00E547DB"/>
  </w:style>
  <w:style w:type="paragraph" w:styleId="Piedepgina">
    <w:name w:val="footer"/>
    <w:basedOn w:val="Normal"/>
    <w:link w:val="PiedepginaCar"/>
    <w:uiPriority w:val="99"/>
    <w:unhideWhenUsed/>
    <w:rsid w:val="00E547DB"/>
    <w:pPr>
      <w:tabs>
        <w:tab w:val="center" w:pos="4513"/>
        <w:tab w:val="right" w:pos="9026"/>
      </w:tabs>
      <w:spacing w:after="0" w:line="240" w:lineRule="auto"/>
    </w:pPr>
  </w:style>
  <w:style w:type="character" w:customStyle="1" w:styleId="PiedepginaCar">
    <w:name w:val="Pie de página Car"/>
    <w:basedOn w:val="Fuentedeprrafopredeter"/>
    <w:link w:val="Piedepgina"/>
    <w:uiPriority w:val="99"/>
    <w:rsid w:val="00E547DB"/>
  </w:style>
  <w:style w:type="paragraph" w:styleId="Textodeglobo">
    <w:name w:val="Balloon Text"/>
    <w:basedOn w:val="Normal"/>
    <w:link w:val="TextodegloboCar"/>
    <w:uiPriority w:val="99"/>
    <w:semiHidden/>
    <w:unhideWhenUsed/>
    <w:rsid w:val="00E547D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547DB"/>
    <w:rPr>
      <w:rFonts w:ascii="Tahoma" w:hAnsi="Tahoma" w:cs="Tahoma"/>
      <w:sz w:val="16"/>
      <w:szCs w:val="16"/>
    </w:rPr>
  </w:style>
  <w:style w:type="paragraph" w:customStyle="1" w:styleId="RSCH01PaperTitle">
    <w:name w:val="RSC H01 Paper Title"/>
    <w:basedOn w:val="Normal"/>
    <w:next w:val="Normal"/>
    <w:link w:val="RSCH01PaperTitleChar"/>
    <w:qFormat/>
    <w:rsid w:val="00C32EDF"/>
    <w:pPr>
      <w:tabs>
        <w:tab w:val="left" w:pos="284"/>
      </w:tabs>
      <w:spacing w:before="400" w:after="160" w:line="240" w:lineRule="auto"/>
    </w:pPr>
    <w:rPr>
      <w:rFonts w:cs="Times New Roman"/>
      <w:b/>
      <w:sz w:val="29"/>
      <w:szCs w:val="32"/>
    </w:rPr>
  </w:style>
  <w:style w:type="paragraph" w:customStyle="1" w:styleId="RSCH02PaperAuthorsandByline">
    <w:name w:val="RSC H02 Paper Authors and Byline"/>
    <w:basedOn w:val="Normal"/>
    <w:link w:val="RSCH02PaperAuthorsandBylineChar"/>
    <w:qFormat/>
    <w:rsid w:val="001633D9"/>
    <w:pPr>
      <w:spacing w:after="120" w:line="240" w:lineRule="exact"/>
    </w:pPr>
    <w:rPr>
      <w:rFonts w:cs="Times New Roman"/>
      <w:sz w:val="20"/>
    </w:rPr>
  </w:style>
  <w:style w:type="paragraph" w:customStyle="1" w:styleId="RSCB01ARTAbstract">
    <w:name w:val="RSC B01 ART Abstract"/>
    <w:basedOn w:val="Normal"/>
    <w:link w:val="RSCB01ARTAbstractChar"/>
    <w:qFormat/>
    <w:rsid w:val="00FA2DA2"/>
    <w:pPr>
      <w:spacing w:line="240" w:lineRule="exact"/>
      <w:jc w:val="both"/>
    </w:pPr>
    <w:rPr>
      <w:noProof/>
      <w:sz w:val="16"/>
      <w:lang w:eastAsia="en-GB"/>
    </w:rPr>
  </w:style>
  <w:style w:type="table" w:styleId="Tablaconcuadrcula">
    <w:name w:val="Table Grid"/>
    <w:basedOn w:val="Tablanormal"/>
    <w:uiPriority w:val="59"/>
    <w:rsid w:val="005771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05BHeading">
    <w:name w:val="05 B Heading"/>
    <w:basedOn w:val="RSCB04AHeadingSection"/>
    <w:link w:val="05BHeadingChar"/>
    <w:rsid w:val="00AB16D0"/>
    <w:pPr>
      <w:spacing w:before="160" w:line="240" w:lineRule="exact"/>
    </w:pPr>
    <w:rPr>
      <w:rFonts w:ascii="Times New Roman" w:hAnsi="Times New Roman" w:cs="Times New Roman"/>
      <w:sz w:val="18"/>
      <w:szCs w:val="18"/>
    </w:rPr>
  </w:style>
  <w:style w:type="paragraph" w:customStyle="1" w:styleId="RSCB02ArticleText">
    <w:name w:val="RSC B02 Article Text"/>
    <w:basedOn w:val="Normal"/>
    <w:link w:val="RSCB02ArticleTextChar"/>
    <w:qFormat/>
    <w:rsid w:val="00EE3AFB"/>
    <w:pPr>
      <w:spacing w:after="0" w:line="240" w:lineRule="exact"/>
      <w:jc w:val="both"/>
    </w:pPr>
    <w:rPr>
      <w:rFonts w:cs="Times New Roman"/>
      <w:w w:val="108"/>
      <w:sz w:val="18"/>
      <w:szCs w:val="18"/>
    </w:rPr>
  </w:style>
  <w:style w:type="character" w:customStyle="1" w:styleId="06CHeading">
    <w:name w:val="06 C Heading"/>
    <w:basedOn w:val="RSCB02ArticleTextChar"/>
    <w:uiPriority w:val="1"/>
    <w:rsid w:val="00EF1577"/>
    <w:rPr>
      <w:rFonts w:ascii="Times New Roman" w:hAnsi="Times New Roman" w:cs="Times New Roman"/>
      <w:b/>
      <w:smallCaps/>
      <w:w w:val="108"/>
      <w:sz w:val="18"/>
      <w:szCs w:val="18"/>
    </w:rPr>
  </w:style>
  <w:style w:type="character" w:customStyle="1" w:styleId="RSCB02ArticleTextChar">
    <w:name w:val="RSC B02 Article Text Char"/>
    <w:basedOn w:val="Fuentedeprrafopredeter"/>
    <w:link w:val="RSCB02ArticleText"/>
    <w:rsid w:val="00EE3AFB"/>
    <w:rPr>
      <w:rFonts w:cs="Times New Roman"/>
      <w:w w:val="108"/>
      <w:sz w:val="18"/>
      <w:szCs w:val="18"/>
    </w:rPr>
  </w:style>
  <w:style w:type="paragraph" w:customStyle="1" w:styleId="09ListText">
    <w:name w:val="09 List Text"/>
    <w:basedOn w:val="RSCB02ArticleText"/>
    <w:link w:val="09ListTextChar"/>
    <w:rsid w:val="00EF1577"/>
    <w:pPr>
      <w:widowControl w:val="0"/>
      <w:spacing w:line="230" w:lineRule="exact"/>
      <w:ind w:left="284" w:hanging="284"/>
    </w:pPr>
    <w:rPr>
      <w:rFonts w:eastAsia="Times New Roman"/>
      <w:lang w:eastAsia="en-GB"/>
    </w:rPr>
  </w:style>
  <w:style w:type="paragraph" w:customStyle="1" w:styleId="RSCF01FootnoteAuthorAddress">
    <w:name w:val="RSC F01 Footnote Author Address"/>
    <w:link w:val="RSCF01FootnoteAuthorAddressChar"/>
    <w:qFormat/>
    <w:rsid w:val="006556AC"/>
    <w:pPr>
      <w:numPr>
        <w:numId w:val="3"/>
      </w:numPr>
      <w:pBdr>
        <w:top w:val="single" w:sz="12" w:space="1" w:color="A6A6A6" w:themeColor="background1" w:themeShade="A6"/>
      </w:pBdr>
      <w:spacing w:after="0" w:line="240" w:lineRule="auto"/>
      <w:ind w:left="85" w:hanging="85"/>
      <w:suppressOverlap/>
    </w:pPr>
    <w:rPr>
      <w:rFonts w:cs="Times New Roman"/>
      <w:i/>
      <w:w w:val="105"/>
      <w:sz w:val="14"/>
      <w:szCs w:val="14"/>
    </w:rPr>
  </w:style>
  <w:style w:type="paragraph" w:customStyle="1" w:styleId="RSCI02FigureSchemeChartwithtopbar">
    <w:name w:val="RSC I02 Figure/Scheme/Chart with top bar"/>
    <w:basedOn w:val="Normal"/>
    <w:link w:val="RSCI02FigureSchemeChartwithtopbarChar"/>
    <w:qFormat/>
    <w:rsid w:val="006556AC"/>
    <w:pPr>
      <w:pBdr>
        <w:top w:val="single" w:sz="12" w:space="5" w:color="999999"/>
      </w:pBdr>
      <w:spacing w:before="120" w:after="40" w:line="240" w:lineRule="auto"/>
      <w:jc w:val="both"/>
    </w:pPr>
    <w:rPr>
      <w:rFonts w:cs="Times New Roman"/>
      <w:w w:val="108"/>
      <w:sz w:val="14"/>
      <w:szCs w:val="18"/>
    </w:rPr>
  </w:style>
  <w:style w:type="paragraph" w:customStyle="1" w:styleId="RSCI01FigureSchemeChartwithbottombar">
    <w:name w:val="RSC I01 Figure/Scheme/Chart with bottom bar"/>
    <w:basedOn w:val="Normal"/>
    <w:link w:val="RSCI01FigureSchemeChartwithbottombarChar"/>
    <w:qFormat/>
    <w:rsid w:val="006556AC"/>
    <w:pPr>
      <w:pBdr>
        <w:bottom w:val="single" w:sz="12" w:space="5" w:color="999999"/>
      </w:pBdr>
      <w:spacing w:before="40" w:after="120" w:line="120" w:lineRule="exact"/>
      <w:jc w:val="both"/>
    </w:pPr>
    <w:rPr>
      <w:rFonts w:cstheme="minorHAnsi"/>
      <w:w w:val="108"/>
      <w:sz w:val="14"/>
      <w:szCs w:val="14"/>
    </w:rPr>
  </w:style>
  <w:style w:type="paragraph" w:customStyle="1" w:styleId="RSCI03FigureSchemeChartUncaptioned">
    <w:name w:val="RSC I03 Figure/Scheme/Chart Uncaptioned"/>
    <w:basedOn w:val="Normal"/>
    <w:link w:val="RSCI03FigureSchemeChartUncaptionedChar"/>
    <w:qFormat/>
    <w:rsid w:val="006556AC"/>
    <w:pPr>
      <w:spacing w:before="160" w:after="160" w:line="240" w:lineRule="auto"/>
      <w:jc w:val="center"/>
    </w:pPr>
    <w:rPr>
      <w:rFonts w:cs="Times New Roman"/>
      <w:sz w:val="16"/>
      <w:szCs w:val="16"/>
    </w:rPr>
  </w:style>
  <w:style w:type="paragraph" w:customStyle="1" w:styleId="RSCB03MathematicsGreeketc">
    <w:name w:val="RSC B03 Mathematics/Greek etc"/>
    <w:basedOn w:val="Normal"/>
    <w:link w:val="RSCB03MathematicsGreeketcChar"/>
    <w:qFormat/>
    <w:rsid w:val="007A37D8"/>
    <w:pPr>
      <w:tabs>
        <w:tab w:val="center" w:pos="2268"/>
        <w:tab w:val="right" w:pos="4536"/>
      </w:tabs>
      <w:spacing w:before="160" w:after="160" w:line="240" w:lineRule="auto"/>
    </w:pPr>
    <w:rPr>
      <w:rFonts w:ascii="Times New Roman" w:hAnsi="Times New Roman"/>
      <w:sz w:val="18"/>
    </w:rPr>
  </w:style>
  <w:style w:type="paragraph" w:customStyle="1" w:styleId="RSCB09Biography">
    <w:name w:val="RSC B09 Biography"/>
    <w:basedOn w:val="RSCB02ArticleText"/>
    <w:link w:val="RSCB09BiographyChar"/>
    <w:qFormat/>
    <w:rsid w:val="002E5B1D"/>
    <w:pPr>
      <w:pBdr>
        <w:top w:val="single" w:sz="6" w:space="1" w:color="auto"/>
      </w:pBdr>
    </w:pPr>
    <w:rPr>
      <w:i/>
    </w:rPr>
  </w:style>
  <w:style w:type="character" w:customStyle="1" w:styleId="RSCB09BiographyChar">
    <w:name w:val="RSC B09 Biography Char"/>
    <w:basedOn w:val="RSCB02ArticleTextChar"/>
    <w:link w:val="RSCB09Biography"/>
    <w:rsid w:val="002E5B1D"/>
    <w:rPr>
      <w:rFonts w:cs="Times New Roman"/>
      <w:i/>
      <w:w w:val="108"/>
      <w:sz w:val="18"/>
      <w:szCs w:val="18"/>
    </w:rPr>
  </w:style>
  <w:style w:type="paragraph" w:customStyle="1" w:styleId="RSCF02FootnotestoTitleAuthors">
    <w:name w:val="RSC F02 Footnotes to Title/Authors"/>
    <w:basedOn w:val="Normal"/>
    <w:link w:val="RSCF02FootnotestoTitleAuthorsChar"/>
    <w:qFormat/>
    <w:rsid w:val="006556AC"/>
    <w:pPr>
      <w:tabs>
        <w:tab w:val="left" w:pos="284"/>
      </w:tabs>
      <w:spacing w:after="0" w:line="240" w:lineRule="auto"/>
      <w:suppressOverlap/>
      <w:jc w:val="both"/>
    </w:pPr>
    <w:rPr>
      <w:rFonts w:cs="Times New Roman"/>
      <w:w w:val="105"/>
      <w:sz w:val="14"/>
      <w:szCs w:val="14"/>
    </w:rPr>
  </w:style>
  <w:style w:type="character" w:customStyle="1" w:styleId="RSCF01FootnoteAuthorAddressChar">
    <w:name w:val="RSC F01 Footnote Author Address Char"/>
    <w:basedOn w:val="Fuentedeprrafopredeter"/>
    <w:link w:val="RSCF01FootnoteAuthorAddress"/>
    <w:rsid w:val="006556AC"/>
    <w:rPr>
      <w:rFonts w:cs="Times New Roman"/>
      <w:i/>
      <w:w w:val="105"/>
      <w:sz w:val="14"/>
      <w:szCs w:val="14"/>
    </w:rPr>
  </w:style>
  <w:style w:type="paragraph" w:customStyle="1" w:styleId="RSCR02References">
    <w:name w:val="RSC R02 References"/>
    <w:basedOn w:val="RSCB02ArticleText"/>
    <w:link w:val="RSCR02ReferencesChar"/>
    <w:qFormat/>
    <w:rsid w:val="00CF5F1A"/>
    <w:pPr>
      <w:numPr>
        <w:numId w:val="2"/>
      </w:numPr>
      <w:spacing w:line="200" w:lineRule="exact"/>
      <w:ind w:left="284" w:hanging="284"/>
    </w:pPr>
    <w:rPr>
      <w:w w:val="105"/>
    </w:rPr>
  </w:style>
  <w:style w:type="character" w:customStyle="1" w:styleId="RSCF02FootnotestoTitleAuthorsChar">
    <w:name w:val="RSC F02 Footnotes to Title/Authors Char"/>
    <w:basedOn w:val="Fuentedeprrafopredeter"/>
    <w:link w:val="RSCF02FootnotestoTitleAuthors"/>
    <w:rsid w:val="006556AC"/>
    <w:rPr>
      <w:rFonts w:cs="Times New Roman"/>
      <w:w w:val="105"/>
      <w:sz w:val="14"/>
      <w:szCs w:val="14"/>
    </w:rPr>
  </w:style>
  <w:style w:type="paragraph" w:styleId="Sinespaciado">
    <w:name w:val="No Spacing"/>
    <w:uiPriority w:val="1"/>
    <w:rsid w:val="00272D6F"/>
    <w:pPr>
      <w:spacing w:after="0" w:line="240" w:lineRule="auto"/>
    </w:pPr>
  </w:style>
  <w:style w:type="character" w:customStyle="1" w:styleId="RSCR02ReferencesChar">
    <w:name w:val="RSC R02 References Char"/>
    <w:basedOn w:val="Fuentedeprrafopredeter"/>
    <w:link w:val="RSCR02References"/>
    <w:rsid w:val="00CF5F1A"/>
    <w:rPr>
      <w:rFonts w:cs="Times New Roman"/>
      <w:w w:val="105"/>
      <w:sz w:val="18"/>
      <w:szCs w:val="18"/>
    </w:rPr>
  </w:style>
  <w:style w:type="paragraph" w:customStyle="1" w:styleId="RSCB04AHeadingSection">
    <w:name w:val="RSC B04 A Heading (Section)"/>
    <w:basedOn w:val="Normal"/>
    <w:link w:val="RSCB04AHeadingSectionChar"/>
    <w:qFormat/>
    <w:rsid w:val="00EF6BD4"/>
    <w:pPr>
      <w:spacing w:before="400" w:after="80" w:line="240" w:lineRule="auto"/>
    </w:pPr>
    <w:rPr>
      <w:b/>
      <w:sz w:val="24"/>
    </w:rPr>
  </w:style>
  <w:style w:type="character" w:customStyle="1" w:styleId="RSCH01PaperTitleChar">
    <w:name w:val="RSC H01 Paper Title Char"/>
    <w:basedOn w:val="Fuentedeprrafopredeter"/>
    <w:link w:val="RSCH01PaperTitle"/>
    <w:rsid w:val="00C32EDF"/>
    <w:rPr>
      <w:rFonts w:cs="Times New Roman"/>
      <w:b/>
      <w:sz w:val="29"/>
      <w:szCs w:val="32"/>
    </w:rPr>
  </w:style>
  <w:style w:type="character" w:customStyle="1" w:styleId="RSCH02PaperAuthorsandBylineChar">
    <w:name w:val="RSC H02 Paper Authors and Byline Char"/>
    <w:basedOn w:val="Fuentedeprrafopredeter"/>
    <w:link w:val="RSCH02PaperAuthorsandByline"/>
    <w:rsid w:val="001633D9"/>
    <w:rPr>
      <w:rFonts w:cs="Times New Roman"/>
      <w:sz w:val="20"/>
    </w:rPr>
  </w:style>
  <w:style w:type="character" w:customStyle="1" w:styleId="RSCB01ARTAbstractChar">
    <w:name w:val="RSC B01 ART Abstract Char"/>
    <w:basedOn w:val="Fuentedeprrafopredeter"/>
    <w:link w:val="RSCB01ARTAbstract"/>
    <w:rsid w:val="00FA2DA2"/>
    <w:rPr>
      <w:noProof/>
      <w:sz w:val="16"/>
      <w:lang w:eastAsia="en-GB"/>
    </w:rPr>
  </w:style>
  <w:style w:type="character" w:customStyle="1" w:styleId="09ListTextChar">
    <w:name w:val="09 List Text Char"/>
    <w:basedOn w:val="RSCB02ArticleTextChar"/>
    <w:link w:val="09ListText"/>
    <w:rsid w:val="00EF1577"/>
    <w:rPr>
      <w:rFonts w:ascii="Times New Roman" w:eastAsia="Times New Roman" w:hAnsi="Times New Roman" w:cs="Times New Roman"/>
      <w:w w:val="108"/>
      <w:sz w:val="18"/>
      <w:szCs w:val="18"/>
      <w:lang w:eastAsia="en-GB"/>
    </w:rPr>
  </w:style>
  <w:style w:type="character" w:customStyle="1" w:styleId="RSCB04AHeadingSectionChar">
    <w:name w:val="RSC B04 A Heading (Section) Char"/>
    <w:basedOn w:val="Fuentedeprrafopredeter"/>
    <w:link w:val="RSCB04AHeadingSection"/>
    <w:rsid w:val="00EF6BD4"/>
    <w:rPr>
      <w:b/>
      <w:sz w:val="24"/>
    </w:rPr>
  </w:style>
  <w:style w:type="character" w:customStyle="1" w:styleId="05BHeadingChar">
    <w:name w:val="05 B Heading Char"/>
    <w:basedOn w:val="RSCB04AHeadingSectionChar"/>
    <w:link w:val="05BHeading"/>
    <w:rsid w:val="00AB16D0"/>
    <w:rPr>
      <w:rFonts w:ascii="Times New Roman" w:hAnsi="Times New Roman" w:cs="Times New Roman"/>
      <w:b/>
      <w:sz w:val="18"/>
      <w:szCs w:val="18"/>
    </w:rPr>
  </w:style>
  <w:style w:type="paragraph" w:customStyle="1" w:styleId="RSCT01TableTitlewithtopbar">
    <w:name w:val="RSC T01 Table Title with top bar"/>
    <w:basedOn w:val="Normal"/>
    <w:link w:val="RSCT01TableTitlewithtopbarChar"/>
    <w:qFormat/>
    <w:rsid w:val="006556AC"/>
    <w:pPr>
      <w:keepNext/>
      <w:keepLines/>
      <w:pBdr>
        <w:top w:val="single" w:sz="12" w:space="1" w:color="999999"/>
        <w:bottom w:val="single" w:sz="6" w:space="1" w:color="auto"/>
      </w:pBdr>
      <w:spacing w:before="120" w:after="120" w:line="200" w:lineRule="exact"/>
      <w:jc w:val="both"/>
    </w:pPr>
    <w:rPr>
      <w:rFonts w:eastAsia="Times New Roman" w:cs="Times New Roman"/>
      <w:sz w:val="14"/>
      <w:szCs w:val="20"/>
      <w:lang w:eastAsia="en-GB"/>
    </w:rPr>
  </w:style>
  <w:style w:type="character" w:customStyle="1" w:styleId="RSCI02FigureSchemeChartwithtopbarChar">
    <w:name w:val="RSC I02 Figure/Scheme/Chart with top bar Char"/>
    <w:basedOn w:val="Fuentedeprrafopredeter"/>
    <w:link w:val="RSCI02FigureSchemeChartwithtopbar"/>
    <w:rsid w:val="006556AC"/>
    <w:rPr>
      <w:rFonts w:cs="Times New Roman"/>
      <w:w w:val="108"/>
      <w:sz w:val="14"/>
      <w:szCs w:val="18"/>
    </w:rPr>
  </w:style>
  <w:style w:type="character" w:customStyle="1" w:styleId="RSCI01FigureSchemeChartwithbottombarChar">
    <w:name w:val="RSC I01 Figure/Scheme/Chart with bottom bar Char"/>
    <w:basedOn w:val="Fuentedeprrafopredeter"/>
    <w:link w:val="RSCI01FigureSchemeChartwithbottombar"/>
    <w:rsid w:val="006556AC"/>
    <w:rPr>
      <w:rFonts w:cstheme="minorHAnsi"/>
      <w:w w:val="108"/>
      <w:sz w:val="14"/>
      <w:szCs w:val="14"/>
    </w:rPr>
  </w:style>
  <w:style w:type="character" w:customStyle="1" w:styleId="RSCI03FigureSchemeChartUncaptionedChar">
    <w:name w:val="RSC I03 Figure/Scheme/Chart Uncaptioned Char"/>
    <w:basedOn w:val="Fuentedeprrafopredeter"/>
    <w:link w:val="RSCI03FigureSchemeChartUncaptioned"/>
    <w:rsid w:val="006556AC"/>
    <w:rPr>
      <w:rFonts w:cs="Times New Roman"/>
      <w:sz w:val="16"/>
      <w:szCs w:val="16"/>
    </w:rPr>
  </w:style>
  <w:style w:type="character" w:customStyle="1" w:styleId="RSCB03MathematicsGreeketcChar">
    <w:name w:val="RSC B03 Mathematics/Greek etc Char"/>
    <w:basedOn w:val="Fuentedeprrafopredeter"/>
    <w:link w:val="RSCB03MathematicsGreeketc"/>
    <w:rsid w:val="007A37D8"/>
    <w:rPr>
      <w:rFonts w:ascii="Times New Roman" w:hAnsi="Times New Roman"/>
      <w:sz w:val="18"/>
    </w:rPr>
  </w:style>
  <w:style w:type="paragraph" w:customStyle="1" w:styleId="RSCT03TableBody">
    <w:name w:val="RSC T03 Table Body"/>
    <w:basedOn w:val="Normal"/>
    <w:link w:val="RSCT03TableBodyChar"/>
    <w:qFormat/>
    <w:rsid w:val="00B0470A"/>
    <w:pPr>
      <w:keepNext/>
      <w:keepLines/>
      <w:spacing w:after="0" w:line="220" w:lineRule="exact"/>
      <w:jc w:val="center"/>
    </w:pPr>
    <w:rPr>
      <w:rFonts w:eastAsia="Times New Roman" w:cs="Times New Roman"/>
      <w:sz w:val="16"/>
      <w:szCs w:val="16"/>
      <w:lang w:eastAsia="en-GB"/>
    </w:rPr>
  </w:style>
  <w:style w:type="character" w:customStyle="1" w:styleId="RSCT01TableTitlewithtopbarChar">
    <w:name w:val="RSC T01 Table Title with top bar Char"/>
    <w:basedOn w:val="Fuentedeprrafopredeter"/>
    <w:link w:val="RSCT01TableTitlewithtopbar"/>
    <w:rsid w:val="006556AC"/>
    <w:rPr>
      <w:rFonts w:eastAsia="Times New Roman" w:cs="Times New Roman"/>
      <w:sz w:val="14"/>
      <w:szCs w:val="20"/>
      <w:lang w:eastAsia="en-GB"/>
    </w:rPr>
  </w:style>
  <w:style w:type="paragraph" w:customStyle="1" w:styleId="RSCT04TableFootnotewithbottombar">
    <w:name w:val="RSC T04 Table Footnote with bottom bar"/>
    <w:basedOn w:val="Normal"/>
    <w:link w:val="RSCT04TableFootnotewithbottombarChar"/>
    <w:qFormat/>
    <w:rsid w:val="006556AC"/>
    <w:pPr>
      <w:keepLines/>
      <w:pBdr>
        <w:bottom w:val="single" w:sz="12" w:space="1" w:color="999999"/>
      </w:pBdr>
      <w:spacing w:before="120" w:after="160" w:line="200" w:lineRule="exact"/>
      <w:jc w:val="both"/>
    </w:pPr>
    <w:rPr>
      <w:rFonts w:eastAsia="Times New Roman" w:cs="Times New Roman"/>
      <w:sz w:val="15"/>
      <w:szCs w:val="20"/>
      <w:lang w:eastAsia="en-GB"/>
    </w:rPr>
  </w:style>
  <w:style w:type="character" w:customStyle="1" w:styleId="RSCT03TableBodyChar">
    <w:name w:val="RSC T03 Table Body Char"/>
    <w:basedOn w:val="Fuentedeprrafopredeter"/>
    <w:link w:val="RSCT03TableBody"/>
    <w:rsid w:val="00B0470A"/>
    <w:rPr>
      <w:rFonts w:eastAsia="Times New Roman" w:cs="Times New Roman"/>
      <w:sz w:val="16"/>
      <w:szCs w:val="16"/>
      <w:lang w:eastAsia="en-GB"/>
    </w:rPr>
  </w:style>
  <w:style w:type="character" w:customStyle="1" w:styleId="RSCT04TableFootnotewithbottombarChar">
    <w:name w:val="RSC T04 Table Footnote with bottom bar Char"/>
    <w:basedOn w:val="Fuentedeprrafopredeter"/>
    <w:link w:val="RSCT04TableFootnotewithbottombar"/>
    <w:rsid w:val="006556AC"/>
    <w:rPr>
      <w:rFonts w:eastAsia="Times New Roman" w:cs="Times New Roman"/>
      <w:sz w:val="15"/>
      <w:szCs w:val="20"/>
      <w:lang w:eastAsia="en-GB"/>
    </w:rPr>
  </w:style>
  <w:style w:type="character" w:styleId="Hipervnculo">
    <w:name w:val="Hyperlink"/>
    <w:basedOn w:val="Fuentedeprrafopredeter"/>
    <w:uiPriority w:val="99"/>
    <w:unhideWhenUsed/>
    <w:rsid w:val="005037CD"/>
    <w:rPr>
      <w:color w:val="0000FF" w:themeColor="hyperlink"/>
      <w:u w:val="single"/>
    </w:rPr>
  </w:style>
  <w:style w:type="paragraph" w:styleId="Prrafodelista">
    <w:name w:val="List Paragraph"/>
    <w:basedOn w:val="Normal"/>
    <w:uiPriority w:val="34"/>
    <w:qFormat/>
    <w:rsid w:val="00F15F90"/>
    <w:pPr>
      <w:ind w:left="720"/>
      <w:contextualSpacing/>
    </w:pPr>
  </w:style>
  <w:style w:type="paragraph" w:styleId="Revisin">
    <w:name w:val="Revision"/>
    <w:hidden/>
    <w:uiPriority w:val="99"/>
    <w:semiHidden/>
    <w:rsid w:val="000D5891"/>
    <w:pPr>
      <w:spacing w:after="0" w:line="240" w:lineRule="auto"/>
    </w:pPr>
  </w:style>
  <w:style w:type="paragraph" w:styleId="Textonotapie">
    <w:name w:val="footnote text"/>
    <w:basedOn w:val="Normal"/>
    <w:link w:val="TextonotapieCar"/>
    <w:uiPriority w:val="99"/>
    <w:semiHidden/>
    <w:unhideWhenUsed/>
    <w:rsid w:val="00CA2740"/>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CA2740"/>
    <w:rPr>
      <w:sz w:val="20"/>
      <w:szCs w:val="20"/>
    </w:rPr>
  </w:style>
  <w:style w:type="character" w:styleId="Refdenotaalpie">
    <w:name w:val="footnote reference"/>
    <w:basedOn w:val="Fuentedeprrafopredeter"/>
    <w:uiPriority w:val="99"/>
    <w:semiHidden/>
    <w:unhideWhenUsed/>
    <w:rsid w:val="00CA2740"/>
    <w:rPr>
      <w:vertAlign w:val="superscript"/>
    </w:rPr>
  </w:style>
  <w:style w:type="paragraph" w:styleId="NormalWeb">
    <w:name w:val="Normal (Web)"/>
    <w:basedOn w:val="Normal"/>
    <w:uiPriority w:val="99"/>
    <w:semiHidden/>
    <w:unhideWhenUsed/>
    <w:rsid w:val="00946830"/>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Descripcin">
    <w:name w:val="caption"/>
    <w:basedOn w:val="Normal"/>
    <w:next w:val="Normal"/>
    <w:uiPriority w:val="35"/>
    <w:unhideWhenUsed/>
    <w:rsid w:val="00B0470A"/>
    <w:pPr>
      <w:spacing w:line="200" w:lineRule="exact"/>
    </w:pPr>
    <w:rPr>
      <w:bCs/>
      <w:sz w:val="14"/>
      <w:szCs w:val="18"/>
    </w:rPr>
  </w:style>
  <w:style w:type="paragraph" w:customStyle="1" w:styleId="Style1">
    <w:name w:val="Style1"/>
    <w:basedOn w:val="RSCB02ArticleText"/>
    <w:link w:val="Style1Char"/>
    <w:rsid w:val="00B0470A"/>
  </w:style>
  <w:style w:type="paragraph" w:customStyle="1" w:styleId="RSCT05TableFootnotewithoutbottombar">
    <w:name w:val="RSC T05 Table Footnote without bottom bar"/>
    <w:basedOn w:val="RSCT04TableFootnotewithbottombar"/>
    <w:link w:val="RSCT05TableFootnotewithoutbottombarChar"/>
    <w:qFormat/>
    <w:rsid w:val="00B0470A"/>
    <w:pPr>
      <w:pBdr>
        <w:bottom w:val="none" w:sz="0" w:space="0" w:color="auto"/>
      </w:pBdr>
    </w:pPr>
  </w:style>
  <w:style w:type="character" w:customStyle="1" w:styleId="Style1Char">
    <w:name w:val="Style1 Char"/>
    <w:basedOn w:val="RSCB02ArticleTextChar"/>
    <w:link w:val="Style1"/>
    <w:rsid w:val="00B0470A"/>
    <w:rPr>
      <w:rFonts w:cs="Times New Roman"/>
      <w:w w:val="108"/>
      <w:sz w:val="18"/>
      <w:szCs w:val="18"/>
    </w:rPr>
  </w:style>
  <w:style w:type="paragraph" w:customStyle="1" w:styleId="RSCT02Tabletitlewithouttopbar">
    <w:name w:val="RSC T02 Table title without top bar"/>
    <w:basedOn w:val="RSCT01TableTitlewithtopbar"/>
    <w:link w:val="RSCT02TabletitlewithouttopbarChar"/>
    <w:qFormat/>
    <w:rsid w:val="00B0470A"/>
    <w:pPr>
      <w:pBdr>
        <w:top w:val="none" w:sz="0" w:space="0" w:color="auto"/>
      </w:pBdr>
    </w:pPr>
  </w:style>
  <w:style w:type="character" w:customStyle="1" w:styleId="RSCT05TableFootnotewithoutbottombarChar">
    <w:name w:val="RSC T05 Table Footnote without bottom bar Char"/>
    <w:basedOn w:val="RSCT04TableFootnotewithbottombarChar"/>
    <w:link w:val="RSCT05TableFootnotewithoutbottombar"/>
    <w:rsid w:val="00B0470A"/>
    <w:rPr>
      <w:rFonts w:eastAsia="Times New Roman" w:cs="Times New Roman"/>
      <w:sz w:val="15"/>
      <w:szCs w:val="20"/>
      <w:lang w:eastAsia="en-GB"/>
    </w:rPr>
  </w:style>
  <w:style w:type="paragraph" w:customStyle="1" w:styleId="RSCI04CaptiontoFigureSchemeChart">
    <w:name w:val="RSC I04 Caption to Figure/Scheme/Chart"/>
    <w:link w:val="RSCI04CaptiontoFigureSchemeChartChar"/>
    <w:qFormat/>
    <w:rsid w:val="006556AC"/>
    <w:pPr>
      <w:spacing w:line="200" w:lineRule="exact"/>
      <w:jc w:val="both"/>
    </w:pPr>
    <w:rPr>
      <w:bCs/>
      <w:sz w:val="14"/>
      <w:szCs w:val="18"/>
    </w:rPr>
  </w:style>
  <w:style w:type="character" w:customStyle="1" w:styleId="RSCT02TabletitlewithouttopbarChar">
    <w:name w:val="RSC T02 Table title without top bar Char"/>
    <w:basedOn w:val="RSCT01TableTitlewithtopbarChar"/>
    <w:link w:val="RSCT02Tabletitlewithouttopbar"/>
    <w:rsid w:val="00B0470A"/>
    <w:rPr>
      <w:rFonts w:eastAsia="Times New Roman" w:cs="Times New Roman"/>
      <w:sz w:val="14"/>
      <w:szCs w:val="20"/>
      <w:lang w:eastAsia="en-GB"/>
    </w:rPr>
  </w:style>
  <w:style w:type="paragraph" w:customStyle="1" w:styleId="RSCR01Footnotestomaintext">
    <w:name w:val="RSC R01 Footnotes to main text"/>
    <w:link w:val="RSCR01FootnotestomaintextChar"/>
    <w:qFormat/>
    <w:rsid w:val="006556AC"/>
    <w:pPr>
      <w:spacing w:line="200" w:lineRule="exact"/>
      <w:jc w:val="both"/>
    </w:pPr>
    <w:rPr>
      <w:bCs/>
      <w:sz w:val="18"/>
      <w:szCs w:val="18"/>
    </w:rPr>
  </w:style>
  <w:style w:type="character" w:customStyle="1" w:styleId="RSCI04CaptiontoFigureSchemeChartChar">
    <w:name w:val="RSC I04 Caption to Figure/Scheme/Chart Char"/>
    <w:basedOn w:val="Fuentedeprrafopredeter"/>
    <w:link w:val="RSCI04CaptiontoFigureSchemeChart"/>
    <w:rsid w:val="006556AC"/>
    <w:rPr>
      <w:bCs/>
      <w:sz w:val="14"/>
      <w:szCs w:val="18"/>
    </w:rPr>
  </w:style>
  <w:style w:type="paragraph" w:customStyle="1" w:styleId="RSCM01ReceivedAccepted">
    <w:name w:val="RSC M01 Received/Accepted"/>
    <w:basedOn w:val="Normal"/>
    <w:link w:val="RSCM01ReceivedAcceptedChar"/>
    <w:qFormat/>
    <w:rsid w:val="004C531E"/>
    <w:pPr>
      <w:spacing w:before="960" w:after="0" w:line="180" w:lineRule="exact"/>
      <w:contextualSpacing/>
    </w:pPr>
    <w:rPr>
      <w:rFonts w:eastAsiaTheme="minorEastAsia"/>
      <w:noProof/>
      <w:sz w:val="14"/>
      <w:szCs w:val="14"/>
      <w:lang w:eastAsia="en-GB"/>
    </w:rPr>
  </w:style>
  <w:style w:type="character" w:customStyle="1" w:styleId="RSCR01FootnotestomaintextChar">
    <w:name w:val="RSC R01 Footnotes to main text Char"/>
    <w:basedOn w:val="RSCI04CaptiontoFigureSchemeChartChar"/>
    <w:link w:val="RSCR01Footnotestomaintext"/>
    <w:rsid w:val="006556AC"/>
    <w:rPr>
      <w:bCs/>
      <w:sz w:val="18"/>
      <w:szCs w:val="18"/>
    </w:rPr>
  </w:style>
  <w:style w:type="paragraph" w:customStyle="1" w:styleId="RSCM02DOI">
    <w:name w:val="RSC M02 DOI"/>
    <w:basedOn w:val="Normal"/>
    <w:link w:val="RSCM02DOIChar"/>
    <w:qFormat/>
    <w:rsid w:val="004C531E"/>
    <w:pPr>
      <w:spacing w:before="180" w:after="0" w:line="180" w:lineRule="exact"/>
    </w:pPr>
    <w:rPr>
      <w:sz w:val="14"/>
      <w:szCs w:val="14"/>
    </w:rPr>
  </w:style>
  <w:style w:type="character" w:customStyle="1" w:styleId="RSCM01ReceivedAcceptedChar">
    <w:name w:val="RSC M01 Received/Accepted Char"/>
    <w:basedOn w:val="Fuentedeprrafopredeter"/>
    <w:link w:val="RSCM01ReceivedAccepted"/>
    <w:rsid w:val="004C531E"/>
    <w:rPr>
      <w:rFonts w:eastAsiaTheme="minorEastAsia"/>
      <w:noProof/>
      <w:sz w:val="14"/>
      <w:szCs w:val="14"/>
      <w:lang w:eastAsia="en-GB"/>
    </w:rPr>
  </w:style>
  <w:style w:type="paragraph" w:customStyle="1" w:styleId="RSCM03Website">
    <w:name w:val="RSC M03 Website"/>
    <w:basedOn w:val="Normal"/>
    <w:link w:val="RSCM03WebsiteChar"/>
    <w:qFormat/>
    <w:rsid w:val="004C531E"/>
    <w:pPr>
      <w:spacing w:line="400" w:lineRule="exact"/>
    </w:pPr>
    <w:rPr>
      <w:b/>
      <w:sz w:val="14"/>
      <w:szCs w:val="14"/>
    </w:rPr>
  </w:style>
  <w:style w:type="character" w:customStyle="1" w:styleId="RSCM02DOIChar">
    <w:name w:val="RSC M02 DOI Char"/>
    <w:basedOn w:val="Fuentedeprrafopredeter"/>
    <w:link w:val="RSCM02DOI"/>
    <w:rsid w:val="004C531E"/>
    <w:rPr>
      <w:sz w:val="14"/>
      <w:szCs w:val="14"/>
    </w:rPr>
  </w:style>
  <w:style w:type="paragraph" w:customStyle="1" w:styleId="RSCB05AHeadingSection-standalone">
    <w:name w:val="RSC B05 A Heading (Section - stand alone)"/>
    <w:link w:val="RSCB05AHeadingSection-standaloneChar"/>
    <w:qFormat/>
    <w:rsid w:val="00EF6BD4"/>
    <w:pPr>
      <w:spacing w:before="400" w:after="160" w:line="240" w:lineRule="auto"/>
    </w:pPr>
    <w:rPr>
      <w:rFonts w:cs="Times New Roman"/>
      <w:sz w:val="24"/>
    </w:rPr>
  </w:style>
  <w:style w:type="character" w:customStyle="1" w:styleId="RSCM03WebsiteChar">
    <w:name w:val="RSC M03 Website Char"/>
    <w:basedOn w:val="Fuentedeprrafopredeter"/>
    <w:link w:val="RSCM03Website"/>
    <w:rsid w:val="004C531E"/>
    <w:rPr>
      <w:b/>
      <w:sz w:val="14"/>
      <w:szCs w:val="14"/>
    </w:rPr>
  </w:style>
  <w:style w:type="paragraph" w:customStyle="1" w:styleId="RSCB06BHeadingSub-Section">
    <w:name w:val="RSC B06 B Heading (Sub-Section)"/>
    <w:link w:val="RSCB06BHeadingSub-SectionChar"/>
    <w:qFormat/>
    <w:rsid w:val="00EF6BD4"/>
    <w:pPr>
      <w:spacing w:after="80" w:line="240" w:lineRule="exact"/>
    </w:pPr>
    <w:rPr>
      <w:b/>
      <w:sz w:val="18"/>
    </w:rPr>
  </w:style>
  <w:style w:type="character" w:customStyle="1" w:styleId="RSCB05AHeadingSection-standaloneChar">
    <w:name w:val="RSC B05 A Heading (Section - stand alone) Char"/>
    <w:basedOn w:val="RSCH02PaperAuthorsandBylineChar"/>
    <w:link w:val="RSCB05AHeadingSection-standalone"/>
    <w:rsid w:val="00EF6BD4"/>
    <w:rPr>
      <w:rFonts w:cs="Times New Roman"/>
      <w:sz w:val="24"/>
    </w:rPr>
  </w:style>
  <w:style w:type="paragraph" w:customStyle="1" w:styleId="RSCB07BHeadingSub-Section-standalone">
    <w:name w:val="RSC B07 B Heading (Sub-Section - stand alone)"/>
    <w:link w:val="RSCB07BHeadingSub-Section-standaloneChar"/>
    <w:qFormat/>
    <w:rsid w:val="00EF6BD4"/>
    <w:pPr>
      <w:spacing w:before="160" w:after="80" w:line="240" w:lineRule="exact"/>
    </w:pPr>
    <w:rPr>
      <w:b/>
      <w:sz w:val="18"/>
    </w:rPr>
  </w:style>
  <w:style w:type="character" w:customStyle="1" w:styleId="RSCB06BHeadingSub-SectionChar">
    <w:name w:val="RSC B06 B Heading (Sub-Section) Char"/>
    <w:basedOn w:val="Fuentedeprrafopredeter"/>
    <w:link w:val="RSCB06BHeadingSub-Section"/>
    <w:rsid w:val="00EF6BD4"/>
    <w:rPr>
      <w:b/>
      <w:sz w:val="18"/>
    </w:rPr>
  </w:style>
  <w:style w:type="paragraph" w:customStyle="1" w:styleId="RSCB08CHeadingIn-line">
    <w:name w:val="RSC B08 C Heading (In-line)"/>
    <w:link w:val="RSCB08CHeadingIn-lineChar"/>
    <w:qFormat/>
    <w:rsid w:val="00EF6BD4"/>
    <w:pPr>
      <w:spacing w:after="0"/>
    </w:pPr>
    <w:rPr>
      <w:b/>
      <w:sz w:val="18"/>
    </w:rPr>
  </w:style>
  <w:style w:type="character" w:customStyle="1" w:styleId="RSCB07BHeadingSub-Section-standaloneChar">
    <w:name w:val="RSC B07 B Heading (Sub-Section - stand alone) Char"/>
    <w:basedOn w:val="Fuentedeprrafopredeter"/>
    <w:link w:val="RSCB07BHeadingSub-Section-standalone"/>
    <w:rsid w:val="00EF6BD4"/>
    <w:rPr>
      <w:b/>
      <w:sz w:val="18"/>
    </w:rPr>
  </w:style>
  <w:style w:type="character" w:customStyle="1" w:styleId="RSCB08CHeadingIn-lineChar">
    <w:name w:val="RSC B08 C Heading (In-line) Char"/>
    <w:basedOn w:val="Fuentedeprrafopredeter"/>
    <w:link w:val="RSCB08CHeadingIn-line"/>
    <w:rsid w:val="00EF6BD4"/>
    <w:rPr>
      <w:b/>
      <w:sz w:val="18"/>
    </w:rPr>
  </w:style>
  <w:style w:type="paragraph" w:customStyle="1" w:styleId="RSCI05CaptiontoFigureSchemeChartwithbottombar">
    <w:name w:val="RSC I05 Caption to Figure/Scheme/Chart with bottom bar"/>
    <w:link w:val="RSCI05CaptiontoFigureSchemeChartwithbottombarChar"/>
    <w:qFormat/>
    <w:rsid w:val="006556AC"/>
    <w:pPr>
      <w:pBdr>
        <w:bottom w:val="single" w:sz="12" w:space="1" w:color="A6A6A6" w:themeColor="background1" w:themeShade="A6"/>
      </w:pBdr>
      <w:jc w:val="both"/>
    </w:pPr>
    <w:rPr>
      <w:bCs/>
      <w:sz w:val="14"/>
      <w:szCs w:val="18"/>
    </w:rPr>
  </w:style>
  <w:style w:type="character" w:customStyle="1" w:styleId="RSCI05CaptiontoFigureSchemeChartwithbottombarChar">
    <w:name w:val="RSC I05 Caption to Figure/Scheme/Chart with bottom bar Char"/>
    <w:basedOn w:val="RSCI04CaptiontoFigureSchemeChartChar"/>
    <w:link w:val="RSCI05CaptiontoFigureSchemeChartwithbottombar"/>
    <w:rsid w:val="006556AC"/>
    <w:rPr>
      <w:bCs/>
      <w:sz w:val="14"/>
      <w:szCs w:val="18"/>
    </w:rPr>
  </w:style>
  <w:style w:type="paragraph" w:customStyle="1" w:styleId="04AHeading">
    <w:name w:val="04 A Heading"/>
    <w:basedOn w:val="Normal"/>
    <w:next w:val="Normal"/>
    <w:link w:val="04AHeadingChar"/>
    <w:rsid w:val="00FA2DA2"/>
    <w:pPr>
      <w:spacing w:before="240" w:after="120" w:line="240" w:lineRule="auto"/>
    </w:pPr>
    <w:rPr>
      <w:rFonts w:ascii="Calibri" w:eastAsia="Calibri" w:hAnsi="Calibri" w:cs="Times New Roman"/>
      <w:b/>
    </w:rPr>
  </w:style>
  <w:style w:type="character" w:customStyle="1" w:styleId="04AHeadingChar">
    <w:name w:val="04 A Heading Char"/>
    <w:link w:val="04AHeading"/>
    <w:rsid w:val="00FA2DA2"/>
    <w:rPr>
      <w:rFonts w:ascii="Calibri" w:eastAsia="Calibri" w:hAnsi="Calibri" w:cs="Times New Roman"/>
      <w:b/>
    </w:rPr>
  </w:style>
  <w:style w:type="paragraph" w:customStyle="1" w:styleId="08ArticleText">
    <w:name w:val="08 Article Text"/>
    <w:basedOn w:val="Normal"/>
    <w:link w:val="08ArticleTextChar"/>
    <w:rsid w:val="00FA2DA2"/>
    <w:pPr>
      <w:tabs>
        <w:tab w:val="left" w:pos="284"/>
      </w:tabs>
      <w:spacing w:after="0" w:line="240" w:lineRule="exact"/>
      <w:jc w:val="both"/>
    </w:pPr>
    <w:rPr>
      <w:rFonts w:ascii="Times New Roman" w:eastAsia="Calibri" w:hAnsi="Times New Roman" w:cs="Times New Roman"/>
      <w:w w:val="108"/>
      <w:sz w:val="18"/>
      <w:szCs w:val="18"/>
    </w:rPr>
  </w:style>
  <w:style w:type="character" w:customStyle="1" w:styleId="08ArticleTextChar">
    <w:name w:val="08 Article Text Char"/>
    <w:link w:val="08ArticleText"/>
    <w:rsid w:val="00FA2DA2"/>
    <w:rPr>
      <w:rFonts w:ascii="Times New Roman" w:eastAsia="Calibri" w:hAnsi="Times New Roman" w:cs="Times New Roman"/>
      <w:w w:val="108"/>
      <w:sz w:val="18"/>
      <w:szCs w:val="18"/>
    </w:rPr>
  </w:style>
  <w:style w:type="character" w:styleId="Hipervnculovisitado">
    <w:name w:val="FollowedHyperlink"/>
    <w:basedOn w:val="Fuentedeprrafopredeter"/>
    <w:uiPriority w:val="99"/>
    <w:semiHidden/>
    <w:unhideWhenUsed/>
    <w:rsid w:val="0024022C"/>
    <w:rPr>
      <w:color w:val="800080" w:themeColor="followedHyperlink"/>
      <w:u w:val="single"/>
    </w:rPr>
  </w:style>
  <w:style w:type="character" w:styleId="Refdecomentario">
    <w:name w:val="annotation reference"/>
    <w:basedOn w:val="Fuentedeprrafopredeter"/>
    <w:uiPriority w:val="99"/>
    <w:semiHidden/>
    <w:unhideWhenUsed/>
    <w:rsid w:val="0060627E"/>
    <w:rPr>
      <w:sz w:val="16"/>
      <w:szCs w:val="16"/>
    </w:rPr>
  </w:style>
  <w:style w:type="paragraph" w:styleId="Textocomentario">
    <w:name w:val="annotation text"/>
    <w:basedOn w:val="Normal"/>
    <w:link w:val="TextocomentarioCar"/>
    <w:uiPriority w:val="99"/>
    <w:unhideWhenUsed/>
    <w:rsid w:val="0060627E"/>
    <w:pPr>
      <w:spacing w:line="240" w:lineRule="auto"/>
    </w:pPr>
    <w:rPr>
      <w:sz w:val="20"/>
      <w:szCs w:val="20"/>
    </w:rPr>
  </w:style>
  <w:style w:type="character" w:customStyle="1" w:styleId="TextocomentarioCar">
    <w:name w:val="Texto comentario Car"/>
    <w:basedOn w:val="Fuentedeprrafopredeter"/>
    <w:link w:val="Textocomentario"/>
    <w:uiPriority w:val="99"/>
    <w:rsid w:val="0060627E"/>
    <w:rPr>
      <w:sz w:val="20"/>
      <w:szCs w:val="20"/>
    </w:rPr>
  </w:style>
  <w:style w:type="paragraph" w:styleId="Asuntodelcomentario">
    <w:name w:val="annotation subject"/>
    <w:basedOn w:val="Textocomentario"/>
    <w:next w:val="Textocomentario"/>
    <w:link w:val="AsuntodelcomentarioCar"/>
    <w:uiPriority w:val="99"/>
    <w:semiHidden/>
    <w:unhideWhenUsed/>
    <w:rsid w:val="0060627E"/>
    <w:rPr>
      <w:b/>
      <w:bCs/>
    </w:rPr>
  </w:style>
  <w:style w:type="character" w:customStyle="1" w:styleId="AsuntodelcomentarioCar">
    <w:name w:val="Asunto del comentario Car"/>
    <w:basedOn w:val="TextocomentarioCar"/>
    <w:link w:val="Asuntodelcomentario"/>
    <w:uiPriority w:val="99"/>
    <w:semiHidden/>
    <w:rsid w:val="0060627E"/>
    <w:rPr>
      <w:b/>
      <w:bCs/>
      <w:sz w:val="20"/>
      <w:szCs w:val="20"/>
    </w:rPr>
  </w:style>
  <w:style w:type="table" w:styleId="Tablanormal2">
    <w:name w:val="Plain Table 2"/>
    <w:basedOn w:val="Tablanormal"/>
    <w:uiPriority w:val="42"/>
    <w:rsid w:val="00EA3E79"/>
    <w:pPr>
      <w:spacing w:after="0" w:line="240" w:lineRule="auto"/>
    </w:pPr>
    <w:rPr>
      <w:lang w:val="es-ES"/>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HTMLconformatoprevio">
    <w:name w:val="HTML Preformatted"/>
    <w:basedOn w:val="Normal"/>
    <w:link w:val="HTMLconformatoprevioCar"/>
    <w:uiPriority w:val="99"/>
    <w:semiHidden/>
    <w:unhideWhenUsed/>
    <w:rsid w:val="00952203"/>
    <w:pPr>
      <w:spacing w:after="0" w:line="240" w:lineRule="auto"/>
    </w:pPr>
    <w:rPr>
      <w:rFonts w:ascii="Consolas" w:hAnsi="Consolas"/>
      <w:sz w:val="20"/>
      <w:szCs w:val="20"/>
    </w:rPr>
  </w:style>
  <w:style w:type="character" w:customStyle="1" w:styleId="HTMLconformatoprevioCar">
    <w:name w:val="HTML con formato previo Car"/>
    <w:basedOn w:val="Fuentedeprrafopredeter"/>
    <w:link w:val="HTMLconformatoprevio"/>
    <w:uiPriority w:val="99"/>
    <w:semiHidden/>
    <w:rsid w:val="00952203"/>
    <w:rPr>
      <w:rFonts w:ascii="Consolas" w:hAnsi="Consolas"/>
      <w:sz w:val="20"/>
      <w:szCs w:val="20"/>
    </w:rPr>
  </w:style>
  <w:style w:type="character" w:styleId="Mencinsinresolver">
    <w:name w:val="Unresolved Mention"/>
    <w:basedOn w:val="Fuentedeprrafopredeter"/>
    <w:uiPriority w:val="99"/>
    <w:semiHidden/>
    <w:unhideWhenUsed/>
    <w:rsid w:val="007E54CA"/>
    <w:rPr>
      <w:color w:val="605E5C"/>
      <w:shd w:val="clear" w:color="auto" w:fill="E1DFDD"/>
    </w:rPr>
  </w:style>
  <w:style w:type="character" w:customStyle="1" w:styleId="cit-title">
    <w:name w:val="cit-title"/>
    <w:basedOn w:val="Fuentedeprrafopredeter"/>
    <w:rsid w:val="00F30ABE"/>
  </w:style>
  <w:style w:type="character" w:customStyle="1" w:styleId="cit-year-info">
    <w:name w:val="cit-year-info"/>
    <w:basedOn w:val="Fuentedeprrafopredeter"/>
    <w:rsid w:val="00F30ABE"/>
  </w:style>
  <w:style w:type="character" w:customStyle="1" w:styleId="cit-volume">
    <w:name w:val="cit-volume"/>
    <w:basedOn w:val="Fuentedeprrafopredeter"/>
    <w:rsid w:val="00F30ABE"/>
  </w:style>
  <w:style w:type="character" w:customStyle="1" w:styleId="cit-issue">
    <w:name w:val="cit-issue"/>
    <w:basedOn w:val="Fuentedeprrafopredeter"/>
    <w:rsid w:val="00F30ABE"/>
  </w:style>
  <w:style w:type="character" w:customStyle="1" w:styleId="cit-pagerange">
    <w:name w:val="cit-pagerange"/>
    <w:basedOn w:val="Fuentedeprrafopredeter"/>
    <w:rsid w:val="00F30AB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633332">
      <w:bodyDiv w:val="1"/>
      <w:marLeft w:val="0"/>
      <w:marRight w:val="0"/>
      <w:marTop w:val="0"/>
      <w:marBottom w:val="0"/>
      <w:divBdr>
        <w:top w:val="none" w:sz="0" w:space="0" w:color="auto"/>
        <w:left w:val="none" w:sz="0" w:space="0" w:color="auto"/>
        <w:bottom w:val="none" w:sz="0" w:space="0" w:color="auto"/>
        <w:right w:val="none" w:sz="0" w:space="0" w:color="auto"/>
      </w:divBdr>
      <w:divsChild>
        <w:div w:id="1954707221">
          <w:marLeft w:val="0"/>
          <w:marRight w:val="0"/>
          <w:marTop w:val="0"/>
          <w:marBottom w:val="0"/>
          <w:divBdr>
            <w:top w:val="none" w:sz="0" w:space="0" w:color="auto"/>
            <w:left w:val="none" w:sz="0" w:space="0" w:color="auto"/>
            <w:bottom w:val="none" w:sz="0" w:space="0" w:color="auto"/>
            <w:right w:val="none" w:sz="0" w:space="0" w:color="auto"/>
          </w:divBdr>
        </w:div>
      </w:divsChild>
    </w:div>
    <w:div w:id="118883697">
      <w:bodyDiv w:val="1"/>
      <w:marLeft w:val="0"/>
      <w:marRight w:val="0"/>
      <w:marTop w:val="0"/>
      <w:marBottom w:val="0"/>
      <w:divBdr>
        <w:top w:val="none" w:sz="0" w:space="0" w:color="auto"/>
        <w:left w:val="none" w:sz="0" w:space="0" w:color="auto"/>
        <w:bottom w:val="none" w:sz="0" w:space="0" w:color="auto"/>
        <w:right w:val="none" w:sz="0" w:space="0" w:color="auto"/>
      </w:divBdr>
    </w:div>
    <w:div w:id="130054262">
      <w:bodyDiv w:val="1"/>
      <w:marLeft w:val="0"/>
      <w:marRight w:val="0"/>
      <w:marTop w:val="0"/>
      <w:marBottom w:val="0"/>
      <w:divBdr>
        <w:top w:val="none" w:sz="0" w:space="0" w:color="auto"/>
        <w:left w:val="none" w:sz="0" w:space="0" w:color="auto"/>
        <w:bottom w:val="none" w:sz="0" w:space="0" w:color="auto"/>
        <w:right w:val="none" w:sz="0" w:space="0" w:color="auto"/>
      </w:divBdr>
    </w:div>
    <w:div w:id="255360505">
      <w:bodyDiv w:val="1"/>
      <w:marLeft w:val="0"/>
      <w:marRight w:val="0"/>
      <w:marTop w:val="0"/>
      <w:marBottom w:val="0"/>
      <w:divBdr>
        <w:top w:val="none" w:sz="0" w:space="0" w:color="auto"/>
        <w:left w:val="none" w:sz="0" w:space="0" w:color="auto"/>
        <w:bottom w:val="none" w:sz="0" w:space="0" w:color="auto"/>
        <w:right w:val="none" w:sz="0" w:space="0" w:color="auto"/>
      </w:divBdr>
    </w:div>
    <w:div w:id="356077340">
      <w:bodyDiv w:val="1"/>
      <w:marLeft w:val="0"/>
      <w:marRight w:val="0"/>
      <w:marTop w:val="0"/>
      <w:marBottom w:val="0"/>
      <w:divBdr>
        <w:top w:val="none" w:sz="0" w:space="0" w:color="auto"/>
        <w:left w:val="none" w:sz="0" w:space="0" w:color="auto"/>
        <w:bottom w:val="none" w:sz="0" w:space="0" w:color="auto"/>
        <w:right w:val="none" w:sz="0" w:space="0" w:color="auto"/>
      </w:divBdr>
    </w:div>
    <w:div w:id="404114518">
      <w:bodyDiv w:val="1"/>
      <w:marLeft w:val="0"/>
      <w:marRight w:val="0"/>
      <w:marTop w:val="0"/>
      <w:marBottom w:val="0"/>
      <w:divBdr>
        <w:top w:val="none" w:sz="0" w:space="0" w:color="auto"/>
        <w:left w:val="none" w:sz="0" w:space="0" w:color="auto"/>
        <w:bottom w:val="none" w:sz="0" w:space="0" w:color="auto"/>
        <w:right w:val="none" w:sz="0" w:space="0" w:color="auto"/>
      </w:divBdr>
    </w:div>
    <w:div w:id="404305591">
      <w:bodyDiv w:val="1"/>
      <w:marLeft w:val="0"/>
      <w:marRight w:val="0"/>
      <w:marTop w:val="0"/>
      <w:marBottom w:val="0"/>
      <w:divBdr>
        <w:top w:val="none" w:sz="0" w:space="0" w:color="auto"/>
        <w:left w:val="none" w:sz="0" w:space="0" w:color="auto"/>
        <w:bottom w:val="none" w:sz="0" w:space="0" w:color="auto"/>
        <w:right w:val="none" w:sz="0" w:space="0" w:color="auto"/>
      </w:divBdr>
    </w:div>
    <w:div w:id="494418786">
      <w:bodyDiv w:val="1"/>
      <w:marLeft w:val="0"/>
      <w:marRight w:val="0"/>
      <w:marTop w:val="0"/>
      <w:marBottom w:val="0"/>
      <w:divBdr>
        <w:top w:val="none" w:sz="0" w:space="0" w:color="auto"/>
        <w:left w:val="none" w:sz="0" w:space="0" w:color="auto"/>
        <w:bottom w:val="none" w:sz="0" w:space="0" w:color="auto"/>
        <w:right w:val="none" w:sz="0" w:space="0" w:color="auto"/>
      </w:divBdr>
    </w:div>
    <w:div w:id="623387460">
      <w:bodyDiv w:val="1"/>
      <w:marLeft w:val="0"/>
      <w:marRight w:val="0"/>
      <w:marTop w:val="0"/>
      <w:marBottom w:val="0"/>
      <w:divBdr>
        <w:top w:val="none" w:sz="0" w:space="0" w:color="auto"/>
        <w:left w:val="none" w:sz="0" w:space="0" w:color="auto"/>
        <w:bottom w:val="none" w:sz="0" w:space="0" w:color="auto"/>
        <w:right w:val="none" w:sz="0" w:space="0" w:color="auto"/>
      </w:divBdr>
    </w:div>
    <w:div w:id="710960423">
      <w:bodyDiv w:val="1"/>
      <w:marLeft w:val="0"/>
      <w:marRight w:val="0"/>
      <w:marTop w:val="0"/>
      <w:marBottom w:val="0"/>
      <w:divBdr>
        <w:top w:val="none" w:sz="0" w:space="0" w:color="auto"/>
        <w:left w:val="none" w:sz="0" w:space="0" w:color="auto"/>
        <w:bottom w:val="none" w:sz="0" w:space="0" w:color="auto"/>
        <w:right w:val="none" w:sz="0" w:space="0" w:color="auto"/>
      </w:divBdr>
    </w:div>
    <w:div w:id="776603753">
      <w:bodyDiv w:val="1"/>
      <w:marLeft w:val="0"/>
      <w:marRight w:val="0"/>
      <w:marTop w:val="0"/>
      <w:marBottom w:val="0"/>
      <w:divBdr>
        <w:top w:val="none" w:sz="0" w:space="0" w:color="auto"/>
        <w:left w:val="none" w:sz="0" w:space="0" w:color="auto"/>
        <w:bottom w:val="none" w:sz="0" w:space="0" w:color="auto"/>
        <w:right w:val="none" w:sz="0" w:space="0" w:color="auto"/>
      </w:divBdr>
    </w:div>
    <w:div w:id="833884671">
      <w:bodyDiv w:val="1"/>
      <w:marLeft w:val="0"/>
      <w:marRight w:val="0"/>
      <w:marTop w:val="0"/>
      <w:marBottom w:val="0"/>
      <w:divBdr>
        <w:top w:val="none" w:sz="0" w:space="0" w:color="auto"/>
        <w:left w:val="none" w:sz="0" w:space="0" w:color="auto"/>
        <w:bottom w:val="none" w:sz="0" w:space="0" w:color="auto"/>
        <w:right w:val="none" w:sz="0" w:space="0" w:color="auto"/>
      </w:divBdr>
    </w:div>
    <w:div w:id="1009676476">
      <w:bodyDiv w:val="1"/>
      <w:marLeft w:val="0"/>
      <w:marRight w:val="0"/>
      <w:marTop w:val="0"/>
      <w:marBottom w:val="0"/>
      <w:divBdr>
        <w:top w:val="none" w:sz="0" w:space="0" w:color="auto"/>
        <w:left w:val="none" w:sz="0" w:space="0" w:color="auto"/>
        <w:bottom w:val="none" w:sz="0" w:space="0" w:color="auto"/>
        <w:right w:val="none" w:sz="0" w:space="0" w:color="auto"/>
      </w:divBdr>
    </w:div>
    <w:div w:id="1056196653">
      <w:bodyDiv w:val="1"/>
      <w:marLeft w:val="0"/>
      <w:marRight w:val="0"/>
      <w:marTop w:val="0"/>
      <w:marBottom w:val="0"/>
      <w:divBdr>
        <w:top w:val="none" w:sz="0" w:space="0" w:color="auto"/>
        <w:left w:val="none" w:sz="0" w:space="0" w:color="auto"/>
        <w:bottom w:val="none" w:sz="0" w:space="0" w:color="auto"/>
        <w:right w:val="none" w:sz="0" w:space="0" w:color="auto"/>
      </w:divBdr>
    </w:div>
    <w:div w:id="1177623535">
      <w:bodyDiv w:val="1"/>
      <w:marLeft w:val="0"/>
      <w:marRight w:val="0"/>
      <w:marTop w:val="0"/>
      <w:marBottom w:val="0"/>
      <w:divBdr>
        <w:top w:val="none" w:sz="0" w:space="0" w:color="auto"/>
        <w:left w:val="none" w:sz="0" w:space="0" w:color="auto"/>
        <w:bottom w:val="none" w:sz="0" w:space="0" w:color="auto"/>
        <w:right w:val="none" w:sz="0" w:space="0" w:color="auto"/>
      </w:divBdr>
      <w:divsChild>
        <w:div w:id="1292983364">
          <w:marLeft w:val="0"/>
          <w:marRight w:val="0"/>
          <w:marTop w:val="0"/>
          <w:marBottom w:val="0"/>
          <w:divBdr>
            <w:top w:val="none" w:sz="0" w:space="0" w:color="auto"/>
            <w:left w:val="none" w:sz="0" w:space="0" w:color="auto"/>
            <w:bottom w:val="none" w:sz="0" w:space="0" w:color="auto"/>
            <w:right w:val="none" w:sz="0" w:space="0" w:color="auto"/>
          </w:divBdr>
        </w:div>
      </w:divsChild>
    </w:div>
    <w:div w:id="1259098092">
      <w:bodyDiv w:val="1"/>
      <w:marLeft w:val="0"/>
      <w:marRight w:val="0"/>
      <w:marTop w:val="0"/>
      <w:marBottom w:val="0"/>
      <w:divBdr>
        <w:top w:val="none" w:sz="0" w:space="0" w:color="auto"/>
        <w:left w:val="none" w:sz="0" w:space="0" w:color="auto"/>
        <w:bottom w:val="none" w:sz="0" w:space="0" w:color="auto"/>
        <w:right w:val="none" w:sz="0" w:space="0" w:color="auto"/>
      </w:divBdr>
    </w:div>
    <w:div w:id="1325475318">
      <w:bodyDiv w:val="1"/>
      <w:marLeft w:val="0"/>
      <w:marRight w:val="0"/>
      <w:marTop w:val="0"/>
      <w:marBottom w:val="0"/>
      <w:divBdr>
        <w:top w:val="none" w:sz="0" w:space="0" w:color="auto"/>
        <w:left w:val="none" w:sz="0" w:space="0" w:color="auto"/>
        <w:bottom w:val="none" w:sz="0" w:space="0" w:color="auto"/>
        <w:right w:val="none" w:sz="0" w:space="0" w:color="auto"/>
      </w:divBdr>
    </w:div>
    <w:div w:id="1380132816">
      <w:bodyDiv w:val="1"/>
      <w:marLeft w:val="0"/>
      <w:marRight w:val="0"/>
      <w:marTop w:val="0"/>
      <w:marBottom w:val="0"/>
      <w:divBdr>
        <w:top w:val="none" w:sz="0" w:space="0" w:color="auto"/>
        <w:left w:val="none" w:sz="0" w:space="0" w:color="auto"/>
        <w:bottom w:val="none" w:sz="0" w:space="0" w:color="auto"/>
        <w:right w:val="none" w:sz="0" w:space="0" w:color="auto"/>
      </w:divBdr>
    </w:div>
    <w:div w:id="1409107844">
      <w:bodyDiv w:val="1"/>
      <w:marLeft w:val="0"/>
      <w:marRight w:val="0"/>
      <w:marTop w:val="0"/>
      <w:marBottom w:val="0"/>
      <w:divBdr>
        <w:top w:val="none" w:sz="0" w:space="0" w:color="auto"/>
        <w:left w:val="none" w:sz="0" w:space="0" w:color="auto"/>
        <w:bottom w:val="none" w:sz="0" w:space="0" w:color="auto"/>
        <w:right w:val="none" w:sz="0" w:space="0" w:color="auto"/>
      </w:divBdr>
    </w:div>
    <w:div w:id="1604457870">
      <w:bodyDiv w:val="1"/>
      <w:marLeft w:val="0"/>
      <w:marRight w:val="0"/>
      <w:marTop w:val="0"/>
      <w:marBottom w:val="0"/>
      <w:divBdr>
        <w:top w:val="none" w:sz="0" w:space="0" w:color="auto"/>
        <w:left w:val="none" w:sz="0" w:space="0" w:color="auto"/>
        <w:bottom w:val="none" w:sz="0" w:space="0" w:color="auto"/>
        <w:right w:val="none" w:sz="0" w:space="0" w:color="auto"/>
      </w:divBdr>
    </w:div>
    <w:div w:id="1633943692">
      <w:bodyDiv w:val="1"/>
      <w:marLeft w:val="0"/>
      <w:marRight w:val="0"/>
      <w:marTop w:val="0"/>
      <w:marBottom w:val="0"/>
      <w:divBdr>
        <w:top w:val="none" w:sz="0" w:space="0" w:color="auto"/>
        <w:left w:val="none" w:sz="0" w:space="0" w:color="auto"/>
        <w:bottom w:val="none" w:sz="0" w:space="0" w:color="auto"/>
        <w:right w:val="none" w:sz="0" w:space="0" w:color="auto"/>
      </w:divBdr>
      <w:divsChild>
        <w:div w:id="1018434067">
          <w:marLeft w:val="0"/>
          <w:marRight w:val="0"/>
          <w:marTop w:val="0"/>
          <w:marBottom w:val="0"/>
          <w:divBdr>
            <w:top w:val="none" w:sz="0" w:space="0" w:color="auto"/>
            <w:left w:val="none" w:sz="0" w:space="0" w:color="auto"/>
            <w:bottom w:val="none" w:sz="0" w:space="0" w:color="auto"/>
            <w:right w:val="none" w:sz="0" w:space="0" w:color="auto"/>
          </w:divBdr>
        </w:div>
      </w:divsChild>
    </w:div>
    <w:div w:id="1732462985">
      <w:bodyDiv w:val="1"/>
      <w:marLeft w:val="0"/>
      <w:marRight w:val="0"/>
      <w:marTop w:val="0"/>
      <w:marBottom w:val="0"/>
      <w:divBdr>
        <w:top w:val="none" w:sz="0" w:space="0" w:color="auto"/>
        <w:left w:val="none" w:sz="0" w:space="0" w:color="auto"/>
        <w:bottom w:val="none" w:sz="0" w:space="0" w:color="auto"/>
        <w:right w:val="none" w:sz="0" w:space="0" w:color="auto"/>
      </w:divBdr>
    </w:div>
    <w:div w:id="2000033936">
      <w:bodyDiv w:val="1"/>
      <w:marLeft w:val="0"/>
      <w:marRight w:val="0"/>
      <w:marTop w:val="0"/>
      <w:marBottom w:val="0"/>
      <w:divBdr>
        <w:top w:val="none" w:sz="0" w:space="0" w:color="auto"/>
        <w:left w:val="none" w:sz="0" w:space="0" w:color="auto"/>
        <w:bottom w:val="none" w:sz="0" w:space="0" w:color="auto"/>
        <w:right w:val="none" w:sz="0" w:space="0" w:color="auto"/>
      </w:divBdr>
      <w:divsChild>
        <w:div w:id="289676496">
          <w:marLeft w:val="0"/>
          <w:marRight w:val="0"/>
          <w:marTop w:val="0"/>
          <w:marBottom w:val="0"/>
          <w:divBdr>
            <w:top w:val="none" w:sz="0" w:space="0" w:color="auto"/>
            <w:left w:val="none" w:sz="0" w:space="0" w:color="auto"/>
            <w:bottom w:val="none" w:sz="0" w:space="0" w:color="auto"/>
            <w:right w:val="none" w:sz="0" w:space="0" w:color="auto"/>
          </w:divBdr>
        </w:div>
      </w:divsChild>
    </w:div>
    <w:div w:id="20986726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egura@ucm.es" TargetMode="External"/><Relationship Id="rId13" Type="http://schemas.openxmlformats.org/officeDocument/2006/relationships/header" Target="header2.xml"/><Relationship Id="rId18" Type="http://schemas.openxmlformats.org/officeDocument/2006/relationships/image" Target="media/image1.emf"/><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3.tiff"/><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image" Target="media/image2.tif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felix.zamora@uam.es" TargetMode="External"/><Relationship Id="rId24" Type="http://schemas.openxmlformats.org/officeDocument/2006/relationships/image" Target="media/image6.tiff"/><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image" Target="media/image5.tiff"/><Relationship Id="rId10" Type="http://schemas.openxmlformats.org/officeDocument/2006/relationships/hyperlink" Target="mailto:segura@ucm.es" TargetMode="External"/><Relationship Id="rId19" Type="http://schemas.openxmlformats.org/officeDocument/2006/relationships/oleObject" Target="embeddings/oleObject1.bin"/><Relationship Id="rId4" Type="http://schemas.openxmlformats.org/officeDocument/2006/relationships/settings" Target="settings.xml"/><Relationship Id="rId9" Type="http://schemas.openxmlformats.org/officeDocument/2006/relationships/hyperlink" Target="mailto:felix.zamora@uam.es" TargetMode="External"/><Relationship Id="rId14" Type="http://schemas.openxmlformats.org/officeDocument/2006/relationships/footer" Target="footer1.xml"/><Relationship Id="rId22" Type="http://schemas.openxmlformats.org/officeDocument/2006/relationships/image" Target="media/image4.tiff"/></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12D7E9-FC8D-4A06-9058-4BD8F91FAF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48581</Words>
  <Characters>267198</Characters>
  <Application>Microsoft Office Word</Application>
  <DocSecurity>0</DocSecurity>
  <Lines>2226</Lines>
  <Paragraphs>630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The Royal Society of Chemistry</Company>
  <LinksUpToDate>false</LinksUpToDate>
  <CharactersWithSpaces>315149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Kate McCallum</dc:creator>
  <cp:lastModifiedBy>MARCOS MARTINEZ FERNANDEZ</cp:lastModifiedBy>
  <cp:revision>2</cp:revision>
  <cp:lastPrinted>2014-10-09T15:34:00Z</cp:lastPrinted>
  <dcterms:created xsi:type="dcterms:W3CDTF">2022-01-14T12:04:00Z</dcterms:created>
  <dcterms:modified xsi:type="dcterms:W3CDTF">2022-01-14T12:04:00Z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http://www.zotero.org/styles/inorganics</vt:lpwstr>
  </property>
  <property fmtid="{D5CDD505-2E9C-101B-9397-08002B2CF9AE}" pid="17" name="Mendeley Recent Style Name 7_1">
    <vt:lpwstr>Inorganics</vt:lpwstr>
  </property>
  <property fmtid="{D5CDD505-2E9C-101B-9397-08002B2CF9AE}" pid="18" name="Mendeley Recent Style Id 8_1">
    <vt:lpwstr>http://www.zotero.org/styles/journal-of-materials-chemistry-a</vt:lpwstr>
  </property>
  <property fmtid="{D5CDD505-2E9C-101B-9397-08002B2CF9AE}" pid="19" name="Mendeley Recent Style Name 8_1">
    <vt:lpwstr>Journal of Materials Chemistry A</vt:lpwstr>
  </property>
  <property fmtid="{D5CDD505-2E9C-101B-9397-08002B2CF9AE}" pid="20" name="Mendeley Recent Style Id 9_1">
    <vt:lpwstr>http://www.zotero.org/styles/journal-of-the-american-chemical-society</vt:lpwstr>
  </property>
  <property fmtid="{D5CDD505-2E9C-101B-9397-08002B2CF9AE}" pid="21" name="Mendeley Recent Style Name 9_1">
    <vt:lpwstr>Journal of the American Chemical Society</vt:lpwstr>
  </property>
  <property fmtid="{D5CDD505-2E9C-101B-9397-08002B2CF9AE}" pid="22" name="Mendeley Document_1">
    <vt:lpwstr>True</vt:lpwstr>
  </property>
  <property fmtid="{D5CDD505-2E9C-101B-9397-08002B2CF9AE}" pid="23" name="Mendeley Unique User Id_1">
    <vt:lpwstr>69e55206-99d1-31cd-a62e-3154a33317dd</vt:lpwstr>
  </property>
  <property fmtid="{D5CDD505-2E9C-101B-9397-08002B2CF9AE}" pid="24" name="Mendeley Citation Style_1">
    <vt:lpwstr>http://www.zotero.org/styles/journal-of-materials-chemistry-a</vt:lpwstr>
  </property>
</Properties>
</file>