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2993" w:rsidRPr="0065131C" w:rsidRDefault="00512993" w:rsidP="00D8460B">
      <w:pPr>
        <w:pStyle w:val="Ttulo1"/>
        <w:numPr>
          <w:ilvl w:val="0"/>
          <w:numId w:val="0"/>
        </w:numPr>
        <w:spacing w:line="360" w:lineRule="auto"/>
        <w:jc w:val="center"/>
        <w:rPr>
          <w:rFonts w:eastAsia="Times New Roman"/>
          <w:sz w:val="36"/>
        </w:rPr>
      </w:pPr>
      <w:r w:rsidRPr="0065131C">
        <w:rPr>
          <w:rFonts w:eastAsia="Times New Roman"/>
          <w:sz w:val="36"/>
        </w:rPr>
        <w:t xml:space="preserve">A beacon in the night: government certification of SMEs </w:t>
      </w:r>
      <w:bookmarkStart w:id="0" w:name="_GoBack"/>
      <w:bookmarkEnd w:id="0"/>
      <w:r w:rsidRPr="0065131C">
        <w:rPr>
          <w:rFonts w:eastAsia="Times New Roman"/>
          <w:sz w:val="36"/>
        </w:rPr>
        <w:t>towards banks</w:t>
      </w:r>
    </w:p>
    <w:p w:rsidR="00D8460B" w:rsidRPr="00F925AE" w:rsidRDefault="00D8460B" w:rsidP="00D8460B">
      <w:pPr>
        <w:spacing w:before="240" w:line="360" w:lineRule="auto"/>
        <w:ind w:firstLine="0"/>
        <w:jc w:val="center"/>
        <w:rPr>
          <w:rFonts w:eastAsia="Times New Roman" w:cs="Times New Roman"/>
          <w:i/>
          <w:sz w:val="20"/>
          <w:szCs w:val="20"/>
          <w:lang w:val="es-ES"/>
        </w:rPr>
      </w:pPr>
      <w:r w:rsidRPr="00F925AE">
        <w:rPr>
          <w:rFonts w:eastAsia="Times New Roman" w:cs="Times New Roman"/>
          <w:i/>
          <w:sz w:val="20"/>
          <w:szCs w:val="20"/>
          <w:lang w:val="es-ES"/>
        </w:rPr>
        <w:t>José Martí</w:t>
      </w:r>
      <w:r w:rsidR="003B4EF4" w:rsidRPr="00F925AE">
        <w:rPr>
          <w:rFonts w:eastAsia="Times New Roman" w:cs="Times New Roman"/>
          <w:i/>
          <w:sz w:val="20"/>
          <w:szCs w:val="20"/>
          <w:lang w:val="es-ES"/>
        </w:rPr>
        <w:t xml:space="preserve"> Pellón </w:t>
      </w:r>
      <w:r w:rsidRPr="00F925AE">
        <w:rPr>
          <w:rFonts w:eastAsia="Times New Roman" w:cs="Times New Roman"/>
          <w:i/>
          <w:sz w:val="20"/>
          <w:szCs w:val="20"/>
          <w:vertAlign w:val="superscript"/>
          <w:lang w:val="es-ES"/>
        </w:rPr>
        <w:t>*</w:t>
      </w:r>
      <w:r w:rsidRPr="00F925AE">
        <w:rPr>
          <w:rFonts w:eastAsia="Times New Roman" w:cs="Times New Roman"/>
          <w:i/>
          <w:sz w:val="20"/>
          <w:szCs w:val="20"/>
          <w:lang w:val="es-ES"/>
        </w:rPr>
        <w:t>, Universidad Complutense de Madrid</w:t>
      </w:r>
    </w:p>
    <w:p w:rsidR="00D8460B" w:rsidRPr="00F925AE" w:rsidRDefault="00D8460B" w:rsidP="00D8460B">
      <w:pPr>
        <w:spacing w:line="360" w:lineRule="auto"/>
        <w:ind w:firstLine="0"/>
        <w:jc w:val="center"/>
        <w:rPr>
          <w:rFonts w:eastAsia="Times New Roman" w:cs="Times New Roman"/>
          <w:i/>
          <w:sz w:val="20"/>
          <w:szCs w:val="20"/>
        </w:rPr>
      </w:pPr>
      <w:r w:rsidRPr="00F925AE">
        <w:rPr>
          <w:rFonts w:eastAsia="Times New Roman" w:cs="Times New Roman"/>
          <w:i/>
          <w:sz w:val="20"/>
          <w:szCs w:val="20"/>
        </w:rPr>
        <w:t>Anita Quas, emlyon business school</w:t>
      </w:r>
    </w:p>
    <w:p w:rsidR="00512993" w:rsidRPr="00F925AE" w:rsidRDefault="00512993" w:rsidP="00D8460B">
      <w:pPr>
        <w:tabs>
          <w:tab w:val="left" w:pos="0"/>
        </w:tabs>
        <w:spacing w:line="360" w:lineRule="auto"/>
        <w:ind w:firstLine="0"/>
        <w:jc w:val="center"/>
        <w:rPr>
          <w:rFonts w:eastAsia="Times New Roman" w:cs="Times New Roman"/>
          <w:sz w:val="20"/>
          <w:szCs w:val="20"/>
          <w:lang w:bidi="en-US"/>
        </w:rPr>
      </w:pPr>
      <w:r w:rsidRPr="00F925AE">
        <w:rPr>
          <w:rFonts w:eastAsia="Times New Roman" w:cs="Times New Roman"/>
          <w:sz w:val="20"/>
          <w:szCs w:val="20"/>
        </w:rPr>
        <w:t>Current version: September 2016</w:t>
      </w:r>
    </w:p>
    <w:p w:rsidR="00512993" w:rsidRPr="00F925AE" w:rsidRDefault="00512993" w:rsidP="00D8460B">
      <w:pPr>
        <w:pStyle w:val="Ttulo1"/>
        <w:numPr>
          <w:ilvl w:val="0"/>
          <w:numId w:val="0"/>
        </w:numPr>
        <w:spacing w:line="360" w:lineRule="auto"/>
        <w:ind w:left="432"/>
        <w:rPr>
          <w:rFonts w:eastAsia="Times New Roman" w:cs="Times New Roman"/>
          <w:bCs/>
          <w:i/>
          <w:iCs/>
        </w:rPr>
      </w:pPr>
      <w:r w:rsidRPr="00F925AE">
        <w:rPr>
          <w:rFonts w:eastAsia="Times New Roman" w:cs="Times New Roman"/>
        </w:rPr>
        <w:t>Abstract</w:t>
      </w:r>
    </w:p>
    <w:p w:rsidR="00512993" w:rsidRPr="00F925AE" w:rsidRDefault="00512993" w:rsidP="00512993">
      <w:pPr>
        <w:spacing w:line="360" w:lineRule="auto"/>
        <w:rPr>
          <w:rFonts w:cs="Times New Roman"/>
          <w:sz w:val="20"/>
          <w:szCs w:val="20"/>
        </w:rPr>
      </w:pPr>
      <w:r w:rsidRPr="00F925AE">
        <w:rPr>
          <w:rFonts w:cs="Times New Roman"/>
          <w:sz w:val="20"/>
          <w:szCs w:val="20"/>
        </w:rPr>
        <w:t>Policymakers around the world have created several schemes to support financially-constrained SMEs. However, whether these mechanisms improve the access to external sources of finance or on the contrary crowd out private players remains a relevant question. In this paper we study the effectiveness of a recent form of government support, called participative loan, in improving recipient SMEs’ access to external financial debt. Relying on the literature about the certification effect, we develop hypotheses on the conditions under which the improvement is stronger. The empirical analysis is based on a sample of 488 Spanish SMEs that received participative loans from a Spanish government agency and a control group of 719 matched twins. We show that the former register significantly higher external financial debt</w:t>
      </w:r>
      <w:r w:rsidR="00B72C2D" w:rsidRPr="00F925AE">
        <w:rPr>
          <w:rFonts w:cs="Times New Roman"/>
          <w:sz w:val="20"/>
          <w:szCs w:val="20"/>
        </w:rPr>
        <w:t xml:space="preserve"> (+31.5%)</w:t>
      </w:r>
      <w:r w:rsidRPr="00F925AE">
        <w:rPr>
          <w:rFonts w:cs="Times New Roman"/>
          <w:sz w:val="20"/>
          <w:szCs w:val="20"/>
        </w:rPr>
        <w:t xml:space="preserve">. The effect is stronger for smaller firms, or for those operating in high-technology sectors, which suffer more acutely from information asymmetries, and </w:t>
      </w:r>
      <w:r w:rsidR="00B72C2D" w:rsidRPr="00F925AE">
        <w:rPr>
          <w:rFonts w:cs="Times New Roman"/>
          <w:sz w:val="20"/>
          <w:szCs w:val="20"/>
        </w:rPr>
        <w:t>negligible</w:t>
      </w:r>
      <w:r w:rsidRPr="00F925AE">
        <w:rPr>
          <w:rFonts w:cs="Times New Roman"/>
          <w:sz w:val="20"/>
          <w:szCs w:val="20"/>
        </w:rPr>
        <w:t xml:space="preserve"> for firms that already received support from another government-supported institution. After ruling out alternative explanations, we interpret this result as a positive evidence of </w:t>
      </w:r>
      <w:r w:rsidRPr="00F925AE">
        <w:rPr>
          <w:rFonts w:eastAsia="Times New Roman" w:cs="Times New Roman"/>
          <w:sz w:val="20"/>
          <w:szCs w:val="20"/>
        </w:rPr>
        <w:t>government certification of SMEs towards banks.</w:t>
      </w:r>
    </w:p>
    <w:p w:rsidR="00512993" w:rsidRPr="00F925AE" w:rsidRDefault="00512993" w:rsidP="00512993">
      <w:pPr>
        <w:autoSpaceDE w:val="0"/>
        <w:autoSpaceDN w:val="0"/>
        <w:adjustRightInd w:val="0"/>
        <w:spacing w:after="120"/>
        <w:ind w:firstLine="0"/>
        <w:rPr>
          <w:rFonts w:cs="Times New Roman"/>
          <w:sz w:val="20"/>
          <w:szCs w:val="20"/>
        </w:rPr>
      </w:pPr>
      <w:r w:rsidRPr="00F925AE">
        <w:rPr>
          <w:rFonts w:eastAsia="Times New Roman" w:cs="Times New Roman"/>
          <w:sz w:val="20"/>
          <w:szCs w:val="20"/>
        </w:rPr>
        <w:t xml:space="preserve">JEL classification: </w:t>
      </w:r>
      <w:r w:rsidRPr="00F925AE">
        <w:rPr>
          <w:rFonts w:cs="Times New Roman"/>
          <w:sz w:val="20"/>
          <w:szCs w:val="20"/>
        </w:rPr>
        <w:t>G21, G28, H81</w:t>
      </w:r>
    </w:p>
    <w:p w:rsidR="00512993" w:rsidRPr="00F925AE" w:rsidRDefault="00512993" w:rsidP="00512993">
      <w:pPr>
        <w:autoSpaceDE w:val="0"/>
        <w:autoSpaceDN w:val="0"/>
        <w:adjustRightInd w:val="0"/>
        <w:spacing w:after="120"/>
        <w:ind w:firstLine="0"/>
        <w:rPr>
          <w:rFonts w:eastAsia="Times New Roman" w:cs="Times New Roman"/>
          <w:sz w:val="20"/>
          <w:szCs w:val="20"/>
        </w:rPr>
      </w:pPr>
      <w:r w:rsidRPr="00F925AE">
        <w:rPr>
          <w:rFonts w:eastAsia="Times New Roman" w:cs="Times New Roman"/>
          <w:sz w:val="20"/>
          <w:szCs w:val="20"/>
        </w:rPr>
        <w:t>Keywords: certification hypothesis, participative loans, long-term financing, government intervention, subsidized loans.</w:t>
      </w:r>
    </w:p>
    <w:p w:rsidR="00D8460B" w:rsidRPr="00F925AE" w:rsidRDefault="00D8460B" w:rsidP="00D8460B">
      <w:pPr>
        <w:pStyle w:val="Ttulo1"/>
        <w:numPr>
          <w:ilvl w:val="0"/>
          <w:numId w:val="0"/>
        </w:numPr>
        <w:spacing w:line="360" w:lineRule="auto"/>
        <w:ind w:left="432" w:hanging="432"/>
        <w:rPr>
          <w:rFonts w:eastAsia="Times New Roman" w:cs="Times New Roman"/>
          <w:b w:val="0"/>
          <w:i/>
        </w:rPr>
      </w:pPr>
      <w:r w:rsidRPr="00F925AE">
        <w:rPr>
          <w:rFonts w:eastAsia="Times New Roman" w:cs="Times New Roman"/>
          <w:b w:val="0"/>
          <w:i/>
        </w:rPr>
        <w:t>*Corresponding author: Phone: +34913942310 Email: jmartipe@ccee.ucm.es</w:t>
      </w:r>
    </w:p>
    <w:p w:rsidR="00D8460B" w:rsidRPr="00F925AE" w:rsidRDefault="00D8460B" w:rsidP="003B4EF4">
      <w:pPr>
        <w:rPr>
          <w:rFonts w:eastAsia="Times New Roman" w:cs="Times New Roman"/>
          <w:sz w:val="20"/>
          <w:szCs w:val="20"/>
        </w:rPr>
      </w:pPr>
    </w:p>
    <w:p w:rsidR="000A4530" w:rsidRPr="00F925AE" w:rsidRDefault="00B86620" w:rsidP="000A4530">
      <w:pPr>
        <w:pStyle w:val="Ttulo1"/>
        <w:numPr>
          <w:ilvl w:val="0"/>
          <w:numId w:val="0"/>
        </w:numPr>
        <w:spacing w:line="360" w:lineRule="auto"/>
        <w:ind w:left="432"/>
        <w:rPr>
          <w:rFonts w:eastAsia="Times New Roman" w:cs="Times New Roman"/>
          <w:bCs/>
          <w:i/>
          <w:iCs/>
        </w:rPr>
      </w:pPr>
      <w:r w:rsidRPr="00F925AE">
        <w:rPr>
          <w:rFonts w:eastAsia="Times New Roman" w:cs="Times New Roman"/>
        </w:rPr>
        <w:t>Acknowledgements</w:t>
      </w:r>
    </w:p>
    <w:p w:rsidR="000A4530" w:rsidRPr="00F925AE" w:rsidRDefault="005C6A92" w:rsidP="000A4530">
      <w:pPr>
        <w:autoSpaceDE w:val="0"/>
        <w:autoSpaceDN w:val="0"/>
        <w:adjustRightInd w:val="0"/>
        <w:spacing w:after="120"/>
        <w:ind w:firstLine="0"/>
        <w:rPr>
          <w:rFonts w:eastAsia="Times New Roman" w:cs="Times New Roman"/>
          <w:sz w:val="20"/>
          <w:szCs w:val="20"/>
        </w:rPr>
      </w:pPr>
      <w:r>
        <w:rPr>
          <w:rFonts w:eastAsia="Times New Roman" w:cs="Times New Roman"/>
          <w:sz w:val="20"/>
          <w:szCs w:val="20"/>
        </w:rPr>
        <w:t xml:space="preserve">We thank Joern Block, Massimo Colombo and Silvio Vismara and two anonymous referees for their constructive comments. </w:t>
      </w:r>
      <w:r w:rsidR="000A4530" w:rsidRPr="00F925AE">
        <w:rPr>
          <w:rFonts w:eastAsia="Times New Roman" w:cs="Times New Roman"/>
          <w:sz w:val="20"/>
          <w:szCs w:val="20"/>
        </w:rPr>
        <w:t>We acknowledge financial assistance from the Spanish Ministry of Economics and Competitiveness (ECO2014-55674-R).</w:t>
      </w:r>
    </w:p>
    <w:p w:rsidR="00512993" w:rsidRPr="00F925AE" w:rsidRDefault="00512993" w:rsidP="00B72C2D">
      <w:pPr>
        <w:pStyle w:val="Prrafodelista"/>
        <w:autoSpaceDE w:val="0"/>
        <w:autoSpaceDN w:val="0"/>
        <w:adjustRightInd w:val="0"/>
        <w:spacing w:after="0"/>
        <w:ind w:left="714" w:firstLine="0"/>
        <w:rPr>
          <w:rFonts w:cs="Times New Roman"/>
          <w:sz w:val="20"/>
        </w:rPr>
      </w:pPr>
      <w:r w:rsidRPr="00F925AE">
        <w:rPr>
          <w:rFonts w:cs="Times New Roman"/>
          <w:sz w:val="20"/>
        </w:rPr>
        <w:br w:type="page"/>
      </w:r>
    </w:p>
    <w:p w:rsidR="00512993" w:rsidRPr="00F925AE" w:rsidRDefault="00512993">
      <w:pPr>
        <w:pStyle w:val="Ttulo1"/>
        <w:rPr>
          <w:rFonts w:cs="Times New Roman"/>
        </w:rPr>
      </w:pPr>
      <w:r w:rsidRPr="00F925AE">
        <w:rPr>
          <w:rFonts w:cs="Times New Roman"/>
        </w:rPr>
        <w:lastRenderedPageBreak/>
        <w:t>Introduction</w:t>
      </w:r>
    </w:p>
    <w:p w:rsidR="00512993" w:rsidRPr="00F925AE" w:rsidRDefault="00512993" w:rsidP="00512993">
      <w:pPr>
        <w:autoSpaceDE w:val="0"/>
        <w:autoSpaceDN w:val="0"/>
        <w:adjustRightInd w:val="0"/>
        <w:spacing w:before="120" w:after="120"/>
        <w:ind w:firstLine="0"/>
        <w:rPr>
          <w:rFonts w:cs="Times New Roman"/>
          <w:sz w:val="20"/>
          <w:szCs w:val="20"/>
        </w:rPr>
      </w:pPr>
      <w:r w:rsidRPr="00F925AE">
        <w:rPr>
          <w:rFonts w:eastAsia="Times New Roman" w:cs="Times New Roman"/>
          <w:sz w:val="20"/>
          <w:szCs w:val="20"/>
        </w:rPr>
        <w:t xml:space="preserve">SMEs experience more difficulties in accessing external finance than bigger firms due to high information asymmetries and low value of collateral </w:t>
      </w:r>
      <w:r w:rsidR="007C60DA" w:rsidRPr="00F925AE">
        <w:rPr>
          <w:rFonts w:eastAsia="Times New Roman" w:cs="Times New Roman"/>
          <w:sz w:val="20"/>
          <w:szCs w:val="20"/>
        </w:rPr>
        <w:fldChar w:fldCharType="begin" w:fldLock="1"/>
      </w:r>
      <w:r w:rsidRPr="00F925AE">
        <w:rPr>
          <w:rFonts w:eastAsia="Times New Roman" w:cs="Times New Roman"/>
          <w:sz w:val="20"/>
          <w:szCs w:val="20"/>
        </w:rPr>
        <w:instrText>ADDIN CSL_CITATION { "citationItems" : [ { "id" : "ITEM-1", "itemData" : { "DOI" : "10.1177/026624269201100103", "ISSN" : "0266-2426", "abstract" : "Dr M. R. Binks and G.V. Reed are with the department of economics, nottingham university, England, and C.T. Ennew with the Department of industrial economics of the same university. Ascertaining the risk associated with the provision of external finance to small firms involves the collection of considerable amounts of external fiance to small firms involves the collection of considrable amounts of inforation. The cost incurred in this process are sufficient to cause both an equity and a debt gap. Mainstream econmic therorists are divided as to whetehr the inforatmion asymmetries concerened cause an under or an over-supply of credit. This paper outlines the main elements of the eimpact of asymmetries concrened cause an under of over supply of credit.idicates the tendency of a cpaital as opposed to an incoming-generting approach to loan evaluation to emerge as a natural default process by United Kingdom banks. Although identifying the anture of asymmetries in practice is very difficult. it is important to make attempts to do so in order to guide and monitor progress in theri removal .the authors explain how a measure of demand, supply and attainment quality, with respect.The result illustrate tehrrelative experience of firms by sector, size and growth rate and reveal the possiblity tha those firms most in need of a prospectus based approach may be least well placed to receive it.", "author" : [ { "dropping-particle" : "", "family" : "Binks", "given" : "Martin R.", "non-dropping-particle" : "", "parse-names" : false, "suffix" : "" }, { "dropping-particle" : "", "family" : "Ennew", "given" : "C. T.", "non-dropping-particle" : "", "parse-names" : false, "suffix" : "" }, { "dropping-particle" : "V.", "family" : "Reed", "given" : "G.", "non-dropping-particle" : "", "parse-names" : false, "suffix" : "" } ], "container-title" : "International Small Business Journal", "id" : "ITEM-1", "issue" : "1", "issued" : { "date-parts" : [ [ "1992", "10" ] ] }, "page" : "35-46", "title" : "Information Asymmetries and the Provision of Finance to Small Firms", "type" : "article-journal", "volume" : "11" }, "uris" : [ "http://www.mendeley.com/documents/?uuid=87b9eaf9-7ef6-4bbd-9c52-d1ca63d9d257" ] } ], "mendeley" : { "formattedCitation" : "(Binks et al. 1992)", "plainTextFormattedCitation" : "(Binks et al. 1992)", "previouslyFormattedCitation" : "(Binks et al. 1992)" }, "properties" : { "noteIndex" : 0 }, "schema" : "https://github.com/citation-style-language/schema/raw/master/csl-citation.json" }</w:instrText>
      </w:r>
      <w:r w:rsidR="007C60DA" w:rsidRPr="00F925AE">
        <w:rPr>
          <w:rFonts w:eastAsia="Times New Roman" w:cs="Times New Roman"/>
          <w:sz w:val="20"/>
          <w:szCs w:val="20"/>
        </w:rPr>
        <w:fldChar w:fldCharType="separate"/>
      </w:r>
      <w:r w:rsidRPr="00F925AE">
        <w:rPr>
          <w:rFonts w:eastAsia="Times New Roman" w:cs="Times New Roman"/>
          <w:noProof/>
          <w:sz w:val="20"/>
          <w:szCs w:val="20"/>
        </w:rPr>
        <w:t>(Binks et al. 1992)</w:t>
      </w:r>
      <w:r w:rsidR="007C60DA" w:rsidRPr="00F925AE">
        <w:rPr>
          <w:rFonts w:eastAsia="Times New Roman" w:cs="Times New Roman"/>
          <w:sz w:val="20"/>
          <w:szCs w:val="20"/>
        </w:rPr>
        <w:fldChar w:fldCharType="end"/>
      </w:r>
      <w:r w:rsidRPr="00F925AE">
        <w:rPr>
          <w:rFonts w:eastAsia="Times New Roman" w:cs="Times New Roman"/>
          <w:sz w:val="20"/>
          <w:szCs w:val="20"/>
        </w:rPr>
        <w:t xml:space="preserve">. As a result, they usually resort to internal finance to fund their investment projects, and frequently forgo their growth opportunities when internal finance is not enough </w:t>
      </w:r>
      <w:r w:rsidR="007C60DA" w:rsidRPr="00F925AE">
        <w:rPr>
          <w:rFonts w:eastAsia="Times New Roman" w:cs="Times New Roman"/>
          <w:sz w:val="20"/>
          <w:szCs w:val="20"/>
        </w:rPr>
        <w:fldChar w:fldCharType="begin" w:fldLock="1"/>
      </w:r>
      <w:r w:rsidRPr="00F925AE">
        <w:rPr>
          <w:rFonts w:eastAsia="Times New Roman" w:cs="Times New Roman"/>
          <w:sz w:val="20"/>
          <w:szCs w:val="20"/>
        </w:rPr>
        <w:instrText>ADDIN CSL_CITATION { "citationItems" : [ { "id" : "ITEM-1", "itemData" : { "DOI" : "10.1162/003465302317411541", "ISSN" : "0034-6535", "author" : [ { "dropping-particle" : "", "family" : "Carpenter", "given" : "Robert E.", "non-dropping-particle" : "", "parse-names" : false, "suffix" : "" }, { "dropping-particle" : "", "family" : "Petersen", "given" : "Bruce C.", "non-dropping-particle" : "", "parse-names" : false, "suffix" : "" } ], "container-title" : "Review of Economics and Statistics", "id" : "ITEM-1", "issue" : "2", "issued" : { "date-parts" : [ [ "2002", "5" ] ] }, "page" : "298-309", "title" : "Is the Growth of Small Firms Constrained by Internal Finance?", "type" : "article-journal", "volume" : "84" }, "uris" : [ "http://www.mendeley.com/documents/?uuid=352888d2-b4b0-4de4-aa61-66fec065489d" ] } ], "mendeley" : { "formattedCitation" : "(Carpenter and Petersen 2002a)", "plainTextFormattedCitation" : "(Carpenter and Petersen 2002a)", "previouslyFormattedCitation" : "(Carpenter and Petersen 2002a)" }, "properties" : { "noteIndex" : 0 }, "schema" : "https://github.com/citation-style-language/schema/raw/master/csl-citation.json" }</w:instrText>
      </w:r>
      <w:r w:rsidR="007C60DA" w:rsidRPr="00F925AE">
        <w:rPr>
          <w:rFonts w:eastAsia="Times New Roman" w:cs="Times New Roman"/>
          <w:sz w:val="20"/>
          <w:szCs w:val="20"/>
        </w:rPr>
        <w:fldChar w:fldCharType="separate"/>
      </w:r>
      <w:r w:rsidRPr="00F925AE">
        <w:rPr>
          <w:rFonts w:eastAsia="Times New Roman" w:cs="Times New Roman"/>
          <w:noProof/>
          <w:sz w:val="20"/>
          <w:szCs w:val="20"/>
        </w:rPr>
        <w:t>(Carpenter and Petersen 2002a)</w:t>
      </w:r>
      <w:r w:rsidR="007C60DA" w:rsidRPr="00F925AE">
        <w:rPr>
          <w:rFonts w:eastAsia="Times New Roman" w:cs="Times New Roman"/>
          <w:sz w:val="20"/>
          <w:szCs w:val="20"/>
        </w:rPr>
        <w:fldChar w:fldCharType="end"/>
      </w:r>
      <w:r w:rsidRPr="00F925AE">
        <w:rPr>
          <w:rFonts w:eastAsia="Times New Roman" w:cs="Times New Roman"/>
          <w:sz w:val="20"/>
          <w:szCs w:val="20"/>
        </w:rPr>
        <w:t xml:space="preserve">. Since SMEs </w:t>
      </w:r>
      <w:r w:rsidRPr="00F925AE">
        <w:rPr>
          <w:rFonts w:cs="Times New Roman"/>
          <w:sz w:val="20"/>
          <w:szCs w:val="20"/>
        </w:rPr>
        <w:t xml:space="preserve">strongly contribute to </w:t>
      </w:r>
      <w:r w:rsidRPr="00F925AE">
        <w:rPr>
          <w:rFonts w:eastAsia="Times New Roman" w:cs="Times New Roman"/>
          <w:sz w:val="20"/>
          <w:szCs w:val="20"/>
        </w:rPr>
        <w:t>value added and employment, policymakers have designed a variety of schemes to directly allocate public funding to SMEs, with various levels of success</w:t>
      </w:r>
      <w:r w:rsidR="008644FE" w:rsidRPr="00F925AE">
        <w:rPr>
          <w:rFonts w:eastAsia="Times New Roman" w:cs="Times New Roman"/>
          <w:sz w:val="20"/>
          <w:szCs w:val="20"/>
        </w:rPr>
        <w:t>.</w:t>
      </w:r>
      <w:r w:rsidRPr="00F925AE">
        <w:rPr>
          <w:rStyle w:val="Refdenotaalpie"/>
          <w:rFonts w:eastAsia="Times New Roman" w:cs="Times New Roman"/>
          <w:sz w:val="20"/>
          <w:szCs w:val="20"/>
        </w:rPr>
        <w:footnoteReference w:id="1"/>
      </w:r>
      <w:r w:rsidRPr="00F925AE">
        <w:rPr>
          <w:rFonts w:eastAsia="Times New Roman" w:cs="Times New Roman"/>
          <w:sz w:val="20"/>
          <w:szCs w:val="20"/>
        </w:rPr>
        <w:t xml:space="preserve"> There is a fierce academic debate, with uncertain conclusions </w:t>
      </w:r>
      <w:r w:rsidR="007C60DA" w:rsidRPr="00F925AE">
        <w:rPr>
          <w:rFonts w:eastAsia="Times New Roman" w:cs="Times New Roman"/>
          <w:sz w:val="20"/>
          <w:szCs w:val="20"/>
        </w:rPr>
        <w:fldChar w:fldCharType="begin" w:fldLock="1"/>
      </w:r>
      <w:r w:rsidRPr="00F925AE">
        <w:rPr>
          <w:rFonts w:eastAsia="Times New Roman" w:cs="Times New Roman"/>
          <w:sz w:val="20"/>
          <w:szCs w:val="20"/>
        </w:rPr>
        <w:instrText>ADDIN CSL_CITATION { "citationItems" : [ { "id" : "ITEM-1", "itemData" : { "DOI" : "10.1111/j.1467-6419.2012.00738.x", "ISSN" : "09500804", "author" : [ { "dropping-particle" : "", "family" : "Z\u00fa\u00f1iga Vicente", "given" : "J\u00c1", "non-dropping-particle" : "", "parse-names" : false, "suffix" : "" }, { "dropping-particle" : "", "family" : "Alonso-Borrego", "given" : "C\u00e9sar", "non-dropping-particle" : "", "parse-names" : false, "suffix" : "" }, { "dropping-particle" : "", "family" : "Forcadell", "given" : "Francisco J.", "non-dropping-particle" : "", "parse-names" : false, "suffix" : "" }, { "dropping-particle" : "", "family" : "Gal\u00e0n", "given" : "Jos\u00e9 I.", "non-dropping-particle" : "", "parse-names" : false, "suffix" : "" } ], "container-title" : "Journal of Economic Surveys", "id" : "ITEM-1", "issue" : "1", "issued" : { "date-parts" : [ [ "2014", "2" ] ] }, "page" : "36-67", "title" : "Assessing the Effect of Public Subsidies on Firm R&amp;D Investment: A Survey", "type" : "article-journal", "volume" : "28" }, "uris" : [ "http://www.mendeley.com/documents/?uuid=6588b2c6-dbe3-46d5-98f2-ff5a346fffa8" ] }, { "id" : "ITEM-2", "itemData" : { "DOI" : "10.1007/s11187-015-9661-1", "ISSN" : "0921-898X", "author" : [ { "dropping-particle" : "", "family" : "Czarnitzki", "given" : "Dirk", "non-dropping-particle" : "", "parse-names" : false, "suffix" : "" }, { "dropping-particle" : "", "family" : "Delanote", "given" : "Julie", "non-dropping-particle" : "", "parse-names" : false, "suffix" : "" } ], "container-title" : "Small Business Economics", "id" : "ITEM-2", "issue" : "3", "issued" : { "date-parts" : [ [ "2015", "10", "29" ] ] }, "page" : "465-485", "publisher" : "Springer US", "title" : "R&amp;D Policies for Young SMEs: Input and Output Effects", "type" : "article-journal", "volume" : "45" }, "uris" : [ "http://www.mendeley.com/documents/?uuid=8a82182f-169c-38fe-a120-ec401d81ae25" ] } ], "mendeley" : { "formattedCitation" : "(Czarnitzki and Delanote 2015; Z\u00fa\u00f1iga Vicente et al. 2014)", "manualFormatting" : "(e.g., see Czarnitzki and Delanote 2015; Z\u00fa\u00f1iga Vicente et al. 2014)", "plainTextFormattedCitation" : "(Czarnitzki and Delanote 2015; Z\u00fa\u00f1iga Vicente et al. 2014)", "previouslyFormattedCitation" : "(Czarnitzki and Delanote 2015; Z\u00fa\u00f1iga Vicente et al. 2014)" }, "properties" : { "noteIndex" : 0 }, "schema" : "https://github.com/citation-style-language/schema/raw/master/csl-citation.json" }</w:instrText>
      </w:r>
      <w:r w:rsidR="007C60DA" w:rsidRPr="00F925AE">
        <w:rPr>
          <w:rFonts w:eastAsia="Times New Roman" w:cs="Times New Roman"/>
          <w:sz w:val="20"/>
          <w:szCs w:val="20"/>
        </w:rPr>
        <w:fldChar w:fldCharType="separate"/>
      </w:r>
      <w:r w:rsidRPr="00F925AE">
        <w:rPr>
          <w:rFonts w:eastAsia="Times New Roman" w:cs="Times New Roman"/>
          <w:noProof/>
          <w:sz w:val="20"/>
          <w:szCs w:val="20"/>
        </w:rPr>
        <w:t>(e.g., see Czarnitzki and Delanote 2015; Zúñiga Vicente et al. 2014)</w:t>
      </w:r>
      <w:r w:rsidR="007C60DA" w:rsidRPr="00F925AE">
        <w:rPr>
          <w:rFonts w:eastAsia="Times New Roman" w:cs="Times New Roman"/>
          <w:sz w:val="20"/>
          <w:szCs w:val="20"/>
        </w:rPr>
        <w:fldChar w:fldCharType="end"/>
      </w:r>
      <w:r w:rsidRPr="00F925AE">
        <w:rPr>
          <w:rFonts w:eastAsia="Times New Roman" w:cs="Times New Roman"/>
          <w:sz w:val="20"/>
          <w:szCs w:val="20"/>
        </w:rPr>
        <w:t xml:space="preserve">, about the additionality of R&amp;D subsidies with respect to private investments (for a recent example, see </w:t>
      </w:r>
      <w:r w:rsidR="007C60DA" w:rsidRPr="00F925AE">
        <w:rPr>
          <w:rFonts w:eastAsia="Times New Roman" w:cs="Times New Roman"/>
          <w:sz w:val="20"/>
          <w:szCs w:val="20"/>
        </w:rPr>
        <w:fldChar w:fldCharType="begin" w:fldLock="1"/>
      </w:r>
      <w:r w:rsidRPr="00F925AE">
        <w:rPr>
          <w:rFonts w:eastAsia="Times New Roman" w:cs="Times New Roman"/>
          <w:sz w:val="20"/>
          <w:szCs w:val="20"/>
        </w:rPr>
        <w:instrText>ADDIN CSL_CITATION { "citationItems" : [ { "id" : "ITEM-1", "itemData" : { "DOI" : "10.1007/s11187-015-9658-9", "ISSN" : "0921-898X", "author" : [ { "dropping-particle" : "", "family" : "Karhunen", "given" : "Hannu", "non-dropping-particle" : "", "parse-names" : false, "suffix" : "" }, { "dropping-particle" : "", "family" : "Huovari", "given" : "Janne", "non-dropping-particle" : "", "parse-names" : false, "suffix" : "" } ], "container-title" : "Small Business Economics", "id" : "ITEM-1", "issue" : "4", "issued" : { "date-parts" : [ [ "2015", "12", "19" ] ] }, "page" : "805-823", "publisher" : "Springer US", "title" : "R&amp;D Subsidies and Productivity in SMEs", "type" : "article-journal", "volume" : "45" }, "uris" : [ "http://www.mendeley.com/documents/?uuid=99f2c8bb-606e-37f2-a496-2b7ff746bd28" ] } ], "mendeley" : { "formattedCitation" : "(Karhunen and Huovari 2015)", "manualFormatting" : "Karhunen and Huovari 2015)", "plainTextFormattedCitation" : "(Karhunen and Huovari 2015)", "previouslyFormattedCitation" : "(Karhunen and Huovari 2015)" }, "properties" : { "noteIndex" : 0 }, "schema" : "https://github.com/citation-style-language/schema/raw/master/csl-citation.json" }</w:instrText>
      </w:r>
      <w:r w:rsidR="007C60DA" w:rsidRPr="00F925AE">
        <w:rPr>
          <w:rFonts w:eastAsia="Times New Roman" w:cs="Times New Roman"/>
          <w:sz w:val="20"/>
          <w:szCs w:val="20"/>
        </w:rPr>
        <w:fldChar w:fldCharType="separate"/>
      </w:r>
      <w:r w:rsidRPr="00F925AE">
        <w:rPr>
          <w:rFonts w:eastAsia="Times New Roman" w:cs="Times New Roman"/>
          <w:noProof/>
          <w:sz w:val="20"/>
          <w:szCs w:val="20"/>
        </w:rPr>
        <w:t>Karhunen and Huovari 2015)</w:t>
      </w:r>
      <w:r w:rsidR="007C60DA" w:rsidRPr="00F925AE">
        <w:rPr>
          <w:rFonts w:eastAsia="Times New Roman" w:cs="Times New Roman"/>
          <w:sz w:val="20"/>
          <w:szCs w:val="20"/>
        </w:rPr>
        <w:fldChar w:fldCharType="end"/>
      </w:r>
      <w:r w:rsidRPr="00F925AE">
        <w:rPr>
          <w:rFonts w:eastAsia="Times New Roman" w:cs="Times New Roman"/>
          <w:sz w:val="20"/>
          <w:szCs w:val="20"/>
        </w:rPr>
        <w:t xml:space="preserve">. Equity-based forms of government support to SMEs, such as government-affiliated Venture Capital (hereafter VC) programs, show negligible </w:t>
      </w:r>
      <w:r w:rsidR="007C60DA" w:rsidRPr="00F925AE">
        <w:rPr>
          <w:rFonts w:eastAsia="Times New Roman" w:cs="Times New Roman"/>
          <w:sz w:val="20"/>
          <w:szCs w:val="20"/>
        </w:rPr>
        <w:fldChar w:fldCharType="begin" w:fldLock="1"/>
      </w:r>
      <w:r w:rsidRPr="00F925AE">
        <w:rPr>
          <w:rFonts w:eastAsia="Times New Roman" w:cs="Times New Roman"/>
          <w:sz w:val="20"/>
          <w:szCs w:val="20"/>
        </w:rPr>
        <w:instrText>ADDIN CSL_CITATION { "citationItems" : [ { "id" : "ITEM-1", "itemData" : { "DOI" : "10.1016/j.respol.2014.04.002", "ISSN" : "00487333", "abstract" : "Using a new European Union-sponsored firm-level longitudinal dataset, we assess the impact of government-managed (GVC) and independent venture capital (IVC) funds on the sales and employee growth of European high-tech entrepreneurial firms. Our results show that the main statistically robust and economically relevant positive effect is exerted by IVC investors on firm sales growth. Conversely, the impact of GVC alone appears to be negligible. We also find a positive and statistically significant impact of syndicated investments by both types of investors on firm sales growth, but only when led by IVC investors. Our results remain stable after controlling for endogeneity, survivorship bias, reverse causality, anticipation effects, legal and institutional differences across countries and over time and are stable with respect to potential non-linear effects of age and size of entrepreneurial firms. Overall, our analysis casts doubt on the ability of governments to support high-tech entrepreneurial firms through a direct and active involvement in VC markets.", "author" : [ { "dropping-particle" : "", "family" : "Grilli", "given" : "Luca", "non-dropping-particle" : "", "parse-names" : false, "suffix" : "" }, { "dropping-particle" : "", "family" : "Murtinu", "given" : "Samuele", "non-dropping-particle" : "", "parse-names" : false, "suffix" : "" } ], "container-title" : "Research Policy", "id" : "ITEM-1", "issue" : "9", "issued" : { "date-parts" : [ [ "2014", "5" ] ] }, "page" : "1523\u20131543", "title" : "Government, Venture Capital and the Growth of European High-tech Entrepreneurial Firms", "type" : "article-journal", "volume" : "43" }, "uris" : [ "http://www.mendeley.com/documents/?uuid=55595466-ee78-423c-81de-d6aa37ee1bbc" ] }, { "id" : "ITEM-2", "itemData" : { "DOI" : "10.1016/j.respol.2015.02.002", "author" : [ { "dropping-particle" : "", "family" : "Bertoni", "given" : "Fabio", "non-dropping-particle" : "", "parse-names" : false, "suffix" : "" }, { "dropping-particle" : "", "family" : "Tykvov\u00e1", "given" : "Tereza", "non-dropping-particle" : "", "parse-names" : false, "suffix" : "" } ], "container-title" : "Research Policy", "id" : "ITEM-2", "issue" : "4", "issued" : { "date-parts" : [ [ "2015" ] ] }, "page" : "925-935", "title" : "Does Governmental Venture Capital Spur Invention and Innovation? Evidence from Young European Biotech Companies", "type" : "article-journal", "volume" : "44" }, "uris" : [ "http://www.mendeley.com/documents/?uuid=bb0b1b42-1ff7-45b2-8fd7-d9b8617c2b5b" ] } ], "mendeley" : { "formattedCitation" : "(Bertoni and Tykvov\u00e1 2015; Grilli and Murtinu 2014)", "plainTextFormattedCitation" : "(Bertoni and Tykvov\u00e1 2015; Grilli and Murtinu 2014)", "previouslyFormattedCitation" : "(Bertoni and Tykvov\u00e1 2015; Grilli and Murtinu 2014)" }, "properties" : { "noteIndex" : 0 }, "schema" : "https://github.com/citation-style-language/schema/raw/master/csl-citation.json" }</w:instrText>
      </w:r>
      <w:r w:rsidR="007C60DA" w:rsidRPr="00F925AE">
        <w:rPr>
          <w:rFonts w:eastAsia="Times New Roman" w:cs="Times New Roman"/>
          <w:sz w:val="20"/>
          <w:szCs w:val="20"/>
        </w:rPr>
        <w:fldChar w:fldCharType="separate"/>
      </w:r>
      <w:r w:rsidRPr="00F925AE">
        <w:rPr>
          <w:rFonts w:eastAsia="Times New Roman" w:cs="Times New Roman"/>
          <w:noProof/>
          <w:sz w:val="20"/>
          <w:szCs w:val="20"/>
        </w:rPr>
        <w:t>(Bertoni and Tykvová 2015; Grilli and Murtinu 2014)</w:t>
      </w:r>
      <w:r w:rsidR="007C60DA" w:rsidRPr="00F925AE">
        <w:rPr>
          <w:rFonts w:eastAsia="Times New Roman" w:cs="Times New Roman"/>
          <w:sz w:val="20"/>
          <w:szCs w:val="20"/>
        </w:rPr>
        <w:fldChar w:fldCharType="end"/>
      </w:r>
      <w:r w:rsidRPr="00F925AE">
        <w:rPr>
          <w:rFonts w:eastAsia="Times New Roman" w:cs="Times New Roman"/>
          <w:sz w:val="20"/>
          <w:szCs w:val="20"/>
        </w:rPr>
        <w:t xml:space="preserve">, or even negative </w:t>
      </w:r>
      <w:r w:rsidR="007C60DA" w:rsidRPr="00F925AE">
        <w:rPr>
          <w:rFonts w:eastAsia="Times New Roman" w:cs="Times New Roman"/>
          <w:sz w:val="20"/>
          <w:szCs w:val="20"/>
        </w:rPr>
        <w:fldChar w:fldCharType="begin" w:fldLock="1"/>
      </w:r>
      <w:r w:rsidRPr="00F925AE">
        <w:rPr>
          <w:rFonts w:eastAsia="Times New Roman" w:cs="Times New Roman"/>
          <w:sz w:val="20"/>
          <w:szCs w:val="20"/>
        </w:rPr>
        <w:instrText>ADDIN CSL_CITATION { "citationItems" : [ { "id" : "ITEM-1", "itemData" : { "DOI" : "10.1016/j.jbusvent.2014.11.001", "ISSN" : "08839026", "abstract" : "We investigate the implications of venture capital (VC) investor type (government or private) on the operating efficiency of a sample of 515 Belgian portfolio firms up to 3years after the investment. We find that the government VC-backed firms display significant reductions in productivity. No significant differences in efficiency are found in firms backed by private VC compared with their non-VC-backed peers. Finally, significant reductions in efficiency exist in targets of government VC compared to their non-VC-backed peers.", "author" : [ { "dropping-particle" : "", "family" : "Alperovych", "given" : "Yan", "non-dropping-particle" : "", "parse-names" : false, "suffix" : "" }, { "dropping-particle" : "", "family" : "H\u00fcbner", "given" : "Georges", "non-dropping-particle" : "", "parse-names" : false, "suffix" : "" }, { "dropping-particle" : "", "family" : "Lobet", "given" : "Fabrice", "non-dropping-particle" : "", "parse-names" : false, "suffix" : "" } ], "container-title" : "Journal of Business Venturing", "id" : "ITEM-1", "issue" : "4", "issued" : { "date-parts" : [ [ "2015", "7" ] ] }, "page" : "508-525", "title" : "How does Governmental versus Private Venture Capital Backing Affect a Firm's Efficiency? Evidence from Belgium", "type" : "article-journal", "volume" : "30" }, "uris" : [ "http://www.mendeley.com/documents/?uuid=12c99ce3-3f63-48d2-9bdc-f81a5679349f", "http://www.mendeley.com/documents/?uuid=e843a6c4-bd0a-4146-923c-9ce1c00b3a6d" ] } ], "mendeley" : { "formattedCitation" : "(Alperovych et al. 2015)", "plainTextFormattedCitation" : "(Alperovych et al. 2015)", "previouslyFormattedCitation" : "(Alperovych et al. 2015)" }, "properties" : { "noteIndex" : 0 }, "schema" : "https://github.com/citation-style-language/schema/raw/master/csl-citation.json" }</w:instrText>
      </w:r>
      <w:r w:rsidR="007C60DA" w:rsidRPr="00F925AE">
        <w:rPr>
          <w:rFonts w:eastAsia="Times New Roman" w:cs="Times New Roman"/>
          <w:sz w:val="20"/>
          <w:szCs w:val="20"/>
        </w:rPr>
        <w:fldChar w:fldCharType="separate"/>
      </w:r>
      <w:r w:rsidRPr="00F925AE">
        <w:rPr>
          <w:rFonts w:eastAsia="Times New Roman" w:cs="Times New Roman"/>
          <w:noProof/>
          <w:sz w:val="20"/>
          <w:szCs w:val="20"/>
        </w:rPr>
        <w:t>(Alperovych et al. 2015)</w:t>
      </w:r>
      <w:r w:rsidR="007C60DA" w:rsidRPr="00F925AE">
        <w:rPr>
          <w:rFonts w:eastAsia="Times New Roman" w:cs="Times New Roman"/>
          <w:sz w:val="20"/>
          <w:szCs w:val="20"/>
        </w:rPr>
        <w:fldChar w:fldCharType="end"/>
      </w:r>
      <w:r w:rsidRPr="00F925AE">
        <w:rPr>
          <w:rFonts w:eastAsia="Times New Roman" w:cs="Times New Roman"/>
          <w:sz w:val="20"/>
          <w:szCs w:val="20"/>
        </w:rPr>
        <w:t xml:space="preserve"> effects on several performance measures, while the (scarce) literature on debt-based government initiatives to support SMEs highlight</w:t>
      </w:r>
      <w:r w:rsidR="009820B0" w:rsidRPr="00F925AE">
        <w:rPr>
          <w:rFonts w:eastAsia="Times New Roman" w:cs="Times New Roman"/>
          <w:sz w:val="20"/>
          <w:szCs w:val="20"/>
        </w:rPr>
        <w:t>s</w:t>
      </w:r>
      <w:r w:rsidRPr="00F925AE">
        <w:rPr>
          <w:rFonts w:eastAsia="Times New Roman" w:cs="Times New Roman"/>
          <w:sz w:val="20"/>
          <w:szCs w:val="20"/>
        </w:rPr>
        <w:t xml:space="preserve"> their effectiveness </w:t>
      </w:r>
      <w:r w:rsidR="007C60DA" w:rsidRPr="00F925AE">
        <w:rPr>
          <w:rFonts w:eastAsia="Times New Roman" w:cs="Times New Roman"/>
          <w:sz w:val="20"/>
          <w:szCs w:val="20"/>
        </w:rPr>
        <w:fldChar w:fldCharType="begin" w:fldLock="1"/>
      </w:r>
      <w:r w:rsidRPr="00F925AE">
        <w:rPr>
          <w:rFonts w:eastAsia="Times New Roman" w:cs="Times New Roman"/>
          <w:sz w:val="20"/>
          <w:szCs w:val="20"/>
        </w:rPr>
        <w:instrText>ADDIN CSL_CITATION { "citationItems" : [ { "id" : "ITEM-1", "itemData" : { "abstract" : "The objective of this study is to compare the effect of different types of public support for R&amp;D projects on firms\u2019 technological capabilities. We distinguish be-tween low-interest loans and subsidies and between national and European sup-port. Using data on 2,319 Spanish firms during the period 2002-2005, we estimate a multivariate probit to analyse the determinants of firms\u2019 participation in public R&amp;D programmes and, later, the impact of this participation on firms\u2019 technologi-cal capabilities using different indicators. The results provide evidence of the ef-fectiveness of all treatments for improving firms\u2019 innovative performance. Specif-ically, although the three kinds of public aid stimulate the intensity of R&amp;D in-vestment, the highest impact corresponds to soft credits. In addition, national sub-sidies have a higher impact on internal R&amp;D intensity than EU grants, but the op-posite relation is found as regards total R&amp;D intensity. With respect to innovation outputs, apart from the indirect effect of public support by stimulating R&amp;D in-tensity, we also find evidence of a direct effect of participation in the CDTI credit system and in the European subsidy programme on the probability of obtaining product innovations and applying for patents.", "author" : [ { "dropping-particle" : "", "family" : "Huergo", "given" : "Elena", "non-dropping-particle" : "", "parse-names" : false, "suffix" : "" }, { "dropping-particle" : "", "family" : "Moreno", "given" : "Lourdes", "non-dropping-particle" : "", "parse-names" : false, "suffix" : "" } ], "container-title" : "MPRA paper NO. 54218", "id" : "ITEM-1", "issued" : { "date-parts" : [ [ "2014", "3", "7" ] ] }, "number" : "54218", "page" : "1-35", "publisher-place" : "Munich", "title" : "National or International Public Funding? Subsidies or Loans? Evaluating the Innovation Impact of R&amp;D Support Programmes", "type" : "article-journal" }, "uris" : [ "http://www.mendeley.com/documents/?uuid=758f8e44-4366-4ba1-88a7-30b0ba11c0f1" ] }, { "id" : "ITEM-2", "itemData" : { "DOI" : "10.1007/s11187-016-9749-2", "ISSN" : "0921-898X", "author" : [ { "dropping-particle" : "", "family" : "Decramer", "given" : "Stefaan", "non-dropping-particle" : "", "parse-names" : false, "suffix" : "" }, { "dropping-particle" : "", "family" : "Vanormelingen", "given" : "Stijn", "non-dropping-particle" : "", "parse-names" : false, "suffix" : "" } ], "container-title" : "Small Business Economics", "id" : "ITEM-2", "issued" : { "date-parts" : [ [ "2016", "6", "22" ] ] }, "page" : "1-26", "publisher" : "Springer US", "title" : "The Effectiveness of Investment Subsidies: Evidence From a Regression Discontinuity Design", "type" : "article-journal", "volume" : "In press" }, "uris" : [ "http://www.mendeley.com/documents/?uuid=986e679c-597d-3efb-b8cd-3a351c94a1d7" ] } ], "mendeley" : { "formattedCitation" : "(Decramer and Vanormelingen 2016; Huergo and Moreno 2014)", "plainTextFormattedCitation" : "(Decramer and Vanormelingen 2016; Huergo and Moreno 2014)", "previouslyFormattedCitation" : "(Decramer and Vanormelingen 2016; Huergo and Moreno 2014)" }, "properties" : { "noteIndex" : 0 }, "schema" : "https://github.com/citation-style-language/schema/raw/master/csl-citation.json" }</w:instrText>
      </w:r>
      <w:r w:rsidR="007C60DA" w:rsidRPr="00F925AE">
        <w:rPr>
          <w:rFonts w:eastAsia="Times New Roman" w:cs="Times New Roman"/>
          <w:sz w:val="20"/>
          <w:szCs w:val="20"/>
        </w:rPr>
        <w:fldChar w:fldCharType="separate"/>
      </w:r>
      <w:r w:rsidRPr="00F925AE">
        <w:rPr>
          <w:rFonts w:eastAsia="Times New Roman" w:cs="Times New Roman"/>
          <w:noProof/>
          <w:sz w:val="20"/>
          <w:szCs w:val="20"/>
        </w:rPr>
        <w:t>(Decramer and Vanormelingen 2016; Huergo and Moreno 2014)</w:t>
      </w:r>
      <w:r w:rsidR="007C60DA" w:rsidRPr="00F925AE">
        <w:rPr>
          <w:rFonts w:eastAsia="Times New Roman" w:cs="Times New Roman"/>
          <w:sz w:val="20"/>
          <w:szCs w:val="20"/>
        </w:rPr>
        <w:fldChar w:fldCharType="end"/>
      </w:r>
      <w:r w:rsidRPr="00F925AE">
        <w:rPr>
          <w:rFonts w:eastAsia="Times New Roman" w:cs="Times New Roman"/>
          <w:sz w:val="20"/>
          <w:szCs w:val="20"/>
        </w:rPr>
        <w:t>.</w:t>
      </w:r>
    </w:p>
    <w:p w:rsidR="00512993" w:rsidRPr="00F925AE" w:rsidRDefault="00512993" w:rsidP="00512993">
      <w:pPr>
        <w:autoSpaceDE w:val="0"/>
        <w:autoSpaceDN w:val="0"/>
        <w:adjustRightInd w:val="0"/>
        <w:spacing w:before="120" w:after="120"/>
        <w:rPr>
          <w:rFonts w:cs="Times New Roman"/>
          <w:sz w:val="20"/>
          <w:szCs w:val="20"/>
        </w:rPr>
      </w:pPr>
      <w:r w:rsidRPr="00F925AE">
        <w:rPr>
          <w:rFonts w:eastAsia="Times New Roman" w:cs="Times New Roman"/>
          <w:sz w:val="20"/>
          <w:szCs w:val="20"/>
        </w:rPr>
        <w:t>In this work, we focus on a recent form of government intervention, called participative loan</w:t>
      </w:r>
      <w:r w:rsidR="009820B0" w:rsidRPr="00F925AE">
        <w:rPr>
          <w:rFonts w:eastAsia="Times New Roman" w:cs="Times New Roman"/>
          <w:sz w:val="20"/>
          <w:szCs w:val="20"/>
        </w:rPr>
        <w:t>s</w:t>
      </w:r>
      <w:r w:rsidR="008644FE" w:rsidRPr="00F925AE">
        <w:rPr>
          <w:rFonts w:eastAsia="Times New Roman" w:cs="Times New Roman"/>
          <w:sz w:val="20"/>
          <w:szCs w:val="20"/>
        </w:rPr>
        <w:t xml:space="preserve"> (h</w:t>
      </w:r>
      <w:r w:rsidRPr="00F925AE">
        <w:rPr>
          <w:rFonts w:eastAsia="Times New Roman" w:cs="Times New Roman"/>
          <w:sz w:val="20"/>
          <w:szCs w:val="20"/>
        </w:rPr>
        <w:t>ereinafter PL</w:t>
      </w:r>
      <w:r w:rsidR="008644FE" w:rsidRPr="00F925AE">
        <w:rPr>
          <w:rFonts w:eastAsia="Times New Roman" w:cs="Times New Roman"/>
          <w:sz w:val="20"/>
          <w:szCs w:val="20"/>
        </w:rPr>
        <w:t>s</w:t>
      </w:r>
      <w:r w:rsidRPr="00F925AE">
        <w:rPr>
          <w:rFonts w:eastAsia="Times New Roman" w:cs="Times New Roman"/>
          <w:sz w:val="20"/>
          <w:szCs w:val="20"/>
        </w:rPr>
        <w:t>), which is a hybrid financial instrument. Like loans, PLs have pre-determined maturity and interest payments but, like equity, the lender benefits from variable payments that depend on the profits (if any) of the borrower. The interest of PLs for entrepreneurial finance (and for this special issue) lies in the important advantages they present when compared to other forms of government support. From the government's perspective, PLs allow a recovery of government money that is, obviously, greater than that of R&amp;D subsidies, but also greater than that of traditional loans because of the variable additional payment collected from successful firms, which may offset losses from unsuccessful ones.</w:t>
      </w:r>
      <w:r w:rsidRPr="00F925AE">
        <w:rPr>
          <w:rStyle w:val="Refdenotaalpie"/>
          <w:rFonts w:eastAsia="Times New Roman" w:cs="Times New Roman"/>
          <w:sz w:val="20"/>
          <w:szCs w:val="20"/>
        </w:rPr>
        <w:footnoteReference w:id="2"/>
      </w:r>
      <w:r w:rsidRPr="00F925AE">
        <w:rPr>
          <w:rFonts w:eastAsia="Times New Roman" w:cs="Times New Roman"/>
          <w:sz w:val="20"/>
          <w:szCs w:val="20"/>
        </w:rPr>
        <w:t xml:space="preserve"> From the firm's perspective, the recipient SME faces lower interest payments before reaching the breakeven p</w:t>
      </w:r>
      <w:r w:rsidR="00D37DA4" w:rsidRPr="00F925AE">
        <w:rPr>
          <w:rFonts w:eastAsia="Times New Roman" w:cs="Times New Roman"/>
          <w:sz w:val="20"/>
          <w:szCs w:val="20"/>
        </w:rPr>
        <w:t>oint with respect to loans and</w:t>
      </w:r>
      <w:r w:rsidRPr="00F925AE">
        <w:rPr>
          <w:rFonts w:eastAsia="Times New Roman" w:cs="Times New Roman"/>
          <w:sz w:val="20"/>
          <w:szCs w:val="20"/>
        </w:rPr>
        <w:t xml:space="preserve"> does not suffer from internal capital dilution that would </w:t>
      </w:r>
      <w:r w:rsidR="00CA5D3B" w:rsidRPr="00F925AE">
        <w:rPr>
          <w:rFonts w:eastAsia="Times New Roman" w:cs="Times New Roman"/>
          <w:sz w:val="20"/>
          <w:szCs w:val="20"/>
        </w:rPr>
        <w:t xml:space="preserve">emerge </w:t>
      </w:r>
      <w:r w:rsidRPr="00F925AE">
        <w:rPr>
          <w:rFonts w:eastAsia="Times New Roman" w:cs="Times New Roman"/>
          <w:sz w:val="20"/>
          <w:szCs w:val="20"/>
        </w:rPr>
        <w:t xml:space="preserve">from the access to external equity. Despite these advantages, PLs have received virtually no attention from the entrepreneurial finance literature. </w:t>
      </w:r>
    </w:p>
    <w:p w:rsidR="00512993" w:rsidRPr="00F925AE" w:rsidRDefault="00512993" w:rsidP="00512993">
      <w:pPr>
        <w:autoSpaceDE w:val="0"/>
        <w:autoSpaceDN w:val="0"/>
        <w:adjustRightInd w:val="0"/>
        <w:spacing w:before="120" w:after="120"/>
        <w:rPr>
          <w:rFonts w:eastAsia="Times New Roman" w:cs="Times New Roman"/>
          <w:sz w:val="20"/>
          <w:szCs w:val="20"/>
        </w:rPr>
      </w:pPr>
      <w:r w:rsidRPr="00F925AE">
        <w:rPr>
          <w:rFonts w:eastAsia="Times New Roman" w:cs="Times New Roman"/>
          <w:sz w:val="20"/>
          <w:szCs w:val="20"/>
        </w:rPr>
        <w:lastRenderedPageBreak/>
        <w:t>We fill this gap by analyzing whether the receipt of PLs improved award</w:t>
      </w:r>
      <w:r w:rsidR="00BE6F0A" w:rsidRPr="00F925AE">
        <w:rPr>
          <w:rFonts w:eastAsia="Times New Roman" w:cs="Times New Roman"/>
          <w:sz w:val="20"/>
          <w:szCs w:val="20"/>
        </w:rPr>
        <w:t>-receiving</w:t>
      </w:r>
      <w:r w:rsidRPr="00F925AE">
        <w:rPr>
          <w:rFonts w:eastAsia="Times New Roman" w:cs="Times New Roman"/>
          <w:sz w:val="20"/>
          <w:szCs w:val="20"/>
        </w:rPr>
        <w:t xml:space="preserve"> SMEs’ access to external finance by mitigating the problems related to information asymmetries, namely adverse selection and moral hazard </w:t>
      </w:r>
      <w:r w:rsidR="007C60DA" w:rsidRPr="00F925AE">
        <w:rPr>
          <w:rFonts w:cs="Times New Roman"/>
          <w:sz w:val="20"/>
          <w:szCs w:val="20"/>
        </w:rPr>
        <w:fldChar w:fldCharType="begin" w:fldLock="1"/>
      </w:r>
      <w:r w:rsidRPr="00F925AE">
        <w:rPr>
          <w:rFonts w:cs="Times New Roman"/>
          <w:sz w:val="20"/>
          <w:szCs w:val="20"/>
        </w:rPr>
        <w:instrText>ADDIN CSL_CITATION { "citationItems" : [ { "id" : "ITEM-1", "itemData" : { "DOI" : "10.1177/026624269201100103", "ISSN" : "0266-2426", "abstract" : "Dr M. R. Binks and G.V. Reed are with the department of economics, nottingham university, England, and C.T. Ennew with the Department of industrial economics of the same university. Ascertaining the risk associated with the provision of external finance to small firms involves the collection of considerable amounts of external fiance to small firms involves the collection of considrable amounts of inforation. The cost incurred in this process are sufficient to cause both an equity and a debt gap. Mainstream econmic therorists are divided as to whetehr the inforatmion asymmetries concerened cause an under or an over-supply of credit. This paper outlines the main elements of the eimpact of asymmetries concrened cause an under of over supply of credit.idicates the tendency of a cpaital as opposed to an incoming-generting approach to loan evaluation to emerge as a natural default process by United Kingdom banks. Although identifying the anture of asymmetries in practice is very difficult. it is important to make attempts to do so in order to guide and monitor progress in theri removal .the authors explain how a measure of demand, supply and attainment quality, with respect.The result illustrate tehrrelative experience of firms by sector, size and growth rate and reveal the possiblity tha those firms most in need of a prospectus based approach may be least well placed to receive it.", "author" : [ { "dropping-particle" : "", "family" : "Binks", "given" : "Martin R.", "non-dropping-particle" : "", "parse-names" : false, "suffix" : "" }, { "dropping-particle" : "", "family" : "Ennew", "given" : "C. T.", "non-dropping-particle" : "", "parse-names" : false, "suffix" : "" }, { "dropping-particle" : "V.", "family" : "Reed", "given" : "G.", "non-dropping-particle" : "", "parse-names" : false, "suffix" : "" } ], "container-title" : "International Small Business Journal", "id" : "ITEM-1", "issue" : "1", "issued" : { "date-parts" : [ [ "1992", "10" ] ] }, "page" : "35-46", "title" : "Information Asymmetries and the Provision of Finance to Small Firms", "type" : "article-journal", "volume" : "11" }, "uris" : [ "http://www.mendeley.com/documents/?uuid=87b9eaf9-7ef6-4bbd-9c52-d1ca63d9d257" ] } ], "mendeley" : { "formattedCitation" : "(Binks et al. 1992)", "plainTextFormattedCitation" : "(Binks et al. 1992)", "previouslyFormattedCitation" : "(Binks et al. 1992)" }, "properties" : { "noteIndex" : 0 }, "schema" : "https://github.com/citation-style-language/schema/raw/master/csl-citation.json" }</w:instrText>
      </w:r>
      <w:r w:rsidR="007C60DA" w:rsidRPr="00F925AE">
        <w:rPr>
          <w:rFonts w:cs="Times New Roman"/>
          <w:sz w:val="20"/>
          <w:szCs w:val="20"/>
        </w:rPr>
        <w:fldChar w:fldCharType="separate"/>
      </w:r>
      <w:r w:rsidRPr="00F925AE">
        <w:rPr>
          <w:rFonts w:cs="Times New Roman"/>
          <w:noProof/>
          <w:sz w:val="20"/>
          <w:szCs w:val="20"/>
        </w:rPr>
        <w:t>(Binks et al. 1992)</w:t>
      </w:r>
      <w:r w:rsidR="007C60DA" w:rsidRPr="00F925AE">
        <w:rPr>
          <w:rFonts w:cs="Times New Roman"/>
          <w:sz w:val="20"/>
          <w:szCs w:val="20"/>
        </w:rPr>
        <w:fldChar w:fldCharType="end"/>
      </w:r>
      <w:r w:rsidRPr="00F925AE">
        <w:rPr>
          <w:rFonts w:cs="Times New Roman"/>
          <w:sz w:val="20"/>
          <w:szCs w:val="20"/>
        </w:rPr>
        <w:t xml:space="preserve">. We use </w:t>
      </w:r>
      <w:r w:rsidRPr="00F925AE">
        <w:rPr>
          <w:rFonts w:eastAsia="Times New Roman" w:cs="Times New Roman"/>
          <w:sz w:val="20"/>
          <w:szCs w:val="20"/>
        </w:rPr>
        <w:t xml:space="preserve">the theoretical lenses of the </w:t>
      </w:r>
      <w:r w:rsidRPr="00F925AE">
        <w:rPr>
          <w:rFonts w:eastAsia="Times New Roman" w:cs="Times New Roman"/>
          <w:i/>
          <w:sz w:val="20"/>
          <w:szCs w:val="20"/>
        </w:rPr>
        <w:t>certification hypothesis</w:t>
      </w:r>
      <w:r w:rsidRPr="00F925AE">
        <w:rPr>
          <w:rFonts w:eastAsia="Times New Roman" w:cs="Times New Roman"/>
          <w:sz w:val="20"/>
          <w:szCs w:val="20"/>
        </w:rPr>
        <w:t xml:space="preserve">, proposed by </w:t>
      </w:r>
      <w:r w:rsidR="007C60DA" w:rsidRPr="00F925AE">
        <w:rPr>
          <w:rFonts w:eastAsia="Times New Roman" w:cs="Times New Roman"/>
          <w:sz w:val="20"/>
          <w:szCs w:val="20"/>
        </w:rPr>
        <w:fldChar w:fldCharType="begin" w:fldLock="1"/>
      </w:r>
      <w:r w:rsidRPr="00F925AE">
        <w:rPr>
          <w:rFonts w:eastAsia="Times New Roman" w:cs="Times New Roman"/>
          <w:sz w:val="20"/>
          <w:szCs w:val="20"/>
        </w:rPr>
        <w:instrText>ADDIN CSL_CITATION { "citationItems" : [ { "id" : "ITEM-1", "itemData" : { "DOI" : "10.1111/1468-0297.00684", "author" : [ { "dropping-particle" : "", "family" : "Lerner", "given" : "Joshua", "non-dropping-particle" : "", "parse-names" : false, "suffix" : "" } ], "container-title" : "Economic Journal", "id" : "ITEM-1", "issue" : "477", "issued" : { "date-parts" : [ [ "2002" ] ] }, "page" : "F73-F84", "publisher" : "Blackwell Publishing for the Royal Economic Society", "title" : "When Bureaucrats Meet Entrepreneurs: The Design of Effective 'Public Venture Capital' Programmes", "type" : "article-journal", "volume" : "112" }, "uris" : [ "http://www.mendeley.com/documents/?uuid=5c80991c-44e7-46b6-a715-e3f54de7b42b" ] } ], "mendeley" : { "formattedCitation" : "(Lerner 2002)", "manualFormatting" : "Lerner (2002)", "plainTextFormattedCitation" : "(Lerner 2002)", "previouslyFormattedCitation" : "(Lerner 2002)" }, "properties" : { "noteIndex" : 0 }, "schema" : "https://github.com/citation-style-language/schema/raw/master/csl-citation.json" }</w:instrText>
      </w:r>
      <w:r w:rsidR="007C60DA" w:rsidRPr="00F925AE">
        <w:rPr>
          <w:rFonts w:eastAsia="Times New Roman" w:cs="Times New Roman"/>
          <w:sz w:val="20"/>
          <w:szCs w:val="20"/>
        </w:rPr>
        <w:fldChar w:fldCharType="separate"/>
      </w:r>
      <w:r w:rsidRPr="00F925AE">
        <w:rPr>
          <w:rFonts w:eastAsia="Times New Roman" w:cs="Times New Roman"/>
          <w:noProof/>
          <w:sz w:val="20"/>
          <w:szCs w:val="20"/>
        </w:rPr>
        <w:t>Lerner (2002)</w:t>
      </w:r>
      <w:r w:rsidR="007C60DA" w:rsidRPr="00F925AE">
        <w:rPr>
          <w:rFonts w:eastAsia="Times New Roman" w:cs="Times New Roman"/>
          <w:sz w:val="20"/>
          <w:szCs w:val="20"/>
        </w:rPr>
        <w:fldChar w:fldCharType="end"/>
      </w:r>
      <w:r w:rsidRPr="00F925AE">
        <w:rPr>
          <w:rFonts w:eastAsia="Times New Roman" w:cs="Times New Roman"/>
          <w:sz w:val="20"/>
          <w:szCs w:val="20"/>
        </w:rPr>
        <w:t xml:space="preserve">. The theory suggests that, in the absence of direct information on the quality of a firm, private investors may rely on the receipt of </w:t>
      </w:r>
      <w:r w:rsidRPr="00F925AE">
        <w:rPr>
          <w:rFonts w:eastAsia="Times New Roman" w:cs="Times New Roman"/>
          <w:i/>
          <w:sz w:val="20"/>
          <w:szCs w:val="20"/>
        </w:rPr>
        <w:t>selective</w:t>
      </w:r>
      <w:r w:rsidRPr="00F925AE">
        <w:rPr>
          <w:rFonts w:eastAsia="Times New Roman" w:cs="Times New Roman"/>
          <w:sz w:val="20"/>
          <w:szCs w:val="20"/>
        </w:rPr>
        <w:t xml:space="preserve"> forms of public support from the government to identify high-quality firms. In particular, w</w:t>
      </w:r>
      <w:r w:rsidRPr="00F925AE">
        <w:rPr>
          <w:rFonts w:cs="Times New Roman"/>
          <w:sz w:val="20"/>
          <w:szCs w:val="20"/>
        </w:rPr>
        <w:t xml:space="preserve">e study the certification effect of PLs towards commercial banks, </w:t>
      </w:r>
      <w:r w:rsidRPr="00F925AE">
        <w:rPr>
          <w:rFonts w:eastAsia="Times New Roman" w:cs="Times New Roman"/>
          <w:sz w:val="20"/>
          <w:szCs w:val="20"/>
        </w:rPr>
        <w:t xml:space="preserve">which are the most important source of external finance for SMEs </w:t>
      </w:r>
      <w:r w:rsidR="007C60DA" w:rsidRPr="00F925AE">
        <w:rPr>
          <w:rFonts w:eastAsia="Times New Roman" w:cs="Times New Roman"/>
          <w:sz w:val="20"/>
          <w:szCs w:val="20"/>
        </w:rPr>
        <w:fldChar w:fldCharType="begin" w:fldLock="1"/>
      </w:r>
      <w:r w:rsidRPr="00F925AE">
        <w:rPr>
          <w:rFonts w:eastAsia="Times New Roman" w:cs="Times New Roman"/>
          <w:sz w:val="20"/>
          <w:szCs w:val="20"/>
        </w:rPr>
        <w:instrText>ADDIN CSL_CITATION { "citationItems" : [ { "id" : "ITEM-1", "itemData" : { "DOI" : "10.1177/026624269201100103", "ISSN" : "0266-2426", "abstract" : "Dr M. R. Binks and G.V. Reed are with the department of economics, nottingham university, England, and C.T. Ennew with the Department of industrial economics of the same university. Ascertaining the risk associated with the provision of external finance to small firms involves the collection of considerable amounts of external fiance to small firms involves the collection of considrable amounts of inforation. The cost incurred in this process are sufficient to cause both an equity and a debt gap. Mainstream econmic therorists are divided as to whetehr the inforatmion asymmetries concerened cause an under or an over-supply of credit. This paper outlines the main elements of the eimpact of asymmetries concrened cause an under of over supply of credit.idicates the tendency of a cpaital as opposed to an incoming-generting approach to loan evaluation to emerge as a natural default process by United Kingdom banks. Although identifying the anture of asymmetries in practice is very difficult. it is important to make attempts to do so in order to guide and monitor progress in theri removal .the authors explain how a measure of demand, supply and attainment quality, with respect.The result illustrate tehrrelative experience of firms by sector, size and growth rate and reveal the possiblity tha those firms most in need of a prospectus based approach may be least well placed to receive it.", "author" : [ { "dropping-particle" : "", "family" : "Binks", "given" : "Martin R.", "non-dropping-particle" : "", "parse-names" : false, "suffix" : "" }, { "dropping-particle" : "", "family" : "Ennew", "given" : "C. T.", "non-dropping-particle" : "", "parse-names" : false, "suffix" : "" }, { "dropping-particle" : "V.", "family" : "Reed", "given" : "G.", "non-dropping-particle" : "", "parse-names" : false, "suffix" : "" } ], "container-title" : "International Small Business Journal", "id" : "ITEM-1", "issue" : "1", "issued" : { "date-parts" : [ [ "1992", "10" ] ] }, "page" : "35-46", "title" : "Information Asymmetries and the Provision of Finance to Small Firms", "type" : "article-journal", "volume" : "11" }, "uris" : [ "http://www.mendeley.com/documents/?uuid=87b9eaf9-7ef6-4bbd-9c52-d1ca63d9d257" ] } ], "mendeley" : { "formattedCitation" : "(Binks et al. 1992)", "plainTextFormattedCitation" : "(Binks et al. 1992)", "previouslyFormattedCitation" : "(Binks et al. 1992)" }, "properties" : { "noteIndex" : 0 }, "schema" : "https://github.com/citation-style-language/schema/raw/master/csl-citation.json" }</w:instrText>
      </w:r>
      <w:r w:rsidR="007C60DA" w:rsidRPr="00F925AE">
        <w:rPr>
          <w:rFonts w:eastAsia="Times New Roman" w:cs="Times New Roman"/>
          <w:sz w:val="20"/>
          <w:szCs w:val="20"/>
        </w:rPr>
        <w:fldChar w:fldCharType="separate"/>
      </w:r>
      <w:r w:rsidRPr="00F925AE">
        <w:rPr>
          <w:rFonts w:eastAsia="Times New Roman" w:cs="Times New Roman"/>
          <w:noProof/>
          <w:sz w:val="20"/>
          <w:szCs w:val="20"/>
        </w:rPr>
        <w:t>(Binks et al. 1992)</w:t>
      </w:r>
      <w:r w:rsidR="007C60DA" w:rsidRPr="00F925AE">
        <w:rPr>
          <w:rFonts w:eastAsia="Times New Roman" w:cs="Times New Roman"/>
          <w:sz w:val="20"/>
          <w:szCs w:val="20"/>
        </w:rPr>
        <w:fldChar w:fldCharType="end"/>
      </w:r>
      <w:r w:rsidRPr="00F925AE">
        <w:rPr>
          <w:rFonts w:eastAsia="Times New Roman" w:cs="Times New Roman"/>
          <w:sz w:val="20"/>
          <w:szCs w:val="20"/>
        </w:rPr>
        <w:t xml:space="preserve">. In addition, since the extant literature suggests that several factors moderate the effectiveness of government intervention </w:t>
      </w:r>
      <w:r w:rsidR="007C60DA" w:rsidRPr="00F925AE">
        <w:rPr>
          <w:rFonts w:eastAsia="Times New Roman" w:cs="Times New Roman"/>
          <w:sz w:val="20"/>
          <w:szCs w:val="20"/>
        </w:rPr>
        <w:fldChar w:fldCharType="begin" w:fldLock="1"/>
      </w:r>
      <w:r w:rsidRPr="00F925AE">
        <w:rPr>
          <w:rFonts w:eastAsia="Times New Roman" w:cs="Times New Roman"/>
          <w:sz w:val="20"/>
          <w:szCs w:val="20"/>
        </w:rPr>
        <w:instrText>ADDIN CSL_CITATION { "citationItems" : [ { "id" : "ITEM-1", "itemData" : { "DOI" : "10.1093/icc/dtu025", "ISSN" : "0960-6491", "abstract" : "We investigate the effect of public (PUVC) and private (PRVC) venture capital funds on the sales growth of 6513 European New Technology-Based Firms (NTBFs) during the period from 1992 to 2009. Our results show that PUVC-backed NTBFs underperform with respect to PRVC-backed ones and do not grow more than non-venture capital-backed companies. The impact of PUVC is still not statistically significant (even though it is positive) when PUVC funds target young NTBFs. The only notable exception suggesting a positive and statistically significant impact for PUVCs is when PUVC funds cofinance with PRVC funds, and both target young firms.", "author" : [ { "dropping-particle" : "", "family" : "Grilli", "given" : "Luca", "non-dropping-particle" : "", "parse-names" : false, "suffix" : "" }, { "dropping-particle" : "", "family" : "Murtinu", "given" : "Samuele", "non-dropping-particle" : "", "parse-names" : false, "suffix" : "" } ], "container-title" : "Industrial and Corporate Change", "id" : "ITEM-1", "issue" : "5", "issued" : { "date-parts" : [ [ "2015", "9", "5" ] ] }, "page" : "1109-1148", "title" : "New Technology-Based Firms in Europe: Market Penetration, Public Venture Capital, and Timing of Investment", "type" : "article-journal", "volume" : "24" }, "uris" : [ "http://www.mendeley.com/documents/?uuid=6fc6f7cc-2599-4455-a7d6-de1de5fd3bd5" ] }, { "id" : "ITEM-2", "itemData" : { "DOI" : "10.1016/j.respol.2012.01.001", "ISSN" : "00487333", "abstract" : "Many countries spend sizeable sums of public money on R&amp;D grants to alleviate debt and equity gaps for small firms\u2019 innovation projects. In making such awards, knowledgeable government officials may certify firms to private financiers. Using a unique Belgian dataset of 1107 approved requests and a control group of denied requests for a specific type of R&amp;D grant, we examine the impact of subsidies on small firms\u2019 access to external equity, short term and long term debt financing. We find that obtaining an R&amp;D subsidy provides a positive signal about SME quality and results in better access to long-term debt.", "author" : [ { "dropping-particle" : "", "family" : "Meuleman", "given" : "Miguel", "non-dropping-particle" : "", "parse-names" : false, "suffix" : "" }, { "dropping-particle" : "", "family" : "Maeseneire", "given" : "Wouter", "non-dropping-particle" : "De", "parse-names" : false, "suffix" : "" } ], "container-title" : "Research Policy", "id" : "ITEM-2", "issue" : "3", "issued" : { "date-parts" : [ [ "2012", "4" ] ] }, "page" : "580-591", "title" : "Do R&amp;D Subsidies Affect SMEs\u2019 Access to External Financing?", "type" : "article-journal", "volume" : "41" }, "uris" : [ "http://www.mendeley.com/documents/?uuid=d1f90ddc-2d4e-4a32-b467-35189ac0286f" ] } ], "mendeley" : { "formattedCitation" : "(Grilli and Murtinu 2015; Meuleman and De Maeseneire 2012)", "plainTextFormattedCitation" : "(Grilli and Murtinu 2015; Meuleman and De Maeseneire 2012)", "previouslyFormattedCitation" : "(Grilli and Murtinu 2015; Meuleman and De Maeseneire 2012)" }, "properties" : { "noteIndex" : 0 }, "schema" : "https://github.com/citation-style-language/schema/raw/master/csl-citation.json" }</w:instrText>
      </w:r>
      <w:r w:rsidR="007C60DA" w:rsidRPr="00F925AE">
        <w:rPr>
          <w:rFonts w:eastAsia="Times New Roman" w:cs="Times New Roman"/>
          <w:sz w:val="20"/>
          <w:szCs w:val="20"/>
        </w:rPr>
        <w:fldChar w:fldCharType="separate"/>
      </w:r>
      <w:r w:rsidRPr="00F925AE">
        <w:rPr>
          <w:rFonts w:eastAsia="Times New Roman" w:cs="Times New Roman"/>
          <w:noProof/>
          <w:sz w:val="20"/>
          <w:szCs w:val="20"/>
        </w:rPr>
        <w:t>(Grilli and Murtinu 2015; Meuleman and De Maeseneire 2012)</w:t>
      </w:r>
      <w:r w:rsidR="007C60DA" w:rsidRPr="00F925AE">
        <w:rPr>
          <w:rFonts w:eastAsia="Times New Roman" w:cs="Times New Roman"/>
          <w:sz w:val="20"/>
          <w:szCs w:val="20"/>
        </w:rPr>
        <w:fldChar w:fldCharType="end"/>
      </w:r>
      <w:r w:rsidRPr="00F925AE">
        <w:rPr>
          <w:rFonts w:eastAsia="Times New Roman" w:cs="Times New Roman"/>
          <w:sz w:val="20"/>
          <w:szCs w:val="20"/>
        </w:rPr>
        <w:t>, we also investigate under which conditions award</w:t>
      </w:r>
      <w:r w:rsidR="007F4963" w:rsidRPr="00F925AE">
        <w:rPr>
          <w:rFonts w:eastAsia="Times New Roman" w:cs="Times New Roman"/>
          <w:sz w:val="20"/>
          <w:szCs w:val="20"/>
        </w:rPr>
        <w:t>-receiving</w:t>
      </w:r>
      <w:r w:rsidRPr="00F925AE">
        <w:rPr>
          <w:rFonts w:eastAsia="Times New Roman" w:cs="Times New Roman"/>
          <w:sz w:val="20"/>
          <w:szCs w:val="20"/>
        </w:rPr>
        <w:t xml:space="preserve"> SMEs benefit more from the certification effect of PLs. </w:t>
      </w:r>
    </w:p>
    <w:p w:rsidR="00512993" w:rsidRPr="00F925AE" w:rsidRDefault="00512993" w:rsidP="00512993">
      <w:pPr>
        <w:autoSpaceDE w:val="0"/>
        <w:autoSpaceDN w:val="0"/>
        <w:adjustRightInd w:val="0"/>
        <w:spacing w:before="120" w:after="120"/>
        <w:ind w:firstLine="720"/>
        <w:rPr>
          <w:rFonts w:eastAsia="Times New Roman" w:cs="Times New Roman"/>
          <w:sz w:val="20"/>
          <w:szCs w:val="20"/>
        </w:rPr>
      </w:pPr>
      <w:r w:rsidRPr="00F925AE">
        <w:rPr>
          <w:rFonts w:eastAsia="Times New Roman" w:cs="Times New Roman"/>
          <w:sz w:val="20"/>
          <w:szCs w:val="20"/>
        </w:rPr>
        <w:t xml:space="preserve">This work is interesting for the entrepreneurial finance literature because it contributes to the discussion about the government's ability to tackle the funding gap affecting SMEs. In fact, a limited number of contributions directly assess the effect of direct public </w:t>
      </w:r>
      <w:r w:rsidR="007F4963" w:rsidRPr="00F925AE">
        <w:rPr>
          <w:rFonts w:eastAsia="Times New Roman" w:cs="Times New Roman"/>
          <w:sz w:val="20"/>
          <w:szCs w:val="20"/>
        </w:rPr>
        <w:t xml:space="preserve">financial aid </w:t>
      </w:r>
      <w:r w:rsidRPr="00F925AE">
        <w:rPr>
          <w:rFonts w:eastAsia="Times New Roman" w:cs="Times New Roman"/>
          <w:sz w:val="20"/>
          <w:szCs w:val="20"/>
        </w:rPr>
        <w:t xml:space="preserve">on the reduction of financial constraints in </w:t>
      </w:r>
      <w:r w:rsidR="007F4963" w:rsidRPr="00F925AE">
        <w:rPr>
          <w:rFonts w:eastAsia="Times New Roman" w:cs="Times New Roman"/>
          <w:sz w:val="20"/>
          <w:szCs w:val="20"/>
        </w:rPr>
        <w:t xml:space="preserve">supported </w:t>
      </w:r>
      <w:r w:rsidRPr="00F925AE">
        <w:rPr>
          <w:rFonts w:eastAsia="Times New Roman" w:cs="Times New Roman"/>
          <w:sz w:val="20"/>
          <w:szCs w:val="20"/>
        </w:rPr>
        <w:t xml:space="preserve">firms </w:t>
      </w:r>
      <w:r w:rsidR="007C60DA" w:rsidRPr="00F925AE">
        <w:rPr>
          <w:rFonts w:eastAsia="Times New Roman" w:cs="Times New Roman"/>
          <w:sz w:val="20"/>
          <w:szCs w:val="20"/>
        </w:rPr>
        <w:fldChar w:fldCharType="begin" w:fldLock="1"/>
      </w:r>
      <w:r w:rsidRPr="00F925AE">
        <w:rPr>
          <w:rFonts w:eastAsia="Times New Roman" w:cs="Times New Roman"/>
          <w:sz w:val="20"/>
          <w:szCs w:val="20"/>
        </w:rPr>
        <w:instrText>ADDIN CSL_CITATION { "citationItems" : [ { "id" : "ITEM-1", "itemData" : { "DOI" : "10.1016/j.respol.2013.07.003", "ISSN" : "00487333", "abstract" : "This work analyses the effect of public subsidies on firms\u2019 investments and investment\u2013cash flow sensitivity in a longitudinal sample of 288 Italian unlisted non-venture capital backed owner-managed new-technology-based firms (NTBFs), observed over a 15-year period from 1994 to 2008. Seventy five of these firms received one or more public subsidies in the observation period. We use an error correction model (ECM) specification and system generalised method of moment (GMM) techniques that take into account the endogeneity of public subsidies. First, we find that the investments of small NTBFs are sensitive to internal cash flows, while those of large NTBFs are not. Receipt of public subsidies by small NTBFs results in an increased investment rate and a reduced investment\u2013cash flow sensitivity, in the immediately following year. We interpret these results as an indication of the relaxation of financial constraints. Moreover, while the increase in the investment rate does not persist in the long run, the dependence of investments on cash flow remains negligible after receipt of the first public subsidy. These results support the view that public subsidies can help small NTBFs in persistently removing the financial constraints that bind their investment activity.", "author" : [ { "dropping-particle" : "", "family" : "Colombo", "given" : "Massimo Gaetano", "non-dropping-particle" : "", "parse-names" : false, "suffix" : "" }, { "dropping-particle" : "", "family" : "Croce", "given" : "Annalisa", "non-dropping-particle" : "", "parse-names" : false, "suffix" : "" }, { "dropping-particle" : "", "family" : "Guerini", "given" : "Massimiliano", "non-dropping-particle" : "", "parse-names" : false, "suffix" : "" } ], "container-title" : "Research Policy", "id" : "ITEM-1", "issue" : "9", "issued" : { "date-parts" : [ [ "2013", "11" ] ] }, "page" : "1605-1623", "title" : "The Effect of Public Subsidies on Firms\u2019 Investment\u2013Cash Flow Sensitivity: Transient or Persistent?", "type" : "article-journal", "volume" : "42" }, "uris" : [ "http://www.mendeley.com/documents/?uuid=ac945889-6c62-492d-9e2a-f0017d77d6a6" ] } ], "mendeley" : { "formattedCitation" : "(Colombo et al. 2013)", "manualFormatting" : "(Colombo et al. 2013)", "plainTextFormattedCitation" : "(Colombo et al. 2013)", "previouslyFormattedCitation" : "(Colombo et al. 2013)" }, "properties" : { "noteIndex" : 0 }, "schema" : "https://github.com/citation-style-language/schema/raw/master/csl-citation.json" }</w:instrText>
      </w:r>
      <w:r w:rsidR="007C60DA" w:rsidRPr="00F925AE">
        <w:rPr>
          <w:rFonts w:eastAsia="Times New Roman" w:cs="Times New Roman"/>
          <w:sz w:val="20"/>
          <w:szCs w:val="20"/>
        </w:rPr>
        <w:fldChar w:fldCharType="separate"/>
      </w:r>
      <w:r w:rsidRPr="00F925AE">
        <w:rPr>
          <w:rFonts w:eastAsia="Times New Roman" w:cs="Times New Roman"/>
          <w:noProof/>
          <w:sz w:val="20"/>
          <w:szCs w:val="20"/>
        </w:rPr>
        <w:t>(Colombo et al. 2013)</w:t>
      </w:r>
      <w:r w:rsidR="007C60DA" w:rsidRPr="00F925AE">
        <w:rPr>
          <w:rFonts w:eastAsia="Times New Roman" w:cs="Times New Roman"/>
          <w:sz w:val="20"/>
          <w:szCs w:val="20"/>
        </w:rPr>
        <w:fldChar w:fldCharType="end"/>
      </w:r>
      <w:r w:rsidRPr="00F925AE">
        <w:rPr>
          <w:rFonts w:eastAsia="Times New Roman" w:cs="Times New Roman"/>
          <w:sz w:val="20"/>
          <w:szCs w:val="20"/>
        </w:rPr>
        <w:t xml:space="preserve">, or on their ability to access external finance </w:t>
      </w:r>
      <w:r w:rsidR="007C60DA" w:rsidRPr="00F925AE">
        <w:rPr>
          <w:rFonts w:eastAsia="Times New Roman" w:cs="Times New Roman"/>
          <w:sz w:val="20"/>
          <w:szCs w:val="20"/>
        </w:rPr>
        <w:fldChar w:fldCharType="begin" w:fldLock="1"/>
      </w:r>
      <w:r w:rsidRPr="00F925AE">
        <w:rPr>
          <w:rFonts w:eastAsia="Times New Roman" w:cs="Times New Roman"/>
          <w:sz w:val="20"/>
          <w:szCs w:val="20"/>
        </w:rPr>
        <w:instrText>ADDIN CSL_CITATION { "citationItems" : [ { "id" : "ITEM-1", "itemData" : { "DOI" : "10.3905/jpe.2000.319960", "ISSN" : "1556-5068", "author" : [ { "dropping-particle" : "", "family" : "Lerner", "given" : "Joshua", "non-dropping-particle" : "", "parse-names" : false, "suffix" : "" } ], "container-title" : "Journal of Business", "genre" : "article", "id" : "ITEM-1", "issue" : "3", "issued" : { "date-parts" : [ [ "1999" ] ] }, "note" : "From Duplicate 1 ( \n\n\nThe Government as Venture Capitalist: The Long-Run Impact of the SBIR Program\n\n\n- Lerner, Josh )\n\n\n\n\n\n\n\n\nFrom Duplicate 2 ( \n\n\nThe Government as Venture Capitalist: The Long-Run Impact of the {SBIR} Program\n\n\n- Lerner, Joshua )\n\n\n\n\nFrom Duplicate 2 ( \n\n\nThe Government as Venture Capitalist: The Long-Run Impact of the SBIR Program\n\n\n- Lerner, Joshua )\n\n", "page" : "285-318", "title" : "The Government as Venture Capitalist: The Long-Run Impact of the SBIR Program", "type" : "article-journal", "volume" : "72" }, "uris" : [ "http://www.mendeley.com/documents/?uuid=f3c6e7af-90df-4e66-a21d-244880cdd2ec", "http://www.mendeley.com/documents/?uuid=6c0912e0-ccc3-4eb6-9706-3f32ca4df20f" ] }, { "id" : "ITEM-2", "itemData" : { "DOI" : "10.1016/j.respol.2012.01.001", "ISSN" : "00487333", "abstract" : "Many countries spend sizeable sums of public money on R&amp;D grants to alleviate debt and equity gaps for small firms\u2019 innovation projects. In making such awards, knowledgeable government officials may certify firms to private financiers. Using a unique Belgian dataset of 1107 approved requests and a control group of denied requests for a specific type of R&amp;D grant, we examine the impact of subsidies on small firms\u2019 access to external equity, short term and long term debt financing. We find that obtaining an R&amp;D subsidy provides a positive signal about SME quality and results in better access to long-term debt.", "author" : [ { "dropping-particle" : "", "family" : "Meuleman", "given" : "Miguel", "non-dropping-particle" : "", "parse-names" : false, "suffix" : "" }, { "dropping-particle" : "", "family" : "Maeseneire", "given" : "Wouter", "non-dropping-particle" : "De", "parse-names" : false, "suffix" : "" } ], "container-title" : "Research Policy", "id" : "ITEM-2", "issue" : "3", "issued" : { "date-parts" : [ [ "2012", "4" ] ] }, "page" : "580-591", "title" : "Do R&amp;D Subsidies Affect SMEs\u2019 Access to External Financing?", "type" : "article-journal", "volume" : "41" }, "uris" : [ "http://www.mendeley.com/documents/?uuid=d1f90ddc-2d4e-4a32-b467-35189ac0286f" ] }, { "id" : "ITEM-3", "itemData" : { "DOI" : "10.1016/j.respol.2006.09.019", "ISSN" : "00487333", "abstract" : "This paper investigates the role of government R&amp;D subsidy programs in stimulating knowledgespillovers. R&amp;D subsidies are an effective public policy instrument when knowledgespillovers exist yet exante it is difficult to identify projects that have the greatest potential to increase innovation and economic growth. This paper derives a set of project and firm attributes that the literature finds generate knowledgespillovers and uses data on project proposals to estimate the degree to which a government R&amp;D program conforms. We find that projects that were awarded R&amp;D subsidies were more likely to have attributes such as participation in new research joint ventures and connections to universities and other firms. Following the post-award activities of firm, we find that receipt of a government R&amp;D subsidy increased the funding from other sources when compared to firms that were not awarded funding.", "author" : [ { "dropping-particle" : "", "family" : "Feldman", "given" : "Maryann P.", "non-dropping-particle" : "", "parse-names" : false, "suffix" : "" }, { "dropping-particle" : "", "family" : "Kelley", "given" : "Maryellen R.", "non-dropping-particle" : "", "parse-names" : false, "suffix" : "" } ], "container-title" : "Research Policy", "id" : "ITEM-3", "issue" : "10", "issued" : { "date-parts" : [ [ "2006", "12" ] ] }, "page" : "1509-1521", "title" : "The Ex-Ante Assessment of Knowledge Spillovers: Government R&amp;D Policy, Economic Incentives and Private Firm Behavior", "type" : "article-journal", "volume" : "35" }, "uris" : [ "http://www.mendeley.com/documents/?uuid=cbca8dee-6edb-48c9-962f-b9bb9e5346d6" ] }, { "id" : "ITEM-4", "itemData" : { "DOI" : "10.1016/j.jbusvent.2015.10.001", "ISSN" : "08839026", "author" : [ { "dropping-particle" : "", "family" : "Guerini", "given" : "Massimiliano", "non-dropping-particle" : "", "parse-names" : false, "suffix" : "" }, { "dropping-particle" : "", "family" : "Quas", "given" : "Anita", "non-dropping-particle" : "", "parse-names" : false, "suffix" : "" } ], "container-title" : "Journal of Business Venturing", "id" : "ITEM-4", "issue" : "2", "issued" : { "date-parts" : [ [ "2015" ] ] }, "page" : "175\u2013195", "title" : "Governmental Venture Capital in Europe: Screening and Certification", "type" : "article-journal", "volume" : "31" }, "uris" : [ "http://www.mendeley.com/documents/?uuid=a3c05150-7ad8-4c36-8ac2-c5c4525f862e" ] } ], "mendeley" : { "formattedCitation" : "(Feldman and Kelley 2006; Guerini and Quas 2015; Lerner 1999; Meuleman and De Maeseneire 2012)", "plainTextFormattedCitation" : "(Feldman and Kelley 2006; Guerini and Quas 2015; Lerner 1999; Meuleman and De Maeseneire 2012)", "previouslyFormattedCitation" : "(Feldman and Kelley 2006; Guerini and Quas 2015; Lerner 1999; Meuleman and De Maeseneire 2012)" }, "properties" : { "noteIndex" : 0 }, "schema" : "https://github.com/citation-style-language/schema/raw/master/csl-citation.json" }</w:instrText>
      </w:r>
      <w:r w:rsidR="007C60DA" w:rsidRPr="00F925AE">
        <w:rPr>
          <w:rFonts w:eastAsia="Times New Roman" w:cs="Times New Roman"/>
          <w:sz w:val="20"/>
          <w:szCs w:val="20"/>
        </w:rPr>
        <w:fldChar w:fldCharType="separate"/>
      </w:r>
      <w:r w:rsidRPr="00F925AE">
        <w:rPr>
          <w:rFonts w:eastAsia="Times New Roman" w:cs="Times New Roman"/>
          <w:noProof/>
          <w:sz w:val="20"/>
          <w:szCs w:val="20"/>
        </w:rPr>
        <w:t>(Feldman and Kelley 2006; Guerini and Quas 2015; Lerner 1999; Meuleman and De Maeseneire 2012)</w:t>
      </w:r>
      <w:r w:rsidR="007C60DA" w:rsidRPr="00F925AE">
        <w:rPr>
          <w:rFonts w:eastAsia="Times New Roman" w:cs="Times New Roman"/>
          <w:sz w:val="20"/>
          <w:szCs w:val="20"/>
        </w:rPr>
        <w:fldChar w:fldCharType="end"/>
      </w:r>
      <w:r w:rsidRPr="00F925AE">
        <w:rPr>
          <w:rFonts w:eastAsia="Times New Roman" w:cs="Times New Roman"/>
          <w:sz w:val="20"/>
          <w:szCs w:val="20"/>
        </w:rPr>
        <w:t xml:space="preserve">. These aspects deserve more attention, however, especially in the light of the fact that government support may crowd out, rather than encourage, external private investments </w:t>
      </w:r>
      <w:r w:rsidR="007C60DA" w:rsidRPr="00F925AE">
        <w:rPr>
          <w:rFonts w:eastAsia="Times New Roman" w:cs="Times New Roman"/>
          <w:sz w:val="20"/>
          <w:szCs w:val="20"/>
        </w:rPr>
        <w:fldChar w:fldCharType="begin" w:fldLock="1"/>
      </w:r>
      <w:r w:rsidRPr="00F925AE">
        <w:rPr>
          <w:rFonts w:eastAsia="Times New Roman" w:cs="Times New Roman"/>
          <w:sz w:val="20"/>
          <w:szCs w:val="20"/>
        </w:rPr>
        <w:instrText>ADDIN CSL_CITATION { "citationItems" : [ { "id" : "ITEM-1", "itemData" : { "DOI" : "10.1016/S0883-9026(01)00078-7", "ISSN" : "08839026", "abstract" : "This paper analyzes the relationship between public and private sources of venture capital in Europe and the development of the industry, controlling for characteristics of the legal systems, in 15 European countries over the period 1990\u20131996. Large public participation is correlated with smaller VC industries, but analyses do not support the view that public venture capitalists are acting to seed the industry or that are they crowd-out private funds. On the contrary, public involvement seems to cause greater amounts of money to be invested in the industry as a whole. We argue that the effects of public intervention, whatever the motives, are real and probably result from demonstrating/sanctioning the social merit of venture capital and from signaling an enduring commitment to it.", "author" : [ { "dropping-particle" : "", "family" : "Leleux", "given" : "Benoit", "non-dropping-particle" : "", "parse-names" : false, "suffix" : "" }, { "dropping-particle" : "", "family" : "Surlemont", "given" : "B", "non-dropping-particle" : "", "parse-names" : false, "suffix" : "" } ], "container-title" : "Journal of Business Venturing", "id" : "ITEM-1", "issue" : "1", "issued" : { "date-parts" : [ [ "2003", "1" ] ] }, "page" : "81-104", "title" : "Public versus Private Venture Capital: Seeding or Crowding Out? A Pan-European Analysis", "type" : "article-journal", "volume" : "18" }, "prefix" : "e.g., ", "uris" : [ "http://www.mendeley.com/documents/?uuid=c853a093-95dd-4b5e-af5b-e5dc9bb20d28", "http://www.mendeley.com/documents/?uuid=65cdddb1-1d2c-497e-8b94-88037f1d236f" ] } ], "mendeley" : { "formattedCitation" : "(e.g., Leleux and Surlemont 2003)", "plainTextFormattedCitation" : "(e.g., Leleux and Surlemont 2003)", "previouslyFormattedCitation" : "(e.g., Leleux and Surlemont 2003)" }, "properties" : { "noteIndex" : 0 }, "schema" : "https://github.com/citation-style-language/schema/raw/master/csl-citation.json" }</w:instrText>
      </w:r>
      <w:r w:rsidR="007C60DA" w:rsidRPr="00F925AE">
        <w:rPr>
          <w:rFonts w:eastAsia="Times New Roman" w:cs="Times New Roman"/>
          <w:sz w:val="20"/>
          <w:szCs w:val="20"/>
        </w:rPr>
        <w:fldChar w:fldCharType="separate"/>
      </w:r>
      <w:r w:rsidRPr="00F925AE">
        <w:rPr>
          <w:rFonts w:eastAsia="Times New Roman" w:cs="Times New Roman"/>
          <w:noProof/>
          <w:sz w:val="20"/>
          <w:szCs w:val="20"/>
        </w:rPr>
        <w:t>(e.g., Leleux and Surlemont 2003)</w:t>
      </w:r>
      <w:r w:rsidR="007C60DA" w:rsidRPr="00F925AE">
        <w:rPr>
          <w:rFonts w:eastAsia="Times New Roman" w:cs="Times New Roman"/>
          <w:sz w:val="20"/>
          <w:szCs w:val="20"/>
        </w:rPr>
        <w:fldChar w:fldCharType="end"/>
      </w:r>
      <w:r w:rsidRPr="00F925AE">
        <w:rPr>
          <w:rFonts w:eastAsia="Times New Roman" w:cs="Times New Roman"/>
          <w:sz w:val="20"/>
          <w:szCs w:val="20"/>
        </w:rPr>
        <w:t xml:space="preserve">. Moreover, the certification hypothesis was never tested for government loans (nor on PLs) despite the fact that loans are the most common form of public support for SMEs, at least in Europe </w:t>
      </w:r>
      <w:r w:rsidR="007C60DA" w:rsidRPr="00F925AE">
        <w:rPr>
          <w:rFonts w:eastAsia="Times New Roman" w:cs="Times New Roman"/>
          <w:sz w:val="20"/>
          <w:szCs w:val="20"/>
        </w:rPr>
        <w:fldChar w:fldCharType="begin" w:fldLock="1"/>
      </w:r>
      <w:r w:rsidRPr="00F925AE">
        <w:rPr>
          <w:rFonts w:eastAsia="Times New Roman" w:cs="Times New Roman"/>
          <w:sz w:val="20"/>
          <w:szCs w:val="20"/>
        </w:rPr>
        <w:instrText>ADDIN CSL_CITATION { "citationItems" : [ { "id" : "ITEM-1", "itemData" : { "ISBN" : "9789461383952", "author" : [ { "dropping-particle" : "", "family" : "Infelise", "given" : "Federico", "non-dropping-particle" : "", "parse-names" : false, "suffix" : "" } ], "id" : "ITEM-1", "issued" : { "date-parts" : [ [ "2014" ] ] }, "number-of-pages" : "45", "publisher-place" : "Flensburg (GER).", "title" : "Supporting Access to Finance by SMEs: Mapping the Initiatives in Five EU countries", "type" : "report" }, "uris" : [ "http://www.mendeley.com/documents/?uuid=1c2694f8-90c7-4f0f-99a7-497aef3c14f0" ] } ], "mendeley" : { "formattedCitation" : "(Infelise 2014)", "plainTextFormattedCitation" : "(Infelise 2014)", "previouslyFormattedCitation" : "(Infelise 2014)" }, "properties" : { "noteIndex" : 0 }, "schema" : "https://github.com/citation-style-language/schema/raw/master/csl-citation.json" }</w:instrText>
      </w:r>
      <w:r w:rsidR="007C60DA" w:rsidRPr="00F925AE">
        <w:rPr>
          <w:rFonts w:eastAsia="Times New Roman" w:cs="Times New Roman"/>
          <w:sz w:val="20"/>
          <w:szCs w:val="20"/>
        </w:rPr>
        <w:fldChar w:fldCharType="separate"/>
      </w:r>
      <w:r w:rsidRPr="00F925AE">
        <w:rPr>
          <w:rFonts w:eastAsia="Times New Roman" w:cs="Times New Roman"/>
          <w:noProof/>
          <w:sz w:val="20"/>
          <w:szCs w:val="20"/>
        </w:rPr>
        <w:t>(Infelise 2014)</w:t>
      </w:r>
      <w:r w:rsidR="007C60DA" w:rsidRPr="00F925AE">
        <w:rPr>
          <w:rFonts w:eastAsia="Times New Roman" w:cs="Times New Roman"/>
          <w:sz w:val="20"/>
          <w:szCs w:val="20"/>
        </w:rPr>
        <w:fldChar w:fldCharType="end"/>
      </w:r>
      <w:r w:rsidRPr="00F925AE">
        <w:rPr>
          <w:rFonts w:eastAsia="Times New Roman" w:cs="Times New Roman"/>
          <w:sz w:val="20"/>
          <w:szCs w:val="20"/>
        </w:rPr>
        <w:t xml:space="preserve">. </w:t>
      </w:r>
    </w:p>
    <w:p w:rsidR="00512993" w:rsidRPr="00F925AE" w:rsidRDefault="00B72C2D" w:rsidP="00512993">
      <w:pPr>
        <w:autoSpaceDE w:val="0"/>
        <w:autoSpaceDN w:val="0"/>
        <w:adjustRightInd w:val="0"/>
        <w:spacing w:before="120" w:after="120"/>
        <w:rPr>
          <w:rFonts w:eastAsia="Times New Roman" w:cs="Times New Roman"/>
          <w:sz w:val="20"/>
          <w:szCs w:val="20"/>
        </w:rPr>
      </w:pPr>
      <w:r w:rsidRPr="00F925AE">
        <w:rPr>
          <w:rFonts w:eastAsia="Times New Roman" w:cs="Times New Roman"/>
          <w:sz w:val="20"/>
          <w:szCs w:val="20"/>
        </w:rPr>
        <w:t xml:space="preserve">Our empirical analysis is based on 488 SMEs receiving PLs </w:t>
      </w:r>
      <w:r w:rsidR="00512993" w:rsidRPr="00F925AE">
        <w:rPr>
          <w:rFonts w:eastAsia="Times New Roman" w:cs="Times New Roman"/>
          <w:sz w:val="20"/>
          <w:szCs w:val="20"/>
        </w:rPr>
        <w:t>fr</w:t>
      </w:r>
      <w:r w:rsidR="00CD3CB8">
        <w:rPr>
          <w:rFonts w:eastAsia="Times New Roman" w:cs="Times New Roman"/>
          <w:sz w:val="20"/>
          <w:szCs w:val="20"/>
        </w:rPr>
        <w:t>om a Spanish institution (Empresa Nacional de Innovación - ENISA</w:t>
      </w:r>
      <w:r w:rsidR="00512993" w:rsidRPr="00F925AE">
        <w:rPr>
          <w:rFonts w:eastAsia="Times New Roman" w:cs="Times New Roman"/>
          <w:sz w:val="20"/>
          <w:szCs w:val="20"/>
        </w:rPr>
        <w:t>) funded by the Spanish Ministry of Industry and Tourism,</w:t>
      </w:r>
      <w:r w:rsidR="00512993" w:rsidRPr="00F925AE">
        <w:rPr>
          <w:rStyle w:val="Refdenotaalpie"/>
          <w:rFonts w:eastAsia="Times New Roman" w:cs="Times New Roman"/>
          <w:sz w:val="20"/>
          <w:szCs w:val="20"/>
        </w:rPr>
        <w:footnoteReference w:id="3"/>
      </w:r>
      <w:r w:rsidR="00512993" w:rsidRPr="00F925AE">
        <w:rPr>
          <w:rFonts w:eastAsia="Times New Roman" w:cs="Times New Roman"/>
          <w:sz w:val="20"/>
          <w:szCs w:val="20"/>
        </w:rPr>
        <w:t xml:space="preserve"> over the period 2005-2010. Tracking the evolution of these firms and of a matched sample of firms that did not receive PLs, we find that the former have a significantly higher financial debt. After </w:t>
      </w:r>
      <w:r w:rsidR="00D37DA4" w:rsidRPr="00F925AE">
        <w:rPr>
          <w:rFonts w:eastAsia="Times New Roman" w:cs="Times New Roman"/>
          <w:sz w:val="20"/>
          <w:szCs w:val="20"/>
        </w:rPr>
        <w:t>ruling out</w:t>
      </w:r>
      <w:r w:rsidR="00512993" w:rsidRPr="00F925AE">
        <w:rPr>
          <w:rFonts w:eastAsia="Times New Roman" w:cs="Times New Roman"/>
          <w:sz w:val="20"/>
          <w:szCs w:val="20"/>
        </w:rPr>
        <w:t xml:space="preserve"> alternative explanations, we attribute this effect to government certification towards commercial banks, which improves SMEs’ access to financial debt</w:t>
      </w:r>
      <w:r w:rsidRPr="00F925AE">
        <w:rPr>
          <w:rFonts w:eastAsia="Times New Roman" w:cs="Times New Roman"/>
          <w:sz w:val="20"/>
          <w:szCs w:val="20"/>
        </w:rPr>
        <w:t xml:space="preserve"> (+31.5%)</w:t>
      </w:r>
      <w:r w:rsidR="00512993" w:rsidRPr="00F925AE">
        <w:rPr>
          <w:rFonts w:eastAsia="Times New Roman" w:cs="Times New Roman"/>
          <w:sz w:val="20"/>
          <w:szCs w:val="20"/>
        </w:rPr>
        <w:t xml:space="preserve">. We also find a stronger effect in firms that are affected by higher information asymmetries (i.e., smaller, high-technology firms) and a </w:t>
      </w:r>
      <w:r w:rsidRPr="00F925AE">
        <w:rPr>
          <w:rFonts w:eastAsia="Times New Roman" w:cs="Times New Roman"/>
          <w:sz w:val="20"/>
          <w:szCs w:val="20"/>
        </w:rPr>
        <w:t>negligible</w:t>
      </w:r>
      <w:r w:rsidR="00512993" w:rsidRPr="00F925AE">
        <w:rPr>
          <w:rFonts w:eastAsia="Times New Roman" w:cs="Times New Roman"/>
          <w:sz w:val="20"/>
          <w:szCs w:val="20"/>
        </w:rPr>
        <w:t xml:space="preserve"> effect </w:t>
      </w:r>
      <w:r w:rsidR="00D37DA4" w:rsidRPr="00F925AE">
        <w:rPr>
          <w:rFonts w:eastAsia="Times New Roman" w:cs="Times New Roman"/>
          <w:sz w:val="20"/>
          <w:szCs w:val="20"/>
        </w:rPr>
        <w:t>in</w:t>
      </w:r>
      <w:r w:rsidR="00512993" w:rsidRPr="00F925AE">
        <w:rPr>
          <w:rFonts w:eastAsia="Times New Roman" w:cs="Times New Roman"/>
          <w:sz w:val="20"/>
          <w:szCs w:val="20"/>
        </w:rPr>
        <w:t xml:space="preserve"> firms that had already benefited from the </w:t>
      </w:r>
      <w:r w:rsidR="00D37DA4" w:rsidRPr="00F925AE">
        <w:rPr>
          <w:rFonts w:eastAsia="Times New Roman" w:cs="Times New Roman"/>
          <w:sz w:val="20"/>
          <w:szCs w:val="20"/>
        </w:rPr>
        <w:t>support</w:t>
      </w:r>
      <w:r w:rsidR="00512993" w:rsidRPr="00F925AE">
        <w:rPr>
          <w:rFonts w:eastAsia="Times New Roman" w:cs="Times New Roman"/>
          <w:sz w:val="20"/>
          <w:szCs w:val="20"/>
        </w:rPr>
        <w:t xml:space="preserve"> of other government agencies.</w:t>
      </w:r>
    </w:p>
    <w:p w:rsidR="00512993" w:rsidRPr="00F925AE" w:rsidRDefault="00512993" w:rsidP="00512993">
      <w:pPr>
        <w:autoSpaceDE w:val="0"/>
        <w:autoSpaceDN w:val="0"/>
        <w:adjustRightInd w:val="0"/>
        <w:spacing w:before="120" w:after="120"/>
        <w:rPr>
          <w:rFonts w:eastAsia="Times New Roman" w:cs="Times New Roman"/>
          <w:sz w:val="20"/>
          <w:szCs w:val="20"/>
        </w:rPr>
      </w:pPr>
      <w:r w:rsidRPr="00F925AE">
        <w:rPr>
          <w:rFonts w:eastAsia="Times New Roman" w:cs="Times New Roman"/>
          <w:sz w:val="20"/>
          <w:szCs w:val="20"/>
        </w:rPr>
        <w:lastRenderedPageBreak/>
        <w:t>The rest of the paper is structured as follows. In Section 2 we describe the theoretical base and develop our hypotheses. In Section 3 we present the data and the methodology used to test our hypotheses. Results and robustness checks are shown in sections 4 and 5, respectively. Finally, in section 6 we discuss our findings and conclude our work.</w:t>
      </w:r>
    </w:p>
    <w:p w:rsidR="00512993" w:rsidRPr="00F925AE" w:rsidRDefault="00512993" w:rsidP="00512993">
      <w:pPr>
        <w:pStyle w:val="Ttulo1"/>
        <w:keepNext/>
        <w:keepLines/>
        <w:numPr>
          <w:ilvl w:val="0"/>
          <w:numId w:val="15"/>
        </w:numPr>
        <w:ind w:left="431" w:hanging="431"/>
        <w:rPr>
          <w:rFonts w:cs="Times New Roman"/>
        </w:rPr>
      </w:pPr>
      <w:r w:rsidRPr="00F925AE">
        <w:rPr>
          <w:rFonts w:cs="Times New Roman"/>
        </w:rPr>
        <w:t>Theoretical base and hypotheses development</w:t>
      </w:r>
    </w:p>
    <w:p w:rsidR="00512993" w:rsidRPr="00F925AE" w:rsidRDefault="00512993" w:rsidP="00512993">
      <w:pPr>
        <w:pStyle w:val="Ttulo2"/>
        <w:keepNext/>
        <w:keepLines/>
        <w:numPr>
          <w:ilvl w:val="1"/>
          <w:numId w:val="15"/>
        </w:numPr>
        <w:spacing w:line="360" w:lineRule="auto"/>
        <w:rPr>
          <w:rFonts w:cs="Times New Roman"/>
          <w:szCs w:val="20"/>
        </w:rPr>
      </w:pPr>
      <w:r w:rsidRPr="00F925AE">
        <w:rPr>
          <w:rFonts w:cs="Times New Roman"/>
          <w:szCs w:val="20"/>
        </w:rPr>
        <w:t>Information asymmetry and government certification to SMEs</w:t>
      </w:r>
    </w:p>
    <w:p w:rsidR="00512993" w:rsidRPr="00F925AE" w:rsidRDefault="00512993" w:rsidP="00512993">
      <w:pPr>
        <w:autoSpaceDE w:val="0"/>
        <w:autoSpaceDN w:val="0"/>
        <w:adjustRightInd w:val="0"/>
        <w:spacing w:before="120" w:after="120"/>
        <w:rPr>
          <w:rFonts w:cs="Times New Roman"/>
          <w:sz w:val="20"/>
          <w:szCs w:val="20"/>
        </w:rPr>
      </w:pPr>
      <w:r w:rsidRPr="00F925AE">
        <w:rPr>
          <w:rFonts w:cs="Times New Roman"/>
          <w:sz w:val="20"/>
          <w:szCs w:val="20"/>
        </w:rPr>
        <w:t xml:space="preserve">Information asymmetry arises when the information about a firm is not equally accessible to all firm’s stakeholders </w:t>
      </w:r>
      <w:r w:rsidR="007C60DA" w:rsidRPr="00F925AE">
        <w:rPr>
          <w:rFonts w:cs="Times New Roman"/>
          <w:sz w:val="20"/>
          <w:szCs w:val="20"/>
        </w:rPr>
        <w:fldChar w:fldCharType="begin" w:fldLock="1"/>
      </w:r>
      <w:r w:rsidRPr="00F925AE">
        <w:rPr>
          <w:rFonts w:cs="Times New Roman"/>
          <w:sz w:val="20"/>
          <w:szCs w:val="20"/>
        </w:rPr>
        <w:instrText>ADDIN CSL_CITATION { "citationItems" : [ { "id" : "ITEM-1", "itemData" : { "author" : [ { "dropping-particle" : "", "family" : "Stiglitz", "given" : "Joseph E.", "non-dropping-particle" : "", "parse-names" : false, "suffix" : "" }, { "dropping-particle" : "", "family" : "Weiss", "given" : "Andrew", "non-dropping-particle" : "", "parse-names" : false, "suffix" : "" } ], "container-title" : "American Economic Review", "genre" : "article", "id" : "ITEM-1", "issued" : { "date-parts" : [ [ "1981" ] ] }, "page" : "393-409", "title" : "Credit Rationing in Markets with imperfect Information", "type" : "article-journal", "volume" : "71" }, "uris" : [ "http://www.mendeley.com/documents/?uuid=238afab5-7cd1-4e72-992e-1ba17879aaf9", "http://www.mendeley.com/documents/?uuid=b71380c7-2a3c-4e87-9c70-0a46d799c625" ] } ], "mendeley" : { "formattedCitation" : "(Stiglitz and Weiss 1981)", "plainTextFormattedCitation" : "(Stiglitz and Weiss 1981)", "previouslyFormattedCitation" : "(Stiglitz and Weiss 1981)" }, "properties" : { "noteIndex" : 0 }, "schema" : "https://github.com/citation-style-language/schema/raw/master/csl-citation.json" }</w:instrText>
      </w:r>
      <w:r w:rsidR="007C60DA" w:rsidRPr="00F925AE">
        <w:rPr>
          <w:rFonts w:cs="Times New Roman"/>
          <w:sz w:val="20"/>
          <w:szCs w:val="20"/>
        </w:rPr>
        <w:fldChar w:fldCharType="separate"/>
      </w:r>
      <w:r w:rsidRPr="00F925AE">
        <w:rPr>
          <w:rFonts w:cs="Times New Roman"/>
          <w:noProof/>
          <w:sz w:val="20"/>
          <w:szCs w:val="20"/>
        </w:rPr>
        <w:t>(Stiglitz and Weiss 1981)</w:t>
      </w:r>
      <w:r w:rsidR="007C60DA" w:rsidRPr="00F925AE">
        <w:rPr>
          <w:rFonts w:cs="Times New Roman"/>
          <w:sz w:val="20"/>
          <w:szCs w:val="20"/>
        </w:rPr>
        <w:fldChar w:fldCharType="end"/>
      </w:r>
      <w:r w:rsidRPr="00F925AE">
        <w:rPr>
          <w:rFonts w:cs="Times New Roman"/>
          <w:sz w:val="20"/>
          <w:szCs w:val="20"/>
        </w:rPr>
        <w:t xml:space="preserve">. When there is information asymmetry between SMEs’ owners and finance providers, the latter have difficulties in discriminating between good and bad potential borrowers and adverse selection problems emerge. Commercial banks are particularly sensitive to this problem because of the </w:t>
      </w:r>
      <w:r w:rsidRPr="00F925AE">
        <w:rPr>
          <w:rFonts w:eastAsia="Times New Roman" w:cs="Times New Roman"/>
          <w:sz w:val="20"/>
          <w:szCs w:val="20"/>
        </w:rPr>
        <w:t xml:space="preserve">limited screening skills they possess </w:t>
      </w:r>
      <w:r w:rsidR="007C60DA" w:rsidRPr="00F925AE">
        <w:rPr>
          <w:rFonts w:eastAsia="Times New Roman" w:cs="Times New Roman"/>
          <w:sz w:val="20"/>
          <w:szCs w:val="20"/>
        </w:rPr>
        <w:fldChar w:fldCharType="begin" w:fldLock="1"/>
      </w:r>
      <w:r w:rsidRPr="00F925AE">
        <w:rPr>
          <w:rFonts w:eastAsia="Times New Roman" w:cs="Times New Roman"/>
          <w:sz w:val="20"/>
          <w:szCs w:val="20"/>
        </w:rPr>
        <w:instrText>ADDIN CSL_CITATION { "citationItems" : [ { "id" : "ITEM-1", "itemData" : { "DOI" : "10.1111/j.1540-6261.2004.00643.x", "abstract" : "Why do some start-up firms raise funds from banks and others from venture cap- italists? To address this question, I study a model in which the venture capitalist can evaluate the entrepreneur's project more accurately than the bank but can also threaten to steal it from the entrepreneur. Consistent with evidence regarding venture capital finance, the model implies that the characteristics of a firm financing through venture capitalists are relatively little collateral, high growth, high risk, and high profitability. The model also suggests that tighter protection of intellectual property rights encourages entrepreneurs to finance through venture capitalists.", "author" : [ { "dropping-particle" : "", "family" : "Ueda", "given" : "Masako", "non-dropping-particle" : "", "parse-names" : false, "suffix" : "" } ], "container-title" : "Journal of Finance", "id" : "ITEM-1", "issue" : "2", "issued" : { "date-parts" : [ [ "2004" ] ] }, "page" : "601-621", "title" : "Banks versus Venture Capital: Project Evaluation, Screening, and Expropriation", "type" : "article-journal", "volume" : "59" }, "uris" : [ "http://www.mendeley.com/documents/?uuid=373825c8-96e2-4b6a-9d03-37a1d50cf99d", "http://www.mendeley.com/documents/?uuid=5d725116-09bf-41e9-81f4-107416e63413" ] } ], "mendeley" : { "formattedCitation" : "(Ueda 2004)", "plainTextFormattedCitation" : "(Ueda 2004)", "previouslyFormattedCitation" : "(Ueda 2004)" }, "properties" : { "noteIndex" : 0 }, "schema" : "https://github.com/citation-style-language/schema/raw/master/csl-citation.json" }</w:instrText>
      </w:r>
      <w:r w:rsidR="007C60DA" w:rsidRPr="00F925AE">
        <w:rPr>
          <w:rFonts w:eastAsia="Times New Roman" w:cs="Times New Roman"/>
          <w:sz w:val="20"/>
          <w:szCs w:val="20"/>
        </w:rPr>
        <w:fldChar w:fldCharType="separate"/>
      </w:r>
      <w:r w:rsidRPr="00F925AE">
        <w:rPr>
          <w:rFonts w:eastAsia="Times New Roman" w:cs="Times New Roman"/>
          <w:noProof/>
          <w:sz w:val="20"/>
          <w:szCs w:val="20"/>
        </w:rPr>
        <w:t>(Ueda 2004)</w:t>
      </w:r>
      <w:r w:rsidR="007C60DA" w:rsidRPr="00F925AE">
        <w:rPr>
          <w:rFonts w:eastAsia="Times New Roman" w:cs="Times New Roman"/>
          <w:sz w:val="20"/>
          <w:szCs w:val="20"/>
        </w:rPr>
        <w:fldChar w:fldCharType="end"/>
      </w:r>
      <w:r w:rsidRPr="00F925AE">
        <w:rPr>
          <w:rFonts w:eastAsia="Times New Roman" w:cs="Times New Roman"/>
          <w:sz w:val="20"/>
          <w:szCs w:val="20"/>
        </w:rPr>
        <w:t xml:space="preserve">. </w:t>
      </w:r>
      <w:r w:rsidRPr="00F925AE">
        <w:rPr>
          <w:rFonts w:cs="Times New Roman"/>
          <w:sz w:val="20"/>
          <w:szCs w:val="20"/>
        </w:rPr>
        <w:t xml:space="preserve">After the loan is obtained, information asymmetry generates moral hazard problems by allowing entrepreneurs to misbehave (and </w:t>
      </w:r>
      <w:r w:rsidRPr="00F925AE">
        <w:rPr>
          <w:rFonts w:cs="Times New Roman"/>
          <w:i/>
          <w:sz w:val="20"/>
          <w:szCs w:val="20"/>
        </w:rPr>
        <w:t>gamble with the bank’s money</w:t>
      </w:r>
      <w:r w:rsidRPr="00F925AE">
        <w:rPr>
          <w:rFonts w:cs="Times New Roman"/>
          <w:sz w:val="20"/>
          <w:szCs w:val="20"/>
        </w:rPr>
        <w:t xml:space="preserve">). Both of these issues create a debt gap, especially in the case of small firms that have low values of collateral and reputational capital </w:t>
      </w:r>
      <w:r w:rsidR="007C60DA" w:rsidRPr="00F925AE">
        <w:rPr>
          <w:rFonts w:cs="Times New Roman"/>
          <w:sz w:val="20"/>
          <w:szCs w:val="20"/>
        </w:rPr>
        <w:fldChar w:fldCharType="begin" w:fldLock="1"/>
      </w:r>
      <w:r w:rsidRPr="00F925AE">
        <w:rPr>
          <w:rFonts w:cs="Times New Roman"/>
          <w:sz w:val="20"/>
          <w:szCs w:val="20"/>
        </w:rPr>
        <w:instrText>ADDIN CSL_CITATION { "citationItems" : [ { "id" : "ITEM-1", "itemData" : { "DOI" : "10.1177/026624269201100103", "ISSN" : "0266-2426", "abstract" : "Dr M. R. Binks and G.V. Reed are with the department of economics, nottingham university, England, and C.T. Ennew with the Department of industrial economics of the same university. Ascertaining the risk associated with the provision of external finance to small firms involves the collection of considerable amounts of external fiance to small firms involves the collection of considrable amounts of inforation. The cost incurred in this process are sufficient to cause both an equity and a debt gap. Mainstream econmic therorists are divided as to whetehr the inforatmion asymmetries concerened cause an under or an over-supply of credit. This paper outlines the main elements of the eimpact of asymmetries concrened cause an under of over supply of credit.idicates the tendency of a cpaital as opposed to an incoming-generting approach to loan evaluation to emerge as a natural default process by United Kingdom banks. Although identifying the anture of asymmetries in practice is very difficult. it is important to make attempts to do so in order to guide and monitor progress in theri removal .the authors explain how a measure of demand, supply and attainment quality, with respect.The result illustrate tehrrelative experience of firms by sector, size and growth rate and reveal the possiblity tha those firms most in need of a prospectus based approach may be least well placed to receive it.", "author" : [ { "dropping-particle" : "", "family" : "Binks", "given" : "Martin R.", "non-dropping-particle" : "", "parse-names" : false, "suffix" : "" }, { "dropping-particle" : "", "family" : "Ennew", "given" : "C. T.", "non-dropping-particle" : "", "parse-names" : false, "suffix" : "" }, { "dropping-particle" : "V.", "family" : "Reed", "given" : "G.", "non-dropping-particle" : "", "parse-names" : false, "suffix" : "" } ], "container-title" : "International Small Business Journal", "id" : "ITEM-1", "issue" : "1", "issued" : { "date-parts" : [ [ "1992", "10" ] ] }, "page" : "35-46", "title" : "Information Asymmetries and the Provision of Finance to Small Firms", "type" : "article-journal", "volume" : "11" }, "uris" : [ "http://www.mendeley.com/documents/?uuid=87b9eaf9-7ef6-4bbd-9c52-d1ca63d9d257" ] } ], "mendeley" : { "formattedCitation" : "(Binks et al. 1992)", "plainTextFormattedCitation" : "(Binks et al. 1992)", "previouslyFormattedCitation" : "(Binks et al. 1992)" }, "properties" : { "noteIndex" : 0 }, "schema" : "https://github.com/citation-style-language/schema/raw/master/csl-citation.json" }</w:instrText>
      </w:r>
      <w:r w:rsidR="007C60DA" w:rsidRPr="00F925AE">
        <w:rPr>
          <w:rFonts w:cs="Times New Roman"/>
          <w:sz w:val="20"/>
          <w:szCs w:val="20"/>
        </w:rPr>
        <w:fldChar w:fldCharType="separate"/>
      </w:r>
      <w:r w:rsidRPr="00F925AE">
        <w:rPr>
          <w:rFonts w:cs="Times New Roman"/>
          <w:noProof/>
          <w:sz w:val="20"/>
          <w:szCs w:val="20"/>
        </w:rPr>
        <w:t>(Binks et al. 1992)</w:t>
      </w:r>
      <w:r w:rsidR="007C60DA" w:rsidRPr="00F925AE">
        <w:rPr>
          <w:rFonts w:cs="Times New Roman"/>
          <w:sz w:val="20"/>
          <w:szCs w:val="20"/>
        </w:rPr>
        <w:fldChar w:fldCharType="end"/>
      </w:r>
      <w:r w:rsidRPr="00F925AE">
        <w:rPr>
          <w:rFonts w:cs="Times New Roman"/>
          <w:sz w:val="20"/>
          <w:szCs w:val="20"/>
        </w:rPr>
        <w:t>.</w:t>
      </w:r>
    </w:p>
    <w:p w:rsidR="00512993" w:rsidRPr="00F925AE" w:rsidRDefault="00512993" w:rsidP="00512993">
      <w:pPr>
        <w:rPr>
          <w:rFonts w:cs="Times New Roman"/>
          <w:sz w:val="20"/>
          <w:szCs w:val="20"/>
          <w:lang w:eastAsia="en-US"/>
        </w:rPr>
      </w:pPr>
      <w:r w:rsidRPr="00F925AE">
        <w:rPr>
          <w:rFonts w:cs="Times New Roman"/>
          <w:sz w:val="20"/>
          <w:szCs w:val="20"/>
        </w:rPr>
        <w:t xml:space="preserve">Certification is one way in which policy makers can alleviate at least adverse selection problems in SMEs. </w:t>
      </w:r>
      <w:r w:rsidR="007C60DA" w:rsidRPr="00F925AE">
        <w:rPr>
          <w:rFonts w:cs="Times New Roman"/>
          <w:sz w:val="20"/>
          <w:szCs w:val="20"/>
        </w:rPr>
        <w:fldChar w:fldCharType="begin" w:fldLock="1"/>
      </w:r>
      <w:r w:rsidRPr="00F925AE">
        <w:rPr>
          <w:rFonts w:cs="Times New Roman"/>
          <w:sz w:val="20"/>
          <w:szCs w:val="20"/>
        </w:rPr>
        <w:instrText>ADDIN CSL_CITATION { "citationItems" : [ { "id" : "ITEM-1", "itemData" : { "DOI" : "10.1111/1468-0297.00684", "author" : [ { "dropping-particle" : "", "family" : "Lerner", "given" : "Joshua", "non-dropping-particle" : "", "parse-names" : false, "suffix" : "" } ], "container-title" : "Economic Journal", "id" : "ITEM-1", "issue" : "477", "issued" : { "date-parts" : [ [ "2002" ] ] }, "page" : "F73-F84", "publisher" : "Blackwell Publishing for the Royal Economic Society", "title" : "When Bureaucrats Meet Entrepreneurs: The Design of Effective 'Public Venture Capital' Programmes", "type" : "article-journal", "volume" : "112" }, "uris" : [ "http://www.mendeley.com/documents/?uuid=5c80991c-44e7-46b6-a715-e3f54de7b42b" ] } ], "mendeley" : { "formattedCitation" : "(Lerner 2002)", "manualFormatting" : "Lerner (2002)", "plainTextFormattedCitation" : "(Lerner 2002)", "previouslyFormattedCitation" : "(Lerner 2002)" }, "properties" : { "noteIndex" : 0 }, "schema" : "https://github.com/citation-style-language/schema/raw/master/csl-citation.json" }</w:instrText>
      </w:r>
      <w:r w:rsidR="007C60DA" w:rsidRPr="00F925AE">
        <w:rPr>
          <w:rFonts w:cs="Times New Roman"/>
          <w:sz w:val="20"/>
          <w:szCs w:val="20"/>
        </w:rPr>
        <w:fldChar w:fldCharType="separate"/>
      </w:r>
      <w:r w:rsidRPr="00F925AE">
        <w:rPr>
          <w:rFonts w:cs="Times New Roman"/>
          <w:noProof/>
          <w:sz w:val="20"/>
          <w:szCs w:val="20"/>
        </w:rPr>
        <w:t>Lerner (2002)</w:t>
      </w:r>
      <w:r w:rsidR="007C60DA" w:rsidRPr="00F925AE">
        <w:rPr>
          <w:rFonts w:cs="Times New Roman"/>
          <w:sz w:val="20"/>
          <w:szCs w:val="20"/>
        </w:rPr>
        <w:fldChar w:fldCharType="end"/>
      </w:r>
      <w:r w:rsidRPr="00F925AE">
        <w:rPr>
          <w:rFonts w:cs="Times New Roman"/>
          <w:sz w:val="20"/>
          <w:szCs w:val="20"/>
        </w:rPr>
        <w:t xml:space="preserve"> argues that when the government allocates money to some selected</w:t>
      </w:r>
      <w:r w:rsidRPr="00F925AE">
        <w:rPr>
          <w:rFonts w:cs="Times New Roman"/>
          <w:sz w:val="20"/>
          <w:szCs w:val="20"/>
          <w:lang w:eastAsia="en-US"/>
        </w:rPr>
        <w:t xml:space="preserve"> (promising) firms, the receipt of public support can be used by private investors as an indication of the quality of the firm, and it is especially useful when direct information about it is missing. In other terms, the receipt of public support works as a </w:t>
      </w:r>
      <w:r w:rsidRPr="00F925AE">
        <w:rPr>
          <w:rFonts w:cs="Times New Roman"/>
          <w:i/>
          <w:sz w:val="20"/>
          <w:szCs w:val="20"/>
          <w:lang w:eastAsia="en-US"/>
        </w:rPr>
        <w:t>stamp of approval</w:t>
      </w:r>
      <w:r w:rsidRPr="00F925AE">
        <w:rPr>
          <w:rFonts w:cs="Times New Roman"/>
          <w:sz w:val="20"/>
          <w:szCs w:val="20"/>
          <w:lang w:eastAsia="en-US"/>
        </w:rPr>
        <w:t xml:space="preserve"> of the government and certifies the value of the firm, lowering information asymmetries.</w:t>
      </w:r>
    </w:p>
    <w:p w:rsidR="00512993" w:rsidRPr="00F925AE" w:rsidRDefault="00512993" w:rsidP="00512993">
      <w:pPr>
        <w:widowControl w:val="0"/>
        <w:ind w:firstLine="567"/>
        <w:rPr>
          <w:rFonts w:eastAsia="Times New Roman" w:cs="Times New Roman"/>
          <w:sz w:val="20"/>
          <w:szCs w:val="20"/>
        </w:rPr>
      </w:pPr>
      <w:r w:rsidRPr="00F925AE">
        <w:rPr>
          <w:rFonts w:eastAsia="Times New Roman" w:cs="Times New Roman"/>
          <w:sz w:val="20"/>
          <w:szCs w:val="20"/>
        </w:rPr>
        <w:t xml:space="preserve">There is some empirical evidence supporting the certification hypothesis for different forms of government support. </w:t>
      </w:r>
      <w:r w:rsidR="007C60DA" w:rsidRPr="00F925AE">
        <w:rPr>
          <w:rFonts w:eastAsia="Times New Roman" w:cs="Times New Roman"/>
          <w:sz w:val="20"/>
          <w:szCs w:val="20"/>
        </w:rPr>
        <w:fldChar w:fldCharType="begin" w:fldLock="1"/>
      </w:r>
      <w:r w:rsidRPr="00F925AE">
        <w:rPr>
          <w:rFonts w:eastAsia="Times New Roman" w:cs="Times New Roman"/>
          <w:sz w:val="20"/>
          <w:szCs w:val="20"/>
        </w:rPr>
        <w:instrText>ADDIN CSL_CITATION { "citationItems" : [ { "id" : "ITEM-1", "itemData" : { "DOI" : "10.3905/jpe.2000.319960", "ISSN" : "1556-5068", "author" : [ { "dropping-particle" : "", "family" : "Lerner", "given" : "Joshua", "non-dropping-particle" : "", "parse-names" : false, "suffix" : "" } ], "container-title" : "Journal of Business", "genre" : "article", "id" : "ITEM-1", "issue" : "3", "issued" : { "date-parts" : [ [ "1999" ] ] }, "note" : "From Duplicate 1 ( \n\n\nThe Government as Venture Capitalist: The Long-Run Impact of the SBIR Program\n\n\n- Lerner, Josh )\n\n\n\n\n\n\n\n\nFrom Duplicate 2 ( \n\n\nThe Government as Venture Capitalist: The Long-Run Impact of the {SBIR} Program\n\n\n- Lerner, Joshua )\n\n\n\n\nFrom Duplicate 2 ( \n\n\nThe Government as Venture Capitalist: The Long-Run Impact of the SBIR Program\n\n\n- Lerner, Joshua )\n\n", "page" : "285-318", "title" : "The Government as Venture Capitalist: The Long-Run Impact of the SBIR Program", "type" : "article-journal", "volume" : "72" }, "uris" : [ "http://www.mendeley.com/documents/?uuid=f3c6e7af-90df-4e66-a21d-244880cdd2ec" ] } ], "mendeley" : { "formattedCitation" : "(Lerner 1999)", "manualFormatting" : "Lerner (1999)", "plainTextFormattedCitation" : "(Lerner 1999)", "previouslyFormattedCitation" : "(Lerner 1999)" }, "properties" : { "noteIndex" : 0 }, "schema" : "https://github.com/citation-style-language/schema/raw/master/csl-citation.json" }</w:instrText>
      </w:r>
      <w:r w:rsidR="007C60DA" w:rsidRPr="00F925AE">
        <w:rPr>
          <w:rFonts w:eastAsia="Times New Roman" w:cs="Times New Roman"/>
          <w:sz w:val="20"/>
          <w:szCs w:val="20"/>
        </w:rPr>
        <w:fldChar w:fldCharType="separate"/>
      </w:r>
      <w:r w:rsidRPr="00F925AE">
        <w:rPr>
          <w:rFonts w:eastAsia="Times New Roman" w:cs="Times New Roman"/>
          <w:noProof/>
          <w:sz w:val="20"/>
          <w:szCs w:val="20"/>
        </w:rPr>
        <w:t>Lerner (1999)</w:t>
      </w:r>
      <w:r w:rsidR="007C60DA" w:rsidRPr="00F925AE">
        <w:rPr>
          <w:rFonts w:eastAsia="Times New Roman" w:cs="Times New Roman"/>
          <w:sz w:val="20"/>
          <w:szCs w:val="20"/>
        </w:rPr>
        <w:fldChar w:fldCharType="end"/>
      </w:r>
      <w:r w:rsidRPr="00F925AE">
        <w:rPr>
          <w:rFonts w:eastAsia="Times New Roman" w:cs="Times New Roman"/>
          <w:sz w:val="20"/>
          <w:szCs w:val="20"/>
        </w:rPr>
        <w:t xml:space="preserve"> shows that US Small Business Innovation Research (SBIR) grants improve recipient SMEs’ access to private VC. </w:t>
      </w:r>
      <w:r w:rsidR="007C60DA" w:rsidRPr="00F925AE">
        <w:rPr>
          <w:rFonts w:eastAsia="Times New Roman" w:cs="Times New Roman"/>
          <w:sz w:val="20"/>
          <w:szCs w:val="20"/>
        </w:rPr>
        <w:fldChar w:fldCharType="begin" w:fldLock="1"/>
      </w:r>
      <w:r w:rsidRPr="00F925AE">
        <w:rPr>
          <w:rFonts w:eastAsia="Times New Roman" w:cs="Times New Roman"/>
          <w:sz w:val="20"/>
          <w:szCs w:val="20"/>
        </w:rPr>
        <w:instrText>ADDIN CSL_CITATION { "citationItems" : [ { "id" : "ITEM-1", "itemData" : { "DOI" : "10.1023/A:1022264031993", "ISSN" : "0921-898X", "abstract" : "This paper examines the factors that affect a firm's chances of winning an award from the Advanced Technology Program (ATP) and the. subsequent impact of the award on a firm's success in raising additional funds for its research and development (R&amp;D) activities. Analysis of data from a survey of 1998 ATP applicants shows that proposals with higher ratings by technical and business/economic experts have. a greater chance of winning an award. Further, the projects and firms selected by ATP are. more. willing to share their research findings with other firms, and tend to be those that open up new pathways for innovation through combining technical areas or by forming new R&amp;D partnerships. Most of the. non-winners have. not proceeded with any aspect of the R&amp;D project proposed to ATP and, of those that have, most did so at a smaller scale. Furthermore, the ATP award has prestige value for the winning firms; the halo effect from the award increases the success of these firms in attracting additional funding from other sources. Our conclusion is that the ATP is leveraging activities that have a strong potential for broad-based economic benefit.", "author" : [ { "dropping-particle" : "", "family" : "Feldman", "given" : "Maryann P.", "non-dropping-particle" : "", "parse-names" : false, "suffix" : "" }, { "dropping-particle" : "", "family" : "Kelley", "given" : "Maryellen R.", "non-dropping-particle" : "", "parse-names" : false, "suffix" : "" } ], "container-title" : "Small Business Economics", "id" : "ITEM-1", "issue" : "2", "issued" : { "date-parts" : [ [ "2003" ] ] }, "page" : "153-165", "title" : "Leveraging Research and Development: Assessing the Impact of the US Advanced Technology Program", "type" : "article-journal", "volume" : "20" }, "uris" : [ "http://www.mendeley.com/documents/?uuid=faf23982-6f4e-4379-9edf-0ff26e845fd9" ] }, { "id" : "ITEM-2", "itemData" : { "DOI" : "10.1016/j.respol.2006.09.019", "ISSN" : "00487333", "abstract" : "This paper investigates the role of government R&amp;D subsidy programs in stimulating knowledgespillovers. R&amp;D subsidies are an effective public policy instrument when knowledgespillovers exist yet exante it is difficult to identify projects that have the greatest potential to increase innovation and economic growth. This paper derives a set of project and firm attributes that the literature finds generate knowledgespillovers and uses data on project proposals to estimate the degree to which a government R&amp;D program conforms. We find that projects that were awarded R&amp;D subsidies were more likely to have attributes such as participation in new research joint ventures and connections to universities and other firms. Following the post-award activities of firm, we find that receipt of a government R&amp;D subsidy increased the funding from other sources when compared to firms that were not awarded funding.", "author" : [ { "dropping-particle" : "", "family" : "Feldman", "given" : "Maryann P.", "non-dropping-particle" : "", "parse-names" : false, "suffix" : "" }, { "dropping-particle" : "", "family" : "Kelley", "given" : "Maryellen R.", "non-dropping-particle" : "", "parse-names" : false, "suffix" : "" } ], "container-title" : "Research Policy", "id" : "ITEM-2", "issue" : "10", "issued" : { "date-parts" : [ [ "2006", "12" ] ] }, "page" : "1509-1521", "title" : "The Ex-Ante Assessment of Knowledge Spillovers: Government R&amp;D Policy, Economic Incentives and Private Firm Behavior", "type" : "article-journal", "volume" : "35" }, "uris" : [ "http://www.mendeley.com/documents/?uuid=cbca8dee-6edb-48c9-962f-b9bb9e5346d6" ] } ], "mendeley" : { "formattedCitation" : "(Feldman and Kelley 2003, 2006)", "manualFormatting" : "Feldman and Kelley (2003, 2006)", "plainTextFormattedCitation" : "(Feldman and Kelley 2003, 2006)", "previouslyFormattedCitation" : "(Feldman and Kelley 2003, 2006)" }, "properties" : { "noteIndex" : 0 }, "schema" : "https://github.com/citation-style-language/schema/raw/master/csl-citation.json" }</w:instrText>
      </w:r>
      <w:r w:rsidR="007C60DA" w:rsidRPr="00F925AE">
        <w:rPr>
          <w:rFonts w:eastAsia="Times New Roman" w:cs="Times New Roman"/>
          <w:sz w:val="20"/>
          <w:szCs w:val="20"/>
        </w:rPr>
        <w:fldChar w:fldCharType="separate"/>
      </w:r>
      <w:r w:rsidRPr="00F925AE">
        <w:rPr>
          <w:rFonts w:eastAsia="Times New Roman" w:cs="Times New Roman"/>
          <w:noProof/>
          <w:sz w:val="20"/>
          <w:szCs w:val="20"/>
        </w:rPr>
        <w:t>Feldman and Kelley (2003, 2006)</w:t>
      </w:r>
      <w:r w:rsidR="007C60DA" w:rsidRPr="00F925AE">
        <w:rPr>
          <w:rFonts w:eastAsia="Times New Roman" w:cs="Times New Roman"/>
          <w:sz w:val="20"/>
          <w:szCs w:val="20"/>
        </w:rPr>
        <w:fldChar w:fldCharType="end"/>
      </w:r>
      <w:r w:rsidRPr="00F925AE">
        <w:rPr>
          <w:rFonts w:eastAsia="Times New Roman" w:cs="Times New Roman"/>
          <w:sz w:val="20"/>
          <w:szCs w:val="20"/>
        </w:rPr>
        <w:t xml:space="preserve"> find that firms receiving grants from the Advance Technology Program (ATP) are better able to raise additional funds from other sources. </w:t>
      </w:r>
      <w:r w:rsidR="007C60DA" w:rsidRPr="00F925AE">
        <w:rPr>
          <w:rFonts w:eastAsia="Times New Roman" w:cs="Times New Roman"/>
          <w:sz w:val="20"/>
          <w:szCs w:val="20"/>
        </w:rPr>
        <w:fldChar w:fldCharType="begin" w:fldLock="1"/>
      </w:r>
      <w:r w:rsidRPr="00F925AE">
        <w:rPr>
          <w:rFonts w:eastAsia="Times New Roman" w:cs="Times New Roman"/>
          <w:sz w:val="20"/>
          <w:szCs w:val="20"/>
        </w:rPr>
        <w:instrText>ADDIN CSL_CITATION { "citationItems" : [ { "id" : "ITEM-1", "itemData" : { "DOI" : "10.1016/j.respol.2012.01.001", "ISSN" : "00487333", "abstract" : "Many countries spend sizeable sums of public money on R&amp;D grants to alleviate debt and equity gaps for small firms\u2019 innovation projects. In making such awards, knowledgeable government officials may certify firms to private financiers. Using a unique Belgian dataset of 1107 approved requests and a control group of denied requests for a specific type of R&amp;D grant, we examine the impact of subsidies on small firms\u2019 access to external equity, short term and long term debt financing. We find that obtaining an R&amp;D subsidy provides a positive signal about SME quality and results in better access to long-term debt.", "author" : [ { "dropping-particle" : "", "family" : "Meuleman", "given" : "Miguel", "non-dropping-particle" : "", "parse-names" : false, "suffix" : "" }, { "dropping-particle" : "", "family" : "Maeseneire", "given" : "Wouter", "non-dropping-particle" : "De", "parse-names" : false, "suffix" : "" } ], "container-title" : "Research Policy", "id" : "ITEM-1", "issue" : "3", "issued" : { "date-parts" : [ [ "2012", "4" ] ] }, "page" : "580-591", "title" : "Do R&amp;D Subsidies Affect SMEs\u2019 Access to External Financing?", "type" : "article-journal", "volume" : "41" }, "uris" : [ "http://www.mendeley.com/documents/?uuid=d1f90ddc-2d4e-4a32-b467-35189ac0286f" ] } ], "mendeley" : { "formattedCitation" : "(Meuleman and De Maeseneire 2012)", "manualFormatting" : "Meuleman and De Maeseneire (2012)", "plainTextFormattedCitation" : "(Meuleman and De Maeseneire 2012)", "previouslyFormattedCitation" : "(Meuleman and De Maeseneire 2012)" }, "properties" : { "noteIndex" : 0 }, "schema" : "https://github.com/citation-style-language/schema/raw/master/csl-citation.json" }</w:instrText>
      </w:r>
      <w:r w:rsidR="007C60DA" w:rsidRPr="00F925AE">
        <w:rPr>
          <w:rFonts w:eastAsia="Times New Roman" w:cs="Times New Roman"/>
          <w:sz w:val="20"/>
          <w:szCs w:val="20"/>
        </w:rPr>
        <w:fldChar w:fldCharType="separate"/>
      </w:r>
      <w:r w:rsidRPr="00F925AE">
        <w:rPr>
          <w:rFonts w:eastAsia="Times New Roman" w:cs="Times New Roman"/>
          <w:noProof/>
          <w:sz w:val="20"/>
          <w:szCs w:val="20"/>
        </w:rPr>
        <w:t>Meuleman and De Maeseneire (2012)</w:t>
      </w:r>
      <w:r w:rsidR="007C60DA" w:rsidRPr="00F925AE">
        <w:rPr>
          <w:rFonts w:eastAsia="Times New Roman" w:cs="Times New Roman"/>
          <w:sz w:val="20"/>
          <w:szCs w:val="20"/>
        </w:rPr>
        <w:fldChar w:fldCharType="end"/>
      </w:r>
      <w:r w:rsidRPr="00F925AE">
        <w:rPr>
          <w:rFonts w:eastAsia="Times New Roman" w:cs="Times New Roman"/>
          <w:sz w:val="20"/>
          <w:szCs w:val="20"/>
        </w:rPr>
        <w:t xml:space="preserve"> show that R&amp;D grants exert a certification effect that increases the Belgian firms’ likelihood of raising long-term debt and, especially for the youngest firms, external equity finance. Guerini and Quas </w:t>
      </w:r>
      <w:r w:rsidR="007C60DA" w:rsidRPr="00F925AE">
        <w:rPr>
          <w:rFonts w:eastAsia="Times New Roman" w:cs="Times New Roman"/>
          <w:sz w:val="20"/>
          <w:szCs w:val="20"/>
        </w:rPr>
        <w:fldChar w:fldCharType="begin" w:fldLock="1"/>
      </w:r>
      <w:r w:rsidRPr="00F925AE">
        <w:rPr>
          <w:rFonts w:eastAsia="Times New Roman" w:cs="Times New Roman"/>
          <w:sz w:val="20"/>
          <w:szCs w:val="20"/>
        </w:rPr>
        <w:instrText>ADDIN CSL_CITATION { "citationItems" : [ { "id" : "ITEM-1", "itemData" : { "DOI" : "10.1016/j.jbusvent.2015.10.001", "ISSN" : "08839026", "author" : [ { "dropping-particle" : "", "family" : "Guerini", "given" : "Massimiliano", "non-dropping-particle" : "", "parse-names" : false, "suffix" : "" }, { "dropping-particle" : "", "family" : "Quas", "given" : "Anita", "non-dropping-particle" : "", "parse-names" : false, "suffix" : "" } ], "container-title" : "Journal of Business Venturing", "id" : "ITEM-1", "issue" : "2", "issued" : { "date-parts" : [ [ "2015" ] ] }, "page" : "175\u2013195", "title" : "Governmental Venture Capital in Europe: Screening and Certification", "type" : "article-journal", "volume" : "31" }, "uris" : [ "http://www.mendeley.com/documents/?uuid=a3c05150-7ad8-4c36-8ac2-c5c4525f862e" ] } ], "mendeley" : { "formattedCitation" : "(Guerini and Quas 2015)", "manualFormatting" : "(2015)", "plainTextFormattedCitation" : "(Guerini and Quas 2015)", "previouslyFormattedCitation" : "(Guerini and Quas 2015)" }, "properties" : { "noteIndex" : 0 }, "schema" : "https://github.com/citation-style-language/schema/raw/master/csl-citation.json" }</w:instrText>
      </w:r>
      <w:r w:rsidR="007C60DA" w:rsidRPr="00F925AE">
        <w:rPr>
          <w:rFonts w:eastAsia="Times New Roman" w:cs="Times New Roman"/>
          <w:sz w:val="20"/>
          <w:szCs w:val="20"/>
        </w:rPr>
        <w:fldChar w:fldCharType="separate"/>
      </w:r>
      <w:r w:rsidRPr="00F925AE">
        <w:rPr>
          <w:rFonts w:eastAsia="Times New Roman" w:cs="Times New Roman"/>
          <w:noProof/>
          <w:sz w:val="20"/>
          <w:szCs w:val="20"/>
        </w:rPr>
        <w:t>(2015)</w:t>
      </w:r>
      <w:r w:rsidR="007C60DA" w:rsidRPr="00F925AE">
        <w:rPr>
          <w:rFonts w:eastAsia="Times New Roman" w:cs="Times New Roman"/>
          <w:sz w:val="20"/>
          <w:szCs w:val="20"/>
        </w:rPr>
        <w:fldChar w:fldCharType="end"/>
      </w:r>
      <w:r w:rsidRPr="00F925AE">
        <w:rPr>
          <w:rFonts w:eastAsia="Times New Roman" w:cs="Times New Roman"/>
          <w:sz w:val="20"/>
          <w:szCs w:val="20"/>
        </w:rPr>
        <w:t xml:space="preserve"> find that high technology firms that receive government-affiliated VC finance in several European countries are three times more likely to receive private VC than their counterparts, also because of a certification effect. </w:t>
      </w:r>
    </w:p>
    <w:p w:rsidR="00512993" w:rsidRPr="00F925AE" w:rsidRDefault="00512993" w:rsidP="00512993">
      <w:pPr>
        <w:widowControl w:val="0"/>
        <w:ind w:firstLine="567"/>
        <w:rPr>
          <w:rFonts w:eastAsia="Times New Roman" w:cs="Times New Roman"/>
          <w:sz w:val="20"/>
          <w:szCs w:val="20"/>
        </w:rPr>
      </w:pPr>
      <w:r w:rsidRPr="00F925AE">
        <w:rPr>
          <w:rFonts w:eastAsia="Times New Roman" w:cs="Times New Roman"/>
          <w:sz w:val="20"/>
          <w:szCs w:val="20"/>
        </w:rPr>
        <w:lastRenderedPageBreak/>
        <w:t xml:space="preserve">The certification hypothesis has never been tested on government loans </w:t>
      </w:r>
      <w:r w:rsidR="00D37DA4" w:rsidRPr="00F925AE">
        <w:rPr>
          <w:rFonts w:eastAsia="Times New Roman" w:cs="Times New Roman"/>
          <w:sz w:val="20"/>
          <w:szCs w:val="20"/>
        </w:rPr>
        <w:t>or</w:t>
      </w:r>
      <w:r w:rsidRPr="00F925AE">
        <w:rPr>
          <w:rFonts w:eastAsia="Times New Roman" w:cs="Times New Roman"/>
          <w:sz w:val="20"/>
          <w:szCs w:val="20"/>
        </w:rPr>
        <w:t xml:space="preserve"> on PLs. We argue that the intrinsic characteristics of PLs granted by a government agency make them a potentially effective mechanism of certification, especially towards commercial banks. A necessary condition for the certification to be effective is that the government support conveys positive information about the quality of the firm to private investors </w:t>
      </w:r>
      <w:r w:rsidR="007C60DA" w:rsidRPr="00F925AE">
        <w:rPr>
          <w:rFonts w:eastAsia="Times New Roman" w:cs="Times New Roman"/>
          <w:sz w:val="20"/>
          <w:szCs w:val="20"/>
        </w:rPr>
        <w:fldChar w:fldCharType="begin" w:fldLock="1"/>
      </w:r>
      <w:r w:rsidRPr="00F925AE">
        <w:rPr>
          <w:rFonts w:eastAsia="Times New Roman" w:cs="Times New Roman"/>
          <w:sz w:val="20"/>
          <w:szCs w:val="20"/>
        </w:rPr>
        <w:instrText>ADDIN CSL_CITATION { "citationItems" : [ { "id" : "ITEM-1", "itemData" : { "DOI" : "10.1016/j.respol.2010.08.001", "ISSN" : "00487333", "abstract" : "Government subsidies for R&amp;D are intended to promote projects with high returns to society but too little private returns to be beneficial for private investors. This may be caused by spillovers or a low appropriability rate. Apart from the direct funding of these projects, government grants may serve as a signal for good investments for private investors. We use a simple signaling model with different types of R&amp;D projects to capture this phenomenon. The agency has a preference for basic research projects as they promise high expected social returns, while banks prefer applied research projects with high private returns. In a setup where the subsidy can only be used to distinguish between basic and applied research projects, government agency\u2019s signal is not very helpful for banks. However, if the subsidy is accompanied by a quality signal, it can lead to increased or better selected private investments.", "author" : [ { "dropping-particle" : "", "family" : "Kleer", "given" : "Robin", "non-dropping-particle" : "", "parse-names" : false, "suffix" : "" } ], "container-title" : "Research Policy", "id" : "ITEM-1", "issue" : "10", "issued" : { "date-parts" : [ [ "2010", "12" ] ] }, "page" : "1361-1374", "title" : "Government R&amp;D Subsidies as a Signal for Private Investors", "type" : "article-journal", "volume" : "39" }, "uris" : [ "http://www.mendeley.com/documents/?uuid=62c97547-3ece-4237-9c05-ae2b031b57b2" ] } ], "mendeley" : { "formattedCitation" : "(Kleer 2010)", "plainTextFormattedCitation" : "(Kleer 2010)", "previouslyFormattedCitation" : "(Kleer 2010)" }, "properties" : { "noteIndex" : 0 }, "schema" : "https://github.com/citation-style-language/schema/raw/master/csl-citation.json" }</w:instrText>
      </w:r>
      <w:r w:rsidR="007C60DA" w:rsidRPr="00F925AE">
        <w:rPr>
          <w:rFonts w:eastAsia="Times New Roman" w:cs="Times New Roman"/>
          <w:sz w:val="20"/>
          <w:szCs w:val="20"/>
        </w:rPr>
        <w:fldChar w:fldCharType="separate"/>
      </w:r>
      <w:r w:rsidRPr="00F925AE">
        <w:rPr>
          <w:rFonts w:eastAsia="Times New Roman" w:cs="Times New Roman"/>
          <w:noProof/>
          <w:sz w:val="20"/>
          <w:szCs w:val="20"/>
        </w:rPr>
        <w:t>(Kleer 2010)</w:t>
      </w:r>
      <w:r w:rsidR="007C60DA" w:rsidRPr="00F925AE">
        <w:rPr>
          <w:rFonts w:eastAsia="Times New Roman" w:cs="Times New Roman"/>
          <w:sz w:val="20"/>
          <w:szCs w:val="20"/>
        </w:rPr>
        <w:fldChar w:fldCharType="end"/>
      </w:r>
      <w:r w:rsidRPr="00F925AE">
        <w:rPr>
          <w:rFonts w:eastAsia="Times New Roman" w:cs="Times New Roman"/>
          <w:sz w:val="20"/>
          <w:szCs w:val="20"/>
        </w:rPr>
        <w:t xml:space="preserve">. We believe this is the case for PLs for several reasons. First, the lender usually requests the borrower to balance the amount of the PL with an additional predefined capital increase. </w:t>
      </w:r>
      <w:r w:rsidR="00B72C2D" w:rsidRPr="00F925AE">
        <w:rPr>
          <w:rFonts w:eastAsia="Times New Roman" w:cs="Times New Roman"/>
          <w:sz w:val="20"/>
          <w:szCs w:val="20"/>
        </w:rPr>
        <w:t xml:space="preserve">Only shareholders that strongly believe in the future of their business will provide additional equity, while the others will self-select out of the process of applying for a PL. SMEs may also attempt to raise equity capital from external investors, but only firms able to prove their quality will be able to do so. </w:t>
      </w:r>
      <w:r w:rsidRPr="00F925AE">
        <w:rPr>
          <w:rFonts w:eastAsia="Times New Roman" w:cs="Times New Roman"/>
          <w:sz w:val="20"/>
          <w:szCs w:val="20"/>
        </w:rPr>
        <w:t xml:space="preserve"> Second, applicants go through a selection process in which information about the firm is screened by the government agency to identify high-quality borrowers. An important assumption at this stage is that government’s assessments are independent, educated and technically sophisticated </w:t>
      </w:r>
      <w:r w:rsidR="007C60DA" w:rsidRPr="00F925AE">
        <w:rPr>
          <w:rFonts w:eastAsia="Times New Roman" w:cs="Times New Roman"/>
          <w:sz w:val="20"/>
          <w:szCs w:val="20"/>
        </w:rPr>
        <w:fldChar w:fldCharType="begin" w:fldLock="1"/>
      </w:r>
      <w:r w:rsidRPr="00F925AE">
        <w:rPr>
          <w:rFonts w:eastAsia="Times New Roman" w:cs="Times New Roman"/>
          <w:sz w:val="20"/>
          <w:szCs w:val="20"/>
        </w:rPr>
        <w:instrText>ADDIN CSL_CITATION { "citationItems" : [ { "id" : "ITEM-1", "itemData" : { "DOI" : "10.1016/j.respol.2012.01.001", "ISSN" : "00487333", "abstract" : "Many countries spend sizeable sums of public money on R&amp;D grants to alleviate debt and equity gaps for small firms\u2019 innovation projects. In making such awards, knowledgeable government officials may certify firms to private financiers. Using a unique Belgian dataset of 1107 approved requests and a control group of denied requests for a specific type of R&amp;D grant, we examine the impact of subsidies on small firms\u2019 access to external equity, short term and long term debt financing. We find that obtaining an R&amp;D subsidy provides a positive signal about SME quality and results in better access to long-term debt.", "author" : [ { "dropping-particle" : "", "family" : "Meuleman", "given" : "Miguel", "non-dropping-particle" : "", "parse-names" : false, "suffix" : "" }, { "dropping-particle" : "", "family" : "Maeseneire", "given" : "Wouter", "non-dropping-particle" : "De", "parse-names" : false, "suffix" : "" } ], "container-title" : "Research Policy", "id" : "ITEM-1", "issue" : "3", "issued" : { "date-parts" : [ [ "2012", "4" ] ] }, "page" : "580-591", "title" : "Do R&amp;D Subsidies Affect SMEs\u2019 Access to External Financing?", "type" : "article-journal", "volume" : "41" }, "uris" : [ "http://www.mendeley.com/documents/?uuid=d1f90ddc-2d4e-4a32-b467-35189ac0286f" ] } ], "mendeley" : { "formattedCitation" : "(Meuleman and De Maeseneire 2012)", "plainTextFormattedCitation" : "(Meuleman and De Maeseneire 2012)", "previouslyFormattedCitation" : "(Meuleman and De Maeseneire 2012)" }, "properties" : { "noteIndex" : 0 }, "schema" : "https://github.com/citation-style-language/schema/raw/master/csl-citation.json" }</w:instrText>
      </w:r>
      <w:r w:rsidR="007C60DA" w:rsidRPr="00F925AE">
        <w:rPr>
          <w:rFonts w:eastAsia="Times New Roman" w:cs="Times New Roman"/>
          <w:sz w:val="20"/>
          <w:szCs w:val="20"/>
        </w:rPr>
        <w:fldChar w:fldCharType="separate"/>
      </w:r>
      <w:r w:rsidRPr="00F925AE">
        <w:rPr>
          <w:rFonts w:eastAsia="Times New Roman" w:cs="Times New Roman"/>
          <w:noProof/>
          <w:sz w:val="20"/>
          <w:szCs w:val="20"/>
        </w:rPr>
        <w:t>(Meuleman and De Maeseneire 2012)</w:t>
      </w:r>
      <w:r w:rsidR="007C60DA" w:rsidRPr="00F925AE">
        <w:rPr>
          <w:rFonts w:eastAsia="Times New Roman" w:cs="Times New Roman"/>
          <w:sz w:val="20"/>
          <w:szCs w:val="20"/>
        </w:rPr>
        <w:fldChar w:fldCharType="end"/>
      </w:r>
      <w:r w:rsidRPr="00F925AE">
        <w:rPr>
          <w:rFonts w:eastAsia="Times New Roman" w:cs="Times New Roman"/>
          <w:sz w:val="20"/>
          <w:szCs w:val="20"/>
        </w:rPr>
        <w:t xml:space="preserve">. With respect to commercial banks, government agencies may have an advantage in the screening process because they centralize applications from a large number of applicants and may have a better understanding of the state of the art in specific technological fields. </w:t>
      </w:r>
      <w:r w:rsidRPr="00F925AE">
        <w:rPr>
          <w:rFonts w:cs="Times New Roman"/>
          <w:sz w:val="20"/>
          <w:szCs w:val="20"/>
        </w:rPr>
        <w:t>Moreover, the return on the investment in PLs includes a share of the profits of the borrower.</w:t>
      </w:r>
      <w:r w:rsidR="00D37DA4" w:rsidRPr="00F925AE">
        <w:rPr>
          <w:rStyle w:val="Refdenotaalpie"/>
          <w:rFonts w:cs="Times New Roman"/>
          <w:sz w:val="20"/>
          <w:szCs w:val="20"/>
        </w:rPr>
        <w:footnoteReference w:id="4"/>
      </w:r>
      <w:r w:rsidRPr="00F925AE">
        <w:rPr>
          <w:rFonts w:cs="Times New Roman"/>
          <w:sz w:val="20"/>
          <w:szCs w:val="20"/>
        </w:rPr>
        <w:t xml:space="preserve"> Therefore, it is in the interest of the government (as lender) to be extremely selective in the award of loans because the higher the potential of the selected SMEs, the higher the additional payments received from successful firms. </w:t>
      </w:r>
    </w:p>
    <w:p w:rsidR="00512993" w:rsidRPr="00F925AE" w:rsidRDefault="00512993" w:rsidP="00512993">
      <w:pPr>
        <w:autoSpaceDE w:val="0"/>
        <w:autoSpaceDN w:val="0"/>
        <w:adjustRightInd w:val="0"/>
        <w:spacing w:before="120" w:after="120"/>
        <w:rPr>
          <w:rFonts w:eastAsia="Times New Roman" w:cs="Times New Roman"/>
          <w:sz w:val="20"/>
          <w:szCs w:val="20"/>
        </w:rPr>
      </w:pPr>
      <w:r w:rsidRPr="00F925AE">
        <w:rPr>
          <w:rFonts w:eastAsia="Times New Roman" w:cs="Times New Roman"/>
          <w:sz w:val="20"/>
          <w:szCs w:val="20"/>
        </w:rPr>
        <w:t xml:space="preserve">PLs may also reduce potential moral hazard problems between firms and commercial banks for two reasons. First, unlike subsidies and government-affiliated VC, the firm must pay back the PL at maturity. This imposes self-discipline on the firm and a higher commitment to the project </w:t>
      </w:r>
      <w:r w:rsidR="007C60DA" w:rsidRPr="00F925AE">
        <w:rPr>
          <w:rFonts w:eastAsia="Times New Roman" w:cs="Times New Roman"/>
          <w:sz w:val="20"/>
          <w:szCs w:val="20"/>
        </w:rPr>
        <w:fldChar w:fldCharType="begin" w:fldLock="1"/>
      </w:r>
      <w:r w:rsidRPr="00F925AE">
        <w:rPr>
          <w:rFonts w:eastAsia="Times New Roman" w:cs="Times New Roman"/>
          <w:sz w:val="20"/>
          <w:szCs w:val="20"/>
        </w:rPr>
        <w:instrText>ADDIN CSL_CITATION { "citationItems" : [ { "id" : "ITEM-1", "itemData" : { "author" : [ { "dropping-particle" : "", "family" : "Huergo", "given" : "Elena", "non-dropping-particle" : "", "parse-names" : false, "suffix" : "" }, { "dropping-particle" : "", "family" : "Trenado", "given" : "Mayte", "non-dropping-particle" : "", "parse-names" : false, "suffix" : "" }, { "dropping-particle" : "", "family" : "Ubierna", "given" : "Andr\u00e9s", "non-dropping-particle" : "", "parse-names" : false, "suffix" : "" } ], "container-title" : "MPRA paper No. 44221", "id" : "ITEM-1", "issued" : { "date-parts" : [ [ "2013" ] ] }, "page" : "1-57", "publisher-place" : "Munich", "title" : "The Impact of Low-Interest Credits on Business R&amp;D Expenditures: Spanish Firms and CDTI Loans for R&amp;D projects", "type" : "article-journal" }, "uris" : [ "http://www.mendeley.com/documents/?uuid=c886dc3a-eb13-4015-b486-184ad91e289d" ] } ], "mendeley" : { "formattedCitation" : "(Huergo et al. 2013)", "plainTextFormattedCitation" : "(Huergo et al. 2013)", "previouslyFormattedCitation" : "(Huergo et al. 2013)" }, "properties" : { "noteIndex" : 0 }, "schema" : "https://github.com/citation-style-language/schema/raw/master/csl-citation.json" }</w:instrText>
      </w:r>
      <w:r w:rsidR="007C60DA" w:rsidRPr="00F925AE">
        <w:rPr>
          <w:rFonts w:eastAsia="Times New Roman" w:cs="Times New Roman"/>
          <w:sz w:val="20"/>
          <w:szCs w:val="20"/>
        </w:rPr>
        <w:fldChar w:fldCharType="separate"/>
      </w:r>
      <w:r w:rsidRPr="00F925AE">
        <w:rPr>
          <w:rFonts w:eastAsia="Times New Roman" w:cs="Times New Roman"/>
          <w:noProof/>
          <w:sz w:val="20"/>
          <w:szCs w:val="20"/>
        </w:rPr>
        <w:t>(Huergo et al. 2013)</w:t>
      </w:r>
      <w:r w:rsidR="007C60DA" w:rsidRPr="00F925AE">
        <w:rPr>
          <w:rFonts w:eastAsia="Times New Roman" w:cs="Times New Roman"/>
          <w:sz w:val="20"/>
          <w:szCs w:val="20"/>
        </w:rPr>
        <w:fldChar w:fldCharType="end"/>
      </w:r>
      <w:r w:rsidRPr="00F925AE">
        <w:rPr>
          <w:rFonts w:eastAsia="Times New Roman" w:cs="Times New Roman"/>
          <w:sz w:val="20"/>
          <w:szCs w:val="20"/>
        </w:rPr>
        <w:t xml:space="preserve">, thus improving its reputational capital </w:t>
      </w:r>
      <w:r w:rsidR="007C60DA" w:rsidRPr="00F925AE">
        <w:rPr>
          <w:rFonts w:eastAsia="Times New Roman" w:cs="Times New Roman"/>
          <w:sz w:val="20"/>
          <w:szCs w:val="20"/>
        </w:rPr>
        <w:fldChar w:fldCharType="begin" w:fldLock="1"/>
      </w:r>
      <w:r w:rsidRPr="00F925AE">
        <w:rPr>
          <w:rFonts w:eastAsia="Times New Roman" w:cs="Times New Roman"/>
          <w:sz w:val="20"/>
          <w:szCs w:val="20"/>
        </w:rPr>
        <w:instrText>ADDIN CSL_CITATION { "citationItems" : [ { "id" : "ITEM-1", "itemData" : { "DOI" : "10.1086/261775", "ISBN" : "00223808", "ISSN" : "0022-3808", "abstract" : "This paper determines when a debt contract will be monitored by lenders. This is the choice between borrowing directly (issuing a bond, without monitoring) and borrowing through a bank that monitors to alleviate moral hazard. This provides a theory of bank loan demand and of the role of monitoring in circumstances in which reputation effects are important. A key result is that borrowers with credit ratings toward the middle of the spectrum rely on bank loans, and in periods of high interest rates or low future profitability, higher-rated borrowers choose to borrow from banks.", "author" : [ { "dropping-particle" : "", "family" : "Diamond", "given" : "Douglas W.", "non-dropping-particle" : "", "parse-names" : false, "suffix" : "" } ], "container-title" : "Journal of Political Economy", "id" : "ITEM-1", "issue" : "4", "issued" : { "date-parts" : [ [ "1991" ] ] }, "page" : "689-721", "title" : "Monitoring and Reputation: The Choice between Bank Loans and Directly Placed Debt", "type" : "article-journal", "volume" : "99" }, "uris" : [ "http://www.mendeley.com/documents/?uuid=eb089805-3de6-4afa-8785-5dd02283c531", "http://www.mendeley.com/documents/?uuid=b488b07c-f5a8-43f3-92e6-8c4c498f2575", "http://www.mendeley.com/documents/?uuid=515cf7dd-b9ee-4b60-bd53-413f06259853" ] } ], "mendeley" : { "formattedCitation" : "(Diamond 1991)", "plainTextFormattedCitation" : "(Diamond 1991)", "previouslyFormattedCitation" : "(Diamond 1991)" }, "properties" : { "noteIndex" : 0 }, "schema" : "https://github.com/citation-style-language/schema/raw/master/csl-citation.json" }</w:instrText>
      </w:r>
      <w:r w:rsidR="007C60DA" w:rsidRPr="00F925AE">
        <w:rPr>
          <w:rFonts w:eastAsia="Times New Roman" w:cs="Times New Roman"/>
          <w:sz w:val="20"/>
          <w:szCs w:val="20"/>
        </w:rPr>
        <w:fldChar w:fldCharType="separate"/>
      </w:r>
      <w:r w:rsidRPr="00F925AE">
        <w:rPr>
          <w:rFonts w:eastAsia="Times New Roman" w:cs="Times New Roman"/>
          <w:noProof/>
          <w:sz w:val="20"/>
          <w:szCs w:val="20"/>
        </w:rPr>
        <w:t>(Diamond 1991)</w:t>
      </w:r>
      <w:r w:rsidR="007C60DA" w:rsidRPr="00F925AE">
        <w:rPr>
          <w:rFonts w:eastAsia="Times New Roman" w:cs="Times New Roman"/>
          <w:sz w:val="20"/>
          <w:szCs w:val="20"/>
        </w:rPr>
        <w:fldChar w:fldCharType="end"/>
      </w:r>
      <w:r w:rsidRPr="00F925AE">
        <w:rPr>
          <w:rFonts w:eastAsia="Times New Roman" w:cs="Times New Roman"/>
          <w:sz w:val="20"/>
          <w:szCs w:val="20"/>
        </w:rPr>
        <w:t xml:space="preserve">. Second, by requesting the borrower to undertake a capital increase, PLs offer further proof of shareholder commitment to the firm’s investments and align the interests of shareholders and lenders </w:t>
      </w:r>
      <w:r w:rsidR="007C60DA" w:rsidRPr="00F925AE">
        <w:rPr>
          <w:rFonts w:eastAsia="Times New Roman" w:cs="Times New Roman"/>
          <w:sz w:val="20"/>
          <w:szCs w:val="20"/>
        </w:rPr>
        <w:fldChar w:fldCharType="begin" w:fldLock="1"/>
      </w:r>
      <w:r w:rsidRPr="00F925AE">
        <w:rPr>
          <w:rFonts w:eastAsia="Times New Roman" w:cs="Times New Roman"/>
          <w:sz w:val="20"/>
          <w:szCs w:val="20"/>
        </w:rPr>
        <w:instrText>ADDIN CSL_CITATION { "citationItems" : [ { "id" : "ITEM-1", "itemData" : { "ISBN" : "9780691125565", "author" : [ { "dropping-particle" : "", "family" : "Tirole", "given" : "Jean", "non-dropping-particle" : "", "parse-names" : false, "suffix" : "" } ], "id" : "ITEM-1", "issued" : { "date-parts" : [ [ "2006" ] ] }, "number-of-pages" : "1-640", "publisher" : "Princeton University Press", "publisher-place" : "Princeton (NJ)", "title" : "The Theory of Corporate Finance", "type" : "book" }, "uris" : [ "http://www.mendeley.com/documents/?uuid=5252ed3f-b648-4b70-b463-3a01a42f89aa" ] } ], "mendeley" : { "formattedCitation" : "(Tirole 2006)", "plainTextFormattedCitation" : "(Tirole 2006)", "previouslyFormattedCitation" : "(Tirole 2006)" }, "properties" : { "noteIndex" : 0 }, "schema" : "https://github.com/citation-style-language/schema/raw/master/csl-citation.json" }</w:instrText>
      </w:r>
      <w:r w:rsidR="007C60DA" w:rsidRPr="00F925AE">
        <w:rPr>
          <w:rFonts w:eastAsia="Times New Roman" w:cs="Times New Roman"/>
          <w:sz w:val="20"/>
          <w:szCs w:val="20"/>
        </w:rPr>
        <w:fldChar w:fldCharType="separate"/>
      </w:r>
      <w:r w:rsidRPr="00F925AE">
        <w:rPr>
          <w:rFonts w:eastAsia="Times New Roman" w:cs="Times New Roman"/>
          <w:noProof/>
          <w:sz w:val="20"/>
          <w:szCs w:val="20"/>
        </w:rPr>
        <w:t>(Tirole 2006)</w:t>
      </w:r>
      <w:r w:rsidR="007C60DA" w:rsidRPr="00F925AE">
        <w:rPr>
          <w:rFonts w:eastAsia="Times New Roman" w:cs="Times New Roman"/>
          <w:sz w:val="20"/>
          <w:szCs w:val="20"/>
        </w:rPr>
        <w:fldChar w:fldCharType="end"/>
      </w:r>
      <w:r w:rsidRPr="00F925AE">
        <w:rPr>
          <w:rFonts w:eastAsia="Times New Roman" w:cs="Times New Roman"/>
          <w:sz w:val="20"/>
          <w:szCs w:val="20"/>
        </w:rPr>
        <w:t xml:space="preserve">. </w:t>
      </w:r>
    </w:p>
    <w:p w:rsidR="00512993" w:rsidRPr="00F925AE" w:rsidRDefault="00512993" w:rsidP="00512993">
      <w:pPr>
        <w:autoSpaceDE w:val="0"/>
        <w:autoSpaceDN w:val="0"/>
        <w:adjustRightInd w:val="0"/>
        <w:spacing w:before="120" w:after="120"/>
        <w:rPr>
          <w:rFonts w:eastAsia="Times New Roman" w:cs="Times New Roman"/>
          <w:sz w:val="20"/>
          <w:szCs w:val="20"/>
        </w:rPr>
      </w:pPr>
      <w:r w:rsidRPr="00F925AE">
        <w:rPr>
          <w:rFonts w:eastAsia="Times New Roman" w:cs="Times New Roman"/>
          <w:sz w:val="20"/>
          <w:szCs w:val="20"/>
        </w:rPr>
        <w:lastRenderedPageBreak/>
        <w:t>Summing up, PLs may reduce adverse selection problems by certifying that award</w:t>
      </w:r>
      <w:r w:rsidR="00BE6F0A" w:rsidRPr="00F925AE">
        <w:rPr>
          <w:rFonts w:eastAsia="Times New Roman" w:cs="Times New Roman"/>
          <w:sz w:val="20"/>
          <w:szCs w:val="20"/>
        </w:rPr>
        <w:t xml:space="preserve">-receiving </w:t>
      </w:r>
      <w:r w:rsidRPr="00F925AE">
        <w:rPr>
          <w:rFonts w:eastAsia="Times New Roman" w:cs="Times New Roman"/>
          <w:sz w:val="20"/>
          <w:szCs w:val="20"/>
        </w:rPr>
        <w:t xml:space="preserve">firms are of good quality, and reduce moral hazard problems by aligning the interests of shareholders and debt providers. </w:t>
      </w:r>
      <w:r w:rsidR="00B72C2D" w:rsidRPr="00F925AE">
        <w:rPr>
          <w:rFonts w:eastAsia="Times New Roman" w:cs="Times New Roman"/>
          <w:sz w:val="20"/>
          <w:szCs w:val="20"/>
        </w:rPr>
        <w:t>O</w:t>
      </w:r>
      <w:r w:rsidRPr="00F925AE">
        <w:rPr>
          <w:rFonts w:eastAsia="Times New Roman" w:cs="Times New Roman"/>
          <w:sz w:val="20"/>
          <w:szCs w:val="20"/>
        </w:rPr>
        <w:t>ur first hypothesis</w:t>
      </w:r>
      <w:r w:rsidR="00B72C2D" w:rsidRPr="00F925AE">
        <w:rPr>
          <w:rFonts w:eastAsia="Times New Roman" w:cs="Times New Roman"/>
          <w:sz w:val="20"/>
          <w:szCs w:val="20"/>
        </w:rPr>
        <w:t xml:space="preserve"> </w:t>
      </w:r>
      <w:r w:rsidRPr="00F925AE">
        <w:rPr>
          <w:rFonts w:eastAsia="Times New Roman" w:cs="Times New Roman"/>
          <w:sz w:val="20"/>
          <w:szCs w:val="20"/>
        </w:rPr>
        <w:t>follows:</w:t>
      </w:r>
    </w:p>
    <w:p w:rsidR="00512993" w:rsidRPr="00F925AE" w:rsidRDefault="00512993" w:rsidP="00512993">
      <w:pPr>
        <w:autoSpaceDE w:val="0"/>
        <w:autoSpaceDN w:val="0"/>
        <w:adjustRightInd w:val="0"/>
        <w:spacing w:before="120" w:after="120"/>
        <w:ind w:left="1418" w:hanging="1418"/>
        <w:rPr>
          <w:rFonts w:eastAsia="Times New Roman" w:cs="Times New Roman"/>
          <w:i/>
          <w:sz w:val="20"/>
          <w:szCs w:val="20"/>
        </w:rPr>
      </w:pPr>
      <w:r w:rsidRPr="00F925AE">
        <w:rPr>
          <w:rFonts w:eastAsia="Times New Roman" w:cs="Times New Roman"/>
          <w:i/>
          <w:sz w:val="20"/>
          <w:szCs w:val="20"/>
        </w:rPr>
        <w:t>Hypothesis 1:</w:t>
      </w:r>
      <w:r w:rsidRPr="00F925AE">
        <w:rPr>
          <w:rFonts w:eastAsia="Times New Roman" w:cs="Times New Roman"/>
          <w:i/>
          <w:sz w:val="20"/>
          <w:szCs w:val="20"/>
        </w:rPr>
        <w:tab/>
        <w:t xml:space="preserve">SMEs receiving a PL from a government-supported institution will improve their ability to raise external debt, thanks to a certification effect. </w:t>
      </w:r>
    </w:p>
    <w:p w:rsidR="00512993" w:rsidRPr="00F925AE" w:rsidRDefault="00512993" w:rsidP="00512993">
      <w:pPr>
        <w:pStyle w:val="Ttulo2"/>
        <w:rPr>
          <w:rFonts w:cs="Times New Roman"/>
          <w:szCs w:val="20"/>
        </w:rPr>
      </w:pPr>
      <w:r w:rsidRPr="00F925AE">
        <w:rPr>
          <w:rFonts w:cs="Times New Roman"/>
          <w:szCs w:val="20"/>
        </w:rPr>
        <w:t xml:space="preserve">Factors moderating the certification effect </w:t>
      </w:r>
    </w:p>
    <w:p w:rsidR="00512993" w:rsidRPr="00F925AE" w:rsidRDefault="00512993" w:rsidP="00512993">
      <w:pPr>
        <w:rPr>
          <w:rFonts w:cs="Times New Roman"/>
          <w:sz w:val="20"/>
          <w:szCs w:val="20"/>
        </w:rPr>
      </w:pPr>
      <w:r w:rsidRPr="00F925AE">
        <w:rPr>
          <w:rFonts w:cs="Times New Roman"/>
          <w:sz w:val="20"/>
          <w:szCs w:val="20"/>
        </w:rPr>
        <w:t xml:space="preserve">Since PLs reduce the problems related to information asymmetries between SMEs and commercial banks, </w:t>
      </w:r>
      <w:r w:rsidRPr="00F925AE">
        <w:rPr>
          <w:rFonts w:eastAsia="Times New Roman" w:cs="Times New Roman"/>
          <w:sz w:val="20"/>
          <w:szCs w:val="20"/>
        </w:rPr>
        <w:t xml:space="preserve">we predict that the receipt of PLs will be more beneficial for SMEs that are more strongly affected by these asymmetries. We focus on different firm-specific factors that can affect the effectiveness of certification: </w:t>
      </w:r>
      <w:r w:rsidRPr="00F925AE">
        <w:rPr>
          <w:rFonts w:cs="Times New Roman"/>
          <w:sz w:val="20"/>
          <w:szCs w:val="20"/>
        </w:rPr>
        <w:t>the size and age of the SMEs, the technological level of the industry in which they operate, and whether they were previously certified from similar (government agencies) or different (VC) organizations.</w:t>
      </w:r>
    </w:p>
    <w:p w:rsidR="00512993" w:rsidRPr="00F925AE" w:rsidRDefault="00512993" w:rsidP="00512993">
      <w:pPr>
        <w:tabs>
          <w:tab w:val="left" w:pos="3402"/>
        </w:tabs>
        <w:rPr>
          <w:rFonts w:cs="Times New Roman"/>
          <w:sz w:val="20"/>
          <w:szCs w:val="20"/>
        </w:rPr>
      </w:pPr>
      <w:r w:rsidRPr="00F925AE">
        <w:rPr>
          <w:rFonts w:eastAsia="Times New Roman" w:cs="Times New Roman"/>
          <w:b/>
          <w:sz w:val="20"/>
          <w:szCs w:val="20"/>
        </w:rPr>
        <w:t xml:space="preserve">Size: </w:t>
      </w:r>
      <w:r w:rsidRPr="00F925AE">
        <w:rPr>
          <w:rFonts w:eastAsia="Times New Roman" w:cs="Times New Roman"/>
          <w:sz w:val="20"/>
          <w:szCs w:val="20"/>
        </w:rPr>
        <w:t>Very s</w:t>
      </w:r>
      <w:r w:rsidRPr="00F925AE">
        <w:rPr>
          <w:rFonts w:cs="Times New Roman"/>
          <w:sz w:val="20"/>
          <w:szCs w:val="20"/>
        </w:rPr>
        <w:t xml:space="preserve">mall firms are </w:t>
      </w:r>
      <w:r w:rsidRPr="00F925AE">
        <w:rPr>
          <w:rFonts w:eastAsia="Times New Roman" w:cs="Times New Roman"/>
          <w:sz w:val="20"/>
          <w:szCs w:val="20"/>
        </w:rPr>
        <w:t>typically more strongly affected by information opacity</w:t>
      </w:r>
      <w:r w:rsidRPr="00F925AE">
        <w:rPr>
          <w:rFonts w:cs="Times New Roman"/>
          <w:sz w:val="20"/>
          <w:szCs w:val="20"/>
        </w:rPr>
        <w:t xml:space="preserve">, as they are not well-known and often unable to provide audited financial statements </w:t>
      </w:r>
      <w:r w:rsidR="007C60DA" w:rsidRPr="00F925AE">
        <w:rPr>
          <w:rFonts w:cs="Times New Roman"/>
          <w:sz w:val="20"/>
          <w:szCs w:val="20"/>
        </w:rPr>
        <w:fldChar w:fldCharType="begin" w:fldLock="1"/>
      </w:r>
      <w:r w:rsidRPr="00F925AE">
        <w:rPr>
          <w:rFonts w:cs="Times New Roman"/>
          <w:sz w:val="20"/>
          <w:szCs w:val="20"/>
        </w:rPr>
        <w:instrText>ADDIN CSL_CITATION { "citationItems" : [ { "id" : "ITEM-1", "itemData" : { "DOI" : "10.3386/w4789", "ISBN" : "00346535", "ISSN" : "&lt;null&gt;", "abstract" : "Adverse shocks to the economy may be amplified by worsening credit-market\\nconditions-the \"financial accelerator.\" Theoretically, we interpret\\nthe financial accelerator as resulting from endogenous changes over\\nthe business cycle in the agency costs of lending. An implication\\nof the theory is that, at the onset of a recession, borrowers facing\\nhigh agency costs should receive a relatively lower share of credit\\nextended (the flight to quality) and hence should account for a proportionally\\ngreater part of the decline in economic activity. We review the evidence\\nfor these predictions and present new evidence drawn from a panel\\nof large and small manufacturing firms.", "author" : [ { "dropping-particle" : "", "family" : "Bernanke", "given" : "Ben S.", "non-dropping-particle" : "", "parse-names" : false, "suffix" : "" }, { "dropping-particle" : "", "family" : "Gertler", "given" : "Mark", "non-dropping-particle" : "", "parse-names" : false, "suffix" : "" }, { "dropping-particle" : "", "family" : "Gilchrist", "given" : "Simon", "non-dropping-particle" : "", "parse-names" : false, "suffix" : "" } ], "container-title" : "Review of Economics and Statistics", "id" : "ITEM-1", "issue" : "1", "issued" : { "date-parts" : [ [ "1996" ] ] }, "page" : "1-15", "title" : "The Financial Accelerator and the Flight to Quality", "type" : "article-journal", "volume" : "78" }, "uris" : [ "http://www.mendeley.com/documents/?uuid=6c22c8e6-29ed-4b21-886c-b8ea10a2dbf0", "http://www.mendeley.com/documents/?uuid=3360c47e-c322-4455-a3e2-286d3c771da2" ] } ], "mendeley" : { "formattedCitation" : "(Bernanke et al. 1996)", "plainTextFormattedCitation" : "(Bernanke et al. 1996)", "previouslyFormattedCitation" : "(Bernanke et al. 1996)" }, "properties" : { "noteIndex" : 0 }, "schema" : "https://github.com/citation-style-language/schema/raw/master/csl-citation.json" }</w:instrText>
      </w:r>
      <w:r w:rsidR="007C60DA" w:rsidRPr="00F925AE">
        <w:rPr>
          <w:rFonts w:cs="Times New Roman"/>
          <w:sz w:val="20"/>
          <w:szCs w:val="20"/>
        </w:rPr>
        <w:fldChar w:fldCharType="separate"/>
      </w:r>
      <w:r w:rsidRPr="00F925AE">
        <w:rPr>
          <w:rFonts w:cs="Times New Roman"/>
          <w:noProof/>
          <w:sz w:val="20"/>
          <w:szCs w:val="20"/>
        </w:rPr>
        <w:t>(Bernanke et al. 1996)</w:t>
      </w:r>
      <w:r w:rsidR="007C60DA" w:rsidRPr="00F925AE">
        <w:rPr>
          <w:rFonts w:cs="Times New Roman"/>
          <w:sz w:val="20"/>
          <w:szCs w:val="20"/>
        </w:rPr>
        <w:fldChar w:fldCharType="end"/>
      </w:r>
      <w:r w:rsidRPr="00F925AE">
        <w:rPr>
          <w:rFonts w:cs="Times New Roman"/>
          <w:sz w:val="20"/>
          <w:szCs w:val="20"/>
        </w:rPr>
        <w:t>. Because of the fixed costs associated with screening, contracting and monitoring loans, banks capture scale economies in dealing with large firms, while</w:t>
      </w:r>
      <w:r w:rsidRPr="00F925AE">
        <w:rPr>
          <w:rFonts w:eastAsia="Times New Roman" w:cs="Times New Roman"/>
          <w:sz w:val="20"/>
          <w:szCs w:val="20"/>
        </w:rPr>
        <w:t xml:space="preserve"> costs of information collection are exacerbated in relatively small businesses </w:t>
      </w:r>
      <w:r w:rsidR="007C60DA" w:rsidRPr="00F925AE">
        <w:rPr>
          <w:rFonts w:eastAsia="Times New Roman" w:cs="Times New Roman"/>
          <w:sz w:val="20"/>
          <w:szCs w:val="20"/>
        </w:rPr>
        <w:fldChar w:fldCharType="begin" w:fldLock="1"/>
      </w:r>
      <w:r w:rsidRPr="00F925AE">
        <w:rPr>
          <w:rFonts w:eastAsia="Times New Roman" w:cs="Times New Roman"/>
          <w:sz w:val="20"/>
          <w:szCs w:val="20"/>
        </w:rPr>
        <w:instrText>ADDIN CSL_CITATION { "citationItems" : [ { "id" : "ITEM-1", "itemData" : { "DOI" : "10.1007/BF00391972", "ISSN" : "0921-898X", "author" : [ { "dropping-particle" : "", "family" : "Binks", "given" : "Martin R.", "non-dropping-particle" : "", "parse-names" : false, "suffix" : "" }, { "dropping-particle" : "", "family" : "Ennew", "given" : "Christine T.", "non-dropping-particle" : "", "parse-names" : false, "suffix" : "" } ], "container-title" : "Small Business Economics", "id" : "ITEM-1", "issue" : "1", "issued" : { "date-parts" : [ [ "1996", "2" ] ] }, "page" : "17-25", "title" : "Growing Firms and the Credit Constraint", "type" : "article-journal", "volume" : "8" }, "uris" : [ "http://www.mendeley.com/documents/?uuid=b82ea01c-df4f-4de9-9fb2-8ba7d24472fe", "http://www.mendeley.com/documents/?uuid=d59e72d8-34c6-48e9-a4f0-7c0c3f7eee35" ] } ], "mendeley" : { "formattedCitation" : "(Binks and Ennew 1996)", "plainTextFormattedCitation" : "(Binks and Ennew 1996)", "previouslyFormattedCitation" : "(Binks and Ennew 1996)" }, "properties" : { "noteIndex" : 0 }, "schema" : "https://github.com/citation-style-language/schema/raw/master/csl-citation.json" }</w:instrText>
      </w:r>
      <w:r w:rsidR="007C60DA" w:rsidRPr="00F925AE">
        <w:rPr>
          <w:rFonts w:eastAsia="Times New Roman" w:cs="Times New Roman"/>
          <w:sz w:val="20"/>
          <w:szCs w:val="20"/>
        </w:rPr>
        <w:fldChar w:fldCharType="separate"/>
      </w:r>
      <w:r w:rsidRPr="00F925AE">
        <w:rPr>
          <w:rFonts w:eastAsia="Times New Roman" w:cs="Times New Roman"/>
          <w:noProof/>
          <w:sz w:val="20"/>
          <w:szCs w:val="20"/>
        </w:rPr>
        <w:t>(Binks and Ennew 1996)</w:t>
      </w:r>
      <w:r w:rsidR="007C60DA" w:rsidRPr="00F925AE">
        <w:rPr>
          <w:rFonts w:eastAsia="Times New Roman" w:cs="Times New Roman"/>
          <w:sz w:val="20"/>
          <w:szCs w:val="20"/>
        </w:rPr>
        <w:fldChar w:fldCharType="end"/>
      </w:r>
      <w:r w:rsidRPr="00F925AE">
        <w:rPr>
          <w:rFonts w:eastAsia="Times New Roman" w:cs="Times New Roman"/>
          <w:sz w:val="20"/>
          <w:szCs w:val="20"/>
        </w:rPr>
        <w:t xml:space="preserve">. Further, the use of collateral by these firms is limited by the low value of their assets </w:t>
      </w:r>
      <w:r w:rsidR="007C60DA" w:rsidRPr="00F925AE">
        <w:rPr>
          <w:rFonts w:cs="Times New Roman"/>
          <w:sz w:val="20"/>
          <w:szCs w:val="20"/>
        </w:rPr>
        <w:fldChar w:fldCharType="begin" w:fldLock="1"/>
      </w:r>
      <w:r w:rsidRPr="00F925AE">
        <w:rPr>
          <w:rFonts w:cs="Times New Roman"/>
          <w:sz w:val="20"/>
          <w:szCs w:val="20"/>
        </w:rPr>
        <w:instrText>ADDIN CSL_CITATION { "citationItems" : [ { "id" : "ITEM-1", "itemData" : { "DOI" : "10.1177/026624269201100103", "ISSN" : "0266-2426", "abstract" : "Dr M. R. Binks and G.V. Reed are with the department of economics, nottingham university, England, and C.T. Ennew with the Department of industrial economics of the same university. Ascertaining the risk associated with the provision of external finance to small firms involves the collection of considerable amounts of external fiance to small firms involves the collection of considrable amounts of inforation. The cost incurred in this process are sufficient to cause both an equity and a debt gap. Mainstream econmic therorists are divided as to whetehr the inforatmion asymmetries concerened cause an under or an over-supply of credit. This paper outlines the main elements of the eimpact of asymmetries concrened cause an under of over supply of credit.idicates the tendency of a cpaital as opposed to an incoming-generting approach to loan evaluation to emerge as a natural default process by United Kingdom banks. Although identifying the anture of asymmetries in practice is very difficult. it is important to make attempts to do so in order to guide and monitor progress in theri removal .the authors explain how a measure of demand, supply and attainment quality, with respect.The result illustrate tehrrelative experience of firms by sector, size and growth rate and reveal the possiblity tha those firms most in need of a prospectus based approach may be least well placed to receive it.", "author" : [ { "dropping-particle" : "", "family" : "Binks", "given" : "Martin R.", "non-dropping-particle" : "", "parse-names" : false, "suffix" : "" }, { "dropping-particle" : "", "family" : "Ennew", "given" : "C. T.", "non-dropping-particle" : "", "parse-names" : false, "suffix" : "" }, { "dropping-particle" : "V.", "family" : "Reed", "given" : "G.", "non-dropping-particle" : "", "parse-names" : false, "suffix" : "" } ], "container-title" : "International Small Business Journal", "id" : "ITEM-1", "issue" : "1", "issued" : { "date-parts" : [ [ "1992", "10" ] ] }, "page" : "35-46", "title" : "Information Asymmetries and the Provision of Finance to Small Firms", "type" : "article-journal", "volume" : "11" }, "uris" : [ "http://www.mendeley.com/documents/?uuid=87b9eaf9-7ef6-4bbd-9c52-d1ca63d9d257" ] } ], "mendeley" : { "formattedCitation" : "(Binks et al. 1992)", "plainTextFormattedCitation" : "(Binks et al. 1992)", "previouslyFormattedCitation" : "(Binks et al. 1992)" }, "properties" : { "noteIndex" : 0 }, "schema" : "https://github.com/citation-style-language/schema/raw/master/csl-citation.json" }</w:instrText>
      </w:r>
      <w:r w:rsidR="007C60DA" w:rsidRPr="00F925AE">
        <w:rPr>
          <w:rFonts w:cs="Times New Roman"/>
          <w:sz w:val="20"/>
          <w:szCs w:val="20"/>
        </w:rPr>
        <w:fldChar w:fldCharType="separate"/>
      </w:r>
      <w:r w:rsidRPr="00F925AE">
        <w:rPr>
          <w:rFonts w:cs="Times New Roman"/>
          <w:noProof/>
          <w:sz w:val="20"/>
          <w:szCs w:val="20"/>
        </w:rPr>
        <w:t>(Binks et al. 1992)</w:t>
      </w:r>
      <w:r w:rsidR="007C60DA" w:rsidRPr="00F925AE">
        <w:rPr>
          <w:rFonts w:cs="Times New Roman"/>
          <w:sz w:val="20"/>
          <w:szCs w:val="20"/>
        </w:rPr>
        <w:fldChar w:fldCharType="end"/>
      </w:r>
      <w:r w:rsidRPr="00F925AE">
        <w:rPr>
          <w:rFonts w:cs="Times New Roman"/>
          <w:sz w:val="20"/>
          <w:szCs w:val="20"/>
        </w:rPr>
        <w:t xml:space="preserve">. </w:t>
      </w:r>
      <w:r w:rsidRPr="00F925AE">
        <w:rPr>
          <w:rFonts w:eastAsia="Times New Roman" w:cs="Times New Roman"/>
          <w:sz w:val="20"/>
          <w:szCs w:val="20"/>
        </w:rPr>
        <w:t>These circumstances increase the cost of</w:t>
      </w:r>
      <w:r w:rsidRPr="00F925AE">
        <w:rPr>
          <w:rFonts w:cs="Times New Roman"/>
          <w:sz w:val="20"/>
          <w:szCs w:val="20"/>
        </w:rPr>
        <w:t xml:space="preserve"> debt for smaller borrowers, as proved by abundant empirical evidence </w:t>
      </w:r>
      <w:r w:rsidR="007C60DA" w:rsidRPr="00F925AE">
        <w:rPr>
          <w:rFonts w:cs="Times New Roman"/>
          <w:sz w:val="20"/>
          <w:szCs w:val="20"/>
        </w:rPr>
        <w:fldChar w:fldCharType="begin" w:fldLock="1"/>
      </w:r>
      <w:r w:rsidRPr="00F925AE">
        <w:rPr>
          <w:rFonts w:cs="Times New Roman"/>
          <w:sz w:val="20"/>
          <w:szCs w:val="20"/>
        </w:rPr>
        <w:instrText>ADDIN CSL_CITATION { "citationItems" : [ { "id" : "ITEM-1", "itemData" : { "DOI" : "10.1080/10438590701738016", "ISSN" : "1043-8599", "abstract" : "Small firms encounter difficulties in collecting external finance due to greater information problems. For small innovative firms, whose activity is more difficult to evaluate, the cost of external finance could be even higher. This paper aims to shed light on special features in financial structures of small innovative firms, compared with firms of similar size that do not innovate. The evidence shows that small innovators rely less on financial debts and more on internal financial resources; no important differences appear for large firms. This is consistent with the view that information problems mainly affect small firms. Another finding is that small innovative firms show a lower investment sensitivity to cash flow than small non-innovative firms: it is likely that the high incidence of internal financial resources allows them more flexibility in deciding their investments. No difference in investment sensitivity to cash flow, by innovative attitude, is found for large firms. Small firms encounter difficulties in collecting external finance due to greater information problems. For small innovative firms, whose activity is more difficult to evaluate, the cost of external finance could be even higher. This paper aims to shed light on special features in financial structures of small innovative firms, compared with firms of similar size that do not innovate. The evidence shows that small innovators rely less on financial debts and more on internal financial resources; no important differences appear for large firms. This is consistent with the view that information problems mainly affect small firms. Another finding is that small innovative firms show a lower investment sensitivity to cash flow than small non-innovative firms: it is likely that the high incidence of internal financial resources allows them more flexibility in deciding their investments. No difference in investment sensitivity to cash flow, by innovative attitude, is found for large firms.", "author" : [ { "dropping-particle" : "", "family" : "Magri", "given" : "Silvia", "non-dropping-particle" : "", "parse-names" : false, "suffix" : "" } ], "container-title" : "Economics of Innovation and New Technology", "id" : "ITEM-1", "issue" : "2", "issued" : { "date-parts" : [ [ "2009", "3" ] ] }, "page" : "181-204", "publisher" : "Routledge", "title" : "The Financing of Small Innovative Firms: the Italian Case", "type" : "article-journal", "volume" : "18" }, "prefix" : "e.g., ", "uris" : [ "http://www.mendeley.com/documents/?uuid=476f6a76-265d-4701-a3c9-0eaf712a8b72", "http://www.mendeley.com/documents/?uuid=9a0a6bcb-5d1a-40a6-b35c-66b740960c65" ] } ], "mendeley" : { "formattedCitation" : "(e.g., Magri 2009)", "plainTextFormattedCitation" : "(e.g., Magri 2009)", "previouslyFormattedCitation" : "(e.g., Magri 2009)" }, "properties" : { "noteIndex" : 0 }, "schema" : "https://github.com/citation-style-language/schema/raw/master/csl-citation.json" }</w:instrText>
      </w:r>
      <w:r w:rsidR="007C60DA" w:rsidRPr="00F925AE">
        <w:rPr>
          <w:rFonts w:cs="Times New Roman"/>
          <w:sz w:val="20"/>
          <w:szCs w:val="20"/>
        </w:rPr>
        <w:fldChar w:fldCharType="separate"/>
      </w:r>
      <w:r w:rsidRPr="00F925AE">
        <w:rPr>
          <w:rFonts w:cs="Times New Roman"/>
          <w:noProof/>
          <w:sz w:val="20"/>
          <w:szCs w:val="20"/>
        </w:rPr>
        <w:t>(e.g., Magri 2009)</w:t>
      </w:r>
      <w:r w:rsidR="007C60DA" w:rsidRPr="00F925AE">
        <w:rPr>
          <w:rFonts w:cs="Times New Roman"/>
          <w:sz w:val="20"/>
          <w:szCs w:val="20"/>
        </w:rPr>
        <w:fldChar w:fldCharType="end"/>
      </w:r>
      <w:r w:rsidRPr="00F925AE">
        <w:rPr>
          <w:rFonts w:cs="Times New Roman"/>
          <w:sz w:val="20"/>
          <w:szCs w:val="20"/>
        </w:rPr>
        <w:t>. The certification of PLs issued by the government lowers the cost of information collection that banks need to face. Hypothesis 2 follows:</w:t>
      </w:r>
    </w:p>
    <w:p w:rsidR="00512993" w:rsidRPr="00F925AE" w:rsidRDefault="00512993" w:rsidP="00512993">
      <w:pPr>
        <w:autoSpaceDE w:val="0"/>
        <w:autoSpaceDN w:val="0"/>
        <w:adjustRightInd w:val="0"/>
        <w:spacing w:before="120" w:after="120"/>
        <w:ind w:left="1418" w:hanging="1418"/>
        <w:rPr>
          <w:rFonts w:eastAsia="Times New Roman" w:cs="Times New Roman"/>
          <w:i/>
          <w:sz w:val="20"/>
          <w:szCs w:val="20"/>
        </w:rPr>
      </w:pPr>
      <w:r w:rsidRPr="00F925AE">
        <w:rPr>
          <w:rFonts w:eastAsia="Times New Roman" w:cs="Times New Roman"/>
          <w:i/>
          <w:sz w:val="20"/>
          <w:szCs w:val="20"/>
        </w:rPr>
        <w:t>Hypothesis 2: The certification effect of PLs granted by a government-supported institution is stronger for SMEs that were smaller at the time the loan was granted.</w:t>
      </w:r>
    </w:p>
    <w:p w:rsidR="00512993" w:rsidRPr="00F925AE" w:rsidRDefault="00512993" w:rsidP="00512993">
      <w:pPr>
        <w:rPr>
          <w:rFonts w:eastAsia="Times New Roman" w:cs="Times New Roman"/>
          <w:sz w:val="20"/>
          <w:szCs w:val="20"/>
        </w:rPr>
      </w:pPr>
      <w:r w:rsidRPr="00F925AE">
        <w:rPr>
          <w:rFonts w:eastAsia="Times New Roman" w:cs="Times New Roman"/>
          <w:b/>
          <w:sz w:val="20"/>
          <w:szCs w:val="20"/>
        </w:rPr>
        <w:t xml:space="preserve">Age: </w:t>
      </w:r>
      <w:r w:rsidRPr="00F925AE">
        <w:rPr>
          <w:rFonts w:eastAsia="Times New Roman" w:cs="Times New Roman"/>
          <w:sz w:val="20"/>
          <w:szCs w:val="20"/>
        </w:rPr>
        <w:t>Information asymmetries are particularly acute for recently-established firms, which lack a track record and are characterized by scarce visibility in the market</w:t>
      </w:r>
      <w:r w:rsidRPr="00F925AE">
        <w:rPr>
          <w:rFonts w:cs="Times New Roman"/>
          <w:noProof/>
          <w:sz w:val="20"/>
          <w:szCs w:val="20"/>
        </w:rPr>
        <w:t xml:space="preserve"> </w:t>
      </w:r>
      <w:r w:rsidR="007C60DA" w:rsidRPr="00F925AE">
        <w:rPr>
          <w:rFonts w:cs="Times New Roman"/>
          <w:noProof/>
          <w:sz w:val="20"/>
          <w:szCs w:val="20"/>
        </w:rPr>
        <w:fldChar w:fldCharType="begin" w:fldLock="1"/>
      </w:r>
      <w:r w:rsidRPr="00F925AE">
        <w:rPr>
          <w:rFonts w:cs="Times New Roman"/>
          <w:noProof/>
          <w:sz w:val="20"/>
          <w:szCs w:val="20"/>
        </w:rPr>
        <w:instrText>ADDIN CSL_CITATION { "citationItems" : [ { "id" : "ITEM-1", "itemData" : { "DOI" : "10.1093/oxrep/18.1.35", "abstract" : "Evidence on the funding gap' for R&amp;D is surveyed. The focus is on financial-market reasons for under-investment in R&amp;D that persist even in the absence of externality induced under-investment. The conclusions are that (i) small and new innovative firms experience high costs of capital that are only partly mitigated by the presence of venture capital; (ii) evidence for high costs of R&amp;D capital for large firms is mixed, although these firms do prefer internal funds for financing these investments; (iii) there are limits to venture capital as a solution to the funding gap, especially in countries where public equity markets are not highly developed; and (iv) further study of governmental seed capital and subsidy programmes using quasi-experimental methods is warranted.", "author" : [ { "dropping-particle" : "", "family" : "Hall", "given" : "Bronwyn H.", "non-dropping-particle" : "", "parse-names" : false, "suffix" : "" } ], "container-title" : "Oxford Review of Economic Policy", "id" : "ITEM-1", "issue" : "1", "issued" : { "date-parts" : [ [ "2002" ] ] }, "page" : "35-51", "title" : "The Financing of Research and Development", "type" : "article-journal", "volume" : "18" }, "prefix" : "e.g., ", "uris" : [ "http://www.mendeley.com/documents/?uuid=bf2232bd-6767-4155-9ada-098df1a24365", "http://www.mendeley.com/documents/?uuid=4815d68b-4961-41c4-b217-0af1b50e4318" ] } ], "mendeley" : { "formattedCitation" : "(e.g., Hall 2002)", "plainTextFormattedCitation" : "(e.g., Hall 2002)", "previouslyFormattedCitation" : "(e.g., Hall 2002)" }, "properties" : { "noteIndex" : 0 }, "schema" : "https://github.com/citation-style-language/schema/raw/master/csl-citation.json" }</w:instrText>
      </w:r>
      <w:r w:rsidR="007C60DA" w:rsidRPr="00F925AE">
        <w:rPr>
          <w:rFonts w:cs="Times New Roman"/>
          <w:noProof/>
          <w:sz w:val="20"/>
          <w:szCs w:val="20"/>
        </w:rPr>
        <w:fldChar w:fldCharType="separate"/>
      </w:r>
      <w:r w:rsidRPr="00F925AE">
        <w:rPr>
          <w:rFonts w:cs="Times New Roman"/>
          <w:noProof/>
          <w:sz w:val="20"/>
          <w:szCs w:val="20"/>
        </w:rPr>
        <w:t>(e.g., Hall 2002)</w:t>
      </w:r>
      <w:r w:rsidR="007C60DA" w:rsidRPr="00F925AE">
        <w:rPr>
          <w:rFonts w:cs="Times New Roman"/>
          <w:noProof/>
          <w:sz w:val="20"/>
          <w:szCs w:val="20"/>
        </w:rPr>
        <w:fldChar w:fldCharType="end"/>
      </w:r>
      <w:r w:rsidRPr="00F925AE">
        <w:rPr>
          <w:rFonts w:cs="Times New Roman"/>
          <w:noProof/>
          <w:sz w:val="20"/>
          <w:szCs w:val="20"/>
        </w:rPr>
        <w:t xml:space="preserve">. Moreover, younger SMEs are </w:t>
      </w:r>
      <w:r w:rsidRPr="00F925AE">
        <w:rPr>
          <w:rFonts w:cs="Times New Roman"/>
          <w:sz w:val="20"/>
          <w:szCs w:val="20"/>
        </w:rPr>
        <w:t>affected by higher levels of uncertainty</w:t>
      </w:r>
      <w:r w:rsidRPr="00F925AE">
        <w:rPr>
          <w:rFonts w:cs="Times New Roman"/>
          <w:i/>
          <w:sz w:val="20"/>
          <w:szCs w:val="20"/>
        </w:rPr>
        <w:t xml:space="preserve">, </w:t>
      </w:r>
      <w:r w:rsidRPr="00F925AE">
        <w:rPr>
          <w:rFonts w:cs="Times New Roman"/>
          <w:sz w:val="20"/>
          <w:szCs w:val="20"/>
        </w:rPr>
        <w:t xml:space="preserve">related to both the product development and the commercialization phases </w:t>
      </w:r>
      <w:r w:rsidR="007C60DA" w:rsidRPr="00F925AE">
        <w:rPr>
          <w:rFonts w:cs="Times New Roman"/>
          <w:i/>
          <w:sz w:val="20"/>
          <w:szCs w:val="20"/>
        </w:rPr>
        <w:fldChar w:fldCharType="begin" w:fldLock="1"/>
      </w:r>
      <w:r w:rsidRPr="00F925AE">
        <w:rPr>
          <w:rFonts w:cs="Times New Roman"/>
          <w:i/>
          <w:sz w:val="20"/>
          <w:szCs w:val="20"/>
        </w:rPr>
        <w:instrText>ADDIN CSL_CITATION { "citationItems" : [ { "id" : "ITEM-1", "itemData" : { "DOI" : "10.2307/2666980", "ISBN" : "10.2307/2666980", "ISSN" : "00018392", "abstract" : "This paper investigates the relationship between organizational aging and innovation processes to illuminate the dynamics of high-technology industries, as well to resolve debates in organizational theory about the effects of aging on organizational functioning. We test hypotheses based on two seemingly contradictory consequences of aging for organizational innovation: that aging is associated with increases in firms' rates of innovation and that the difficulties of keeping pace with incessant external developments causes firms' innovative outputs to become obsolete relative to the most current environmental demands. These seemingly contradictory outcomes are intimately related and reflect inherent trade-offs in organizational learning and innovation processes. Multiple longitudinal analyses of the relationship between firm age and patenting behavior in the semiconductor and biotechnology industries lend support to these arguments.", "author" : [ { "dropping-particle" : "", "family" : "S\u00f8rensen", "given" : "Jesper B.", "non-dropping-particle" : "", "parse-names" : false, "suffix" : "" }, { "dropping-particle" : "", "family" : "Stuart", "given" : "Toby E.", "non-dropping-particle" : "", "parse-names" : false, "suffix" : "" } ], "container-title" : "Administrative Science Quarterly", "id" : "ITEM-1", "issue" : "1", "issued" : { "date-parts" : [ [ "2000", "3", "1" ] ] }, "language" : "en", "page" : "81\u2013112", "publisher" : "SAGE Publications", "title" : "Aging, Obsolescence, and Organizational Innovation", "type" : "article-journal", "volume" : "45" }, "prefix" : "e.g., ", "uris" : [ "http://www.mendeley.com/documents/?uuid=d6ee9bf0-ffcb-4b24-bb93-716c787766c8", "http://www.mendeley.com/documents/?uuid=9f7e2957-f552-4a18-b0f8-63da9f9e56f0", "http://www.mendeley.com/documents/?uuid=425a7623-bd7d-4435-a17c-8a1f9f65f72c" ] } ], "mendeley" : { "formattedCitation" : "(e.g., S\u00f8rensen and Stuart 2000)", "plainTextFormattedCitation" : "(e.g., S\u00f8rensen and Stuart 2000)", "previouslyFormattedCitation" : "(e.g., S\u00f8rensen and Stuart 2000)" }, "properties" : { "noteIndex" : 0 }, "schema" : "https://github.com/citation-style-language/schema/raw/master/csl-citation.json" }</w:instrText>
      </w:r>
      <w:r w:rsidR="007C60DA" w:rsidRPr="00F925AE">
        <w:rPr>
          <w:rFonts w:cs="Times New Roman"/>
          <w:i/>
          <w:sz w:val="20"/>
          <w:szCs w:val="20"/>
        </w:rPr>
        <w:fldChar w:fldCharType="separate"/>
      </w:r>
      <w:r w:rsidRPr="00F925AE">
        <w:rPr>
          <w:rFonts w:cs="Times New Roman"/>
          <w:noProof/>
          <w:sz w:val="20"/>
          <w:szCs w:val="20"/>
        </w:rPr>
        <w:t>(e.g., Sørensen and Stuart 2000)</w:t>
      </w:r>
      <w:r w:rsidR="007C60DA" w:rsidRPr="00F925AE">
        <w:rPr>
          <w:rFonts w:cs="Times New Roman"/>
          <w:i/>
          <w:sz w:val="20"/>
          <w:szCs w:val="20"/>
        </w:rPr>
        <w:fldChar w:fldCharType="end"/>
      </w:r>
      <w:r w:rsidRPr="00F925AE">
        <w:rPr>
          <w:rFonts w:cs="Times New Roman"/>
          <w:sz w:val="20"/>
          <w:szCs w:val="20"/>
        </w:rPr>
        <w:t xml:space="preserve">. The receipt of government PLs should be particularly valuable for younger firms because it increases their visibility </w:t>
      </w:r>
      <w:r w:rsidR="00EE3E55" w:rsidRPr="00F925AE">
        <w:rPr>
          <w:rFonts w:cs="Times New Roman"/>
          <w:sz w:val="20"/>
          <w:szCs w:val="20"/>
        </w:rPr>
        <w:t xml:space="preserve">vis-a-vis </w:t>
      </w:r>
      <w:r w:rsidRPr="00F925AE">
        <w:rPr>
          <w:rFonts w:cs="Times New Roman"/>
          <w:sz w:val="20"/>
          <w:szCs w:val="20"/>
        </w:rPr>
        <w:t>commercial banks and their trustworthiness as borrowers. In fact</w:t>
      </w:r>
      <w:r w:rsidRPr="00F925AE">
        <w:rPr>
          <w:rFonts w:eastAsia="Times New Roman" w:cs="Times New Roman"/>
          <w:sz w:val="20"/>
          <w:szCs w:val="20"/>
        </w:rPr>
        <w:t xml:space="preserve">, </w:t>
      </w:r>
      <w:r w:rsidRPr="00F925AE">
        <w:rPr>
          <w:rFonts w:eastAsia="Times New Roman" w:cs="Times New Roman"/>
          <w:noProof/>
          <w:sz w:val="20"/>
          <w:szCs w:val="20"/>
        </w:rPr>
        <w:lastRenderedPageBreak/>
        <w:t>Meuleman and De Maeseneire (2012) find that the certification effect of R&amp;D subsidies towards external equity providers is stronger for younger firms.</w:t>
      </w:r>
      <w:r w:rsidRPr="00F925AE">
        <w:rPr>
          <w:rFonts w:eastAsia="Times New Roman" w:cs="Times New Roman"/>
          <w:sz w:val="20"/>
          <w:szCs w:val="20"/>
        </w:rPr>
        <w:t xml:space="preserve"> In our hypothesis 3, we posit:</w:t>
      </w:r>
    </w:p>
    <w:p w:rsidR="00512993" w:rsidRPr="00F925AE" w:rsidRDefault="00512993" w:rsidP="00512993">
      <w:pPr>
        <w:autoSpaceDE w:val="0"/>
        <w:autoSpaceDN w:val="0"/>
        <w:adjustRightInd w:val="0"/>
        <w:spacing w:before="120" w:after="120"/>
        <w:ind w:left="1418" w:hanging="1418"/>
        <w:rPr>
          <w:rFonts w:eastAsia="Times New Roman" w:cs="Times New Roman"/>
          <w:i/>
          <w:sz w:val="20"/>
          <w:szCs w:val="20"/>
        </w:rPr>
      </w:pPr>
      <w:r w:rsidRPr="00F925AE">
        <w:rPr>
          <w:rFonts w:eastAsia="Times New Roman" w:cs="Times New Roman"/>
          <w:i/>
          <w:sz w:val="20"/>
          <w:szCs w:val="20"/>
        </w:rPr>
        <w:t>Hypothesis 3: The certification effect of PLs granted by a government-supported institution is stronger for SMEs that were younger at the time the loan was granted.</w:t>
      </w:r>
    </w:p>
    <w:p w:rsidR="00512993" w:rsidRPr="003301EC" w:rsidRDefault="00512993" w:rsidP="00512993">
      <w:pPr>
        <w:rPr>
          <w:rFonts w:eastAsia="Times New Roman" w:cs="Times New Roman"/>
          <w:sz w:val="20"/>
          <w:szCs w:val="20"/>
        </w:rPr>
      </w:pPr>
      <w:r w:rsidRPr="003301EC">
        <w:rPr>
          <w:rFonts w:eastAsia="Times New Roman" w:cs="Times New Roman"/>
          <w:b/>
          <w:sz w:val="20"/>
          <w:szCs w:val="20"/>
        </w:rPr>
        <w:t xml:space="preserve">Technological level: </w:t>
      </w:r>
      <w:r w:rsidRPr="003301EC">
        <w:rPr>
          <w:rFonts w:eastAsia="Times New Roman" w:cs="Times New Roman"/>
          <w:sz w:val="20"/>
          <w:szCs w:val="20"/>
        </w:rPr>
        <w:t xml:space="preserve">High-technology firms have technically sophisticated products, whose potential is especially difficult to evaluate for commercial banks </w:t>
      </w:r>
      <w:r w:rsidR="007C60DA" w:rsidRPr="003301EC">
        <w:rPr>
          <w:rFonts w:eastAsia="Times New Roman" w:cs="Times New Roman"/>
          <w:sz w:val="20"/>
          <w:szCs w:val="20"/>
        </w:rPr>
        <w:fldChar w:fldCharType="begin" w:fldLock="1"/>
      </w:r>
      <w:r w:rsidRPr="003301EC">
        <w:rPr>
          <w:rFonts w:eastAsia="Times New Roman" w:cs="Times New Roman"/>
          <w:sz w:val="20"/>
          <w:szCs w:val="20"/>
        </w:rPr>
        <w:instrText>ADDIN CSL_CITATION { "citationItems" : [ { "id" : "ITEM-1", "itemData" : { "DOI" : "10.1111/1468-0297.00684", "author" : [ { "dropping-particle" : "", "family" : "Lerner", "given" : "Joshua", "non-dropping-particle" : "", "parse-names" : false, "suffix" : "" } ], "container-title" : "Economic Journal", "id" : "ITEM-1", "issue" : "477", "issued" : { "date-parts" : [ [ "2002" ] ] }, "page" : "F73-F84", "publisher" : "Blackwell Publishing for the Royal Economic Society", "title" : "When Bureaucrats Meet Entrepreneurs: The Design of Effective 'Public Venture Capital' Programmes", "type" : "article-journal", "volume" : "112" }, "uris" : [ "http://www.mendeley.com/documents/?uuid=5c80991c-44e7-46b6-a715-e3f54de7b42b" ] } ], "mendeley" : { "formattedCitation" : "(Lerner 2002)", "plainTextFormattedCitation" : "(Lerner 2002)", "previouslyFormattedCitation" : "(Lerner 2002)" }, "properties" : { "noteIndex" : 0 }, "schema" : "https://github.com/citation-style-language/schema/raw/master/csl-citation.json" }</w:instrText>
      </w:r>
      <w:r w:rsidR="007C60DA" w:rsidRPr="003301EC">
        <w:rPr>
          <w:rFonts w:eastAsia="Times New Roman" w:cs="Times New Roman"/>
          <w:sz w:val="20"/>
          <w:szCs w:val="20"/>
        </w:rPr>
        <w:fldChar w:fldCharType="separate"/>
      </w:r>
      <w:r w:rsidRPr="003301EC">
        <w:rPr>
          <w:rFonts w:eastAsia="Times New Roman" w:cs="Times New Roman"/>
          <w:noProof/>
          <w:sz w:val="20"/>
          <w:szCs w:val="20"/>
        </w:rPr>
        <w:t>(Lerner 2002)</w:t>
      </w:r>
      <w:r w:rsidR="007C60DA" w:rsidRPr="003301EC">
        <w:rPr>
          <w:rFonts w:eastAsia="Times New Roman" w:cs="Times New Roman"/>
          <w:sz w:val="20"/>
          <w:szCs w:val="20"/>
        </w:rPr>
        <w:fldChar w:fldCharType="end"/>
      </w:r>
      <w:r w:rsidRPr="003301EC">
        <w:rPr>
          <w:rFonts w:eastAsia="Times New Roman" w:cs="Times New Roman"/>
          <w:sz w:val="20"/>
          <w:szCs w:val="20"/>
        </w:rPr>
        <w:t xml:space="preserve">. In addition, high-technology firms are particularly reluctant to share information about themselves, because of appropriability concerns </w:t>
      </w:r>
      <w:r w:rsidR="007C60DA" w:rsidRPr="003301EC">
        <w:rPr>
          <w:rFonts w:eastAsia="Times New Roman" w:cs="Times New Roman"/>
          <w:sz w:val="20"/>
          <w:szCs w:val="20"/>
        </w:rPr>
        <w:fldChar w:fldCharType="begin" w:fldLock="1"/>
      </w:r>
      <w:r w:rsidRPr="003301EC">
        <w:rPr>
          <w:rFonts w:eastAsia="Times New Roman" w:cs="Times New Roman"/>
          <w:sz w:val="20"/>
          <w:szCs w:val="20"/>
        </w:rPr>
        <w:instrText>ADDIN CSL_CITATION { "citationItems" : [ { "id" : "ITEM-1", "itemData" : { "DOI" : "10.1016/0048-7333(86)90027-2", "ISSN" : "00487333", "abstract" : "This paper attempts to explain why innovating firms often fail to obtain significant economic returns from an innovation, while customers, imitators and other industry participants benefit Business strategy \u2014 particularly as it relates to the firm's decision to integrate and collaborate \u2014 is shown to be an important factor. The paper demonstrates that when imitation is easy, markets don't work well, and the profits from innovation may accrue to the owners of certain complementary assets, rather than to the developers of the intellectual property. This speaks to the need, in certain cases, for the innovating firm to establish a prior position in these complementary assets. The paper also indicates that innovators with new products and processes which provide value to consumers may sometimes be so ill positioned in the market that they necessarily will fail. The analysis provides a theoretical foundation for the proposition that manufacturing often matters, particularly to innovating nations. Innovating firms without the requisite manufacturing and related capacities may die, even though they are the best at innovation. Implications for trade policy and domestic economic policy are examined.", "author" : [ { "dropping-particle" : "", "family" : "Teece", "given" : "David J.", "non-dropping-particle" : "", "parse-names" : false, "suffix" : "" } ], "container-title" : "Research Policy", "id" : "ITEM-1", "issue" : "6", "issued" : { "date-parts" : [ [ "1986", "12" ] ] }, "page" : "285-305", "title" : "Profiting from Technological Innovation: Implications for Integration, Collaboration, Licensing and Public Policy", "type" : "article-journal", "volume" : "15" }, "uris" : [ "http://www.mendeley.com/documents/?uuid=3943de36-8dba-4b87-b4b2-7380f270a6e0" ] } ], "mendeley" : { "formattedCitation" : "(Teece 1986)", "plainTextFormattedCitation" : "(Teece 1986)", "previouslyFormattedCitation" : "(Teece 1986)" }, "properties" : { "noteIndex" : 0 }, "schema" : "https://github.com/citation-style-language/schema/raw/master/csl-citation.json" }</w:instrText>
      </w:r>
      <w:r w:rsidR="007C60DA" w:rsidRPr="003301EC">
        <w:rPr>
          <w:rFonts w:eastAsia="Times New Roman" w:cs="Times New Roman"/>
          <w:sz w:val="20"/>
          <w:szCs w:val="20"/>
        </w:rPr>
        <w:fldChar w:fldCharType="separate"/>
      </w:r>
      <w:r w:rsidRPr="003301EC">
        <w:rPr>
          <w:rFonts w:eastAsia="Times New Roman" w:cs="Times New Roman"/>
          <w:noProof/>
          <w:sz w:val="20"/>
          <w:szCs w:val="20"/>
        </w:rPr>
        <w:t>(Teece 1986)</w:t>
      </w:r>
      <w:r w:rsidR="007C60DA" w:rsidRPr="003301EC">
        <w:rPr>
          <w:rFonts w:eastAsia="Times New Roman" w:cs="Times New Roman"/>
          <w:sz w:val="20"/>
          <w:szCs w:val="20"/>
        </w:rPr>
        <w:fldChar w:fldCharType="end"/>
      </w:r>
      <w:r w:rsidRPr="003301EC">
        <w:rPr>
          <w:rFonts w:eastAsia="Times New Roman" w:cs="Times New Roman"/>
          <w:sz w:val="20"/>
          <w:szCs w:val="20"/>
        </w:rPr>
        <w:t>. This exacerbates information opacity around these firms. The use of collateral to moderate adverse selection from banks is hardly an option for high-technology SMEs</w:t>
      </w:r>
      <w:r w:rsidR="00CB3657" w:rsidRPr="003301EC">
        <w:rPr>
          <w:rFonts w:eastAsia="Times New Roman" w:cs="Times New Roman"/>
          <w:sz w:val="20"/>
          <w:szCs w:val="20"/>
        </w:rPr>
        <w:t xml:space="preserve"> because their</w:t>
      </w:r>
      <w:r w:rsidRPr="003301EC">
        <w:rPr>
          <w:rFonts w:eastAsia="Times New Roman" w:cs="Times New Roman"/>
          <w:sz w:val="20"/>
          <w:szCs w:val="20"/>
        </w:rPr>
        <w:t xml:space="preserve"> assets are typically highly intangible </w:t>
      </w:r>
      <w:r w:rsidR="007C60DA" w:rsidRPr="003301EC">
        <w:rPr>
          <w:rFonts w:eastAsia="Times New Roman" w:cs="Times New Roman"/>
          <w:sz w:val="20"/>
          <w:szCs w:val="20"/>
        </w:rPr>
        <w:fldChar w:fldCharType="begin" w:fldLock="1"/>
      </w:r>
      <w:r w:rsidRPr="003301EC">
        <w:rPr>
          <w:rFonts w:eastAsia="Times New Roman" w:cs="Times New Roman"/>
          <w:sz w:val="20"/>
          <w:szCs w:val="20"/>
        </w:rPr>
        <w:instrText>ADDIN CSL_CITATION { "citationItems" : [ { "id" : "ITEM-1", "itemData" : { "DOI" : "10.1111/1468-0297.00683", "ISSN" : "00130133", "author" : [ { "dropping-particle" : "", "family" : "Carpenter", "given" : "Robert E.", "non-dropping-particle" : "", "parse-names" : false, "suffix" : "" }, { "dropping-particle" : "", "family" : "Petersen", "given" : "Bruce C.", "non-dropping-particle" : "", "parse-names" : false, "suffix" : "" } ], "container-title" : "Economic Journal", "id" : "ITEM-1", "issue" : "477", "issued" : { "date-parts" : [ [ "2002", "2" ] ] }, "page" : "F54-F72", "title" : "Capital Market Imperfections, High-Tech Investment, and New Equity Financing", "type" : "article-journal", "volume" : "112" }, "uris" : [ "http://www.mendeley.com/documents/?uuid=42b6fdfe-f2bd-4af7-aed0-a634d69dbc22" ] } ], "mendeley" : { "formattedCitation" : "(Carpenter and Petersen 2002b)", "plainTextFormattedCitation" : "(Carpenter and Petersen 2002b)", "previouslyFormattedCitation" : "(Carpenter and Petersen 2002b)" }, "properties" : { "noteIndex" : 0 }, "schema" : "https://github.com/citation-style-language/schema/raw/master/csl-citation.json" }</w:instrText>
      </w:r>
      <w:r w:rsidR="007C60DA" w:rsidRPr="003301EC">
        <w:rPr>
          <w:rFonts w:eastAsia="Times New Roman" w:cs="Times New Roman"/>
          <w:sz w:val="20"/>
          <w:szCs w:val="20"/>
        </w:rPr>
        <w:fldChar w:fldCharType="separate"/>
      </w:r>
      <w:r w:rsidRPr="003301EC">
        <w:rPr>
          <w:rFonts w:eastAsia="Times New Roman" w:cs="Times New Roman"/>
          <w:noProof/>
          <w:sz w:val="20"/>
          <w:szCs w:val="20"/>
        </w:rPr>
        <w:t>(Carpenter and Petersen 2002b)</w:t>
      </w:r>
      <w:r w:rsidR="007C60DA" w:rsidRPr="003301EC">
        <w:rPr>
          <w:rFonts w:eastAsia="Times New Roman" w:cs="Times New Roman"/>
          <w:sz w:val="20"/>
          <w:szCs w:val="20"/>
        </w:rPr>
        <w:fldChar w:fldCharType="end"/>
      </w:r>
      <w:r w:rsidRPr="003301EC">
        <w:rPr>
          <w:rFonts w:cs="Times New Roman"/>
          <w:sz w:val="20"/>
          <w:szCs w:val="20"/>
        </w:rPr>
        <w:t xml:space="preserve">. </w:t>
      </w:r>
      <w:r w:rsidRPr="003301EC">
        <w:rPr>
          <w:rFonts w:eastAsia="Times New Roman" w:cs="Times New Roman"/>
          <w:sz w:val="20"/>
          <w:szCs w:val="20"/>
        </w:rPr>
        <w:t>Hypothesis 4 follows:</w:t>
      </w:r>
    </w:p>
    <w:p w:rsidR="00512993" w:rsidRPr="003301EC" w:rsidRDefault="00512993" w:rsidP="00512993">
      <w:pPr>
        <w:autoSpaceDE w:val="0"/>
        <w:autoSpaceDN w:val="0"/>
        <w:adjustRightInd w:val="0"/>
        <w:spacing w:before="120" w:after="120"/>
        <w:ind w:left="1418" w:hanging="1418"/>
        <w:rPr>
          <w:rFonts w:eastAsia="Times New Roman" w:cs="Times New Roman"/>
          <w:i/>
          <w:sz w:val="20"/>
          <w:szCs w:val="20"/>
        </w:rPr>
      </w:pPr>
      <w:r w:rsidRPr="003301EC">
        <w:rPr>
          <w:rFonts w:eastAsia="Times New Roman" w:cs="Times New Roman"/>
          <w:i/>
          <w:sz w:val="20"/>
          <w:szCs w:val="20"/>
        </w:rPr>
        <w:t>Hypothesis 4: The certification effect of PLs granted by a government-supported institution is stronger for SMEs operating in high-technology</w:t>
      </w:r>
      <w:r w:rsidRPr="003301EC">
        <w:rPr>
          <w:rFonts w:eastAsia="Times New Roman" w:cs="Times New Roman"/>
          <w:sz w:val="20"/>
          <w:szCs w:val="20"/>
        </w:rPr>
        <w:t xml:space="preserve"> </w:t>
      </w:r>
      <w:r w:rsidRPr="003301EC">
        <w:rPr>
          <w:rFonts w:eastAsia="Times New Roman" w:cs="Times New Roman"/>
          <w:i/>
          <w:sz w:val="20"/>
          <w:szCs w:val="20"/>
        </w:rPr>
        <w:t>sectors.</w:t>
      </w:r>
    </w:p>
    <w:p w:rsidR="00512993" w:rsidRPr="003301EC" w:rsidRDefault="00512993" w:rsidP="00512993">
      <w:pPr>
        <w:rPr>
          <w:rFonts w:eastAsia="Times New Roman" w:cs="Times New Roman"/>
          <w:sz w:val="20"/>
          <w:szCs w:val="20"/>
        </w:rPr>
      </w:pPr>
      <w:r w:rsidRPr="003301EC">
        <w:rPr>
          <w:rFonts w:eastAsia="Times New Roman" w:cs="Times New Roman"/>
          <w:b/>
          <w:sz w:val="20"/>
          <w:szCs w:val="20"/>
        </w:rPr>
        <w:t>Previous government certification:</w:t>
      </w:r>
      <w:r w:rsidRPr="003301EC">
        <w:rPr>
          <w:rFonts w:eastAsia="Times New Roman" w:cs="Times New Roman"/>
          <w:sz w:val="20"/>
          <w:szCs w:val="20"/>
        </w:rPr>
        <w:t xml:space="preserve"> Pollock et al. </w:t>
      </w:r>
      <w:r w:rsidR="007C60DA" w:rsidRPr="003301EC">
        <w:rPr>
          <w:rFonts w:eastAsia="Times New Roman" w:cs="Times New Roman"/>
          <w:sz w:val="20"/>
          <w:szCs w:val="20"/>
        </w:rPr>
        <w:fldChar w:fldCharType="begin" w:fldLock="1"/>
      </w:r>
      <w:r w:rsidRPr="003301EC">
        <w:rPr>
          <w:rFonts w:eastAsia="Times New Roman" w:cs="Times New Roman"/>
          <w:sz w:val="20"/>
          <w:szCs w:val="20"/>
        </w:rPr>
        <w:instrText>ADDIN CSL_CITATION { "citationItems" : [ { "id" : "ITEM-1", "itemData" : { "DOI" : "10.1016/j.jbusvent.2009.01.003", "ISSN" : "08839026", "abstract" : "Young, unproven firms can signal their worthiness, or potential, through affiliations with various types of prestigious parties. Drawing from signaling theory, we present a formal consideration of the implications of multiple numbers and types of prestigious affiliates for IPO valuations. We argue that different types of prestigious affiliates \u2013 prestigious executives, directors, venture capital firms, and underwriters \u2013 convey different signals of IPO worth, depending on the extent to which they provide certification or substantive benefits. Based on a sample of 257 software IPOs, we find considerable support for our expectations. The benefits of prestigious executives and directors accumulate in a linear, more is better fashion; in contrast, the payoffs from VC and underwriter prestige accumulate in a curvilinear fashion. We discuss the theoretical implications of these findings and propose an agenda for future research.", "author" : [ { "dropping-particle" : "", "family" : "Pollock", "given" : "Timothy G.", "non-dropping-particle" : "", "parse-names" : false, "suffix" : "" }, { "dropping-particle" : "", "family" : "Chen", "given" : "Guoli", "non-dropping-particle" : "", "parse-names" : false, "suffix" : "" }, { "dropping-particle" : "", "family" : "Jackson", "given" : "Eric M.", "non-dropping-particle" : "", "parse-names" : false, "suffix" : "" }, { "dropping-particle" : "", "family" : "Hambrick", "given" : "Donald C.", "non-dropping-particle" : "", "parse-names" : false, "suffix" : "" } ], "container-title" : "Journal of Business Venturing", "id" : "ITEM-1", "issue" : "1", "issued" : { "date-parts" : [ [ "2010", "1" ] ] }, "page" : "6-23", "title" : "How Much Prestige is Enough? Assessing the Value of Multiple Types of High-Status Affiliates for Young Firms", "type" : "article-journal", "volume" : "25" }, "uris" : [ "http://www.mendeley.com/documents/?uuid=6c865e08-6c0c-42d7-8a73-7c8b48a7cb31" ] } ], "mendeley" : { "formattedCitation" : "(Pollock et al. 2010)", "manualFormatting" : "(2010)", "plainTextFormattedCitation" : "(Pollock et al. 2010)", "previouslyFormattedCitation" : "(Pollock et al. 2010)" }, "properties" : { "noteIndex" : 0 }, "schema" : "https://github.com/citation-style-language/schema/raw/master/csl-citation.json" }</w:instrText>
      </w:r>
      <w:r w:rsidR="007C60DA" w:rsidRPr="003301EC">
        <w:rPr>
          <w:rFonts w:eastAsia="Times New Roman" w:cs="Times New Roman"/>
          <w:sz w:val="20"/>
          <w:szCs w:val="20"/>
        </w:rPr>
        <w:fldChar w:fldCharType="separate"/>
      </w:r>
      <w:r w:rsidRPr="003301EC">
        <w:rPr>
          <w:rFonts w:eastAsia="Times New Roman" w:cs="Times New Roman"/>
          <w:noProof/>
          <w:sz w:val="20"/>
          <w:szCs w:val="20"/>
        </w:rPr>
        <w:t>(2010)</w:t>
      </w:r>
      <w:r w:rsidR="007C60DA" w:rsidRPr="003301EC">
        <w:rPr>
          <w:rFonts w:eastAsia="Times New Roman" w:cs="Times New Roman"/>
          <w:sz w:val="20"/>
          <w:szCs w:val="20"/>
        </w:rPr>
        <w:fldChar w:fldCharType="end"/>
      </w:r>
      <w:r w:rsidRPr="003301EC">
        <w:rPr>
          <w:rFonts w:eastAsia="Times New Roman" w:cs="Times New Roman"/>
          <w:sz w:val="20"/>
          <w:szCs w:val="20"/>
        </w:rPr>
        <w:t xml:space="preserve"> show that multiple certifications by similar agents are redundant and have diminishing positive effects on investors' assessment of firm quality. Similarly, we expect the receipt of a PL to be less decisive </w:t>
      </w:r>
      <w:r w:rsidRPr="003301EC">
        <w:rPr>
          <w:rFonts w:cs="Times New Roman"/>
          <w:sz w:val="20"/>
          <w:szCs w:val="20"/>
        </w:rPr>
        <w:t>fo</w:t>
      </w:r>
      <w:r w:rsidRPr="003301EC">
        <w:rPr>
          <w:rFonts w:eastAsia="Times New Roman" w:cs="Times New Roman"/>
          <w:sz w:val="20"/>
          <w:szCs w:val="20"/>
        </w:rPr>
        <w:t>r firms that have already received support from other government agencies, due to a redundancy of information. In fact, commercial banks may expect that the decision to award the SME with different forms of support is based on similar pieces of information and criteria. Hypothesis 5 follows:</w:t>
      </w:r>
    </w:p>
    <w:p w:rsidR="00512993" w:rsidRPr="003301EC" w:rsidRDefault="00512993" w:rsidP="00512993">
      <w:pPr>
        <w:ind w:left="1418" w:hanging="1418"/>
        <w:rPr>
          <w:rFonts w:eastAsia="Times New Roman" w:cs="Times New Roman"/>
          <w:sz w:val="20"/>
          <w:szCs w:val="20"/>
        </w:rPr>
      </w:pPr>
      <w:r w:rsidRPr="003301EC">
        <w:rPr>
          <w:rFonts w:eastAsia="Times New Roman" w:cs="Times New Roman"/>
          <w:i/>
          <w:sz w:val="20"/>
          <w:szCs w:val="20"/>
        </w:rPr>
        <w:t>Hypothesis 5: The certification effect of PLs granted by a government-supported institution is weaker for SMEs that already received support from government-affiliated institutions.</w:t>
      </w:r>
    </w:p>
    <w:p w:rsidR="00512993" w:rsidRPr="00F925AE" w:rsidRDefault="00512993" w:rsidP="00512993">
      <w:pPr>
        <w:rPr>
          <w:rFonts w:cs="Times New Roman"/>
          <w:sz w:val="20"/>
          <w:szCs w:val="20"/>
        </w:rPr>
      </w:pPr>
      <w:r w:rsidRPr="003301EC">
        <w:rPr>
          <w:rFonts w:eastAsia="Times New Roman" w:cs="Times New Roman"/>
          <w:b/>
          <w:sz w:val="20"/>
          <w:szCs w:val="20"/>
        </w:rPr>
        <w:t xml:space="preserve">Previous VC certification: </w:t>
      </w:r>
      <w:r w:rsidRPr="003301EC">
        <w:rPr>
          <w:rFonts w:eastAsia="Times New Roman" w:cs="Times New Roman"/>
          <w:sz w:val="20"/>
          <w:szCs w:val="20"/>
        </w:rPr>
        <w:t>VC investors are known for certifying</w:t>
      </w:r>
      <w:r w:rsidRPr="003301EC">
        <w:rPr>
          <w:rFonts w:cs="Times New Roman"/>
          <w:sz w:val="20"/>
          <w:szCs w:val="20"/>
        </w:rPr>
        <w:t xml:space="preserve"> their portfolio firms at the time of the initial public offering </w:t>
      </w:r>
      <w:r w:rsidR="007C60DA" w:rsidRPr="003301EC">
        <w:rPr>
          <w:rFonts w:eastAsia="Times New Roman" w:cs="Times New Roman"/>
          <w:sz w:val="20"/>
          <w:szCs w:val="20"/>
        </w:rPr>
        <w:fldChar w:fldCharType="begin" w:fldLock="1"/>
      </w:r>
      <w:r w:rsidRPr="003301EC">
        <w:rPr>
          <w:rFonts w:eastAsia="Times New Roman" w:cs="Times New Roman"/>
          <w:sz w:val="20"/>
          <w:szCs w:val="20"/>
        </w:rPr>
        <w:instrText>ADDIN CSL_CITATION { "citationItems" : [ { "id" : "ITEM-1", "itemData" : { "DOI" : "10.1016/j.jfineco.2003.09.003", "ISSN" : "0304405X", "abstract" : "We examine the role of venture capital backing in the underpricing of IPOs. Controlling for endogeneity in the receipt of venture funding, we find that venture capital backed IPOs experience larger first-day returns than comparable non-venture backed IPOs. Between 1980 and 2000, the average return difference ranges from 5.01 percentage points to 10.32 percentage points. This return difference is particularly pronounced in the \u201cbubble\u201d period of 1999\u20132000. Consistent with the grandstanding hypothesis proposed by Gompers (J. Financial Econ. 42 (1996) 133), we find that higher underpricing leads to larger future flows of capital into venture capital funds, particularly after 1996. Cross-sectionally, the effect of underpricing is attenuated for younger venture capital firms and those that have previously conducted fewer IPOs.", "author" : [ { "dropping-particle" : "", "family" : "Lee", "given" : "Peggy M", "non-dropping-particle" : "", "parse-names" : false, "suffix" : "" }, { "dropping-particle" : "", "family" : "Wahal", "given" : "Sunil", "non-dropping-particle" : "", "parse-names" : false, "suffix" : "" } ], "container-title" : "Journal of Financial Economics", "genre" : "article", "id" : "ITEM-1", "issue" : "2", "issued" : { "date-parts" : [ [ "2004", "8" ] ] }, "page" : "375-407", "title" : "Grandstanding, Certification and the Underpricing of Venture Capital Backed IPOs", "type" : "article-journal", "volume" : "73" }, "uris" : [ "http://www.mendeley.com/documents/?uuid=a250843d-d30e-4e09-b654-cd4b55138b88" ] } ], "mendeley" : { "formattedCitation" : "(Lee and Wahal 2004)", "manualFormatting" : "(Lee and Wahal 2004)", "plainTextFormattedCitation" : "(Lee and Wahal 2004)", "previouslyFormattedCitation" : "(Lee and Wahal 2004)" }, "properties" : { "noteIndex" : 0 }, "schema" : "https://github.com/citation-style-language/schema/raw/master/csl-citation.json" }</w:instrText>
      </w:r>
      <w:r w:rsidR="007C60DA" w:rsidRPr="003301EC">
        <w:rPr>
          <w:rFonts w:eastAsia="Times New Roman" w:cs="Times New Roman"/>
          <w:sz w:val="20"/>
          <w:szCs w:val="20"/>
        </w:rPr>
        <w:fldChar w:fldCharType="separate"/>
      </w:r>
      <w:r w:rsidRPr="003301EC">
        <w:rPr>
          <w:rFonts w:eastAsia="Times New Roman" w:cs="Times New Roman"/>
          <w:noProof/>
          <w:sz w:val="20"/>
          <w:szCs w:val="20"/>
        </w:rPr>
        <w:t>(Lee and Wahal 2004)</w:t>
      </w:r>
      <w:r w:rsidR="007C60DA" w:rsidRPr="003301EC">
        <w:rPr>
          <w:rFonts w:eastAsia="Times New Roman" w:cs="Times New Roman"/>
          <w:sz w:val="20"/>
          <w:szCs w:val="20"/>
        </w:rPr>
        <w:fldChar w:fldCharType="end"/>
      </w:r>
      <w:r w:rsidRPr="003301EC">
        <w:rPr>
          <w:rFonts w:eastAsia="Times New Roman" w:cs="Times New Roman"/>
          <w:sz w:val="20"/>
          <w:szCs w:val="20"/>
        </w:rPr>
        <w:t>. C</w:t>
      </w:r>
      <w:r w:rsidRPr="003301EC">
        <w:rPr>
          <w:rFonts w:cs="Times New Roman"/>
          <w:sz w:val="20"/>
          <w:szCs w:val="20"/>
        </w:rPr>
        <w:t>ommercial banks may be more willing to lend to firms whose value has been certified by the presence of a VC investor. However, there</w:t>
      </w:r>
      <w:r w:rsidRPr="00F925AE">
        <w:rPr>
          <w:rFonts w:cs="Times New Roman"/>
          <w:sz w:val="20"/>
          <w:szCs w:val="20"/>
        </w:rPr>
        <w:t xml:space="preserve"> may be some redundancy of information between the receipt of VC and the receipt of PLs, even if the certifying agent is different in the two cases. In fact, Pollock et al. (2010) suggest that certifications from different actors partially mediate each other</w:t>
      </w:r>
      <w:r w:rsidRPr="00F925AE">
        <w:rPr>
          <w:rFonts w:eastAsia="Times New Roman" w:cs="Times New Roman"/>
          <w:sz w:val="20"/>
          <w:szCs w:val="20"/>
        </w:rPr>
        <w:t>. We posit the following hypothesis:</w:t>
      </w:r>
    </w:p>
    <w:p w:rsidR="00512993" w:rsidRPr="00F925AE" w:rsidRDefault="00512993" w:rsidP="00512993">
      <w:pPr>
        <w:ind w:left="1418" w:hanging="1418"/>
        <w:rPr>
          <w:rFonts w:eastAsia="Times New Roman" w:cs="Times New Roman"/>
          <w:i/>
          <w:sz w:val="20"/>
          <w:szCs w:val="20"/>
        </w:rPr>
      </w:pPr>
      <w:r w:rsidRPr="00F925AE">
        <w:rPr>
          <w:rFonts w:eastAsia="Times New Roman" w:cs="Times New Roman"/>
          <w:i/>
          <w:sz w:val="20"/>
          <w:szCs w:val="20"/>
        </w:rPr>
        <w:lastRenderedPageBreak/>
        <w:t>Hypothesis 6: The certification effect of PLs granted by a government-supported institution is weaker for VC-backed SMEs.</w:t>
      </w:r>
    </w:p>
    <w:p w:rsidR="00512993" w:rsidRPr="00F925AE" w:rsidRDefault="00512993" w:rsidP="00512993">
      <w:pPr>
        <w:pStyle w:val="Ttulo1"/>
        <w:rPr>
          <w:rFonts w:cs="Times New Roman"/>
        </w:rPr>
      </w:pPr>
      <w:r w:rsidRPr="00F925AE">
        <w:rPr>
          <w:rFonts w:cs="Times New Roman"/>
        </w:rPr>
        <w:t>Methodology and data</w:t>
      </w:r>
    </w:p>
    <w:p w:rsidR="00512993" w:rsidRPr="00F925AE" w:rsidRDefault="00512993" w:rsidP="00512993">
      <w:pPr>
        <w:pStyle w:val="Ttulo2"/>
        <w:rPr>
          <w:rFonts w:cs="Times New Roman"/>
          <w:szCs w:val="20"/>
        </w:rPr>
      </w:pPr>
      <w:r w:rsidRPr="00F925AE">
        <w:rPr>
          <w:rFonts w:cs="Times New Roman"/>
          <w:szCs w:val="20"/>
        </w:rPr>
        <w:t>The model</w:t>
      </w:r>
    </w:p>
    <w:p w:rsidR="00512993" w:rsidRPr="003301EC" w:rsidRDefault="00512993" w:rsidP="00512993">
      <w:pPr>
        <w:rPr>
          <w:rFonts w:cs="Times New Roman"/>
          <w:sz w:val="20"/>
          <w:szCs w:val="20"/>
        </w:rPr>
      </w:pPr>
      <w:r w:rsidRPr="00F925AE">
        <w:rPr>
          <w:rFonts w:cs="Times New Roman"/>
          <w:sz w:val="20"/>
          <w:szCs w:val="20"/>
        </w:rPr>
        <w:t xml:space="preserve">Our empirical approach aims to analyze the effect of the receipt of PLs on SMEs’ ability to raise external debt. We proxy this ability by the level of external </w:t>
      </w:r>
      <w:r w:rsidRPr="003301EC">
        <w:rPr>
          <w:rFonts w:cs="Times New Roman"/>
          <w:sz w:val="20"/>
          <w:szCs w:val="20"/>
        </w:rPr>
        <w:t xml:space="preserve">debt raised by SMEs, represented by </w:t>
      </w:r>
      <w:r w:rsidRPr="003301EC">
        <w:rPr>
          <w:rFonts w:cs="Times New Roman"/>
          <w:i/>
          <w:sz w:val="20"/>
          <w:szCs w:val="20"/>
        </w:rPr>
        <w:t>logDebt</w:t>
      </w:r>
      <w:r w:rsidRPr="003301EC">
        <w:rPr>
          <w:rFonts w:eastAsia="Times New Roman" w:cs="Times New Roman"/>
          <w:i/>
          <w:iCs/>
          <w:color w:val="000000"/>
          <w:sz w:val="20"/>
          <w:szCs w:val="20"/>
          <w:vertAlign w:val="subscript"/>
        </w:rPr>
        <w:t>i,t</w:t>
      </w:r>
      <w:r w:rsidRPr="003301EC">
        <w:rPr>
          <w:rFonts w:cs="Times New Roman"/>
          <w:sz w:val="20"/>
          <w:szCs w:val="20"/>
        </w:rPr>
        <w:t>, which is computed as the</w:t>
      </w:r>
      <w:r w:rsidR="00F76CAD" w:rsidRPr="003301EC">
        <w:rPr>
          <w:rFonts w:cs="Times New Roman"/>
          <w:sz w:val="20"/>
          <w:szCs w:val="20"/>
        </w:rPr>
        <w:t xml:space="preserve"> logarithm of the</w:t>
      </w:r>
      <w:r w:rsidRPr="003301EC">
        <w:rPr>
          <w:rFonts w:cs="Times New Roman"/>
          <w:sz w:val="20"/>
          <w:szCs w:val="20"/>
        </w:rPr>
        <w:t xml:space="preserve"> book value of debt minus the outstanding amount of the PL if any.</w:t>
      </w:r>
      <w:r w:rsidRPr="003301EC">
        <w:rPr>
          <w:rStyle w:val="Refdenotaalpie"/>
          <w:rFonts w:cs="Times New Roman"/>
          <w:sz w:val="20"/>
          <w:szCs w:val="20"/>
        </w:rPr>
        <w:t xml:space="preserve"> </w:t>
      </w:r>
      <w:r w:rsidRPr="003301EC">
        <w:rPr>
          <w:rStyle w:val="Refdenotaalpie"/>
          <w:rFonts w:cs="Times New Roman"/>
          <w:sz w:val="20"/>
          <w:szCs w:val="20"/>
        </w:rPr>
        <w:footnoteReference w:id="5"/>
      </w:r>
      <w:r w:rsidRPr="003301EC">
        <w:rPr>
          <w:rFonts w:cs="Times New Roman"/>
          <w:sz w:val="20"/>
          <w:szCs w:val="20"/>
        </w:rPr>
        <w:t xml:space="preserve"> </w:t>
      </w:r>
    </w:p>
    <w:p w:rsidR="00512993" w:rsidRPr="00F925AE" w:rsidRDefault="00512993" w:rsidP="00512993">
      <w:pPr>
        <w:rPr>
          <w:rFonts w:cs="Times New Roman"/>
          <w:sz w:val="20"/>
          <w:szCs w:val="20"/>
        </w:rPr>
      </w:pPr>
      <w:r w:rsidRPr="003301EC">
        <w:rPr>
          <w:rFonts w:cs="Times New Roman"/>
          <w:sz w:val="20"/>
          <w:szCs w:val="20"/>
        </w:rPr>
        <w:t xml:space="preserve">To test Hypothesis 1, we regress </w:t>
      </w:r>
      <w:r w:rsidRPr="003301EC">
        <w:rPr>
          <w:rFonts w:cs="Times New Roman"/>
          <w:i/>
          <w:sz w:val="20"/>
          <w:szCs w:val="20"/>
        </w:rPr>
        <w:t>logDebt</w:t>
      </w:r>
      <w:r w:rsidRPr="003301EC">
        <w:rPr>
          <w:rFonts w:eastAsia="Times New Roman" w:cs="Times New Roman"/>
          <w:i/>
          <w:iCs/>
          <w:color w:val="000000"/>
          <w:sz w:val="20"/>
          <w:szCs w:val="20"/>
          <w:vertAlign w:val="subscript"/>
        </w:rPr>
        <w:t>i,t</w:t>
      </w:r>
      <w:r w:rsidRPr="003301EC">
        <w:rPr>
          <w:rFonts w:cs="Times New Roman"/>
          <w:sz w:val="20"/>
          <w:szCs w:val="20"/>
        </w:rPr>
        <w:t xml:space="preserve"> against a dummy variable (</w:t>
      </w:r>
      <w:r w:rsidRPr="003301EC">
        <w:rPr>
          <w:rFonts w:cs="Times New Roman"/>
          <w:i/>
          <w:sz w:val="20"/>
          <w:szCs w:val="20"/>
        </w:rPr>
        <w:t>PL</w:t>
      </w:r>
      <w:r w:rsidRPr="003301EC">
        <w:rPr>
          <w:rFonts w:cs="Times New Roman"/>
          <w:i/>
          <w:sz w:val="20"/>
          <w:szCs w:val="20"/>
          <w:vertAlign w:val="subscript"/>
        </w:rPr>
        <w:t>i,t</w:t>
      </w:r>
      <w:r w:rsidRPr="003301EC">
        <w:rPr>
          <w:rFonts w:cs="Times New Roman"/>
          <w:sz w:val="20"/>
          <w:szCs w:val="20"/>
        </w:rPr>
        <w:t>) that is equal to 1 in the year in which a firm received its first PL and in all the following years, and 0 otherwise. We expect a positive coefficient for this variable. Hypotheses 2 to 6 predict that the treatment effect of the PL is moderated by firm-specific characteristics at the moment the loan was granted. We generate some time-invariant</w:t>
      </w:r>
      <w:r w:rsidRPr="00F925AE">
        <w:rPr>
          <w:rFonts w:cs="Times New Roman"/>
          <w:sz w:val="20"/>
          <w:szCs w:val="20"/>
        </w:rPr>
        <w:t xml:space="preserve"> variables that measure those characteristics, and we then interact them with the dummy </w:t>
      </w:r>
      <w:r w:rsidRPr="00F925AE">
        <w:rPr>
          <w:rFonts w:cs="Times New Roman"/>
          <w:i/>
          <w:sz w:val="20"/>
          <w:szCs w:val="20"/>
        </w:rPr>
        <w:t>PL</w:t>
      </w:r>
      <w:r w:rsidRPr="00F925AE">
        <w:rPr>
          <w:rFonts w:cs="Times New Roman"/>
          <w:i/>
          <w:sz w:val="20"/>
          <w:szCs w:val="20"/>
          <w:vertAlign w:val="subscript"/>
        </w:rPr>
        <w:t>i,t</w:t>
      </w:r>
      <w:r w:rsidRPr="00F925AE">
        <w:rPr>
          <w:rFonts w:cs="Times New Roman"/>
          <w:sz w:val="20"/>
          <w:szCs w:val="20"/>
        </w:rPr>
        <w:t xml:space="preserve"> to test our hypotheses 2 to 6. Hypotheses 2 and 3 predict a stronger certification effect for firms that were smaller and younger at the time the loan was granted. We, therefore, generate the variables </w:t>
      </w:r>
      <w:r w:rsidRPr="00F925AE">
        <w:rPr>
          <w:rFonts w:cs="Times New Roman"/>
          <w:i/>
          <w:iCs/>
          <w:color w:val="000000"/>
          <w:sz w:val="20"/>
          <w:szCs w:val="20"/>
        </w:rPr>
        <w:t>logTotalAssets</w:t>
      </w:r>
      <w:r w:rsidRPr="00F925AE">
        <w:rPr>
          <w:rFonts w:cs="Times New Roman"/>
          <w:i/>
          <w:iCs/>
          <w:color w:val="000000"/>
          <w:sz w:val="20"/>
          <w:szCs w:val="20"/>
          <w:vertAlign w:val="superscript"/>
        </w:rPr>
        <w:t>timeofPL</w:t>
      </w:r>
      <w:r w:rsidRPr="00F925AE">
        <w:rPr>
          <w:rFonts w:eastAsia="Times New Roman" w:cs="Times New Roman"/>
          <w:i/>
          <w:iCs/>
          <w:color w:val="000000"/>
          <w:sz w:val="20"/>
          <w:szCs w:val="20"/>
          <w:vertAlign w:val="subscript"/>
        </w:rPr>
        <w:t>i</w:t>
      </w:r>
      <w:r w:rsidRPr="00F925AE">
        <w:rPr>
          <w:rFonts w:cs="Times New Roman"/>
          <w:sz w:val="20"/>
          <w:szCs w:val="20"/>
        </w:rPr>
        <w:t xml:space="preserve"> and </w:t>
      </w:r>
      <w:r w:rsidRPr="00F925AE">
        <w:rPr>
          <w:rFonts w:cs="Times New Roman"/>
          <w:i/>
          <w:iCs/>
          <w:color w:val="000000"/>
          <w:sz w:val="20"/>
          <w:szCs w:val="20"/>
        </w:rPr>
        <w:t>Age</w:t>
      </w:r>
      <w:r w:rsidRPr="00F925AE">
        <w:rPr>
          <w:rFonts w:cs="Times New Roman"/>
          <w:i/>
          <w:iCs/>
          <w:color w:val="000000"/>
          <w:sz w:val="20"/>
          <w:szCs w:val="20"/>
          <w:vertAlign w:val="superscript"/>
        </w:rPr>
        <w:t>timeoftPL</w:t>
      </w:r>
      <w:r w:rsidRPr="00F925AE">
        <w:rPr>
          <w:rFonts w:eastAsia="Times New Roman" w:cs="Times New Roman"/>
          <w:i/>
          <w:iCs/>
          <w:color w:val="000000"/>
          <w:sz w:val="20"/>
          <w:szCs w:val="20"/>
          <w:vertAlign w:val="subscript"/>
        </w:rPr>
        <w:t>i</w:t>
      </w:r>
      <w:r w:rsidRPr="00F925AE">
        <w:rPr>
          <w:rFonts w:cs="Times New Roman"/>
          <w:sz w:val="20"/>
          <w:szCs w:val="20"/>
        </w:rPr>
        <w:t>, respectively equal to the size (logarithm of total assets</w:t>
      </w:r>
      <w:r w:rsidR="00F76CAD" w:rsidRPr="00F925AE">
        <w:rPr>
          <w:rFonts w:cs="Times New Roman"/>
          <w:sz w:val="20"/>
          <w:szCs w:val="20"/>
        </w:rPr>
        <w:t xml:space="preserve"> in thousand euros</w:t>
      </w:r>
      <w:r w:rsidRPr="00F925AE">
        <w:rPr>
          <w:rFonts w:cs="Times New Roman"/>
          <w:sz w:val="20"/>
          <w:szCs w:val="20"/>
        </w:rPr>
        <w:t>) and age of the firm in the year before the receipt of the first PL. We expect negative coefficients for the interaction</w:t>
      </w:r>
      <w:r w:rsidR="00F76CAD" w:rsidRPr="00F925AE">
        <w:rPr>
          <w:rFonts w:cs="Times New Roman"/>
          <w:sz w:val="20"/>
          <w:szCs w:val="20"/>
        </w:rPr>
        <w:t>s</w:t>
      </w:r>
      <w:r w:rsidRPr="00F925AE">
        <w:rPr>
          <w:rFonts w:cs="Times New Roman"/>
          <w:sz w:val="20"/>
          <w:szCs w:val="20"/>
        </w:rPr>
        <w:t xml:space="preserve"> of </w:t>
      </w:r>
      <w:r w:rsidRPr="00F925AE">
        <w:rPr>
          <w:rFonts w:cs="Times New Roman"/>
          <w:i/>
          <w:sz w:val="20"/>
          <w:szCs w:val="20"/>
        </w:rPr>
        <w:t>PL</w:t>
      </w:r>
      <w:r w:rsidRPr="00F925AE">
        <w:rPr>
          <w:rFonts w:cs="Times New Roman"/>
          <w:i/>
          <w:sz w:val="20"/>
          <w:szCs w:val="20"/>
          <w:vertAlign w:val="subscript"/>
        </w:rPr>
        <w:t>i,t</w:t>
      </w:r>
      <w:r w:rsidRPr="00F925AE">
        <w:rPr>
          <w:rFonts w:cs="Times New Roman"/>
          <w:sz w:val="20"/>
          <w:szCs w:val="20"/>
        </w:rPr>
        <w:t xml:space="preserve"> with </w:t>
      </w:r>
      <w:r w:rsidRPr="00F925AE">
        <w:rPr>
          <w:rFonts w:cs="Times New Roman"/>
          <w:i/>
          <w:iCs/>
          <w:color w:val="000000"/>
          <w:sz w:val="20"/>
          <w:szCs w:val="20"/>
        </w:rPr>
        <w:t>logTotalAssets</w:t>
      </w:r>
      <w:r w:rsidRPr="00F925AE">
        <w:rPr>
          <w:rFonts w:cs="Times New Roman"/>
          <w:i/>
          <w:iCs/>
          <w:color w:val="000000"/>
          <w:sz w:val="20"/>
          <w:szCs w:val="20"/>
          <w:vertAlign w:val="superscript"/>
        </w:rPr>
        <w:t>timeofPL</w:t>
      </w:r>
      <w:r w:rsidRPr="00F925AE">
        <w:rPr>
          <w:rFonts w:eastAsia="Times New Roman" w:cs="Times New Roman"/>
          <w:i/>
          <w:iCs/>
          <w:color w:val="000000"/>
          <w:sz w:val="20"/>
          <w:szCs w:val="20"/>
          <w:vertAlign w:val="subscript"/>
        </w:rPr>
        <w:t>i</w:t>
      </w:r>
      <w:r w:rsidRPr="00F925AE">
        <w:rPr>
          <w:rFonts w:cs="Times New Roman"/>
          <w:sz w:val="20"/>
          <w:szCs w:val="20"/>
        </w:rPr>
        <w:t xml:space="preserve"> and </w:t>
      </w:r>
      <w:r w:rsidRPr="00F925AE">
        <w:rPr>
          <w:rFonts w:cs="Times New Roman"/>
          <w:i/>
          <w:iCs/>
          <w:color w:val="000000"/>
          <w:sz w:val="20"/>
          <w:szCs w:val="20"/>
        </w:rPr>
        <w:t>Age</w:t>
      </w:r>
      <w:r w:rsidRPr="00F925AE">
        <w:rPr>
          <w:rFonts w:cs="Times New Roman"/>
          <w:i/>
          <w:iCs/>
          <w:color w:val="000000"/>
          <w:sz w:val="20"/>
          <w:szCs w:val="20"/>
          <w:vertAlign w:val="superscript"/>
        </w:rPr>
        <w:t>timeofPL</w:t>
      </w:r>
      <w:r w:rsidRPr="00F925AE">
        <w:rPr>
          <w:rFonts w:eastAsia="Times New Roman" w:cs="Times New Roman"/>
          <w:i/>
          <w:iCs/>
          <w:color w:val="000000"/>
          <w:sz w:val="20"/>
          <w:szCs w:val="20"/>
          <w:vertAlign w:val="subscript"/>
        </w:rPr>
        <w:t>i</w:t>
      </w:r>
      <w:r w:rsidRPr="00F925AE">
        <w:rPr>
          <w:rFonts w:cs="Times New Roman"/>
          <w:sz w:val="20"/>
          <w:szCs w:val="20"/>
        </w:rPr>
        <w:t xml:space="preserve">. Hypothesis 4 predicts a stronger certification effect for firms operating in high-technology industries. We build the variable </w:t>
      </w:r>
      <w:r w:rsidRPr="00F925AE">
        <w:rPr>
          <w:rFonts w:cs="Times New Roman"/>
          <w:i/>
          <w:sz w:val="20"/>
          <w:szCs w:val="20"/>
        </w:rPr>
        <w:t>HighTech</w:t>
      </w:r>
      <w:r w:rsidRPr="00F925AE">
        <w:rPr>
          <w:rFonts w:eastAsia="Times New Roman" w:cs="Times New Roman"/>
          <w:i/>
          <w:iCs/>
          <w:color w:val="000000"/>
          <w:sz w:val="20"/>
          <w:szCs w:val="20"/>
          <w:vertAlign w:val="subscript"/>
        </w:rPr>
        <w:t>i</w:t>
      </w:r>
      <w:r w:rsidRPr="00F925AE">
        <w:rPr>
          <w:rFonts w:cs="Times New Roman"/>
          <w:sz w:val="20"/>
          <w:szCs w:val="20"/>
        </w:rPr>
        <w:t xml:space="preserve"> equal to 1 for firms operating in high-technology industries. We anticipate a positive coefficient for the interaction of this variable with </w:t>
      </w:r>
      <w:r w:rsidRPr="00F925AE">
        <w:rPr>
          <w:rFonts w:cs="Times New Roman"/>
          <w:i/>
          <w:sz w:val="20"/>
          <w:szCs w:val="20"/>
        </w:rPr>
        <w:t>PL</w:t>
      </w:r>
      <w:r w:rsidRPr="00F925AE">
        <w:rPr>
          <w:rFonts w:cs="Times New Roman"/>
          <w:i/>
          <w:sz w:val="20"/>
          <w:szCs w:val="20"/>
          <w:vertAlign w:val="subscript"/>
        </w:rPr>
        <w:t>i,t</w:t>
      </w:r>
      <w:r w:rsidRPr="00F925AE">
        <w:rPr>
          <w:rFonts w:cs="Times New Roman"/>
          <w:sz w:val="20"/>
          <w:szCs w:val="20"/>
        </w:rPr>
        <w:t xml:space="preserve">. To test hypotheses 5 and 6 on the non-additionality of PLs for firms that have </w:t>
      </w:r>
      <w:r w:rsidRPr="00F925AE">
        <w:rPr>
          <w:rFonts w:eastAsia="Times New Roman" w:cs="Times New Roman"/>
          <w:sz w:val="20"/>
          <w:szCs w:val="20"/>
        </w:rPr>
        <w:t>already received support from a government-affiliated institution</w:t>
      </w:r>
      <w:r w:rsidRPr="00F925AE">
        <w:rPr>
          <w:rFonts w:cs="Times New Roman"/>
          <w:sz w:val="20"/>
          <w:szCs w:val="20"/>
        </w:rPr>
        <w:t xml:space="preserve"> or from venture capitalists (VCs), we generate the variables </w:t>
      </w:r>
      <w:r w:rsidRPr="00F925AE">
        <w:rPr>
          <w:rFonts w:cs="Times New Roman"/>
          <w:i/>
          <w:sz w:val="20"/>
          <w:szCs w:val="20"/>
        </w:rPr>
        <w:t>PublicSupport</w:t>
      </w:r>
      <w:r w:rsidRPr="00F925AE">
        <w:rPr>
          <w:rFonts w:cs="Times New Roman"/>
          <w:i/>
          <w:iCs/>
          <w:color w:val="000000"/>
          <w:sz w:val="20"/>
          <w:szCs w:val="20"/>
          <w:vertAlign w:val="superscript"/>
        </w:rPr>
        <w:t>timeofPL</w:t>
      </w:r>
      <w:r w:rsidRPr="00F925AE">
        <w:rPr>
          <w:rFonts w:eastAsia="Times New Roman" w:cs="Times New Roman"/>
          <w:i/>
          <w:iCs/>
          <w:color w:val="000000"/>
          <w:sz w:val="20"/>
          <w:szCs w:val="20"/>
          <w:vertAlign w:val="subscript"/>
        </w:rPr>
        <w:t>i</w:t>
      </w:r>
      <w:r w:rsidRPr="00F925AE">
        <w:rPr>
          <w:rFonts w:cs="Times New Roman"/>
          <w:sz w:val="20"/>
          <w:szCs w:val="20"/>
        </w:rPr>
        <w:t xml:space="preserve"> and </w:t>
      </w:r>
      <w:r w:rsidRPr="00F925AE">
        <w:rPr>
          <w:rFonts w:cs="Times New Roman"/>
          <w:i/>
          <w:sz w:val="20"/>
          <w:szCs w:val="20"/>
        </w:rPr>
        <w:t>VC</w:t>
      </w:r>
      <w:r w:rsidRPr="00F925AE">
        <w:rPr>
          <w:rFonts w:cs="Times New Roman"/>
          <w:i/>
          <w:iCs/>
          <w:color w:val="000000"/>
          <w:sz w:val="20"/>
          <w:szCs w:val="20"/>
          <w:vertAlign w:val="superscript"/>
        </w:rPr>
        <w:t>timeofPL</w:t>
      </w:r>
      <w:r w:rsidRPr="00F925AE">
        <w:rPr>
          <w:rFonts w:eastAsia="Times New Roman" w:cs="Times New Roman"/>
          <w:i/>
          <w:iCs/>
          <w:color w:val="000000"/>
          <w:sz w:val="20"/>
          <w:szCs w:val="20"/>
          <w:vertAlign w:val="subscript"/>
        </w:rPr>
        <w:t>i</w:t>
      </w:r>
      <w:r w:rsidRPr="00F925AE">
        <w:rPr>
          <w:rFonts w:cs="Times New Roman"/>
          <w:sz w:val="20"/>
          <w:szCs w:val="20"/>
        </w:rPr>
        <w:t xml:space="preserve">. These variables are respectively equal to 1 if the firm received support from the government or from VC investors up to the year prior to the receipt of the first PL. We anticipate negative coefficients for the interaction of </w:t>
      </w:r>
      <w:r w:rsidRPr="00F925AE">
        <w:rPr>
          <w:rFonts w:cs="Times New Roman"/>
          <w:i/>
          <w:sz w:val="20"/>
          <w:szCs w:val="20"/>
        </w:rPr>
        <w:t>PL</w:t>
      </w:r>
      <w:r w:rsidRPr="00F925AE">
        <w:rPr>
          <w:rFonts w:cs="Times New Roman"/>
          <w:i/>
          <w:sz w:val="20"/>
          <w:szCs w:val="20"/>
          <w:vertAlign w:val="subscript"/>
        </w:rPr>
        <w:t>i,t</w:t>
      </w:r>
      <w:r w:rsidRPr="00F925AE">
        <w:rPr>
          <w:rFonts w:cs="Times New Roman"/>
          <w:i/>
          <w:sz w:val="20"/>
          <w:szCs w:val="20"/>
        </w:rPr>
        <w:t xml:space="preserve"> </w:t>
      </w:r>
      <w:r w:rsidRPr="00F925AE">
        <w:rPr>
          <w:rFonts w:cs="Times New Roman"/>
          <w:sz w:val="20"/>
          <w:szCs w:val="20"/>
        </w:rPr>
        <w:t xml:space="preserve">with </w:t>
      </w:r>
      <w:r w:rsidRPr="00F925AE">
        <w:rPr>
          <w:rFonts w:cs="Times New Roman"/>
          <w:i/>
          <w:sz w:val="20"/>
          <w:szCs w:val="20"/>
        </w:rPr>
        <w:t>PublicSupport</w:t>
      </w:r>
      <w:r w:rsidRPr="00F925AE">
        <w:rPr>
          <w:rFonts w:cs="Times New Roman"/>
          <w:i/>
          <w:iCs/>
          <w:color w:val="000000"/>
          <w:sz w:val="20"/>
          <w:szCs w:val="20"/>
          <w:vertAlign w:val="superscript"/>
        </w:rPr>
        <w:t>timeofPL</w:t>
      </w:r>
      <w:r w:rsidRPr="00F925AE">
        <w:rPr>
          <w:rFonts w:eastAsia="Times New Roman" w:cs="Times New Roman"/>
          <w:i/>
          <w:iCs/>
          <w:color w:val="000000"/>
          <w:sz w:val="20"/>
          <w:szCs w:val="20"/>
          <w:vertAlign w:val="subscript"/>
        </w:rPr>
        <w:t>i</w:t>
      </w:r>
      <w:r w:rsidRPr="00F925AE">
        <w:rPr>
          <w:rFonts w:cs="Times New Roman"/>
          <w:sz w:val="20"/>
          <w:szCs w:val="20"/>
        </w:rPr>
        <w:t xml:space="preserve"> and </w:t>
      </w:r>
      <w:r w:rsidRPr="00F925AE">
        <w:rPr>
          <w:rFonts w:cs="Times New Roman"/>
          <w:i/>
          <w:sz w:val="20"/>
          <w:szCs w:val="20"/>
        </w:rPr>
        <w:t>VC</w:t>
      </w:r>
      <w:r w:rsidRPr="00F925AE">
        <w:rPr>
          <w:rFonts w:cs="Times New Roman"/>
          <w:i/>
          <w:iCs/>
          <w:color w:val="000000"/>
          <w:sz w:val="20"/>
          <w:szCs w:val="20"/>
          <w:vertAlign w:val="superscript"/>
        </w:rPr>
        <w:t>timeofPL</w:t>
      </w:r>
      <w:r w:rsidRPr="00F925AE">
        <w:rPr>
          <w:rFonts w:eastAsia="Times New Roman" w:cs="Times New Roman"/>
          <w:i/>
          <w:iCs/>
          <w:color w:val="000000"/>
          <w:sz w:val="20"/>
          <w:szCs w:val="20"/>
          <w:vertAlign w:val="subscript"/>
        </w:rPr>
        <w:t>i</w:t>
      </w:r>
      <w:r w:rsidRPr="00F925AE">
        <w:rPr>
          <w:rFonts w:cs="Times New Roman"/>
          <w:sz w:val="20"/>
          <w:szCs w:val="20"/>
        </w:rPr>
        <w:t>.</w:t>
      </w:r>
    </w:p>
    <w:p w:rsidR="00512993" w:rsidRPr="00F925AE" w:rsidRDefault="00512993" w:rsidP="00512993">
      <w:pPr>
        <w:rPr>
          <w:rFonts w:cs="Times New Roman"/>
          <w:sz w:val="20"/>
          <w:szCs w:val="20"/>
        </w:rPr>
      </w:pPr>
      <w:r w:rsidRPr="00F925AE">
        <w:rPr>
          <w:rFonts w:cs="Times New Roman"/>
          <w:sz w:val="20"/>
          <w:szCs w:val="20"/>
        </w:rPr>
        <w:lastRenderedPageBreak/>
        <w:t xml:space="preserve">We include a wide set of control variables commonly used in the literature on capital structure. As the literature predicts a positive relationship between debt and size </w:t>
      </w:r>
      <w:r w:rsidR="007C60DA" w:rsidRPr="00F925AE">
        <w:rPr>
          <w:rFonts w:cs="Times New Roman"/>
          <w:sz w:val="20"/>
          <w:szCs w:val="20"/>
        </w:rPr>
        <w:fldChar w:fldCharType="begin" w:fldLock="1"/>
      </w:r>
      <w:r w:rsidRPr="00F925AE">
        <w:rPr>
          <w:rFonts w:cs="Times New Roman"/>
          <w:sz w:val="20"/>
          <w:szCs w:val="20"/>
        </w:rPr>
        <w:instrText>ADDIN CSL_CITATION { "citationItems" : [ { "id" : "ITEM-1", "itemData" : { "DOI" : "10.1111/j.1540-6261.1988.tb02585.x", "ISSN" : "00221082", "author" : [ { "dropping-particle" : "", "family" : "Titman", "given" : "Sheridan", "non-dropping-particle" : "", "parse-names" : false, "suffix" : "" }, { "dropping-particle" : "", "family" : "Wessels", "given" : "R", "non-dropping-particle" : "", "parse-names" : false, "suffix" : "" } ], "container-title" : "Journal of finance", "id" : "ITEM-1", "issue" : "1", "issued" : { "date-parts" : [ [ "1988", "3" ] ] }, "page" : "1-19", "title" : "The Determinants of Capital Structure Choice", "type" : "article-journal", "volume" : "43" }, "uris" : [ "http://www.mendeley.com/documents/?uuid=18dbe1cf-e41e-4850-bf39-aef393e078e5" ] } ], "mendeley" : { "formattedCitation" : "(Titman and Wessels 1988)", "plainTextFormattedCitation" : "(Titman and Wessels 1988)", "previouslyFormattedCitation" : "(Titman and Wessels 1988)" }, "properties" : { "noteIndex" : 0 }, "schema" : "https://github.com/citation-style-language/schema/raw/master/csl-citation.json" }</w:instrText>
      </w:r>
      <w:r w:rsidR="007C60DA" w:rsidRPr="00F925AE">
        <w:rPr>
          <w:rFonts w:cs="Times New Roman"/>
          <w:sz w:val="20"/>
          <w:szCs w:val="20"/>
        </w:rPr>
        <w:fldChar w:fldCharType="separate"/>
      </w:r>
      <w:r w:rsidRPr="00F925AE">
        <w:rPr>
          <w:rFonts w:cs="Times New Roman"/>
          <w:noProof/>
          <w:sz w:val="20"/>
          <w:szCs w:val="20"/>
        </w:rPr>
        <w:t>(Titman and Wessels 1988)</w:t>
      </w:r>
      <w:r w:rsidR="007C60DA" w:rsidRPr="00F925AE">
        <w:rPr>
          <w:rFonts w:cs="Times New Roman"/>
          <w:sz w:val="20"/>
          <w:szCs w:val="20"/>
        </w:rPr>
        <w:fldChar w:fldCharType="end"/>
      </w:r>
      <w:r w:rsidRPr="00F925AE">
        <w:rPr>
          <w:rFonts w:cs="Times New Roman"/>
          <w:sz w:val="20"/>
          <w:szCs w:val="20"/>
        </w:rPr>
        <w:t>, we control for the size of the firm measured as the logarithm of total assets (</w:t>
      </w:r>
      <w:r w:rsidRPr="00F925AE">
        <w:rPr>
          <w:rFonts w:cs="Times New Roman"/>
          <w:i/>
          <w:sz w:val="20"/>
          <w:szCs w:val="20"/>
        </w:rPr>
        <w:t>logTotalAssets</w:t>
      </w:r>
      <w:r w:rsidRPr="00F925AE">
        <w:rPr>
          <w:rFonts w:cs="Times New Roman"/>
          <w:i/>
          <w:sz w:val="20"/>
          <w:szCs w:val="20"/>
          <w:vertAlign w:val="subscript"/>
        </w:rPr>
        <w:t>i,t-1</w:t>
      </w:r>
      <w:r w:rsidRPr="00F925AE">
        <w:rPr>
          <w:rFonts w:cs="Times New Roman"/>
          <w:sz w:val="20"/>
          <w:szCs w:val="20"/>
        </w:rPr>
        <w:t>). Total asset growth (</w:t>
      </w:r>
      <w:r w:rsidRPr="00F925AE">
        <w:rPr>
          <w:rFonts w:cs="Times New Roman"/>
          <w:i/>
          <w:sz w:val="20"/>
          <w:szCs w:val="20"/>
        </w:rPr>
        <w:t>TotalAssetGrowth</w:t>
      </w:r>
      <w:r w:rsidRPr="00F925AE">
        <w:rPr>
          <w:rFonts w:cs="Times New Roman"/>
          <w:i/>
          <w:sz w:val="20"/>
          <w:szCs w:val="20"/>
          <w:vertAlign w:val="subscript"/>
        </w:rPr>
        <w:t>i,t-1</w:t>
      </w:r>
      <w:r w:rsidRPr="00F925AE">
        <w:rPr>
          <w:rFonts w:cs="Times New Roman"/>
          <w:sz w:val="20"/>
          <w:szCs w:val="20"/>
        </w:rPr>
        <w:t>), measured as the difference between</w:t>
      </w:r>
      <w:r w:rsidRPr="00F925AE">
        <w:rPr>
          <w:rFonts w:eastAsia="Times New Roman" w:cs="Times New Roman"/>
          <w:i/>
          <w:iCs/>
          <w:color w:val="000000"/>
          <w:sz w:val="20"/>
          <w:szCs w:val="20"/>
        </w:rPr>
        <w:t xml:space="preserve"> logTotalAssets</w:t>
      </w:r>
      <w:r w:rsidRPr="00F925AE">
        <w:rPr>
          <w:rFonts w:eastAsia="Times New Roman" w:cs="Times New Roman"/>
          <w:i/>
          <w:iCs/>
          <w:color w:val="000000"/>
          <w:sz w:val="20"/>
          <w:szCs w:val="20"/>
          <w:vertAlign w:val="subscript"/>
        </w:rPr>
        <w:t>i,t-1</w:t>
      </w:r>
      <w:r w:rsidRPr="00F925AE">
        <w:rPr>
          <w:rFonts w:cs="Times New Roman"/>
          <w:sz w:val="20"/>
          <w:szCs w:val="20"/>
        </w:rPr>
        <w:t xml:space="preserve"> and </w:t>
      </w:r>
      <w:r w:rsidRPr="00F925AE">
        <w:rPr>
          <w:rFonts w:eastAsia="Times New Roman" w:cs="Times New Roman"/>
          <w:i/>
          <w:iCs/>
          <w:color w:val="000000"/>
          <w:sz w:val="20"/>
          <w:szCs w:val="20"/>
        </w:rPr>
        <w:t>logTotalAssets</w:t>
      </w:r>
      <w:r w:rsidRPr="00F925AE">
        <w:rPr>
          <w:rFonts w:eastAsia="Times New Roman" w:cs="Times New Roman"/>
          <w:i/>
          <w:iCs/>
          <w:color w:val="000000"/>
          <w:sz w:val="20"/>
          <w:szCs w:val="20"/>
          <w:vertAlign w:val="subscript"/>
        </w:rPr>
        <w:t>i,t-2</w:t>
      </w:r>
      <w:r w:rsidRPr="00F925AE">
        <w:rPr>
          <w:rFonts w:cs="Times New Roman"/>
          <w:sz w:val="20"/>
          <w:szCs w:val="20"/>
        </w:rPr>
        <w:t xml:space="preserve">, </w:t>
      </w:r>
      <w:r w:rsidR="00CA5D3B" w:rsidRPr="00F925AE">
        <w:rPr>
          <w:rFonts w:cs="Times New Roman"/>
          <w:sz w:val="20"/>
          <w:szCs w:val="20"/>
        </w:rPr>
        <w:t>i</w:t>
      </w:r>
      <w:r w:rsidR="00EE3E55" w:rsidRPr="00F925AE">
        <w:rPr>
          <w:rFonts w:cs="Times New Roman"/>
          <w:sz w:val="20"/>
          <w:szCs w:val="20"/>
        </w:rPr>
        <w:t>s</w:t>
      </w:r>
      <w:r w:rsidRPr="00F925AE">
        <w:rPr>
          <w:rFonts w:cs="Times New Roman"/>
          <w:sz w:val="20"/>
          <w:szCs w:val="20"/>
        </w:rPr>
        <w:t xml:space="preserve"> included to account for the growth opportunities of the firm </w:t>
      </w:r>
      <w:r w:rsidR="007C60DA" w:rsidRPr="00F925AE">
        <w:rPr>
          <w:rFonts w:cs="Times New Roman"/>
          <w:sz w:val="20"/>
          <w:szCs w:val="20"/>
        </w:rPr>
        <w:fldChar w:fldCharType="begin" w:fldLock="1"/>
      </w:r>
      <w:r w:rsidRPr="00F925AE">
        <w:rPr>
          <w:rFonts w:cs="Times New Roman"/>
          <w:sz w:val="20"/>
          <w:szCs w:val="20"/>
        </w:rPr>
        <w:instrText>ADDIN CSL_CITATION { "citationItems" : [ { "id" : "ITEM-1", "itemData" : { "DOI" : "10.1023/A:1008010724051", "ISSN" : "0921-898X", "abstract" : "This article utilises up-to-date financial panel data, and investigates the capital structure of small and medium sized enterprises (SMEs) in the U.K. Different capital structure theories are reviewed in order to formulate testable propositions concerning the levels of debt in small businesses, and a number of regression models are developed to test the hypotheses.", "author" : [ { "dropping-particle" : "", "family" : "Michaelas", "given" : "Nicos", "non-dropping-particle" : "", "parse-names" : false, "suffix" : "" }, { "dropping-particle" : "", "family" : "Chittenden", "given" : "Francis", "non-dropping-particle" : "", "parse-names" : false, "suffix" : "" }, { "dropping-particle" : "", "family" : "Poutziouris", "given" : "Panikkos", "non-dropping-particle" : "", "parse-names" : false, "suffix" : "" } ], "container-title" : "Small Business Economics", "id" : "ITEM-1", "issue" : "2", "issued" : { "date-parts" : [ [ "1999", "3", "1" ] ] }, "page" : "113-130", "publisher" : "Springer Netherlands", "title" : "Financial Policy and Capital Structure Choice in U.K. SMEs: Empirical Evidence from Company Panel Data", "type" : "article-journal", "volume" : "12" }, "uris" : [ "http://www.mendeley.com/documents/?uuid=98a78316-8872-496b-b4e7-3cf8536ec819" ] } ], "mendeley" : { "formattedCitation" : "(Michaelas et al. 1999)", "plainTextFormattedCitation" : "(Michaelas et al. 1999)", "previouslyFormattedCitation" : "(Michaelas et al. 1999)" }, "properties" : { "noteIndex" : 0 }, "schema" : "https://github.com/citation-style-language/schema/raw/master/csl-citation.json" }</w:instrText>
      </w:r>
      <w:r w:rsidR="007C60DA" w:rsidRPr="00F925AE">
        <w:rPr>
          <w:rFonts w:cs="Times New Roman"/>
          <w:sz w:val="20"/>
          <w:szCs w:val="20"/>
        </w:rPr>
        <w:fldChar w:fldCharType="separate"/>
      </w:r>
      <w:r w:rsidRPr="00F925AE">
        <w:rPr>
          <w:rFonts w:cs="Times New Roman"/>
          <w:noProof/>
          <w:sz w:val="20"/>
          <w:szCs w:val="20"/>
        </w:rPr>
        <w:t>(Michaelas et al. 1999)</w:t>
      </w:r>
      <w:r w:rsidR="007C60DA" w:rsidRPr="00F925AE">
        <w:rPr>
          <w:rFonts w:cs="Times New Roman"/>
          <w:sz w:val="20"/>
          <w:szCs w:val="20"/>
        </w:rPr>
        <w:fldChar w:fldCharType="end"/>
      </w:r>
      <w:r w:rsidRPr="00F925AE">
        <w:rPr>
          <w:rFonts w:cs="Times New Roman"/>
          <w:sz w:val="20"/>
          <w:szCs w:val="20"/>
        </w:rPr>
        <w:t>. We control for the share of tangible assets on total assets (</w:t>
      </w:r>
      <w:r w:rsidRPr="00F925AE">
        <w:rPr>
          <w:rFonts w:cs="Times New Roman"/>
          <w:i/>
          <w:sz w:val="20"/>
          <w:szCs w:val="20"/>
        </w:rPr>
        <w:t>Tangibles</w:t>
      </w:r>
      <w:r w:rsidRPr="00F925AE">
        <w:rPr>
          <w:rFonts w:cs="Times New Roman"/>
          <w:i/>
          <w:sz w:val="20"/>
          <w:szCs w:val="20"/>
          <w:vertAlign w:val="subscript"/>
        </w:rPr>
        <w:t>i,t-1</w:t>
      </w:r>
      <w:r w:rsidRPr="00F925AE">
        <w:rPr>
          <w:rFonts w:cs="Times New Roman"/>
          <w:sz w:val="20"/>
          <w:szCs w:val="20"/>
        </w:rPr>
        <w:t xml:space="preserve">) because tangible assets </w:t>
      </w:r>
      <w:r w:rsidRPr="00F925AE">
        <w:rPr>
          <w:rFonts w:cs="Times New Roman"/>
          <w:sz w:val="20"/>
          <w:szCs w:val="20"/>
          <w:lang w:val="en-GB"/>
        </w:rPr>
        <w:t xml:space="preserve">can be pledged as collateral and are typically positively related to debt </w:t>
      </w:r>
      <w:r w:rsidR="007C60DA" w:rsidRPr="00F925AE">
        <w:rPr>
          <w:rFonts w:cs="Times New Roman"/>
          <w:sz w:val="20"/>
          <w:szCs w:val="20"/>
          <w:lang w:val="en-GB"/>
        </w:rPr>
        <w:fldChar w:fldCharType="begin" w:fldLock="1"/>
      </w:r>
      <w:r w:rsidRPr="00F925AE">
        <w:rPr>
          <w:rFonts w:cs="Times New Roman"/>
          <w:sz w:val="20"/>
          <w:szCs w:val="20"/>
          <w:lang w:val="en-GB"/>
        </w:rPr>
        <w:instrText>ADDIN CSL_CITATION { "citationItems" : [ { "id" : "ITEM-1", "itemData" : { "DOI" : "10.1016/0304-405X(84)90023-0", "ISBN" : "0304405X", "ISSN" : "0304405X", "PMID" : "17828689", "abstract" : "This paper considers a firm that must issue common stock to raise cash to undertake a valuable investment opportunity. Management is assumed to know more about the firm's value than potential investors. Investors interpret the firm's actions rationally. An equilibrium model of the issue-invest decision is developed under these assumptions. The model shows that firms may refuse to issue stock, and therefore may pass up valuable investment opportunities. The model suggests explanations for several aspects of corporate financing behavior, including the tendency to rely on internal sources of funds, and to prefer debt to equity if external financing is required. Extensions and applications of the model are discussed.", "author" : [ { "dropping-particle" : "", "family" : "Myers", "given" : "Stewart C.", "non-dropping-particle" : "", "parse-names" : false, "suffix" : "" }, { "dropping-particle" : "", "family" : "Majluf", "given" : "Nicholas S.", "non-dropping-particle" : "", "parse-names" : false, "suffix" : "" } ], "container-title" : "Journal of Financial Economics", "genre" : "article", "id" : "ITEM-1", "issue" : "2", "issued" : { "date-parts" : [ [ "1984" ] ] }, "page" : "187-221", "title" : "Corporate Financing and Investment Decisions When Firms Have Information That Investors Do Not Have", "type" : "article-journal", "volume" : "13" }, "uris" : [ "http://www.mendeley.com/documents/?uuid=0354e6ed-b88a-4773-a27d-30425da8e600" ] } ], "mendeley" : { "formattedCitation" : "(Myers and Majluf 1984)", "plainTextFormattedCitation" : "(Myers and Majluf 1984)", "previouslyFormattedCitation" : "(Myers and Majluf 1984)" }, "properties" : { "noteIndex" : 0 }, "schema" : "https://github.com/citation-style-language/schema/raw/master/csl-citation.json" }</w:instrText>
      </w:r>
      <w:r w:rsidR="007C60DA" w:rsidRPr="00F925AE">
        <w:rPr>
          <w:rFonts w:cs="Times New Roman"/>
          <w:sz w:val="20"/>
          <w:szCs w:val="20"/>
          <w:lang w:val="en-GB"/>
        </w:rPr>
        <w:fldChar w:fldCharType="separate"/>
      </w:r>
      <w:r w:rsidRPr="00F925AE">
        <w:rPr>
          <w:rFonts w:cs="Times New Roman"/>
          <w:noProof/>
          <w:sz w:val="20"/>
          <w:szCs w:val="20"/>
          <w:lang w:val="en-GB"/>
        </w:rPr>
        <w:t>(Myers and Majluf 1984)</w:t>
      </w:r>
      <w:r w:rsidR="007C60DA" w:rsidRPr="00F925AE">
        <w:rPr>
          <w:rFonts w:cs="Times New Roman"/>
          <w:sz w:val="20"/>
          <w:szCs w:val="20"/>
          <w:lang w:val="en-GB"/>
        </w:rPr>
        <w:fldChar w:fldCharType="end"/>
      </w:r>
      <w:r w:rsidRPr="00F925AE">
        <w:rPr>
          <w:rFonts w:cs="Times New Roman"/>
          <w:sz w:val="20"/>
          <w:szCs w:val="20"/>
          <w:lang w:val="en-GB"/>
        </w:rPr>
        <w:t>.</w:t>
      </w:r>
      <w:r w:rsidRPr="00F925AE">
        <w:rPr>
          <w:rFonts w:cs="Times New Roman"/>
          <w:sz w:val="20"/>
          <w:szCs w:val="20"/>
        </w:rPr>
        <w:t xml:space="preserve"> Profitability also affects debt (see, e.g., </w:t>
      </w:r>
      <w:r w:rsidR="007C60DA" w:rsidRPr="00F925AE">
        <w:rPr>
          <w:rFonts w:cs="Times New Roman"/>
          <w:sz w:val="20"/>
          <w:szCs w:val="20"/>
        </w:rPr>
        <w:fldChar w:fldCharType="begin" w:fldLock="1"/>
      </w:r>
      <w:r w:rsidRPr="00F925AE">
        <w:rPr>
          <w:rFonts w:cs="Times New Roman"/>
          <w:sz w:val="20"/>
          <w:szCs w:val="20"/>
        </w:rPr>
        <w:instrText>ADDIN CSL_CITATION { "citationItems" : [ { "id" : "ITEM-1", "itemData" : { "DOI" : "10.1007/s11187-004-6486-8", "ISBN" : "1118700464868", "ISSN" : "0921898X", "abstract" : "The principal aim of this paper is to test how firm characteristics affect Small and Medium Enter- prise (SME) capital structure. We carry out an empirical analysis of panel data of 6482 non-financial Spanish SMEs during the five years period 1994\u20131998, modelling the leverage ratio as a function of firm specific attributes hypothesized by capital structure theory. Our results sug- gest that non-debt tax shields and profitability are both negatively related to SME leverage, while size, growth options and asset structure influence positively SME capi- tal structure; they also confirm a maturity matching behaviour in this firm group.", "author" : [ { "dropping-particle" : "", "family" : "Sogorb-Mira", "given" : "Francisco", "non-dropping-particle" : "", "parse-names" : false, "suffix" : "" } ], "container-title" : "Small Business Economics", "id" : "ITEM-1", "issued" : { "date-parts" : [ [ "2005" ] ] }, "page" : "447-457", "title" : "How SME Uniqueness Affects Capital Structure: Evidence From a 1994-1998 Spanish Data Panel", "type" : "article-journal", "volume" : "25" }, "uris" : [ "http://www.mendeley.com/documents/?uuid=1936e97c-8ec4-4319-8784-477121e3b37c", "http://www.mendeley.com/documents/?uuid=14bed2a5-ea07-4381-885e-d9784d1d0cc5" ] } ], "mendeley" : { "formattedCitation" : "(Sogorb-Mira 2005)", "manualFormatting" : "Sogorb-Mira, 2005)", "plainTextFormattedCitation" : "(Sogorb-Mira 2005)", "previouslyFormattedCitation" : "(Sogorb-Mira 2005)" }, "properties" : { "noteIndex" : 0 }, "schema" : "https://github.com/citation-style-language/schema/raw/master/csl-citation.json" }</w:instrText>
      </w:r>
      <w:r w:rsidR="007C60DA" w:rsidRPr="00F925AE">
        <w:rPr>
          <w:rFonts w:cs="Times New Roman"/>
          <w:sz w:val="20"/>
          <w:szCs w:val="20"/>
        </w:rPr>
        <w:fldChar w:fldCharType="separate"/>
      </w:r>
      <w:r w:rsidRPr="00F925AE">
        <w:rPr>
          <w:rFonts w:cs="Times New Roman"/>
          <w:noProof/>
          <w:sz w:val="20"/>
          <w:szCs w:val="20"/>
        </w:rPr>
        <w:t>Sogorb-Mira, 2005)</w:t>
      </w:r>
      <w:r w:rsidR="007C60DA" w:rsidRPr="00F925AE">
        <w:rPr>
          <w:rFonts w:cs="Times New Roman"/>
          <w:sz w:val="20"/>
          <w:szCs w:val="20"/>
        </w:rPr>
        <w:fldChar w:fldCharType="end"/>
      </w:r>
      <w:r w:rsidRPr="00F925AE">
        <w:rPr>
          <w:rFonts w:cs="Times New Roman"/>
          <w:sz w:val="20"/>
          <w:szCs w:val="20"/>
        </w:rPr>
        <w:t>. We measure the firm’s profitability (</w:t>
      </w:r>
      <w:r w:rsidRPr="00F925AE">
        <w:rPr>
          <w:rFonts w:cs="Times New Roman"/>
          <w:i/>
          <w:sz w:val="20"/>
          <w:szCs w:val="20"/>
        </w:rPr>
        <w:t>Profitability</w:t>
      </w:r>
      <w:r w:rsidRPr="00F925AE">
        <w:rPr>
          <w:rFonts w:cs="Times New Roman"/>
          <w:i/>
          <w:sz w:val="20"/>
          <w:szCs w:val="20"/>
          <w:vertAlign w:val="subscript"/>
        </w:rPr>
        <w:t>i,t-1</w:t>
      </w:r>
      <w:r w:rsidRPr="00F925AE">
        <w:rPr>
          <w:rFonts w:cs="Times New Roman"/>
          <w:sz w:val="20"/>
          <w:szCs w:val="20"/>
        </w:rPr>
        <w:t>) as the earnings before interest, taxes, depreciation and amortization over total assets. We control for the liquidity of the firm (</w:t>
      </w:r>
      <w:r w:rsidRPr="00F925AE">
        <w:rPr>
          <w:rFonts w:eastAsia="Times New Roman" w:cs="Times New Roman"/>
          <w:i/>
          <w:iCs/>
          <w:color w:val="000000"/>
          <w:sz w:val="20"/>
          <w:szCs w:val="20"/>
          <w:lang w:eastAsia="en-US"/>
        </w:rPr>
        <w:t>Liquidity</w:t>
      </w:r>
      <w:r w:rsidRPr="00F925AE">
        <w:rPr>
          <w:rFonts w:eastAsia="Times New Roman" w:cs="Times New Roman"/>
          <w:i/>
          <w:iCs/>
          <w:color w:val="000000"/>
          <w:sz w:val="20"/>
          <w:szCs w:val="20"/>
          <w:vertAlign w:val="subscript"/>
          <w:lang w:eastAsia="en-US"/>
        </w:rPr>
        <w:t>i,t-</w:t>
      </w:r>
      <w:r w:rsidRPr="00F925AE">
        <w:rPr>
          <w:rFonts w:eastAsia="Times New Roman" w:cs="Times New Roman"/>
          <w:iCs/>
          <w:color w:val="000000"/>
          <w:sz w:val="20"/>
          <w:szCs w:val="20"/>
          <w:vertAlign w:val="subscript"/>
          <w:lang w:eastAsia="en-US"/>
        </w:rPr>
        <w:t>1</w:t>
      </w:r>
      <w:r w:rsidRPr="00F925AE">
        <w:rPr>
          <w:rFonts w:cs="Times New Roman"/>
          <w:sz w:val="20"/>
          <w:szCs w:val="20"/>
        </w:rPr>
        <w:t xml:space="preserve">), measured as the cash availability divided by total assets, as more liquid firms are more likely to raise debt </w:t>
      </w:r>
      <w:r w:rsidR="007C60DA" w:rsidRPr="00F925AE">
        <w:rPr>
          <w:rFonts w:cs="Times New Roman"/>
          <w:sz w:val="20"/>
          <w:szCs w:val="20"/>
        </w:rPr>
        <w:fldChar w:fldCharType="begin" w:fldLock="1"/>
      </w:r>
      <w:r w:rsidRPr="00F925AE">
        <w:rPr>
          <w:rFonts w:cs="Times New Roman"/>
          <w:sz w:val="20"/>
          <w:szCs w:val="20"/>
        </w:rPr>
        <w:instrText>ADDIN CSL_CITATION { "citationItems" : [ { "id" : "ITEM-1", "itemData" : { "DOI" : "10.1093/oxrep/18.1.35", "abstract" : "Evidence on the funding gap' for R&amp;D is surveyed. The focus is on financial-market reasons for under-investment in R&amp;D that persist even in the absence of externality induced under-investment. The conclusions are that (i) small and new innovative firms experience high costs of capital that are only partly mitigated by the presence of venture capital; (ii) evidence for high costs of R&amp;D capital for large firms is mixed, although these firms do prefer internal funds for financing these investments; (iii) there are limits to venture capital as a solution to the funding gap, especially in countries where public equity markets are not highly developed; and (iv) further study of governmental seed capital and subsidy programmes using quasi-experimental methods is warranted.", "author" : [ { "dropping-particle" : "", "family" : "Hall", "given" : "Bronwyn H.", "non-dropping-particle" : "", "parse-names" : false, "suffix" : "" } ], "container-title" : "Oxford Review of Economic Policy", "id" : "ITEM-1", "issue" : "1", "issued" : { "date-parts" : [ [ "2002" ] ] }, "page" : "35-51", "title" : "The Financing of Research and Development", "type" : "article-journal", "volume" : "18" }, "uris" : [ "http://www.mendeley.com/documents/?uuid=bf2232bd-6767-4155-9ada-098df1a24365" ] } ], "mendeley" : { "formattedCitation" : "(Hall 2002)", "plainTextFormattedCitation" : "(Hall 2002)", "previouslyFormattedCitation" : "(Hall 2002)" }, "properties" : { "noteIndex" : 0 }, "schema" : "https://github.com/citation-style-language/schema/raw/master/csl-citation.json" }</w:instrText>
      </w:r>
      <w:r w:rsidR="007C60DA" w:rsidRPr="00F925AE">
        <w:rPr>
          <w:rFonts w:cs="Times New Roman"/>
          <w:sz w:val="20"/>
          <w:szCs w:val="20"/>
        </w:rPr>
        <w:fldChar w:fldCharType="separate"/>
      </w:r>
      <w:r w:rsidRPr="00F925AE">
        <w:rPr>
          <w:rFonts w:cs="Times New Roman"/>
          <w:noProof/>
          <w:sz w:val="20"/>
          <w:szCs w:val="20"/>
        </w:rPr>
        <w:t>(Hall 2002)</w:t>
      </w:r>
      <w:r w:rsidR="007C60DA" w:rsidRPr="00F925AE">
        <w:rPr>
          <w:rFonts w:cs="Times New Roman"/>
          <w:sz w:val="20"/>
          <w:szCs w:val="20"/>
        </w:rPr>
        <w:fldChar w:fldCharType="end"/>
      </w:r>
      <w:r w:rsidRPr="00F925AE">
        <w:rPr>
          <w:rFonts w:cs="Times New Roman"/>
          <w:sz w:val="20"/>
          <w:szCs w:val="20"/>
        </w:rPr>
        <w:t xml:space="preserve">. </w:t>
      </w:r>
      <w:r w:rsidRPr="00F925AE">
        <w:rPr>
          <w:rFonts w:cs="Times New Roman"/>
          <w:i/>
          <w:sz w:val="20"/>
          <w:szCs w:val="20"/>
        </w:rPr>
        <w:t>Profitability</w:t>
      </w:r>
      <w:r w:rsidRPr="00F925AE">
        <w:rPr>
          <w:rFonts w:cs="Times New Roman"/>
          <w:i/>
          <w:sz w:val="20"/>
          <w:szCs w:val="20"/>
          <w:vertAlign w:val="subscript"/>
        </w:rPr>
        <w:t>i,t-1</w:t>
      </w:r>
      <w:r w:rsidRPr="00F925AE">
        <w:rPr>
          <w:rFonts w:cs="Times New Roman"/>
          <w:i/>
          <w:sz w:val="20"/>
          <w:szCs w:val="20"/>
        </w:rPr>
        <w:t xml:space="preserve"> </w:t>
      </w:r>
      <w:r w:rsidRPr="00F925AE">
        <w:rPr>
          <w:rFonts w:cs="Times New Roman"/>
          <w:sz w:val="20"/>
          <w:szCs w:val="20"/>
        </w:rPr>
        <w:t xml:space="preserve">and </w:t>
      </w:r>
      <w:r w:rsidRPr="00F925AE">
        <w:rPr>
          <w:rFonts w:eastAsia="Times New Roman" w:cs="Times New Roman"/>
          <w:i/>
          <w:iCs/>
          <w:color w:val="000000"/>
          <w:sz w:val="20"/>
          <w:szCs w:val="20"/>
          <w:lang w:eastAsia="en-US"/>
        </w:rPr>
        <w:t>Liquidity</w:t>
      </w:r>
      <w:r w:rsidRPr="00F925AE">
        <w:rPr>
          <w:rFonts w:eastAsia="Times New Roman" w:cs="Times New Roman"/>
          <w:i/>
          <w:iCs/>
          <w:color w:val="000000"/>
          <w:sz w:val="20"/>
          <w:szCs w:val="20"/>
          <w:vertAlign w:val="subscript"/>
          <w:lang w:eastAsia="en-US"/>
        </w:rPr>
        <w:t>i,t-</w:t>
      </w:r>
      <w:r w:rsidRPr="00F925AE">
        <w:rPr>
          <w:rFonts w:eastAsia="Times New Roman" w:cs="Times New Roman"/>
          <w:iCs/>
          <w:color w:val="000000"/>
          <w:sz w:val="20"/>
          <w:szCs w:val="20"/>
          <w:vertAlign w:val="subscript"/>
          <w:lang w:eastAsia="en-US"/>
        </w:rPr>
        <w:t>1</w:t>
      </w:r>
      <w:r w:rsidRPr="00F925AE">
        <w:rPr>
          <w:rFonts w:cs="Times New Roman"/>
          <w:sz w:val="20"/>
          <w:szCs w:val="20"/>
        </w:rPr>
        <w:t xml:space="preserve"> are winsorized at 1% to avoid outliers. We include the book value of equity in the previous year expressed in logarithm (</w:t>
      </w:r>
      <w:r w:rsidRPr="00F925AE">
        <w:rPr>
          <w:rFonts w:cs="Times New Roman"/>
          <w:i/>
          <w:sz w:val="20"/>
          <w:szCs w:val="20"/>
        </w:rPr>
        <w:t>logEquity</w:t>
      </w:r>
      <w:r w:rsidRPr="00F925AE">
        <w:rPr>
          <w:rFonts w:cs="Times New Roman"/>
          <w:i/>
          <w:sz w:val="20"/>
          <w:szCs w:val="20"/>
          <w:vertAlign w:val="subscript"/>
        </w:rPr>
        <w:t>i,t-1</w:t>
      </w:r>
      <w:r w:rsidRPr="00F925AE">
        <w:rPr>
          <w:rFonts w:cs="Times New Roman"/>
          <w:sz w:val="20"/>
          <w:szCs w:val="20"/>
        </w:rPr>
        <w:t xml:space="preserve">) because the debt capacity of a firm strongly depends on the level of equity </w:t>
      </w:r>
      <w:r w:rsidR="007C60DA" w:rsidRPr="00F925AE">
        <w:rPr>
          <w:rFonts w:cs="Times New Roman"/>
          <w:sz w:val="20"/>
          <w:szCs w:val="20"/>
        </w:rPr>
        <w:fldChar w:fldCharType="begin" w:fldLock="1"/>
      </w:r>
      <w:r w:rsidRPr="00F925AE">
        <w:rPr>
          <w:rFonts w:cs="Times New Roman"/>
          <w:sz w:val="20"/>
          <w:szCs w:val="20"/>
        </w:rPr>
        <w:instrText>ADDIN CSL_CITATION { "citationItems" : [ { "id" : "ITEM-1", "itemData" : { "ISBN" : "9780691125565", "author" : [ { "dropping-particle" : "", "family" : "Tirole", "given" : "Jean", "non-dropping-particle" : "", "parse-names" : false, "suffix" : "" } ], "id" : "ITEM-1", "issued" : { "date-parts" : [ [ "2006" ] ] }, "number-of-pages" : "1-640", "publisher" : "Princeton University Press", "publisher-place" : "Princeton (NJ)", "title" : "The Theory of Corporate Finance", "type" : "book" }, "uris" : [ "http://www.mendeley.com/documents/?uuid=5252ed3f-b648-4b70-b463-3a01a42f89aa" ] } ], "mendeley" : { "formattedCitation" : "(Tirole 2006)", "plainTextFormattedCitation" : "(Tirole 2006)", "previouslyFormattedCitation" : "(Tirole 2006)" }, "properties" : { "noteIndex" : 0 }, "schema" : "https://github.com/citation-style-language/schema/raw/master/csl-citation.json" }</w:instrText>
      </w:r>
      <w:r w:rsidR="007C60DA" w:rsidRPr="00F925AE">
        <w:rPr>
          <w:rFonts w:cs="Times New Roman"/>
          <w:sz w:val="20"/>
          <w:szCs w:val="20"/>
        </w:rPr>
        <w:fldChar w:fldCharType="separate"/>
      </w:r>
      <w:r w:rsidRPr="00F925AE">
        <w:rPr>
          <w:rFonts w:cs="Times New Roman"/>
          <w:noProof/>
          <w:sz w:val="20"/>
          <w:szCs w:val="20"/>
        </w:rPr>
        <w:t>(Tirole 2006)</w:t>
      </w:r>
      <w:r w:rsidR="007C60DA" w:rsidRPr="00F925AE">
        <w:rPr>
          <w:rFonts w:cs="Times New Roman"/>
          <w:sz w:val="20"/>
          <w:szCs w:val="20"/>
        </w:rPr>
        <w:fldChar w:fldCharType="end"/>
      </w:r>
      <w:r w:rsidRPr="00F925AE">
        <w:rPr>
          <w:rFonts w:cs="Times New Roman"/>
          <w:sz w:val="20"/>
          <w:szCs w:val="20"/>
        </w:rPr>
        <w:t xml:space="preserve">. We control for the receipt of </w:t>
      </w:r>
      <w:r w:rsidRPr="00F925AE">
        <w:rPr>
          <w:rFonts w:eastAsia="Times New Roman" w:cs="Times New Roman"/>
          <w:sz w:val="20"/>
          <w:szCs w:val="20"/>
        </w:rPr>
        <w:t>support from another government-affiliated institution</w:t>
      </w:r>
      <w:r w:rsidRPr="00F925AE">
        <w:rPr>
          <w:rFonts w:cs="Times New Roman"/>
          <w:sz w:val="20"/>
          <w:szCs w:val="20"/>
        </w:rPr>
        <w:t xml:space="preserve"> or from VCs with two dummies. </w:t>
      </w:r>
      <w:r w:rsidRPr="00F925AE">
        <w:rPr>
          <w:rFonts w:cs="Times New Roman"/>
          <w:i/>
          <w:sz w:val="20"/>
          <w:szCs w:val="20"/>
        </w:rPr>
        <w:t>PublicSupport</w:t>
      </w:r>
      <w:r w:rsidRPr="00F925AE">
        <w:rPr>
          <w:rFonts w:cs="Times New Roman"/>
          <w:i/>
          <w:sz w:val="20"/>
          <w:szCs w:val="20"/>
          <w:vertAlign w:val="subscript"/>
        </w:rPr>
        <w:t>i,t-1</w:t>
      </w:r>
      <w:r w:rsidRPr="00F925AE">
        <w:rPr>
          <w:rFonts w:cs="Times New Roman"/>
          <w:sz w:val="20"/>
          <w:szCs w:val="20"/>
        </w:rPr>
        <w:t xml:space="preserve"> is the lag of a dummy equal to 1 in the year in which a firm received its first form of public support and in all the following years, and 0 otherwise. </w:t>
      </w:r>
      <w:r w:rsidRPr="00F925AE">
        <w:rPr>
          <w:rFonts w:cs="Times New Roman"/>
          <w:i/>
          <w:sz w:val="20"/>
          <w:szCs w:val="20"/>
        </w:rPr>
        <w:t>VC</w:t>
      </w:r>
      <w:r w:rsidRPr="00F925AE">
        <w:rPr>
          <w:rFonts w:cs="Times New Roman"/>
          <w:i/>
          <w:sz w:val="20"/>
          <w:szCs w:val="20"/>
          <w:vertAlign w:val="subscript"/>
        </w:rPr>
        <w:t>i,t-1</w:t>
      </w:r>
      <w:r w:rsidRPr="00F925AE">
        <w:rPr>
          <w:rFonts w:cs="Times New Roman"/>
          <w:sz w:val="20"/>
          <w:szCs w:val="20"/>
        </w:rPr>
        <w:t xml:space="preserve"> is the lag of a dummy equal to 1 in the year in which a firm received its first VC round and in all the following years, and 0 otherwise. Lastly, in the model, we also include the firm age, measured in years since foundation (</w:t>
      </w:r>
      <w:r w:rsidRPr="00F925AE">
        <w:rPr>
          <w:rFonts w:cs="Times New Roman"/>
          <w:i/>
          <w:sz w:val="20"/>
          <w:szCs w:val="20"/>
        </w:rPr>
        <w:t>Age</w:t>
      </w:r>
      <w:r w:rsidRPr="00F925AE">
        <w:rPr>
          <w:rFonts w:cs="Times New Roman"/>
          <w:i/>
          <w:sz w:val="20"/>
          <w:szCs w:val="20"/>
          <w:vertAlign w:val="subscript"/>
        </w:rPr>
        <w:t>i,t</w:t>
      </w:r>
      <w:r w:rsidRPr="00F925AE">
        <w:rPr>
          <w:rFonts w:cs="Times New Roman"/>
          <w:sz w:val="20"/>
          <w:szCs w:val="20"/>
        </w:rPr>
        <w:t xml:space="preserve">), and year fixed effects. </w:t>
      </w:r>
    </w:p>
    <w:p w:rsidR="00512993" w:rsidRPr="00F925AE" w:rsidRDefault="00512993" w:rsidP="00512993">
      <w:pPr>
        <w:rPr>
          <w:rFonts w:cs="Times New Roman"/>
          <w:sz w:val="20"/>
          <w:szCs w:val="20"/>
        </w:rPr>
      </w:pPr>
      <w:r w:rsidRPr="00F925AE">
        <w:rPr>
          <w:rFonts w:cs="Times New Roman"/>
          <w:sz w:val="20"/>
          <w:szCs w:val="20"/>
        </w:rPr>
        <w:t xml:space="preserve">The literature has found that most of the variability in the capital structure is driven by an unobserved time-invariant effect </w:t>
      </w:r>
      <w:r w:rsidR="007C60DA" w:rsidRPr="00F925AE">
        <w:rPr>
          <w:rFonts w:cs="Times New Roman"/>
          <w:sz w:val="20"/>
          <w:szCs w:val="20"/>
        </w:rPr>
        <w:fldChar w:fldCharType="begin" w:fldLock="1"/>
      </w:r>
      <w:r w:rsidRPr="00F925AE">
        <w:rPr>
          <w:rFonts w:cs="Times New Roman"/>
          <w:sz w:val="20"/>
          <w:szCs w:val="20"/>
        </w:rPr>
        <w:instrText>ADDIN CSL_CITATION { "citationItems" : [ { "id" : "ITEM-1", "itemData" : { "DOI" : "10.1111/j.1540-6261.2008.01369.x", "ISBN" : "00221082", "ISSN" : "00221082", "abstract" : "We find that the majority of variation in leverage ratios is driven by an unobserved time-invariant effect that generates surprisingly stable capital structures: High (low) levered firms tend to remain as such for over two decades. This feature of leverage is largely unexplained by previously identified determinants, is robust to firm exit, and is present prior to the IPO, suggesting that variation in capital structures is primarily determined by factors that remain stable for long periods of time.We then show that these results have important implications for empirical analysis attempting to understand capital structure heterogeneity.", "author" : [ { "dropping-particle" : "", "family" : "Lemmon", "given" : "Michael L.", "non-dropping-particle" : "", "parse-names" : false, "suffix" : "" }, { "dropping-particle" : "", "family" : "Roberts", "given" : "Michael R.", "non-dropping-particle" : "", "parse-names" : false, "suffix" : "" }, { "dropping-particle" : "", "family" : "Zender", "given" : "Jaime F.", "non-dropping-particle" : "", "parse-names" : false, "suffix" : "" } ], "container-title" : "Journal of Finance", "id" : "ITEM-1", "issue" : "4", "issued" : { "date-parts" : [ [ "2008", "8", "19" ] ] }, "page" : "1575-1608", "title" : "Back to the Beginning: Persistence and the Cross-Section of Corporate Capital Structure", "type" : "article-journal", "volume" : "63" }, "uris" : [ "http://www.mendeley.com/documents/?uuid=bbf350c5-e48d-4b3e-86c2-9133956cc5c7" ] } ], "mendeley" : { "formattedCitation" : "(Lemmon et al. 2008)", "plainTextFormattedCitation" : "(Lemmon et al. 2008)", "previouslyFormattedCitation" : "(Lemmon et al. 2008)" }, "properties" : { "noteIndex" : 0 }, "schema" : "https://github.com/citation-style-language/schema/raw/master/csl-citation.json" }</w:instrText>
      </w:r>
      <w:r w:rsidR="007C60DA" w:rsidRPr="00F925AE">
        <w:rPr>
          <w:rFonts w:cs="Times New Roman"/>
          <w:sz w:val="20"/>
          <w:szCs w:val="20"/>
        </w:rPr>
        <w:fldChar w:fldCharType="separate"/>
      </w:r>
      <w:r w:rsidRPr="00F925AE">
        <w:rPr>
          <w:rFonts w:cs="Times New Roman"/>
          <w:noProof/>
          <w:sz w:val="20"/>
          <w:szCs w:val="20"/>
        </w:rPr>
        <w:t>(Lemmon et al. 2008)</w:t>
      </w:r>
      <w:r w:rsidR="007C60DA" w:rsidRPr="00F925AE">
        <w:rPr>
          <w:rFonts w:cs="Times New Roman"/>
          <w:sz w:val="20"/>
          <w:szCs w:val="20"/>
        </w:rPr>
        <w:fldChar w:fldCharType="end"/>
      </w:r>
      <w:r w:rsidRPr="00F925AE">
        <w:rPr>
          <w:rFonts w:cs="Times New Roman"/>
          <w:sz w:val="20"/>
          <w:szCs w:val="20"/>
        </w:rPr>
        <w:t>. Therefore, fixed effects estimators are better suited than random effect</w:t>
      </w:r>
      <w:r w:rsidR="000F0083" w:rsidRPr="00F925AE">
        <w:rPr>
          <w:rFonts w:cs="Times New Roman"/>
          <w:sz w:val="20"/>
          <w:szCs w:val="20"/>
        </w:rPr>
        <w:t>s</w:t>
      </w:r>
      <w:r w:rsidRPr="00F925AE">
        <w:rPr>
          <w:rFonts w:cs="Times New Roman"/>
          <w:sz w:val="20"/>
          <w:szCs w:val="20"/>
        </w:rPr>
        <w:t xml:space="preserve"> ones when modeling debt. Accordingly, we resort to a fixed effects panel with robust standard errors to estimate our models.</w:t>
      </w:r>
    </w:p>
    <w:p w:rsidR="00512993" w:rsidRPr="00F925AE" w:rsidRDefault="00512993" w:rsidP="00512993">
      <w:pPr>
        <w:pStyle w:val="Ttulo2"/>
        <w:keepNext/>
        <w:keepLines/>
        <w:rPr>
          <w:rFonts w:cs="Times New Roman"/>
          <w:szCs w:val="20"/>
        </w:rPr>
      </w:pPr>
      <w:r w:rsidRPr="00F925AE">
        <w:rPr>
          <w:rFonts w:cs="Times New Roman"/>
          <w:szCs w:val="20"/>
        </w:rPr>
        <w:lastRenderedPageBreak/>
        <w:t>Research setting</w:t>
      </w:r>
    </w:p>
    <w:p w:rsidR="00512993" w:rsidRPr="00F925AE" w:rsidRDefault="00512993" w:rsidP="00512993">
      <w:pPr>
        <w:keepNext/>
        <w:keepLines/>
        <w:rPr>
          <w:rFonts w:eastAsia="Times New Roman" w:cs="Times New Roman"/>
          <w:sz w:val="20"/>
          <w:szCs w:val="20"/>
        </w:rPr>
      </w:pPr>
      <w:r w:rsidRPr="00F925AE">
        <w:rPr>
          <w:rFonts w:eastAsia="Times New Roman" w:cs="Times New Roman"/>
          <w:sz w:val="20"/>
          <w:szCs w:val="20"/>
        </w:rPr>
        <w:t xml:space="preserve">The study focuses on PLs granted to SMEs by </w:t>
      </w:r>
      <w:r w:rsidRPr="00F925AE">
        <w:rPr>
          <w:rFonts w:eastAsia="Times New Roman" w:cs="Times New Roman"/>
          <w:i/>
          <w:sz w:val="20"/>
          <w:szCs w:val="20"/>
        </w:rPr>
        <w:t>Empresa Nacional de Innovación</w:t>
      </w:r>
      <w:r w:rsidRPr="00F925AE">
        <w:rPr>
          <w:rFonts w:eastAsia="Times New Roman" w:cs="Times New Roman"/>
          <w:sz w:val="20"/>
          <w:szCs w:val="20"/>
        </w:rPr>
        <w:t xml:space="preserve"> (hereinafter, ENISA) between 2005 and 2010. ENISA is a public institution supported by the Spanish Ministry of Industry, Energy, and Tourism. It was established in 1982 to commit money to high-technology firms, typically in the form of minority equity stakes, with the aim of bridging the equity gap left by private VC firms. As the Spanish VC market matured, ENISA gradually switched from equity to other financial instruments since 1996, when the government approved regulation </w:t>
      </w:r>
      <w:r w:rsidR="000F0083" w:rsidRPr="00F925AE">
        <w:rPr>
          <w:rFonts w:eastAsia="Times New Roman" w:cs="Times New Roman"/>
          <w:sz w:val="20"/>
          <w:szCs w:val="20"/>
        </w:rPr>
        <w:t>of</w:t>
      </w:r>
      <w:r w:rsidRPr="00F925AE">
        <w:rPr>
          <w:rFonts w:eastAsia="Times New Roman" w:cs="Times New Roman"/>
          <w:sz w:val="20"/>
          <w:szCs w:val="20"/>
        </w:rPr>
        <w:t xml:space="preserve"> PLs. Since 2005 ENISA has </w:t>
      </w:r>
      <w:r w:rsidR="000F0083" w:rsidRPr="00F925AE">
        <w:rPr>
          <w:rFonts w:eastAsia="Times New Roman" w:cs="Times New Roman"/>
          <w:sz w:val="20"/>
          <w:szCs w:val="20"/>
        </w:rPr>
        <w:t>considerably</w:t>
      </w:r>
      <w:r w:rsidRPr="00F925AE">
        <w:rPr>
          <w:rFonts w:eastAsia="Times New Roman" w:cs="Times New Roman"/>
          <w:sz w:val="20"/>
          <w:szCs w:val="20"/>
        </w:rPr>
        <w:t xml:space="preserve"> increased the number of PLs granted to SMEs.</w:t>
      </w:r>
    </w:p>
    <w:p w:rsidR="00512993" w:rsidRPr="00F925AE" w:rsidRDefault="00512993" w:rsidP="00512993">
      <w:pPr>
        <w:rPr>
          <w:rFonts w:eastAsia="Times New Roman" w:cs="Times New Roman"/>
          <w:sz w:val="20"/>
          <w:szCs w:val="20"/>
        </w:rPr>
      </w:pPr>
      <w:r w:rsidRPr="00F925AE">
        <w:rPr>
          <w:rFonts w:eastAsia="Times New Roman" w:cs="Times New Roman"/>
          <w:sz w:val="20"/>
          <w:szCs w:val="20"/>
        </w:rPr>
        <w:t xml:space="preserve">ENISA provides PLs through three programs targeted at different categories of SMEs: high-technology (EBT program), high-growth (PYME program) and, since 2010, recently established SMEs (JOVENES program). The maturities of the PLs range from 4 to 9 years, and the </w:t>
      </w:r>
      <w:r w:rsidRPr="003301EC">
        <w:rPr>
          <w:rFonts w:eastAsia="Times New Roman" w:cs="Times New Roman"/>
          <w:sz w:val="20"/>
          <w:szCs w:val="20"/>
        </w:rPr>
        <w:t>repayment of the principal is delayed from 1 to up to 7 years. The explicit interest rate applied is floating and collateral is not required. ENISA's PLs are subordinated to any loans and only senior to pure equity</w:t>
      </w:r>
      <w:r w:rsidR="00C77E81" w:rsidRPr="003301EC">
        <w:rPr>
          <w:rFonts w:eastAsia="Times New Roman" w:cs="Times New Roman"/>
          <w:sz w:val="20"/>
          <w:szCs w:val="20"/>
        </w:rPr>
        <w:t>,</w:t>
      </w:r>
      <w:r w:rsidRPr="003301EC">
        <w:rPr>
          <w:rFonts w:eastAsia="Times New Roman" w:cs="Times New Roman"/>
          <w:sz w:val="20"/>
          <w:szCs w:val="20"/>
        </w:rPr>
        <w:t xml:space="preserve"> and are counted as equity for financial analysis purposes. To be eligible to obtain ENISA loans, the applicant must be an SME (according to the official EU definition) established in Spain and not belonging to the real estate or financial services sectors. The applicant must raise additional equity from existing shareholders or external investors, which ranges from 15% to 100% of the am</w:t>
      </w:r>
      <w:r w:rsidRPr="00F925AE">
        <w:rPr>
          <w:rFonts w:eastAsia="Times New Roman" w:cs="Times New Roman"/>
          <w:sz w:val="20"/>
          <w:szCs w:val="20"/>
        </w:rPr>
        <w:t xml:space="preserve">ount of the loan asked. Applicants must then go through a screening process, similar to a credit scoring model that takes into account the industry, location and stage of development of the firm, the personal characteristics of the team, the innovativeness of the business model and its competitive advantage, the technical and economic feasibility of the project and historical information about past loans granted. The evaluation process usually lasts from four to six weeks. The rate of success of applicants in obtaining funding is around 50%. </w:t>
      </w:r>
      <w:r w:rsidR="007F4963" w:rsidRPr="00F925AE">
        <w:rPr>
          <w:rFonts w:eastAsia="Times New Roman" w:cs="Times New Roman"/>
          <w:sz w:val="20"/>
          <w:szCs w:val="20"/>
        </w:rPr>
        <w:t>F</w:t>
      </w:r>
      <w:r w:rsidRPr="00F925AE">
        <w:rPr>
          <w:rFonts w:eastAsia="Times New Roman" w:cs="Times New Roman"/>
          <w:sz w:val="20"/>
          <w:szCs w:val="20"/>
        </w:rPr>
        <w:t>irms</w:t>
      </w:r>
      <w:r w:rsidR="007F4963" w:rsidRPr="00F925AE">
        <w:rPr>
          <w:rFonts w:eastAsia="Times New Roman" w:cs="Times New Roman"/>
          <w:sz w:val="20"/>
          <w:szCs w:val="20"/>
        </w:rPr>
        <w:t xml:space="preserve"> receiving a PL</w:t>
      </w:r>
      <w:r w:rsidRPr="00F925AE">
        <w:rPr>
          <w:rFonts w:eastAsia="Times New Roman" w:cs="Times New Roman"/>
          <w:sz w:val="20"/>
          <w:szCs w:val="20"/>
        </w:rPr>
        <w:t xml:space="preserve"> are granted the amount required, albeit sometimes the requested amount is split into two rounds. </w:t>
      </w:r>
    </w:p>
    <w:p w:rsidR="00512993" w:rsidRPr="00F925AE" w:rsidRDefault="00B72C2D" w:rsidP="00512993">
      <w:pPr>
        <w:autoSpaceDE w:val="0"/>
        <w:autoSpaceDN w:val="0"/>
        <w:adjustRightInd w:val="0"/>
        <w:spacing w:before="120" w:after="120"/>
        <w:rPr>
          <w:rFonts w:eastAsia="Times New Roman" w:cs="Times New Roman"/>
          <w:sz w:val="20"/>
          <w:szCs w:val="20"/>
        </w:rPr>
      </w:pPr>
      <w:r w:rsidRPr="00F925AE">
        <w:rPr>
          <w:rFonts w:eastAsia="Times New Roman" w:cs="Times New Roman"/>
          <w:sz w:val="20"/>
          <w:szCs w:val="20"/>
        </w:rPr>
        <w:t xml:space="preserve">In this work we analyze </w:t>
      </w:r>
      <w:r w:rsidR="00512993" w:rsidRPr="00F925AE">
        <w:rPr>
          <w:rFonts w:eastAsia="Times New Roman" w:cs="Times New Roman"/>
          <w:sz w:val="20"/>
          <w:szCs w:val="20"/>
        </w:rPr>
        <w:t xml:space="preserve">PLs granted by ENISA through EBT, PYME and JOVENES programs between 2005 and 2010. As we show in Table 1, </w:t>
      </w:r>
      <w:r w:rsidRPr="00F925AE">
        <w:rPr>
          <w:rFonts w:eastAsia="Times New Roman" w:cs="Times New Roman"/>
          <w:sz w:val="20"/>
          <w:szCs w:val="20"/>
        </w:rPr>
        <w:t>the</w:t>
      </w:r>
      <w:r w:rsidR="00512993" w:rsidRPr="00F925AE">
        <w:rPr>
          <w:rFonts w:eastAsia="Times New Roman" w:cs="Times New Roman"/>
          <w:sz w:val="20"/>
          <w:szCs w:val="20"/>
        </w:rPr>
        <w:t xml:space="preserve"> population </w:t>
      </w:r>
      <w:r w:rsidRPr="00F925AE">
        <w:rPr>
          <w:rFonts w:eastAsia="Times New Roman" w:cs="Times New Roman"/>
          <w:sz w:val="20"/>
          <w:szCs w:val="20"/>
        </w:rPr>
        <w:t xml:space="preserve">of these loans </w:t>
      </w:r>
      <w:r w:rsidR="00512993" w:rsidRPr="00F925AE">
        <w:rPr>
          <w:rFonts w:eastAsia="Times New Roman" w:cs="Times New Roman"/>
          <w:sz w:val="20"/>
          <w:szCs w:val="20"/>
        </w:rPr>
        <w:t xml:space="preserve">consists of 867 </w:t>
      </w:r>
      <w:r w:rsidR="00F76CAD" w:rsidRPr="00F925AE">
        <w:rPr>
          <w:rFonts w:eastAsia="Times New Roman" w:cs="Times New Roman"/>
          <w:sz w:val="20"/>
          <w:szCs w:val="20"/>
        </w:rPr>
        <w:t>PLs</w:t>
      </w:r>
      <w:r w:rsidR="00512993" w:rsidRPr="00F925AE">
        <w:rPr>
          <w:rFonts w:eastAsia="Times New Roman" w:cs="Times New Roman"/>
          <w:sz w:val="20"/>
          <w:szCs w:val="20"/>
        </w:rPr>
        <w:t xml:space="preserve"> awarded to 694 firms and amounting to 212 million Euros.</w:t>
      </w:r>
      <w:r w:rsidR="00512993" w:rsidRPr="00F925AE">
        <w:rPr>
          <w:rStyle w:val="Refdecomentario"/>
          <w:rFonts w:cs="Times New Roman"/>
          <w:sz w:val="20"/>
          <w:szCs w:val="20"/>
        </w:rPr>
        <w:t xml:space="preserve"> </w:t>
      </w:r>
      <w:r w:rsidR="00512993" w:rsidRPr="00F925AE">
        <w:rPr>
          <w:rFonts w:eastAsia="Times New Roman" w:cs="Times New Roman"/>
          <w:sz w:val="20"/>
          <w:szCs w:val="20"/>
        </w:rPr>
        <w:t xml:space="preserve"> </w:t>
      </w:r>
    </w:p>
    <w:p w:rsidR="00512993" w:rsidRPr="00F925AE" w:rsidRDefault="00512993" w:rsidP="00512993">
      <w:pPr>
        <w:autoSpaceDE w:val="0"/>
        <w:autoSpaceDN w:val="0"/>
        <w:adjustRightInd w:val="0"/>
        <w:spacing w:before="120" w:after="120"/>
        <w:ind w:firstLine="0"/>
        <w:jc w:val="center"/>
        <w:rPr>
          <w:rFonts w:eastAsia="Times New Roman" w:cs="Times New Roman"/>
          <w:sz w:val="20"/>
          <w:szCs w:val="20"/>
        </w:rPr>
      </w:pPr>
      <w:r w:rsidRPr="00F925AE">
        <w:rPr>
          <w:rFonts w:eastAsia="Times New Roman" w:cs="Times New Roman"/>
          <w:sz w:val="20"/>
          <w:szCs w:val="20"/>
        </w:rPr>
        <w:t>[Insert Table 1 here]</w:t>
      </w:r>
    </w:p>
    <w:p w:rsidR="00512993" w:rsidRPr="00F925AE" w:rsidRDefault="00512993" w:rsidP="001E36DB">
      <w:pPr>
        <w:pStyle w:val="Ttulo2"/>
        <w:keepNext/>
        <w:keepLines/>
        <w:autoSpaceDE w:val="0"/>
        <w:autoSpaceDN w:val="0"/>
        <w:adjustRightInd w:val="0"/>
        <w:spacing w:before="120" w:after="120"/>
        <w:rPr>
          <w:rFonts w:cs="Times New Roman"/>
          <w:szCs w:val="20"/>
        </w:rPr>
      </w:pPr>
      <w:r w:rsidRPr="00F925AE">
        <w:rPr>
          <w:rFonts w:cs="Times New Roman"/>
          <w:szCs w:val="20"/>
        </w:rPr>
        <w:lastRenderedPageBreak/>
        <w:t>Data</w:t>
      </w:r>
    </w:p>
    <w:p w:rsidR="00512993" w:rsidRPr="00F925AE" w:rsidRDefault="00512993" w:rsidP="001E36DB">
      <w:pPr>
        <w:keepNext/>
        <w:keepLines/>
        <w:autoSpaceDE w:val="0"/>
        <w:autoSpaceDN w:val="0"/>
        <w:adjustRightInd w:val="0"/>
        <w:spacing w:before="120" w:after="120"/>
        <w:rPr>
          <w:rFonts w:eastAsia="Times New Roman" w:cs="Times New Roman"/>
          <w:sz w:val="20"/>
          <w:szCs w:val="20"/>
        </w:rPr>
      </w:pPr>
      <w:r w:rsidRPr="00F925AE">
        <w:rPr>
          <w:rFonts w:eastAsia="Times New Roman" w:cs="Times New Roman"/>
          <w:sz w:val="20"/>
          <w:szCs w:val="20"/>
        </w:rPr>
        <w:t>We created a sample of firms that received PLs (i.e., ENISA-backed firms) by merging several sources of data. ENISA provided the full list of loans granted by EBT, PYME and JOVENES programs in the period analyzed, which included the name of the firm, the program, the amount received, the date of the receipt of the loan, the maturity of the loan, the year of the first repayment of principal and the amounts repaid until 2013. This information allowed us to estimate t</w:t>
      </w:r>
      <w:r w:rsidRPr="00F925AE">
        <w:rPr>
          <w:rFonts w:cs="Times New Roman"/>
          <w:sz w:val="20"/>
          <w:szCs w:val="20"/>
        </w:rPr>
        <w:t xml:space="preserve">he amount owed to ENISA by each firm in every year. We relied on the Webcapitalriesgo database to obtain information on the receipt of </w:t>
      </w:r>
      <w:r w:rsidRPr="00F925AE">
        <w:rPr>
          <w:rFonts w:eastAsia="Times New Roman" w:cs="Times New Roman"/>
          <w:sz w:val="20"/>
          <w:szCs w:val="20"/>
        </w:rPr>
        <w:t>support from other government-affiliated institutions</w:t>
      </w:r>
      <w:r w:rsidRPr="00F925AE">
        <w:rPr>
          <w:rFonts w:cs="Times New Roman"/>
          <w:sz w:val="20"/>
          <w:szCs w:val="20"/>
        </w:rPr>
        <w:t xml:space="preserve"> and VC firms. Webcapitalriesgo is a complete database of VC investments in Spain. It is the service provider to the Spanish Private Equity and Venture Capital Association (ASCRI) since 2000. The database also includes the information on the receipt of </w:t>
      </w:r>
      <w:r w:rsidRPr="00F925AE">
        <w:rPr>
          <w:rFonts w:eastAsia="Times New Roman" w:cs="Times New Roman"/>
          <w:sz w:val="20"/>
          <w:szCs w:val="20"/>
        </w:rPr>
        <w:t xml:space="preserve">support, in the form of subsidized loans, from </w:t>
      </w:r>
      <w:r w:rsidRPr="00F925AE">
        <w:rPr>
          <w:rFonts w:cs="Times New Roman"/>
          <w:sz w:val="20"/>
          <w:szCs w:val="20"/>
        </w:rPr>
        <w:t>CDTI and ACCIO, Spanish government-affiliated institutions.</w:t>
      </w:r>
      <w:r w:rsidRPr="00F925AE">
        <w:rPr>
          <w:rStyle w:val="Refdenotaalpie"/>
          <w:rFonts w:cs="Times New Roman"/>
          <w:sz w:val="20"/>
          <w:szCs w:val="20"/>
        </w:rPr>
        <w:footnoteReference w:id="6"/>
      </w:r>
      <w:r w:rsidRPr="00F925AE">
        <w:rPr>
          <w:rFonts w:cs="Times New Roman"/>
          <w:sz w:val="20"/>
          <w:szCs w:val="20"/>
        </w:rPr>
        <w:t xml:space="preserve"> Lastly, </w:t>
      </w:r>
      <w:r w:rsidRPr="00F925AE">
        <w:rPr>
          <w:rFonts w:eastAsia="Times New Roman" w:cs="Times New Roman"/>
          <w:sz w:val="20"/>
          <w:szCs w:val="20"/>
        </w:rPr>
        <w:t>w</w:t>
      </w:r>
      <w:r w:rsidRPr="00F925AE">
        <w:rPr>
          <w:rFonts w:cs="Times New Roman"/>
          <w:sz w:val="20"/>
          <w:szCs w:val="20"/>
        </w:rPr>
        <w:t>e extracted from Orbis information on the founding date, activity sector (NACE Rev. 2), geographical location and accounting data of the recipient firms up to 2013. We used the firms’ NACE Rev. 2 codes to identify high-technology manufacturing and services using the Eurostat classification.</w:t>
      </w:r>
      <w:r w:rsidRPr="00F925AE">
        <w:rPr>
          <w:rStyle w:val="Refdenotaalpie"/>
          <w:rFonts w:cs="Times New Roman"/>
          <w:sz w:val="20"/>
          <w:szCs w:val="20"/>
        </w:rPr>
        <w:footnoteReference w:id="7"/>
      </w:r>
      <w:r w:rsidRPr="00F925AE">
        <w:rPr>
          <w:rFonts w:cs="Times New Roman"/>
          <w:sz w:val="20"/>
          <w:szCs w:val="20"/>
        </w:rPr>
        <w:t xml:space="preserve"> </w:t>
      </w:r>
      <w:r w:rsidRPr="00F925AE">
        <w:rPr>
          <w:rFonts w:eastAsia="Times New Roman" w:cs="Times New Roman"/>
          <w:sz w:val="20"/>
          <w:szCs w:val="20"/>
        </w:rPr>
        <w:t xml:space="preserve">We were able to find complete accounting data on 488 firms that received 673 loans from ENISA, representing 70% of the population. </w:t>
      </w:r>
      <w:r w:rsidRPr="00F925AE">
        <w:rPr>
          <w:rFonts w:cs="Times New Roman"/>
          <w:sz w:val="20"/>
          <w:szCs w:val="20"/>
        </w:rPr>
        <w:t>Table 2 reports the distribution of these firms across regions, industries and foundation periods, while Table</w:t>
      </w:r>
      <w:r w:rsidRPr="00F925AE">
        <w:rPr>
          <w:rFonts w:eastAsia="Times New Roman" w:cs="Times New Roman"/>
          <w:sz w:val="20"/>
          <w:szCs w:val="20"/>
        </w:rPr>
        <w:t xml:space="preserve"> 3 describes the characteristics of the firms at the time the first PL was granted. </w:t>
      </w:r>
    </w:p>
    <w:p w:rsidR="00512993" w:rsidRPr="00F925AE" w:rsidRDefault="00512993" w:rsidP="00512993">
      <w:pPr>
        <w:autoSpaceDE w:val="0"/>
        <w:autoSpaceDN w:val="0"/>
        <w:adjustRightInd w:val="0"/>
        <w:spacing w:before="120" w:after="120"/>
        <w:ind w:firstLine="0"/>
        <w:jc w:val="center"/>
        <w:rPr>
          <w:rFonts w:eastAsia="Times New Roman" w:cs="Times New Roman"/>
          <w:sz w:val="20"/>
          <w:szCs w:val="20"/>
        </w:rPr>
      </w:pPr>
      <w:r w:rsidRPr="00F925AE">
        <w:rPr>
          <w:rFonts w:eastAsia="Times New Roman" w:cs="Times New Roman"/>
          <w:sz w:val="20"/>
          <w:szCs w:val="20"/>
        </w:rPr>
        <w:t xml:space="preserve"> [Insert Table 2 here]</w:t>
      </w:r>
    </w:p>
    <w:p w:rsidR="00512993" w:rsidRPr="00F925AE" w:rsidRDefault="00512993" w:rsidP="00512993">
      <w:pPr>
        <w:autoSpaceDE w:val="0"/>
        <w:autoSpaceDN w:val="0"/>
        <w:adjustRightInd w:val="0"/>
        <w:spacing w:before="120" w:after="120"/>
        <w:ind w:firstLine="0"/>
        <w:jc w:val="center"/>
        <w:rPr>
          <w:rFonts w:eastAsia="Times New Roman" w:cs="Times New Roman"/>
          <w:sz w:val="20"/>
          <w:szCs w:val="20"/>
        </w:rPr>
      </w:pPr>
      <w:r w:rsidRPr="00F925AE">
        <w:rPr>
          <w:rFonts w:eastAsia="Times New Roman" w:cs="Times New Roman"/>
          <w:sz w:val="20"/>
          <w:szCs w:val="20"/>
        </w:rPr>
        <w:t>[Insert Table 3 here]</w:t>
      </w:r>
    </w:p>
    <w:p w:rsidR="00512993" w:rsidRPr="00F925AE" w:rsidRDefault="00512993" w:rsidP="00512993">
      <w:pPr>
        <w:rPr>
          <w:rFonts w:cs="Times New Roman"/>
          <w:sz w:val="20"/>
          <w:szCs w:val="20"/>
        </w:rPr>
      </w:pPr>
      <w:r w:rsidRPr="00F925AE">
        <w:rPr>
          <w:rFonts w:cs="Times New Roman"/>
          <w:sz w:val="20"/>
          <w:szCs w:val="20"/>
        </w:rPr>
        <w:t xml:space="preserve">In order to carry out a counterfactual analysis, we selected a control group of firms that did not receive a PL. The ideal control group firms would present similar characteristics to those of treated firms </w:t>
      </w:r>
      <w:r w:rsidR="007C60DA" w:rsidRPr="00F925AE">
        <w:rPr>
          <w:rFonts w:cs="Times New Roman"/>
          <w:sz w:val="20"/>
          <w:szCs w:val="20"/>
        </w:rPr>
        <w:fldChar w:fldCharType="begin" w:fldLock="1"/>
      </w:r>
      <w:r w:rsidRPr="00F925AE">
        <w:rPr>
          <w:rFonts w:cs="Times New Roman"/>
          <w:sz w:val="20"/>
          <w:szCs w:val="20"/>
        </w:rPr>
        <w:instrText>ADDIN CSL_CITATION { "citationItems" : [ { "id" : "ITEM-1", "itemData" : { "author" : [ { "dropping-particle" : "", "family" : "Puri", "given" : "Manju", "non-dropping-particle" : "", "parse-names" : false, "suffix" : "" }, { "dropping-particle" : "", "family" : "Zarutskie", "given" : "Rebecca", "non-dropping-particle" : "", "parse-names" : false, "suffix" : "" } ], "container-title" : "Journal of Finance", "id" : "ITEM-1", "issue" : "6", "issued" : { "date-parts" : [ [ "2012" ] ] }, "page" : "2247-2293", "title" : "On the Life Cycle Dynamics of Venture-Capital- and Non-Venture-Capital-Financed Firms", "type" : "article-journal", "volume" : "67" }, "uris" : [ "http://www.mendeley.com/documents/?uuid=01b53ed5-741e-498d-929a-786298de823b", "http://www.mendeley.com/documents/?uuid=decef8c2-3736-4e63-acb5-afaa9f192caa" ] }, { "id" : "ITEM-2", "itemData" : { "DOI" : "10.1016/j.jbusvent.2012.06.001", "abstract" : "We aim to ascertain to what extent the better performance of European venture capital (VC)-backed firms in high-tech industries is due to either 'screening' or 'value added' provided by VC investors. We compare portfolio firms' productivity growth before and after the first VC round, using a matched control group as benchmark. We show that productivity growth is not significantly different between VC and non-VC-backed firms before the first round of VC financing, whereas significant differences are found in the first years after the investment event. We also find that the value-adding services provided by VC investors 'imprint' the portfolio firm. \u00a9 2012 Elsevier Inc.", "author" : [ { "dropping-particle" : "", "family" : "Croce", "given" : "Annalisa", "non-dropping-particle" : "", "parse-names" : false, "suffix" : "" }, { "dropping-particle" : "", "family" : "Mart\u00ec Pellon", "given" : "J.", "non-dropping-particle" : "", "parse-names" : false, "suffix" : "" }, { "dropping-particle" : "", "family" : "Murtinu", "given" : "Samuele", "non-dropping-particle" : "", "parse-names" : false, "suffix" : "" } ], "container-title" : "Journal of Business Venturing", "id" : "ITEM-2", "issue" : "4", "issued" : { "date-parts" : [ [ "2013" ] ] }, "page" : "489-510", "title" : "The Impact of Venture Capital on the Productivity Growth of European Entrepreneurial Firms: 'Screening' or 'Value Added' Effect?", "type" : "article-journal", "volume" : "28" }, "uris" : [ "http://www.mendeley.com/documents/?uuid=fe8e0ad8-14ff-4858-801f-78c7907c0560", "http://www.mendeley.com/documents/?uuid=23ef6787-0e90-44d4-91f9-d58553a602ee" ] }, { "id" : "ITEM-3", "itemData" : { "DOI" : "10.1093/rfs/hhr096", "ISBN" : "0893-9454", "ISSN" : "08939454", "abstract" : "We use the Longitudinal Research Database (LRD) of the U.S. Census Bureau, which covers the entire universe of private and public U.S. manufacturing firms, to study several related questions regarding the efficiency gains generated by venture capital (VC) investment in private firms. First, do VCs indeed improve the efficiency (total factor productivity, TFP) of private firms, and if so, are certain kinds of VCs (high reputation vs. low reputation) better at generating such efficiency gains than others? Second, do VCs invest in more efficient firms to begin with (screening), or do they improve efficiency after investment (monitoring)? Third, do efficiency improvements due to VC backing arise from increases in sales or reductions in costs? Fourth, do VC backing and the associated efficiency gains affect the probability of a successful exit (IPO or acquisition)? Our analysis shows that the overall efficiency of VC-backed firms is higher than that of non-VC-backed firms at every point in time. This efficiency advantage of VC-backed firms arises from both screening and monitoring: the efficiency of VC-backed firms prior to receiving financing is higher than that of non-VC-backed firms, and further, the growth in efficiency subsequent to VC financing is greater for such firms. The above increases in efficiency of VC-backed firms are spread over the first two rounds of VC financing after which the TFP of such firms remains constant until exit. Additionally, we show that while the TFP of firms prior to receiving financing is lower for high-reputation VC-backed firms, the increase in TFP subsequent to financing is significantly greater for these firms, consistent with high-reputation VCs having greater monitoring ability. We disentangle the screening and monitoring effects of VC backing using three different methodologies: switching regression with endogenous switching, regression discontinuity analysis, and propensity score matching. We show that while overall efficiency gains generated by VC backing arise primarily from improvements in sales, the efficiency gains of high-reputation VC-backed firms arise also from lower increases in production costs. Finally, we show that VC backing and the associated efficiency gains positively affect the probability of a successful exit.", "author" : [ { "dropping-particle" : "", "family" : "Chemmanur", "given" : "Thomas J.", "non-dropping-particle" : "", "parse-names" : false, "suffix" : "" }, { "dropping-particle" : "", "family" : "Krishnan", "given" : "Karthik", "non-dropping-particle" : "", "parse-names" : false, "suffix" : "" }, { "dropping-particle" : "", "family" : "Nandy", "given" : "Debarshi K.", "non-dropping-particle" : "", "parse-names" : false, "suffix" : "" } ], "container-title" : "Review of Financial Studies", "id" : "ITEM-3", "issue" : "617", "issued" : { "date-parts" : [ [ "2011" ] ] }, "page" : "4037-4090", "title" : "How Does Venture Capital Financing Improve Efficiency in Private Firms? A look Beneath the Surface", "type" : "article-journal", "volume" : "24" }, "uris" : [ "http://www.mendeley.com/documents/?uuid=95d53af2-6e78-4382-919e-0cb19c260a92" ] } ], "mendeley" : { "formattedCitation" : "(Chemmanur et al. 2011; Croce et al. 2013; Puri and Zarutskie 2012)", "plainTextFormattedCitation" : "(Chemmanur et al. 2011; Croce et al. 2013; Puri and Zarutskie 2012)", "previouslyFormattedCitation" : "(Chemmanur et al. 2011; Croce et al. 2013; Puri and Zarutskie 2012)" }, "properties" : { "noteIndex" : 0 }, "schema" : "https://github.com/citation-style-language/schema/raw/master/csl-citation.json" }</w:instrText>
      </w:r>
      <w:r w:rsidR="007C60DA" w:rsidRPr="00F925AE">
        <w:rPr>
          <w:rFonts w:cs="Times New Roman"/>
          <w:sz w:val="20"/>
          <w:szCs w:val="20"/>
        </w:rPr>
        <w:fldChar w:fldCharType="separate"/>
      </w:r>
      <w:r w:rsidRPr="00F925AE">
        <w:rPr>
          <w:rFonts w:cs="Times New Roman"/>
          <w:noProof/>
          <w:sz w:val="20"/>
          <w:szCs w:val="20"/>
        </w:rPr>
        <w:t>(Chemmanur et al. 2011; Croce et al. 2013; Puri and Zarutskie 2012)</w:t>
      </w:r>
      <w:r w:rsidR="007C60DA" w:rsidRPr="00F925AE">
        <w:rPr>
          <w:rFonts w:cs="Times New Roman"/>
          <w:sz w:val="20"/>
          <w:szCs w:val="20"/>
        </w:rPr>
        <w:fldChar w:fldCharType="end"/>
      </w:r>
      <w:r w:rsidRPr="00F925AE">
        <w:rPr>
          <w:rFonts w:cs="Times New Roman"/>
          <w:sz w:val="20"/>
          <w:szCs w:val="20"/>
        </w:rPr>
        <w:t xml:space="preserve"> (i.e., ENISA-backed firms) before receiving the first PL in terms of their ability to raise external debt (Hypothesis 1), size (Hypothesis 2), age (Hypothesis 3),</w:t>
      </w:r>
      <w:r w:rsidRPr="00F925AE">
        <w:rPr>
          <w:rFonts w:eastAsia="Times New Roman" w:cs="Times New Roman"/>
          <w:iCs/>
          <w:color w:val="000000"/>
          <w:sz w:val="20"/>
          <w:szCs w:val="20"/>
        </w:rPr>
        <w:t xml:space="preserve"> industry’s technological level </w:t>
      </w:r>
      <w:r w:rsidRPr="00F925AE">
        <w:rPr>
          <w:rFonts w:eastAsia="Times New Roman" w:cs="Times New Roman"/>
          <w:iCs/>
          <w:color w:val="000000"/>
          <w:sz w:val="20"/>
          <w:szCs w:val="20"/>
        </w:rPr>
        <w:lastRenderedPageBreak/>
        <w:t>(Hypothesis 4) and previous receipt of support from government-affiliated institutions (Hypothesis 5) and VC investors (Hypothesis 6</w:t>
      </w:r>
      <w:r w:rsidRPr="00F925AE">
        <w:rPr>
          <w:rFonts w:cs="Times New Roman"/>
          <w:sz w:val="20"/>
          <w:szCs w:val="20"/>
        </w:rPr>
        <w:t>). To identify the appropriate control group, we first used a random sampling to extract from Orbis 2,700 firms operating in Spain in the same industries (i.e., same NACE rev2 code) and geographical locations as ENISA-backed firms, founded in the same time span and with fewer than 250 employees in the period 2005-2010. We then merged this sample with the full list of firms that received subsidized loans granted by CDTI or ACCIO (209 firms) and VC financing (2,049 firms) according to Webcapitalriesgo, and for which accounting data was available in Orbis.</w:t>
      </w:r>
      <w:r w:rsidRPr="00F925AE">
        <w:rPr>
          <w:rStyle w:val="Refdenotaalpie"/>
          <w:rFonts w:cs="Times New Roman"/>
          <w:sz w:val="20"/>
          <w:szCs w:val="20"/>
        </w:rPr>
        <w:footnoteReference w:id="8"/>
      </w:r>
      <w:r w:rsidRPr="00F925AE">
        <w:rPr>
          <w:rFonts w:cs="Times New Roman"/>
          <w:sz w:val="20"/>
          <w:szCs w:val="20"/>
        </w:rPr>
        <w:t xml:space="preserve"> After removing duplicates and missing data, the final number of nonENISA-backed firms is 4,697. Out of this sample, we use a propensity score matching to identify those firms that more closely resemble the 488 ENISA-backed firms before the receipt of the first PL. The matching variables include our proxy for the </w:t>
      </w:r>
      <w:r w:rsidRPr="00F925AE">
        <w:rPr>
          <w:rFonts w:eastAsia="Times New Roman" w:cs="Times New Roman"/>
          <w:iCs/>
          <w:color w:val="000000"/>
          <w:sz w:val="20"/>
          <w:szCs w:val="20"/>
        </w:rPr>
        <w:t xml:space="preserve">firms’ </w:t>
      </w:r>
      <w:r w:rsidRPr="00F925AE">
        <w:rPr>
          <w:rFonts w:cs="Times New Roman"/>
          <w:sz w:val="20"/>
          <w:szCs w:val="20"/>
        </w:rPr>
        <w:t>ability to raise external debt</w:t>
      </w:r>
      <w:r w:rsidRPr="00F925AE">
        <w:rPr>
          <w:rFonts w:eastAsia="Times New Roman" w:cs="Times New Roman"/>
          <w:iCs/>
          <w:color w:val="000000"/>
          <w:sz w:val="20"/>
          <w:szCs w:val="20"/>
        </w:rPr>
        <w:t xml:space="preserve"> </w:t>
      </w:r>
      <w:r w:rsidRPr="00F925AE">
        <w:rPr>
          <w:rFonts w:cs="Times New Roman"/>
          <w:sz w:val="20"/>
          <w:szCs w:val="20"/>
        </w:rPr>
        <w:t>(</w:t>
      </w:r>
      <w:r w:rsidRPr="00F925AE">
        <w:rPr>
          <w:rFonts w:cs="Times New Roman"/>
          <w:i/>
          <w:sz w:val="20"/>
          <w:szCs w:val="20"/>
        </w:rPr>
        <w:t>log</w:t>
      </w:r>
      <w:r w:rsidRPr="00F925AE">
        <w:rPr>
          <w:rFonts w:eastAsia="Times New Roman" w:cs="Times New Roman"/>
          <w:i/>
          <w:iCs/>
          <w:color w:val="000000"/>
          <w:sz w:val="20"/>
          <w:szCs w:val="20"/>
        </w:rPr>
        <w:t>Debt</w:t>
      </w:r>
      <w:r w:rsidRPr="00F925AE">
        <w:rPr>
          <w:rFonts w:eastAsia="Times New Roman" w:cs="Times New Roman"/>
          <w:i/>
          <w:iCs/>
          <w:color w:val="000000"/>
          <w:sz w:val="20"/>
          <w:szCs w:val="20"/>
          <w:vertAlign w:val="subscript"/>
        </w:rPr>
        <w:t>i,t-1</w:t>
      </w:r>
      <w:r w:rsidRPr="00F925AE">
        <w:rPr>
          <w:rFonts w:cs="Times New Roman"/>
          <w:sz w:val="20"/>
          <w:szCs w:val="20"/>
        </w:rPr>
        <w:t xml:space="preserve">), </w:t>
      </w:r>
      <w:r w:rsidRPr="00F925AE">
        <w:rPr>
          <w:rFonts w:eastAsia="Times New Roman" w:cs="Times New Roman"/>
          <w:iCs/>
          <w:color w:val="000000"/>
          <w:sz w:val="20"/>
          <w:szCs w:val="20"/>
        </w:rPr>
        <w:t>size (</w:t>
      </w:r>
      <w:r w:rsidRPr="00F925AE">
        <w:rPr>
          <w:rFonts w:eastAsia="Times New Roman" w:cs="Times New Roman"/>
          <w:i/>
          <w:iCs/>
          <w:color w:val="000000"/>
          <w:sz w:val="20"/>
          <w:szCs w:val="20"/>
        </w:rPr>
        <w:t>logTotalAssets</w:t>
      </w:r>
      <w:r w:rsidRPr="00F925AE">
        <w:rPr>
          <w:rFonts w:eastAsia="Times New Roman" w:cs="Times New Roman"/>
          <w:i/>
          <w:iCs/>
          <w:color w:val="000000"/>
          <w:sz w:val="20"/>
          <w:szCs w:val="20"/>
          <w:vertAlign w:val="subscript"/>
        </w:rPr>
        <w:t>i,t-1</w:t>
      </w:r>
      <w:r w:rsidRPr="00F925AE">
        <w:rPr>
          <w:rFonts w:eastAsia="Times New Roman" w:cs="Times New Roman"/>
          <w:iCs/>
          <w:color w:val="000000"/>
          <w:sz w:val="20"/>
          <w:szCs w:val="20"/>
        </w:rPr>
        <w:t>), age (</w:t>
      </w:r>
      <w:r w:rsidRPr="00F925AE">
        <w:rPr>
          <w:rFonts w:eastAsia="Times New Roman" w:cs="Times New Roman"/>
          <w:i/>
          <w:iCs/>
          <w:color w:val="000000"/>
          <w:sz w:val="20"/>
          <w:szCs w:val="20"/>
        </w:rPr>
        <w:t>Age</w:t>
      </w:r>
      <w:r w:rsidRPr="00F925AE">
        <w:rPr>
          <w:rFonts w:eastAsia="Times New Roman" w:cs="Times New Roman"/>
          <w:i/>
          <w:iCs/>
          <w:color w:val="000000"/>
          <w:sz w:val="20"/>
          <w:szCs w:val="20"/>
          <w:vertAlign w:val="subscript"/>
        </w:rPr>
        <w:t>i,t</w:t>
      </w:r>
      <w:r w:rsidRPr="00F925AE">
        <w:rPr>
          <w:rFonts w:eastAsia="Times New Roman" w:cs="Times New Roman"/>
          <w:iCs/>
          <w:color w:val="000000"/>
          <w:sz w:val="20"/>
          <w:szCs w:val="20"/>
        </w:rPr>
        <w:t>,), industry’s technological level (</w:t>
      </w:r>
      <w:r w:rsidRPr="00F925AE">
        <w:rPr>
          <w:rFonts w:cs="Times New Roman"/>
          <w:i/>
          <w:sz w:val="20"/>
          <w:szCs w:val="20"/>
        </w:rPr>
        <w:t>HighTech</w:t>
      </w:r>
      <w:r w:rsidRPr="00F925AE">
        <w:rPr>
          <w:rFonts w:cs="Times New Roman"/>
          <w:i/>
          <w:sz w:val="20"/>
          <w:szCs w:val="20"/>
          <w:vertAlign w:val="subscript"/>
        </w:rPr>
        <w:t>i</w:t>
      </w:r>
      <w:r w:rsidRPr="00F925AE">
        <w:rPr>
          <w:rFonts w:cs="Times New Roman"/>
          <w:sz w:val="20"/>
          <w:szCs w:val="20"/>
        </w:rPr>
        <w:t>,</w:t>
      </w:r>
      <w:r w:rsidRPr="00F925AE">
        <w:rPr>
          <w:rFonts w:eastAsia="Times New Roman" w:cs="Times New Roman"/>
          <w:iCs/>
          <w:color w:val="000000"/>
          <w:sz w:val="20"/>
          <w:szCs w:val="20"/>
        </w:rPr>
        <w:t>), previous receipt of public support (</w:t>
      </w:r>
      <w:r w:rsidRPr="00F925AE">
        <w:rPr>
          <w:rFonts w:cs="Times New Roman"/>
          <w:i/>
          <w:sz w:val="20"/>
          <w:szCs w:val="20"/>
        </w:rPr>
        <w:t>PublicSupport</w:t>
      </w:r>
      <w:r w:rsidRPr="00F925AE">
        <w:rPr>
          <w:rFonts w:cs="Times New Roman"/>
          <w:i/>
          <w:sz w:val="20"/>
          <w:szCs w:val="20"/>
          <w:vertAlign w:val="subscript"/>
        </w:rPr>
        <w:t>i,t-1</w:t>
      </w:r>
      <w:r w:rsidRPr="00F925AE">
        <w:rPr>
          <w:rFonts w:eastAsia="Times New Roman" w:cs="Times New Roman"/>
          <w:iCs/>
          <w:color w:val="000000"/>
          <w:sz w:val="20"/>
          <w:szCs w:val="20"/>
        </w:rPr>
        <w:t>) and of VC investments (</w:t>
      </w:r>
      <w:r w:rsidRPr="00F925AE">
        <w:rPr>
          <w:rFonts w:cs="Times New Roman"/>
          <w:i/>
          <w:sz w:val="20"/>
          <w:szCs w:val="20"/>
        </w:rPr>
        <w:t>VC</w:t>
      </w:r>
      <w:r w:rsidRPr="00F925AE">
        <w:rPr>
          <w:rFonts w:cs="Times New Roman"/>
          <w:i/>
          <w:sz w:val="20"/>
          <w:szCs w:val="20"/>
          <w:vertAlign w:val="subscript"/>
        </w:rPr>
        <w:t>i,t-1</w:t>
      </w:r>
      <w:r w:rsidRPr="00F925AE">
        <w:rPr>
          <w:rFonts w:eastAsia="Times New Roman" w:cs="Times New Roman"/>
          <w:iCs/>
          <w:color w:val="000000"/>
          <w:sz w:val="20"/>
          <w:szCs w:val="20"/>
        </w:rPr>
        <w:t xml:space="preserve">), along with </w:t>
      </w:r>
      <w:r w:rsidRPr="00F925AE">
        <w:rPr>
          <w:rFonts w:cs="Times New Roman"/>
          <w:sz w:val="20"/>
          <w:szCs w:val="20"/>
        </w:rPr>
        <w:t>regional, year and industry dummies. In order to increase the precision of the matching algorithm, we perform exact matching on the age of the firm, whenever we have sufficient observations</w:t>
      </w:r>
      <w:r w:rsidRPr="00F925AE">
        <w:rPr>
          <w:rFonts w:eastAsia="Times New Roman" w:cs="Times New Roman"/>
          <w:iCs/>
          <w:color w:val="000000"/>
          <w:sz w:val="20"/>
          <w:szCs w:val="20"/>
        </w:rPr>
        <w:t xml:space="preserve">. </w:t>
      </w:r>
      <w:r w:rsidRPr="00F925AE">
        <w:rPr>
          <w:rFonts w:cs="Times New Roman"/>
          <w:sz w:val="20"/>
          <w:szCs w:val="20"/>
        </w:rPr>
        <w:t>We use the propensity score to choose, for every ENISA-backed firm in the year of the PL, the two most similar firm-year observations (nearest neighbors) in the group of firms that did not receive PLs.</w:t>
      </w:r>
      <w:r w:rsidRPr="00F925AE">
        <w:rPr>
          <w:rStyle w:val="Refdenotaalpie"/>
          <w:rFonts w:cs="Times New Roman"/>
          <w:sz w:val="20"/>
          <w:szCs w:val="20"/>
        </w:rPr>
        <w:footnoteReference w:id="9"/>
      </w:r>
      <w:r w:rsidRPr="00F925AE">
        <w:rPr>
          <w:rFonts w:cs="Times New Roman"/>
          <w:sz w:val="20"/>
          <w:szCs w:val="20"/>
        </w:rPr>
        <w:t xml:space="preserve"> 719 firms that never received a PL were matched with the ENISA-backed firms for at least one year. They constitute our control group of “twins” of the 488 ENISA-backed firms. In our dataset, we keep observations of ENISA-backed firms and their matched twins for the four years before the matching and all the available years after the matching. Our final observation period covers the years 2001 to 2013.</w:t>
      </w:r>
      <w:r w:rsidRPr="00F925AE">
        <w:rPr>
          <w:rStyle w:val="Refdecomentario"/>
          <w:rFonts w:cs="Times New Roman"/>
          <w:sz w:val="20"/>
          <w:szCs w:val="20"/>
        </w:rPr>
        <w:t xml:space="preserve"> </w:t>
      </w:r>
      <w:r w:rsidRPr="00F925AE">
        <w:rPr>
          <w:rFonts w:cs="Times New Roman"/>
          <w:sz w:val="20"/>
          <w:szCs w:val="20"/>
        </w:rPr>
        <w:t>Because of the matching procedure, the distribution of ENISA-backed firms is not significantly different from that of control group firms across industries, regions and foundation periods (</w:t>
      </w:r>
      <w:r w:rsidRPr="00F925AE">
        <w:rPr>
          <w:rFonts w:cs="Times New Roman"/>
          <w:sz w:val="20"/>
          <w:szCs w:val="20"/>
        </w:rPr>
        <w:sym w:font="Symbol" w:char="F063"/>
      </w:r>
      <w:r w:rsidRPr="00F925AE">
        <w:rPr>
          <w:rFonts w:cs="Times New Roman"/>
          <w:sz w:val="20"/>
          <w:szCs w:val="20"/>
          <w:vertAlign w:val="superscript"/>
        </w:rPr>
        <w:t>2</w:t>
      </w:r>
      <w:r w:rsidRPr="00F925AE">
        <w:rPr>
          <w:rFonts w:cs="Times New Roman"/>
          <w:sz w:val="20"/>
          <w:szCs w:val="20"/>
        </w:rPr>
        <w:t xml:space="preserve">(11) = 2.33, </w:t>
      </w:r>
      <w:r w:rsidRPr="00F925AE">
        <w:rPr>
          <w:rFonts w:cs="Times New Roman"/>
          <w:sz w:val="20"/>
          <w:szCs w:val="20"/>
        </w:rPr>
        <w:sym w:font="Symbol" w:char="F063"/>
      </w:r>
      <w:r w:rsidRPr="00F925AE">
        <w:rPr>
          <w:rFonts w:cs="Times New Roman"/>
          <w:sz w:val="20"/>
          <w:szCs w:val="20"/>
          <w:vertAlign w:val="superscript"/>
        </w:rPr>
        <w:t>2</w:t>
      </w:r>
      <w:r w:rsidRPr="00F925AE">
        <w:rPr>
          <w:rFonts w:cs="Times New Roman"/>
          <w:sz w:val="20"/>
          <w:szCs w:val="20"/>
        </w:rPr>
        <w:t xml:space="preserve">(16) = 8.38 and </w:t>
      </w:r>
      <w:r w:rsidRPr="00F925AE">
        <w:rPr>
          <w:rFonts w:cs="Times New Roman"/>
          <w:sz w:val="20"/>
          <w:szCs w:val="20"/>
        </w:rPr>
        <w:sym w:font="Symbol" w:char="F063"/>
      </w:r>
      <w:r w:rsidRPr="00F925AE">
        <w:rPr>
          <w:rFonts w:cs="Times New Roman"/>
          <w:sz w:val="20"/>
          <w:szCs w:val="20"/>
          <w:vertAlign w:val="superscript"/>
        </w:rPr>
        <w:t>2</w:t>
      </w:r>
      <w:r w:rsidRPr="00F925AE">
        <w:rPr>
          <w:rFonts w:cs="Times New Roman"/>
          <w:sz w:val="20"/>
          <w:szCs w:val="20"/>
        </w:rPr>
        <w:t xml:space="preserve">(3) = 1.07, respectively). The balancing of the matching with respect to the continuous matching variables was verified using </w:t>
      </w:r>
      <w:r w:rsidRPr="00F925AE">
        <w:rPr>
          <w:rFonts w:cs="Times New Roman"/>
          <w:sz w:val="20"/>
          <w:szCs w:val="20"/>
          <w:lang w:bidi="en-US"/>
        </w:rPr>
        <w:t>T-tests</w:t>
      </w:r>
      <w:r w:rsidRPr="00F925AE">
        <w:rPr>
          <w:rFonts w:cs="Times New Roman"/>
          <w:sz w:val="20"/>
          <w:szCs w:val="20"/>
        </w:rPr>
        <w:t xml:space="preserve">. Variables for our final sample of ENISA-backed and control group firms are summarized in Table 4, while a correlation matrix is presented in Table 5. </w:t>
      </w:r>
    </w:p>
    <w:p w:rsidR="00512993" w:rsidRPr="00F925AE" w:rsidRDefault="00512993" w:rsidP="00512993">
      <w:pPr>
        <w:autoSpaceDE w:val="0"/>
        <w:autoSpaceDN w:val="0"/>
        <w:adjustRightInd w:val="0"/>
        <w:spacing w:before="120" w:after="120"/>
        <w:ind w:firstLine="0"/>
        <w:jc w:val="center"/>
        <w:rPr>
          <w:rFonts w:eastAsia="Times New Roman" w:cs="Times New Roman"/>
          <w:sz w:val="20"/>
          <w:szCs w:val="20"/>
        </w:rPr>
      </w:pPr>
      <w:r w:rsidRPr="00F925AE">
        <w:rPr>
          <w:rFonts w:eastAsia="Times New Roman" w:cs="Times New Roman"/>
          <w:sz w:val="20"/>
          <w:szCs w:val="20"/>
        </w:rPr>
        <w:t>[Insert Table 4 here]</w:t>
      </w:r>
    </w:p>
    <w:p w:rsidR="00512993" w:rsidRPr="00F925AE" w:rsidRDefault="00512993" w:rsidP="00512993">
      <w:pPr>
        <w:autoSpaceDE w:val="0"/>
        <w:autoSpaceDN w:val="0"/>
        <w:adjustRightInd w:val="0"/>
        <w:spacing w:before="120" w:after="120"/>
        <w:ind w:firstLine="0"/>
        <w:jc w:val="center"/>
        <w:rPr>
          <w:rFonts w:eastAsia="Times New Roman" w:cs="Times New Roman"/>
          <w:sz w:val="20"/>
          <w:szCs w:val="20"/>
        </w:rPr>
      </w:pPr>
      <w:r w:rsidRPr="00F925AE">
        <w:rPr>
          <w:rFonts w:eastAsia="Times New Roman" w:cs="Times New Roman"/>
          <w:sz w:val="20"/>
          <w:szCs w:val="20"/>
        </w:rPr>
        <w:lastRenderedPageBreak/>
        <w:t>[Insert Table 5 here]</w:t>
      </w:r>
    </w:p>
    <w:p w:rsidR="00512993" w:rsidRPr="00F925AE" w:rsidRDefault="00512993" w:rsidP="00512993">
      <w:pPr>
        <w:pStyle w:val="Ttulo1"/>
        <w:rPr>
          <w:rFonts w:eastAsia="Times New Roman" w:cs="Times New Roman"/>
          <w:color w:val="000000"/>
        </w:rPr>
      </w:pPr>
      <w:r w:rsidRPr="00F925AE">
        <w:rPr>
          <w:rFonts w:cs="Times New Roman"/>
        </w:rPr>
        <w:t>Results</w:t>
      </w:r>
    </w:p>
    <w:p w:rsidR="00B72C2D" w:rsidRPr="00F925AE" w:rsidRDefault="00512993" w:rsidP="00C77E81">
      <w:pPr>
        <w:ind w:firstLine="0"/>
        <w:rPr>
          <w:rFonts w:eastAsia="Times New Roman" w:cs="Times New Roman"/>
          <w:color w:val="000000"/>
          <w:sz w:val="20"/>
          <w:szCs w:val="20"/>
        </w:rPr>
      </w:pPr>
      <w:r w:rsidRPr="00F925AE">
        <w:rPr>
          <w:rFonts w:cs="Times New Roman"/>
          <w:sz w:val="20"/>
          <w:szCs w:val="20"/>
        </w:rPr>
        <w:t xml:space="preserve">In Table 6 we present the main results of our analysis. In column I we only include control variables. In column II we add the main independent variable </w:t>
      </w:r>
      <w:r w:rsidRPr="00F925AE">
        <w:rPr>
          <w:rFonts w:cs="Times New Roman"/>
          <w:i/>
          <w:sz w:val="20"/>
          <w:szCs w:val="20"/>
        </w:rPr>
        <w:t>PL</w:t>
      </w:r>
      <w:r w:rsidRPr="00F925AE">
        <w:rPr>
          <w:rFonts w:cs="Times New Roman"/>
          <w:i/>
          <w:sz w:val="20"/>
          <w:szCs w:val="20"/>
          <w:vertAlign w:val="subscript"/>
        </w:rPr>
        <w:t>i</w:t>
      </w:r>
      <w:r w:rsidRPr="00F925AE">
        <w:rPr>
          <w:rFonts w:eastAsia="Times New Roman" w:cs="Times New Roman"/>
          <w:i/>
          <w:color w:val="000000"/>
          <w:sz w:val="20"/>
          <w:szCs w:val="20"/>
          <w:vertAlign w:val="subscript"/>
        </w:rPr>
        <w:t>,t</w:t>
      </w:r>
      <w:r w:rsidRPr="00F925AE">
        <w:rPr>
          <w:rFonts w:eastAsia="Times New Roman" w:cs="Times New Roman"/>
          <w:color w:val="000000"/>
          <w:sz w:val="20"/>
          <w:szCs w:val="20"/>
        </w:rPr>
        <w:t xml:space="preserve">. The positive sign of the variable is in accordance with our hypothesis 1, indicating that firms receiving PLs have  </w:t>
      </w:r>
      <w:r w:rsidR="00292FF7" w:rsidRPr="00F925AE">
        <w:rPr>
          <w:rFonts w:eastAsia="Times New Roman" w:cs="Times New Roman"/>
          <w:color w:val="000000"/>
          <w:sz w:val="20"/>
          <w:szCs w:val="20"/>
        </w:rPr>
        <w:t xml:space="preserve">a significantly </w:t>
      </w:r>
      <w:r w:rsidRPr="00F925AE">
        <w:rPr>
          <w:rFonts w:eastAsia="Times New Roman" w:cs="Times New Roman"/>
          <w:color w:val="000000"/>
          <w:sz w:val="20"/>
          <w:szCs w:val="20"/>
        </w:rPr>
        <w:t>higher external financial debt</w:t>
      </w:r>
      <w:r w:rsidR="00FF12DF" w:rsidRPr="00F925AE">
        <w:rPr>
          <w:rFonts w:eastAsia="Times New Roman" w:cs="Times New Roman"/>
          <w:color w:val="000000"/>
          <w:sz w:val="20"/>
          <w:szCs w:val="20"/>
        </w:rPr>
        <w:t xml:space="preserve"> (at the 5% confidence level)</w:t>
      </w:r>
      <w:r w:rsidRPr="00F925AE">
        <w:rPr>
          <w:rFonts w:eastAsia="Times New Roman" w:cs="Times New Roman"/>
          <w:color w:val="000000"/>
          <w:sz w:val="20"/>
          <w:szCs w:val="20"/>
        </w:rPr>
        <w:t>. The effect is also economically significant: firms that received a PL from ENISA register an increase of 31.5% (e</w:t>
      </w:r>
      <w:r w:rsidRPr="00F925AE">
        <w:rPr>
          <w:rFonts w:cs="Times New Roman"/>
          <w:color w:val="000000"/>
          <w:sz w:val="20"/>
          <w:szCs w:val="20"/>
          <w:vertAlign w:val="superscript"/>
        </w:rPr>
        <w:t>0.274</w:t>
      </w:r>
      <w:r w:rsidRPr="00F925AE">
        <w:rPr>
          <w:rFonts w:cs="Times New Roman"/>
          <w:color w:val="000000"/>
          <w:sz w:val="20"/>
          <w:szCs w:val="20"/>
        </w:rPr>
        <w:t xml:space="preserve">-1) </w:t>
      </w:r>
      <w:r w:rsidRPr="00F925AE">
        <w:rPr>
          <w:rFonts w:eastAsia="Times New Roman" w:cs="Times New Roman"/>
          <w:color w:val="000000"/>
          <w:sz w:val="20"/>
          <w:szCs w:val="20"/>
        </w:rPr>
        <w:t xml:space="preserve">in the financial debt obtained from external sources. </w:t>
      </w:r>
    </w:p>
    <w:p w:rsidR="00B72C2D" w:rsidRPr="00F925AE" w:rsidRDefault="00512993" w:rsidP="00512993">
      <w:pPr>
        <w:rPr>
          <w:rFonts w:cs="Times New Roman"/>
          <w:sz w:val="20"/>
          <w:szCs w:val="20"/>
        </w:rPr>
      </w:pPr>
      <w:r w:rsidRPr="00F925AE">
        <w:rPr>
          <w:rFonts w:cs="Times New Roman"/>
          <w:sz w:val="20"/>
          <w:szCs w:val="20"/>
        </w:rPr>
        <w:t xml:space="preserve">In column III we test hypothesis 2 by including </w:t>
      </w:r>
      <w:r w:rsidRPr="00F925AE">
        <w:rPr>
          <w:rFonts w:cs="Times New Roman"/>
          <w:i/>
          <w:sz w:val="20"/>
          <w:szCs w:val="20"/>
        </w:rPr>
        <w:t>PL</w:t>
      </w:r>
      <w:r w:rsidRPr="00F925AE">
        <w:rPr>
          <w:rFonts w:cs="Times New Roman"/>
          <w:i/>
          <w:sz w:val="20"/>
          <w:szCs w:val="20"/>
          <w:vertAlign w:val="subscript"/>
        </w:rPr>
        <w:t>i,t</w:t>
      </w:r>
      <w:r w:rsidRPr="00F925AE">
        <w:rPr>
          <w:rFonts w:cs="Times New Roman"/>
          <w:i/>
          <w:sz w:val="20"/>
          <w:szCs w:val="20"/>
        </w:rPr>
        <w:t>*</w:t>
      </w:r>
      <w:r w:rsidRPr="00F925AE">
        <w:rPr>
          <w:rFonts w:cs="Times New Roman"/>
          <w:i/>
          <w:iCs/>
          <w:color w:val="000000"/>
          <w:sz w:val="20"/>
          <w:szCs w:val="20"/>
        </w:rPr>
        <w:t>logTotalAssets</w:t>
      </w:r>
      <w:r w:rsidRPr="00F925AE">
        <w:rPr>
          <w:rFonts w:cs="Times New Roman"/>
          <w:i/>
          <w:iCs/>
          <w:color w:val="000000"/>
          <w:sz w:val="20"/>
          <w:szCs w:val="20"/>
          <w:vertAlign w:val="superscript"/>
        </w:rPr>
        <w:t>timeofPL</w:t>
      </w:r>
      <w:r w:rsidRPr="00F925AE">
        <w:rPr>
          <w:rFonts w:eastAsia="Times New Roman" w:cs="Times New Roman"/>
          <w:i/>
          <w:iCs/>
          <w:color w:val="000000"/>
          <w:sz w:val="20"/>
          <w:szCs w:val="20"/>
          <w:vertAlign w:val="subscript"/>
        </w:rPr>
        <w:t>i</w:t>
      </w:r>
      <w:r w:rsidRPr="00F925AE">
        <w:rPr>
          <w:rFonts w:cs="Times New Roman"/>
          <w:sz w:val="20"/>
          <w:szCs w:val="20"/>
        </w:rPr>
        <w:t xml:space="preserve">. The coefficient is negative and significant at the 1% level, as expected, supporting hypothesis 2 on a stronger increase in external financial debt for smaller firms. </w:t>
      </w:r>
      <w:r w:rsidR="00B72C2D" w:rsidRPr="00F925AE">
        <w:rPr>
          <w:rFonts w:cs="Times New Roman"/>
          <w:sz w:val="20"/>
          <w:szCs w:val="20"/>
        </w:rPr>
        <w:t xml:space="preserve">The effect is sizeable. With respect to the average ENISA-backed company, companies that were one standard deviation of </w:t>
      </w:r>
      <w:r w:rsidR="00B72C2D" w:rsidRPr="00F925AE">
        <w:rPr>
          <w:rFonts w:cs="Times New Roman"/>
          <w:i/>
          <w:iCs/>
          <w:sz w:val="20"/>
          <w:szCs w:val="20"/>
        </w:rPr>
        <w:t>logTotalAssets</w:t>
      </w:r>
      <w:r w:rsidR="00B72C2D" w:rsidRPr="00F925AE">
        <w:rPr>
          <w:rFonts w:cs="Times New Roman"/>
          <w:i/>
          <w:iCs/>
          <w:sz w:val="20"/>
          <w:szCs w:val="20"/>
          <w:vertAlign w:val="superscript"/>
        </w:rPr>
        <w:t xml:space="preserve">timeofPL </w:t>
      </w:r>
      <w:r w:rsidR="00B72C2D" w:rsidRPr="00F925AE">
        <w:rPr>
          <w:rFonts w:cs="Times New Roman"/>
          <w:sz w:val="20"/>
          <w:szCs w:val="20"/>
        </w:rPr>
        <w:t xml:space="preserve">smaller in the year before the receipt of the first PL, registered an increase of external debt due to the PL that is </w:t>
      </w:r>
      <w:r w:rsidR="00C77E81" w:rsidRPr="00F925AE">
        <w:rPr>
          <w:rFonts w:cs="Times New Roman"/>
          <w:sz w:val="20"/>
          <w:szCs w:val="20"/>
        </w:rPr>
        <w:t>37.2</w:t>
      </w:r>
      <w:r w:rsidR="00B72C2D" w:rsidRPr="00F925AE">
        <w:rPr>
          <w:rFonts w:cs="Times New Roman"/>
          <w:sz w:val="20"/>
          <w:szCs w:val="20"/>
        </w:rPr>
        <w:t xml:space="preserve">% higher. The effect becomes negligible for companies with total assets higher than 6 million euros at the time the first PL was granted. </w:t>
      </w:r>
    </w:p>
    <w:p w:rsidR="00F22E2C" w:rsidRPr="00F925AE" w:rsidRDefault="00B72C2D" w:rsidP="00512993">
      <w:pPr>
        <w:rPr>
          <w:rFonts w:cs="Times New Roman"/>
          <w:sz w:val="20"/>
          <w:szCs w:val="20"/>
        </w:rPr>
      </w:pPr>
      <w:r w:rsidRPr="00F925AE">
        <w:rPr>
          <w:rFonts w:cs="Times New Roman"/>
          <w:sz w:val="20"/>
          <w:szCs w:val="20"/>
        </w:rPr>
        <w:t>W</w:t>
      </w:r>
      <w:r w:rsidR="00512993" w:rsidRPr="00F925AE">
        <w:rPr>
          <w:rFonts w:cs="Times New Roman"/>
          <w:sz w:val="20"/>
          <w:szCs w:val="20"/>
        </w:rPr>
        <w:t>e do no</w:t>
      </w:r>
      <w:r w:rsidR="00F76CAD" w:rsidRPr="00F925AE">
        <w:rPr>
          <w:rFonts w:cs="Times New Roman"/>
          <w:sz w:val="20"/>
          <w:szCs w:val="20"/>
        </w:rPr>
        <w:t>t find support for hypothesis 3:</w:t>
      </w:r>
      <w:r w:rsidR="00512993" w:rsidRPr="00F925AE">
        <w:rPr>
          <w:rFonts w:cs="Times New Roman"/>
          <w:sz w:val="20"/>
          <w:szCs w:val="20"/>
        </w:rPr>
        <w:t xml:space="preserve"> </w:t>
      </w:r>
      <w:r w:rsidR="00F76CAD" w:rsidRPr="00F925AE">
        <w:rPr>
          <w:rFonts w:cs="Times New Roman"/>
          <w:sz w:val="20"/>
          <w:szCs w:val="20"/>
        </w:rPr>
        <w:t>t</w:t>
      </w:r>
      <w:r w:rsidR="00512993" w:rsidRPr="00F925AE">
        <w:rPr>
          <w:rFonts w:cs="Times New Roman"/>
          <w:sz w:val="20"/>
          <w:szCs w:val="20"/>
        </w:rPr>
        <w:t xml:space="preserve">he coefficient of </w:t>
      </w:r>
      <w:r w:rsidR="00512993" w:rsidRPr="00F925AE">
        <w:rPr>
          <w:rFonts w:cs="Times New Roman"/>
          <w:i/>
          <w:sz w:val="20"/>
          <w:szCs w:val="20"/>
        </w:rPr>
        <w:t>PL</w:t>
      </w:r>
      <w:r w:rsidR="00512993" w:rsidRPr="00F925AE">
        <w:rPr>
          <w:rFonts w:cs="Times New Roman"/>
          <w:i/>
          <w:sz w:val="20"/>
          <w:szCs w:val="20"/>
          <w:vertAlign w:val="subscript"/>
        </w:rPr>
        <w:t>i</w:t>
      </w:r>
      <w:r w:rsidR="00512993" w:rsidRPr="00F925AE">
        <w:rPr>
          <w:rFonts w:eastAsia="Times New Roman" w:cs="Times New Roman"/>
          <w:i/>
          <w:color w:val="000000"/>
          <w:sz w:val="20"/>
          <w:szCs w:val="20"/>
          <w:vertAlign w:val="subscript"/>
        </w:rPr>
        <w:t>,t</w:t>
      </w:r>
      <w:r w:rsidR="00512993" w:rsidRPr="00F925AE">
        <w:rPr>
          <w:rFonts w:cs="Times New Roman"/>
          <w:i/>
          <w:iCs/>
          <w:color w:val="000000"/>
          <w:sz w:val="20"/>
          <w:szCs w:val="20"/>
        </w:rPr>
        <w:t>*Age</w:t>
      </w:r>
      <w:r w:rsidR="00512993" w:rsidRPr="00F925AE">
        <w:rPr>
          <w:rFonts w:cs="Times New Roman"/>
          <w:i/>
          <w:iCs/>
          <w:color w:val="000000"/>
          <w:sz w:val="20"/>
          <w:szCs w:val="20"/>
          <w:vertAlign w:val="superscript"/>
        </w:rPr>
        <w:t>timeofPL</w:t>
      </w:r>
      <w:r w:rsidR="00512993" w:rsidRPr="00F925AE">
        <w:rPr>
          <w:rFonts w:eastAsia="Times New Roman" w:cs="Times New Roman"/>
          <w:i/>
          <w:iCs/>
          <w:color w:val="000000"/>
          <w:sz w:val="20"/>
          <w:szCs w:val="20"/>
          <w:vertAlign w:val="subscript"/>
        </w:rPr>
        <w:t>i</w:t>
      </w:r>
      <w:r w:rsidR="00512993" w:rsidRPr="00F925AE">
        <w:rPr>
          <w:rFonts w:cs="Times New Roman"/>
          <w:sz w:val="20"/>
          <w:szCs w:val="20"/>
        </w:rPr>
        <w:t xml:space="preserve"> is not significant in column IV, suggesting that firms that received a PL when they were younger do not benefit from a stronger certification effect than their peers. </w:t>
      </w:r>
    </w:p>
    <w:p w:rsidR="00F22E2C" w:rsidRPr="00F925AE" w:rsidRDefault="00512993" w:rsidP="00512993">
      <w:pPr>
        <w:rPr>
          <w:rFonts w:cs="Times New Roman"/>
          <w:iCs/>
          <w:color w:val="000000"/>
          <w:sz w:val="20"/>
          <w:szCs w:val="20"/>
        </w:rPr>
      </w:pPr>
      <w:r w:rsidRPr="00F925AE">
        <w:rPr>
          <w:rFonts w:cs="Times New Roman"/>
          <w:sz w:val="20"/>
          <w:szCs w:val="20"/>
        </w:rPr>
        <w:t xml:space="preserve">In column V we find a positive coefficient (significant at the 1% level) for </w:t>
      </w:r>
      <w:r w:rsidRPr="00F925AE">
        <w:rPr>
          <w:rFonts w:cs="Times New Roman"/>
          <w:i/>
          <w:sz w:val="20"/>
          <w:szCs w:val="20"/>
        </w:rPr>
        <w:t>PL</w:t>
      </w:r>
      <w:r w:rsidRPr="00F925AE">
        <w:rPr>
          <w:rFonts w:cs="Times New Roman"/>
          <w:i/>
          <w:sz w:val="20"/>
          <w:szCs w:val="20"/>
          <w:vertAlign w:val="subscript"/>
        </w:rPr>
        <w:t>i</w:t>
      </w:r>
      <w:r w:rsidRPr="00F925AE">
        <w:rPr>
          <w:rFonts w:eastAsia="Times New Roman" w:cs="Times New Roman"/>
          <w:i/>
          <w:color w:val="000000"/>
          <w:sz w:val="20"/>
          <w:szCs w:val="20"/>
          <w:vertAlign w:val="subscript"/>
        </w:rPr>
        <w:t>,t</w:t>
      </w:r>
      <w:r w:rsidRPr="00F925AE">
        <w:rPr>
          <w:rFonts w:cs="Times New Roman"/>
          <w:i/>
          <w:iCs/>
          <w:color w:val="000000"/>
          <w:sz w:val="20"/>
          <w:szCs w:val="20"/>
        </w:rPr>
        <w:t>*HighTech</w:t>
      </w:r>
      <w:r w:rsidRPr="00F925AE">
        <w:rPr>
          <w:rFonts w:eastAsia="Times New Roman" w:cs="Times New Roman"/>
          <w:i/>
          <w:iCs/>
          <w:color w:val="000000"/>
          <w:sz w:val="20"/>
          <w:szCs w:val="20"/>
          <w:vertAlign w:val="subscript"/>
        </w:rPr>
        <w:t>i</w:t>
      </w:r>
      <w:r w:rsidRPr="00F925AE">
        <w:rPr>
          <w:rFonts w:cs="Times New Roman"/>
          <w:sz w:val="20"/>
          <w:szCs w:val="20"/>
        </w:rPr>
        <w:t>. Hi</w:t>
      </w:r>
      <w:r w:rsidRPr="00F925AE">
        <w:rPr>
          <w:rFonts w:cs="Times New Roman"/>
          <w:iCs/>
          <w:color w:val="000000"/>
          <w:sz w:val="20"/>
          <w:szCs w:val="20"/>
        </w:rPr>
        <w:t>gh-technology firms registered a greater external financial debt after the receipt of the PL, as predicted by hypothesis 4</w:t>
      </w:r>
      <w:r w:rsidR="00C77E81" w:rsidRPr="00F925AE">
        <w:rPr>
          <w:rFonts w:cs="Times New Roman"/>
          <w:iCs/>
          <w:color w:val="000000"/>
          <w:sz w:val="20"/>
          <w:szCs w:val="20"/>
        </w:rPr>
        <w:t xml:space="preserve"> (+84.6</w:t>
      </w:r>
      <w:r w:rsidR="00F22E2C" w:rsidRPr="00F925AE">
        <w:rPr>
          <w:rFonts w:cs="Times New Roman"/>
          <w:iCs/>
          <w:color w:val="000000"/>
          <w:sz w:val="20"/>
          <w:szCs w:val="20"/>
        </w:rPr>
        <w:t>%, i.e., e</w:t>
      </w:r>
      <w:r w:rsidR="00F22E2C" w:rsidRPr="00F925AE">
        <w:rPr>
          <w:rFonts w:cs="Times New Roman"/>
          <w:color w:val="000000"/>
          <w:sz w:val="20"/>
          <w:szCs w:val="20"/>
          <w:vertAlign w:val="superscript"/>
        </w:rPr>
        <w:t>0.536+0.078</w:t>
      </w:r>
      <w:r w:rsidR="00F22E2C" w:rsidRPr="00F925AE">
        <w:rPr>
          <w:rFonts w:cs="Times New Roman"/>
          <w:iCs/>
          <w:color w:val="000000"/>
          <w:sz w:val="20"/>
          <w:szCs w:val="20"/>
          <w:vertAlign w:val="superscript"/>
        </w:rPr>
        <w:t xml:space="preserve"> </w:t>
      </w:r>
      <w:r w:rsidR="00F22E2C" w:rsidRPr="00F925AE">
        <w:rPr>
          <w:rFonts w:cs="Times New Roman"/>
          <w:iCs/>
          <w:color w:val="000000"/>
          <w:sz w:val="20"/>
          <w:szCs w:val="20"/>
        </w:rPr>
        <w:t xml:space="preserve">-1). Moreover, the effect of PL on low-technology companies is negligible, as shown by the nonsignificant coefficient of </w:t>
      </w:r>
      <w:r w:rsidR="00F22E2C" w:rsidRPr="00F925AE">
        <w:rPr>
          <w:rFonts w:cs="Times New Roman"/>
          <w:i/>
          <w:iCs/>
          <w:color w:val="000000"/>
          <w:sz w:val="20"/>
          <w:szCs w:val="20"/>
        </w:rPr>
        <w:t>PL</w:t>
      </w:r>
      <w:r w:rsidR="00F22E2C" w:rsidRPr="00F925AE">
        <w:rPr>
          <w:rFonts w:cs="Times New Roman"/>
          <w:i/>
          <w:iCs/>
          <w:color w:val="000000"/>
          <w:sz w:val="20"/>
          <w:szCs w:val="20"/>
          <w:vertAlign w:val="subscript"/>
        </w:rPr>
        <w:t>i,t</w:t>
      </w:r>
      <w:r w:rsidR="00F22E2C" w:rsidRPr="00F925AE">
        <w:rPr>
          <w:rFonts w:cs="Times New Roman"/>
          <w:i/>
          <w:iCs/>
          <w:color w:val="000000"/>
          <w:sz w:val="20"/>
          <w:szCs w:val="20"/>
        </w:rPr>
        <w:t>.</w:t>
      </w:r>
      <w:r w:rsidRPr="00F925AE">
        <w:rPr>
          <w:rFonts w:cs="Times New Roman"/>
          <w:iCs/>
          <w:color w:val="000000"/>
          <w:sz w:val="20"/>
          <w:szCs w:val="20"/>
        </w:rPr>
        <w:t xml:space="preserve">. </w:t>
      </w:r>
    </w:p>
    <w:p w:rsidR="00F22E2C" w:rsidRPr="00F925AE" w:rsidRDefault="00512993" w:rsidP="00512993">
      <w:pPr>
        <w:rPr>
          <w:rFonts w:cs="Times New Roman"/>
          <w:i/>
          <w:iCs/>
          <w:color w:val="000000"/>
          <w:sz w:val="20"/>
          <w:szCs w:val="20"/>
        </w:rPr>
      </w:pPr>
      <w:r w:rsidRPr="00F925AE">
        <w:rPr>
          <w:rFonts w:cs="Times New Roman"/>
          <w:iCs/>
          <w:color w:val="000000"/>
          <w:sz w:val="20"/>
          <w:szCs w:val="20"/>
        </w:rPr>
        <w:t xml:space="preserve">The term </w:t>
      </w:r>
      <w:r w:rsidRPr="00F925AE">
        <w:rPr>
          <w:rFonts w:cs="Times New Roman"/>
          <w:i/>
          <w:sz w:val="20"/>
          <w:szCs w:val="20"/>
        </w:rPr>
        <w:t>PL</w:t>
      </w:r>
      <w:r w:rsidRPr="00F925AE">
        <w:rPr>
          <w:rFonts w:cs="Times New Roman"/>
          <w:i/>
          <w:sz w:val="20"/>
          <w:szCs w:val="20"/>
          <w:vertAlign w:val="subscript"/>
        </w:rPr>
        <w:t>i</w:t>
      </w:r>
      <w:r w:rsidRPr="00F925AE">
        <w:rPr>
          <w:rFonts w:eastAsia="Times New Roman" w:cs="Times New Roman"/>
          <w:i/>
          <w:color w:val="000000"/>
          <w:sz w:val="20"/>
          <w:szCs w:val="20"/>
          <w:vertAlign w:val="subscript"/>
        </w:rPr>
        <w:t>,t</w:t>
      </w:r>
      <w:r w:rsidRPr="00F925AE">
        <w:rPr>
          <w:rFonts w:cs="Times New Roman"/>
          <w:i/>
          <w:iCs/>
          <w:color w:val="000000"/>
          <w:sz w:val="20"/>
          <w:szCs w:val="20"/>
        </w:rPr>
        <w:t>*PublicSupport</w:t>
      </w:r>
      <w:r w:rsidRPr="00F925AE">
        <w:rPr>
          <w:rFonts w:cs="Times New Roman"/>
          <w:i/>
          <w:iCs/>
          <w:color w:val="000000"/>
          <w:sz w:val="20"/>
          <w:szCs w:val="20"/>
          <w:vertAlign w:val="superscript"/>
        </w:rPr>
        <w:t>timeofPL</w:t>
      </w:r>
      <w:r w:rsidRPr="00F925AE">
        <w:rPr>
          <w:rFonts w:eastAsia="Times New Roman" w:cs="Times New Roman"/>
          <w:i/>
          <w:iCs/>
          <w:color w:val="000000"/>
          <w:sz w:val="20"/>
          <w:szCs w:val="20"/>
          <w:vertAlign w:val="subscript"/>
        </w:rPr>
        <w:t>i</w:t>
      </w:r>
      <w:r w:rsidRPr="00F925AE">
        <w:rPr>
          <w:rFonts w:cs="Times New Roman"/>
          <w:iCs/>
          <w:color w:val="000000"/>
          <w:sz w:val="20"/>
          <w:szCs w:val="20"/>
        </w:rPr>
        <w:t xml:space="preserve"> </w:t>
      </w:r>
      <w:r w:rsidR="00292FF7" w:rsidRPr="00F925AE">
        <w:rPr>
          <w:rFonts w:cs="Times New Roman"/>
          <w:iCs/>
          <w:color w:val="000000"/>
          <w:sz w:val="20"/>
          <w:szCs w:val="20"/>
        </w:rPr>
        <w:t>has a negative and significant</w:t>
      </w:r>
      <w:r w:rsidR="00FF12DF" w:rsidRPr="00F925AE">
        <w:rPr>
          <w:rFonts w:cs="Times New Roman"/>
          <w:iCs/>
          <w:color w:val="000000"/>
          <w:sz w:val="20"/>
          <w:szCs w:val="20"/>
        </w:rPr>
        <w:t xml:space="preserve"> </w:t>
      </w:r>
      <w:r w:rsidRPr="00F925AE">
        <w:rPr>
          <w:rFonts w:cs="Times New Roman"/>
          <w:iCs/>
          <w:color w:val="000000"/>
          <w:sz w:val="20"/>
          <w:szCs w:val="20"/>
        </w:rPr>
        <w:t>coefficient</w:t>
      </w:r>
      <w:r w:rsidR="00FF12DF" w:rsidRPr="00F925AE">
        <w:rPr>
          <w:rFonts w:cs="Times New Roman"/>
          <w:iCs/>
          <w:color w:val="000000"/>
          <w:sz w:val="20"/>
          <w:szCs w:val="20"/>
        </w:rPr>
        <w:t xml:space="preserve"> (at the 10% level)</w:t>
      </w:r>
      <w:r w:rsidR="00F22E2C" w:rsidRPr="00F925AE">
        <w:rPr>
          <w:rFonts w:cs="Times New Roman"/>
          <w:iCs/>
          <w:color w:val="000000"/>
          <w:sz w:val="20"/>
          <w:szCs w:val="20"/>
        </w:rPr>
        <w:t xml:space="preserve"> </w:t>
      </w:r>
      <w:r w:rsidR="00FF12DF" w:rsidRPr="00F925AE">
        <w:rPr>
          <w:rFonts w:cs="Times New Roman"/>
          <w:iCs/>
          <w:color w:val="000000"/>
          <w:sz w:val="20"/>
          <w:szCs w:val="20"/>
        </w:rPr>
        <w:t>in Column VI</w:t>
      </w:r>
      <w:r w:rsidR="00F22E2C" w:rsidRPr="00F925AE">
        <w:rPr>
          <w:rFonts w:cs="Times New Roman"/>
          <w:iCs/>
          <w:color w:val="000000"/>
          <w:sz w:val="20"/>
          <w:szCs w:val="20"/>
        </w:rPr>
        <w:t>, i</w:t>
      </w:r>
      <w:r w:rsidRPr="00F925AE">
        <w:rPr>
          <w:rFonts w:cs="Times New Roman"/>
          <w:iCs/>
          <w:color w:val="000000"/>
          <w:sz w:val="20"/>
          <w:szCs w:val="20"/>
        </w:rPr>
        <w:t>n line with Hypothesis 5</w:t>
      </w:r>
      <w:r w:rsidR="00F22E2C" w:rsidRPr="00F925AE">
        <w:rPr>
          <w:rFonts w:cs="Times New Roman"/>
          <w:iCs/>
          <w:color w:val="000000"/>
          <w:sz w:val="20"/>
          <w:szCs w:val="20"/>
        </w:rPr>
        <w:t xml:space="preserve">. The sum of the coefficients of </w:t>
      </w:r>
      <w:r w:rsidR="00F22E2C" w:rsidRPr="00F925AE">
        <w:rPr>
          <w:rFonts w:cs="Times New Roman"/>
          <w:i/>
          <w:sz w:val="20"/>
          <w:szCs w:val="20"/>
        </w:rPr>
        <w:t>PL</w:t>
      </w:r>
      <w:r w:rsidR="00F22E2C" w:rsidRPr="00F925AE">
        <w:rPr>
          <w:rFonts w:cs="Times New Roman"/>
          <w:i/>
          <w:sz w:val="20"/>
          <w:szCs w:val="20"/>
          <w:vertAlign w:val="subscript"/>
        </w:rPr>
        <w:t>i</w:t>
      </w:r>
      <w:r w:rsidR="00F22E2C" w:rsidRPr="00F925AE">
        <w:rPr>
          <w:rFonts w:eastAsia="Times New Roman" w:cs="Times New Roman"/>
          <w:i/>
          <w:color w:val="000000"/>
          <w:sz w:val="20"/>
          <w:szCs w:val="20"/>
          <w:vertAlign w:val="subscript"/>
        </w:rPr>
        <w:t>,t</w:t>
      </w:r>
      <w:r w:rsidR="00F22E2C" w:rsidRPr="00F925AE">
        <w:rPr>
          <w:rFonts w:cs="Times New Roman"/>
          <w:i/>
          <w:iCs/>
          <w:color w:val="000000"/>
          <w:sz w:val="20"/>
          <w:szCs w:val="20"/>
        </w:rPr>
        <w:t>*PublicSupport</w:t>
      </w:r>
      <w:r w:rsidR="00F22E2C" w:rsidRPr="00F925AE">
        <w:rPr>
          <w:rFonts w:cs="Times New Roman"/>
          <w:i/>
          <w:iCs/>
          <w:color w:val="000000"/>
          <w:sz w:val="20"/>
          <w:szCs w:val="20"/>
          <w:vertAlign w:val="superscript"/>
        </w:rPr>
        <w:t>timeofPL</w:t>
      </w:r>
      <w:r w:rsidR="00F22E2C" w:rsidRPr="00F925AE">
        <w:rPr>
          <w:rFonts w:eastAsia="Times New Roman" w:cs="Times New Roman"/>
          <w:i/>
          <w:iCs/>
          <w:color w:val="000000"/>
          <w:sz w:val="20"/>
          <w:szCs w:val="20"/>
          <w:vertAlign w:val="subscript"/>
        </w:rPr>
        <w:t>i</w:t>
      </w:r>
      <w:r w:rsidR="00F22E2C" w:rsidRPr="00F925AE">
        <w:rPr>
          <w:rFonts w:eastAsia="Times New Roman" w:cs="Times New Roman"/>
          <w:iCs/>
          <w:color w:val="000000"/>
          <w:sz w:val="20"/>
          <w:szCs w:val="20"/>
        </w:rPr>
        <w:t xml:space="preserve"> and </w:t>
      </w:r>
      <w:r w:rsidR="00F22E2C" w:rsidRPr="00F925AE">
        <w:rPr>
          <w:rFonts w:cs="Times New Roman"/>
          <w:i/>
          <w:sz w:val="20"/>
          <w:szCs w:val="20"/>
        </w:rPr>
        <w:t>PL</w:t>
      </w:r>
      <w:r w:rsidR="00F22E2C" w:rsidRPr="00F925AE">
        <w:rPr>
          <w:rFonts w:cs="Times New Roman"/>
          <w:i/>
          <w:sz w:val="20"/>
          <w:szCs w:val="20"/>
          <w:vertAlign w:val="subscript"/>
        </w:rPr>
        <w:t>i</w:t>
      </w:r>
      <w:r w:rsidR="00F22E2C" w:rsidRPr="00F925AE">
        <w:rPr>
          <w:rFonts w:eastAsia="Times New Roman" w:cs="Times New Roman"/>
          <w:i/>
          <w:color w:val="000000"/>
          <w:sz w:val="20"/>
          <w:szCs w:val="20"/>
          <w:vertAlign w:val="subscript"/>
        </w:rPr>
        <w:t>,t</w:t>
      </w:r>
      <w:r w:rsidR="00F22E2C" w:rsidRPr="00F925AE">
        <w:rPr>
          <w:rFonts w:cs="Times New Roman"/>
          <w:iCs/>
          <w:color w:val="000000"/>
          <w:sz w:val="20"/>
          <w:szCs w:val="20"/>
        </w:rPr>
        <w:t xml:space="preserve"> is not different from 0 at standard significance levels, indicating that</w:t>
      </w:r>
      <w:r w:rsidRPr="00F925AE">
        <w:rPr>
          <w:rFonts w:cs="Times New Roman"/>
          <w:iCs/>
          <w:color w:val="000000"/>
          <w:sz w:val="20"/>
          <w:szCs w:val="20"/>
        </w:rPr>
        <w:t xml:space="preserve"> firms that already received support from government-affiliated institutions</w:t>
      </w:r>
      <w:r w:rsidR="00F22E2C" w:rsidRPr="00F925AE">
        <w:rPr>
          <w:rFonts w:cs="Times New Roman"/>
          <w:iCs/>
          <w:color w:val="000000"/>
          <w:sz w:val="20"/>
          <w:szCs w:val="20"/>
        </w:rPr>
        <w:t xml:space="preserve"> did not further benefit</w:t>
      </w:r>
      <w:r w:rsidRPr="00F925AE">
        <w:rPr>
          <w:rFonts w:cs="Times New Roman"/>
          <w:iCs/>
          <w:color w:val="000000"/>
          <w:sz w:val="20"/>
          <w:szCs w:val="20"/>
        </w:rPr>
        <w:t xml:space="preserve"> from the receipt of PLs in terms of ability to access external debt.</w:t>
      </w:r>
      <w:r w:rsidRPr="00F925AE">
        <w:rPr>
          <w:rFonts w:cs="Times New Roman"/>
          <w:i/>
          <w:iCs/>
          <w:color w:val="000000"/>
          <w:sz w:val="20"/>
          <w:szCs w:val="20"/>
        </w:rPr>
        <w:t xml:space="preserve"> </w:t>
      </w:r>
    </w:p>
    <w:p w:rsidR="00512993" w:rsidRPr="00F925AE" w:rsidRDefault="00512993" w:rsidP="00512993">
      <w:pPr>
        <w:rPr>
          <w:rFonts w:cs="Times New Roman"/>
          <w:iCs/>
          <w:color w:val="000000"/>
          <w:sz w:val="20"/>
          <w:szCs w:val="20"/>
        </w:rPr>
      </w:pPr>
      <w:r w:rsidRPr="00F925AE">
        <w:rPr>
          <w:rFonts w:cs="Times New Roman"/>
          <w:iCs/>
          <w:color w:val="000000"/>
          <w:sz w:val="20"/>
          <w:szCs w:val="20"/>
        </w:rPr>
        <w:lastRenderedPageBreak/>
        <w:t xml:space="preserve">Lastly, hypothesis 6 is not confirmed because </w:t>
      </w:r>
      <w:r w:rsidRPr="00F925AE">
        <w:rPr>
          <w:rFonts w:cs="Times New Roman"/>
          <w:i/>
          <w:sz w:val="20"/>
          <w:szCs w:val="20"/>
        </w:rPr>
        <w:t>PL</w:t>
      </w:r>
      <w:r w:rsidRPr="00F925AE">
        <w:rPr>
          <w:rFonts w:cs="Times New Roman"/>
          <w:i/>
          <w:sz w:val="20"/>
          <w:szCs w:val="20"/>
          <w:vertAlign w:val="subscript"/>
        </w:rPr>
        <w:t>i</w:t>
      </w:r>
      <w:r w:rsidRPr="00F925AE">
        <w:rPr>
          <w:rFonts w:eastAsia="Times New Roman" w:cs="Times New Roman"/>
          <w:i/>
          <w:color w:val="000000"/>
          <w:sz w:val="20"/>
          <w:szCs w:val="20"/>
          <w:vertAlign w:val="subscript"/>
        </w:rPr>
        <w:t>,t</w:t>
      </w:r>
      <w:r w:rsidRPr="00F925AE">
        <w:rPr>
          <w:rFonts w:cs="Times New Roman"/>
          <w:i/>
          <w:iCs/>
          <w:color w:val="000000"/>
          <w:sz w:val="20"/>
          <w:szCs w:val="20"/>
        </w:rPr>
        <w:t>*VC</w:t>
      </w:r>
      <w:r w:rsidRPr="00F925AE">
        <w:rPr>
          <w:rFonts w:cs="Times New Roman"/>
          <w:i/>
          <w:iCs/>
          <w:color w:val="000000"/>
          <w:sz w:val="20"/>
          <w:szCs w:val="20"/>
          <w:vertAlign w:val="superscript"/>
        </w:rPr>
        <w:t>timeofPL</w:t>
      </w:r>
      <w:r w:rsidRPr="00F925AE">
        <w:rPr>
          <w:rFonts w:eastAsia="Times New Roman" w:cs="Times New Roman"/>
          <w:i/>
          <w:iCs/>
          <w:color w:val="000000"/>
          <w:sz w:val="20"/>
          <w:szCs w:val="20"/>
          <w:vertAlign w:val="subscript"/>
        </w:rPr>
        <w:t>i</w:t>
      </w:r>
      <w:r w:rsidRPr="00F925AE">
        <w:rPr>
          <w:rFonts w:cs="Times New Roman"/>
          <w:iCs/>
          <w:color w:val="000000"/>
          <w:sz w:val="20"/>
          <w:szCs w:val="20"/>
        </w:rPr>
        <w:t xml:space="preserve"> is not significant in column VII. VC-backed firms did not benefit less from the government’s certification effect towards commercial banks. In Column VIII we include simultaneously all our independent variables. The results relative to that specification confirm our results and support hypotheses 1, 2, 4 and 5.</w:t>
      </w:r>
    </w:p>
    <w:p w:rsidR="00512993" w:rsidRPr="00F925AE" w:rsidRDefault="00512993" w:rsidP="00512993">
      <w:pPr>
        <w:autoSpaceDE w:val="0"/>
        <w:autoSpaceDN w:val="0"/>
        <w:adjustRightInd w:val="0"/>
        <w:spacing w:before="120" w:after="120"/>
        <w:ind w:firstLine="0"/>
        <w:jc w:val="center"/>
        <w:rPr>
          <w:rFonts w:eastAsia="Times New Roman" w:cs="Times New Roman"/>
          <w:sz w:val="20"/>
          <w:szCs w:val="20"/>
        </w:rPr>
      </w:pPr>
      <w:r w:rsidRPr="00F925AE">
        <w:rPr>
          <w:rFonts w:eastAsia="Times New Roman" w:cs="Times New Roman"/>
          <w:sz w:val="20"/>
          <w:szCs w:val="20"/>
        </w:rPr>
        <w:t>[Insert Table 6 here]</w:t>
      </w:r>
    </w:p>
    <w:p w:rsidR="00512993" w:rsidRPr="00F925AE" w:rsidRDefault="00512993" w:rsidP="00512993">
      <w:pPr>
        <w:pStyle w:val="Ttulo1"/>
        <w:rPr>
          <w:rFonts w:cs="Times New Roman"/>
        </w:rPr>
      </w:pPr>
      <w:r w:rsidRPr="00F925AE">
        <w:rPr>
          <w:rFonts w:cs="Times New Roman"/>
        </w:rPr>
        <w:t xml:space="preserve">Robustness checks </w:t>
      </w:r>
    </w:p>
    <w:p w:rsidR="00512993" w:rsidRPr="00F925AE" w:rsidRDefault="00512993">
      <w:pPr>
        <w:ind w:firstLine="0"/>
        <w:rPr>
          <w:rFonts w:cs="Times New Roman"/>
          <w:sz w:val="20"/>
          <w:szCs w:val="20"/>
        </w:rPr>
      </w:pPr>
      <w:r w:rsidRPr="00F925AE">
        <w:rPr>
          <w:rFonts w:cs="Times New Roman"/>
          <w:sz w:val="20"/>
          <w:szCs w:val="20"/>
        </w:rPr>
        <w:t>In what follows we challenge the assumption that our results are due to a certification effect by considering some alternative explanations.</w:t>
      </w:r>
    </w:p>
    <w:p w:rsidR="00512993" w:rsidRPr="00F925AE" w:rsidRDefault="00512993" w:rsidP="00512993">
      <w:pPr>
        <w:rPr>
          <w:rFonts w:cs="Times New Roman"/>
          <w:sz w:val="20"/>
          <w:szCs w:val="20"/>
        </w:rPr>
      </w:pPr>
      <w:r w:rsidRPr="00F925AE">
        <w:rPr>
          <w:rFonts w:cs="Times New Roman"/>
          <w:b/>
          <w:sz w:val="20"/>
          <w:szCs w:val="20"/>
        </w:rPr>
        <w:t xml:space="preserve">Selection effects: </w:t>
      </w:r>
      <w:r w:rsidRPr="00F925AE">
        <w:rPr>
          <w:rFonts w:cs="Times New Roman"/>
          <w:sz w:val="20"/>
          <w:szCs w:val="20"/>
        </w:rPr>
        <w:t xml:space="preserve">Firms that received a PL may be different from the others because of some unobserved characteristics, such as quality, that also facilitate their access to external financial debt. If this is true then ENISA-backed firms may have higher external debt, not because of a </w:t>
      </w:r>
      <w:r w:rsidRPr="00F925AE">
        <w:rPr>
          <w:rFonts w:cs="Times New Roman"/>
          <w:i/>
          <w:sz w:val="20"/>
          <w:szCs w:val="20"/>
        </w:rPr>
        <w:t>treatment</w:t>
      </w:r>
      <w:r w:rsidRPr="00F925AE">
        <w:rPr>
          <w:rFonts w:cs="Times New Roman"/>
          <w:sz w:val="20"/>
          <w:szCs w:val="20"/>
        </w:rPr>
        <w:t xml:space="preserve"> effect of the PL, but solely because of </w:t>
      </w:r>
      <w:r w:rsidRPr="00F925AE">
        <w:rPr>
          <w:rFonts w:cs="Times New Roman"/>
          <w:i/>
          <w:sz w:val="20"/>
          <w:szCs w:val="20"/>
        </w:rPr>
        <w:t>selection</w:t>
      </w:r>
      <w:r w:rsidRPr="00F925AE">
        <w:rPr>
          <w:rFonts w:cs="Times New Roman"/>
          <w:sz w:val="20"/>
          <w:szCs w:val="20"/>
        </w:rPr>
        <w:t xml:space="preserve"> effects. This alternative explanation for our results, driven by the potential endogeneity of the PL, cannot be completely excluded with a matching procedure, which consists of picking </w:t>
      </w:r>
      <w:r w:rsidRPr="00F925AE">
        <w:rPr>
          <w:rFonts w:cs="Times New Roman"/>
          <w:i/>
          <w:sz w:val="20"/>
          <w:szCs w:val="20"/>
        </w:rPr>
        <w:t>twins</w:t>
      </w:r>
      <w:r w:rsidRPr="00F925AE">
        <w:rPr>
          <w:rFonts w:cs="Times New Roman"/>
          <w:sz w:val="20"/>
          <w:szCs w:val="20"/>
        </w:rPr>
        <w:t xml:space="preserve"> of ENISA-backed firms based only on observable characteristics, and may create a bias in the estimated coefficients. In order to tackle the possible PL's </w:t>
      </w:r>
      <w:r w:rsidRPr="00F925AE">
        <w:rPr>
          <w:rFonts w:cs="Times New Roman"/>
          <w:i/>
          <w:sz w:val="20"/>
          <w:szCs w:val="20"/>
        </w:rPr>
        <w:t>endogenous treatment</w:t>
      </w:r>
      <w:r w:rsidRPr="00F925AE">
        <w:rPr>
          <w:rFonts w:cs="Times New Roman"/>
          <w:sz w:val="20"/>
          <w:szCs w:val="20"/>
        </w:rPr>
        <w:t xml:space="preserve">, we use the Vella and Verbeek </w:t>
      </w:r>
      <w:r w:rsidR="007C60DA" w:rsidRPr="00F925AE">
        <w:rPr>
          <w:rFonts w:cs="Times New Roman"/>
          <w:sz w:val="20"/>
          <w:szCs w:val="20"/>
        </w:rPr>
        <w:fldChar w:fldCharType="begin" w:fldLock="1"/>
      </w:r>
      <w:r w:rsidRPr="00F925AE">
        <w:rPr>
          <w:rFonts w:cs="Times New Roman"/>
          <w:sz w:val="20"/>
          <w:szCs w:val="20"/>
        </w:rPr>
        <w:instrText>ADDIN CSL_CITATION { "citationItems" : [ { "id" : "ITEM-1", "itemData" : { "DOI" : "10.1080/07350015.1999.10524835", "ISSN" : "0735-0015", "author" : [ { "dropping-particle" : "", "family" : "Vella", "given" : "F.", "non-dropping-particle" : "", "parse-names" : false, "suffix" : "" }, { "dropping-particle" : "", "family" : "Verbeek", "given" : "M.", "non-dropping-particle" : "", "parse-names" : false, "suffix" : "" } ], "container-title" : "Journal of Business &amp; Economic Statistics", "id" : "ITEM-1", "issue" : "4", "issued" : { "date-parts" : [ [ "1999" ] ] }, "page" : "473\u2013478", "publisher" : "JSTOR", "title" : "Estimating and Interpreting Models with Endogenous Treatment Effects", "type" : "article-journal", "volume" : "17" }, "suppress-author" : 1, "uris" : [ "http://www.mendeley.com/documents/?uuid=bcd3b6cb-1d17-4b04-9346-84dc72804041", "http://www.mendeley.com/documents/?uuid=10d5bb4f-c296-499c-91a3-ef5669767728" ] } ], "mendeley" : { "formattedCitation" : "(1999)", "plainTextFormattedCitation" : "(1999)", "previouslyFormattedCitation" : "(1999)" }, "properties" : { "noteIndex" : 0 }, "schema" : "https://github.com/citation-style-language/schema/raw/master/csl-citation.json" }</w:instrText>
      </w:r>
      <w:r w:rsidR="007C60DA" w:rsidRPr="00F925AE">
        <w:rPr>
          <w:rFonts w:cs="Times New Roman"/>
          <w:sz w:val="20"/>
          <w:szCs w:val="20"/>
        </w:rPr>
        <w:fldChar w:fldCharType="separate"/>
      </w:r>
      <w:r w:rsidRPr="00F925AE">
        <w:rPr>
          <w:rFonts w:cs="Times New Roman"/>
          <w:noProof/>
          <w:sz w:val="20"/>
          <w:szCs w:val="20"/>
        </w:rPr>
        <w:t>(1999)</w:t>
      </w:r>
      <w:r w:rsidR="007C60DA" w:rsidRPr="00F925AE">
        <w:rPr>
          <w:rFonts w:cs="Times New Roman"/>
          <w:sz w:val="20"/>
          <w:szCs w:val="20"/>
        </w:rPr>
        <w:fldChar w:fldCharType="end"/>
      </w:r>
      <w:r w:rsidRPr="00F925AE">
        <w:rPr>
          <w:rFonts w:cs="Times New Roman"/>
          <w:sz w:val="20"/>
          <w:szCs w:val="20"/>
        </w:rPr>
        <w:t xml:space="preserve"> variation of the Heckman </w:t>
      </w:r>
      <w:r w:rsidR="007C60DA" w:rsidRPr="00F925AE">
        <w:rPr>
          <w:rFonts w:cs="Times New Roman"/>
          <w:sz w:val="20"/>
          <w:szCs w:val="20"/>
        </w:rPr>
        <w:fldChar w:fldCharType="begin" w:fldLock="1"/>
      </w:r>
      <w:r w:rsidRPr="00F925AE">
        <w:rPr>
          <w:rFonts w:cs="Times New Roman"/>
          <w:sz w:val="20"/>
          <w:szCs w:val="20"/>
        </w:rPr>
        <w:instrText>ADDIN CSL_CITATION { "citationItems" : [ { "id" : "ITEM-1", "itemData" : { "DOI" : "10.2307/1912352", "author" : [ { "dropping-particle" : "", "family" : "Heckman", "given" : "James J.", "non-dropping-particle" : "", "parse-names" : false, "suffix" : "" } ], "container-title" : "Econometrica", "id" : "ITEM-1", "issue" : "1", "issued" : { "date-parts" : [ [ "1979" ] ] }, "page" : "153-161", "title" : "Sample Selection Bias as a Specification Error", "type" : "article-journal", "volume" : "47" }, "suppress-author" : 1, "uris" : [ "http://www.mendeley.com/documents/?uuid=b1c155f6-2c36-4e11-af59-d0e6cbac8715", "http://www.mendeley.com/documents/?uuid=fa3c1cef-01d8-47cb-a12b-2dcea2ac62ea" ] } ], "mendeley" : { "formattedCitation" : "(1979)", "plainTextFormattedCitation" : "(1979)", "previouslyFormattedCitation" : "(1979)" }, "properties" : { "noteIndex" : 0 }, "schema" : "https://github.com/citation-style-language/schema/raw/master/csl-citation.json" }</w:instrText>
      </w:r>
      <w:r w:rsidR="007C60DA" w:rsidRPr="00F925AE">
        <w:rPr>
          <w:rFonts w:cs="Times New Roman"/>
          <w:sz w:val="20"/>
          <w:szCs w:val="20"/>
        </w:rPr>
        <w:fldChar w:fldCharType="separate"/>
      </w:r>
      <w:r w:rsidRPr="00F925AE">
        <w:rPr>
          <w:rFonts w:cs="Times New Roman"/>
          <w:noProof/>
          <w:sz w:val="20"/>
          <w:szCs w:val="20"/>
        </w:rPr>
        <w:t>(1979)</w:t>
      </w:r>
      <w:r w:rsidR="007C60DA" w:rsidRPr="00F925AE">
        <w:rPr>
          <w:rFonts w:cs="Times New Roman"/>
          <w:sz w:val="20"/>
          <w:szCs w:val="20"/>
        </w:rPr>
        <w:fldChar w:fldCharType="end"/>
      </w:r>
      <w:r w:rsidRPr="00F925AE">
        <w:rPr>
          <w:rFonts w:cs="Times New Roman"/>
          <w:sz w:val="20"/>
          <w:szCs w:val="20"/>
        </w:rPr>
        <w:t xml:space="preserve">’s two-step approach. In the first step, we estimate a Probit model with random effects to model firms´ likelihood of receiving a PL, on the basis of all the variables included in our main model, together with regional and industry dummies. We also include </w:t>
      </w:r>
      <w:r w:rsidRPr="00F925AE">
        <w:rPr>
          <w:rFonts w:cs="Times New Roman"/>
          <w:i/>
          <w:sz w:val="20"/>
          <w:szCs w:val="20"/>
        </w:rPr>
        <w:t>ENISAavailability</w:t>
      </w:r>
      <w:r w:rsidRPr="00F925AE">
        <w:rPr>
          <w:rFonts w:cs="Times New Roman"/>
          <w:i/>
          <w:sz w:val="20"/>
          <w:szCs w:val="20"/>
          <w:vertAlign w:val="subscript"/>
        </w:rPr>
        <w:t>i,t</w:t>
      </w:r>
      <w:r w:rsidRPr="00F925AE">
        <w:rPr>
          <w:rFonts w:cs="Times New Roman"/>
          <w:sz w:val="20"/>
          <w:szCs w:val="20"/>
        </w:rPr>
        <w:t>, representing the total amount of PLs granted by ENISA by year and province, expressed in million Euros (source: ENISA). The results of this first step are reported in Column I of Table 7. Firms are more likely to receive a PL if they are smaller, less profitable and with</w:t>
      </w:r>
      <w:r w:rsidR="00BE6F0A" w:rsidRPr="00F925AE">
        <w:rPr>
          <w:rFonts w:cs="Times New Roman"/>
          <w:sz w:val="20"/>
          <w:szCs w:val="20"/>
        </w:rPr>
        <w:t xml:space="preserve"> fewer tangible</w:t>
      </w:r>
      <w:r w:rsidRPr="00F925AE">
        <w:rPr>
          <w:rFonts w:cs="Times New Roman"/>
          <w:sz w:val="20"/>
          <w:szCs w:val="20"/>
        </w:rPr>
        <w:t xml:space="preserve"> </w:t>
      </w:r>
      <w:r w:rsidR="00A34021" w:rsidRPr="00F925AE">
        <w:rPr>
          <w:rFonts w:cs="Times New Roman"/>
          <w:sz w:val="20"/>
          <w:szCs w:val="20"/>
        </w:rPr>
        <w:t xml:space="preserve">assets </w:t>
      </w:r>
      <w:r w:rsidRPr="00F925AE">
        <w:rPr>
          <w:rFonts w:cs="Times New Roman"/>
          <w:sz w:val="20"/>
          <w:szCs w:val="20"/>
        </w:rPr>
        <w:t>but growing and with more equity capital or VC (</w:t>
      </w:r>
      <w:r w:rsidRPr="00F925AE">
        <w:rPr>
          <w:rFonts w:cs="Times New Roman"/>
          <w:iCs/>
          <w:sz w:val="20"/>
          <w:szCs w:val="20"/>
        </w:rPr>
        <w:t xml:space="preserve">all these effects are </w:t>
      </w:r>
      <w:r w:rsidRPr="00F925AE">
        <w:rPr>
          <w:rFonts w:cs="Times New Roman"/>
          <w:sz w:val="20"/>
          <w:szCs w:val="20"/>
        </w:rPr>
        <w:t xml:space="preserve">significant at least at the 10% level). </w:t>
      </w:r>
      <w:r w:rsidRPr="00F925AE">
        <w:rPr>
          <w:rFonts w:eastAsia="Times New Roman" w:cs="Times New Roman"/>
          <w:iCs/>
          <w:color w:val="000000"/>
          <w:sz w:val="20"/>
          <w:szCs w:val="20"/>
          <w:lang w:eastAsia="en-US"/>
        </w:rPr>
        <w:t xml:space="preserve">Moreover, the positive and significant (at the 10% level) coefficient of </w:t>
      </w:r>
      <w:r w:rsidRPr="00F925AE">
        <w:rPr>
          <w:rFonts w:eastAsia="Times New Roman" w:cs="Times New Roman"/>
          <w:i/>
          <w:iCs/>
          <w:color w:val="000000"/>
          <w:sz w:val="20"/>
          <w:szCs w:val="20"/>
          <w:lang w:eastAsia="en-US"/>
        </w:rPr>
        <w:t>ENISAavailability</w:t>
      </w:r>
      <w:r w:rsidRPr="00F925AE">
        <w:rPr>
          <w:rFonts w:cs="Times New Roman"/>
          <w:i/>
          <w:sz w:val="20"/>
          <w:szCs w:val="20"/>
          <w:vertAlign w:val="subscript"/>
        </w:rPr>
        <w:t>i,</w:t>
      </w:r>
      <w:r w:rsidRPr="00F925AE">
        <w:rPr>
          <w:rFonts w:eastAsia="Times New Roman" w:cs="Times New Roman"/>
          <w:i/>
          <w:iCs/>
          <w:color w:val="000000"/>
          <w:sz w:val="20"/>
          <w:szCs w:val="20"/>
          <w:vertAlign w:val="subscript"/>
          <w:lang w:eastAsia="en-US"/>
        </w:rPr>
        <w:t>t</w:t>
      </w:r>
      <w:r w:rsidRPr="00F925AE">
        <w:rPr>
          <w:rFonts w:eastAsia="Times New Roman" w:cs="Times New Roman"/>
          <w:iCs/>
          <w:color w:val="000000"/>
          <w:sz w:val="20"/>
          <w:szCs w:val="20"/>
          <w:lang w:eastAsia="en-US"/>
        </w:rPr>
        <w:t xml:space="preserve"> shows that the probability of receiving a loan is higher in years and provinces with higher availability of PLs. We </w:t>
      </w:r>
      <w:r w:rsidRPr="00F925AE">
        <w:rPr>
          <w:rFonts w:cs="Times New Roman"/>
          <w:sz w:val="20"/>
          <w:szCs w:val="20"/>
        </w:rPr>
        <w:t>use the results of the Probit regression to compute an endogeneity correction term based on the Inverse Mills Ratio. In a second step, we add it in the external debt model (Column II).</w:t>
      </w:r>
      <w:r w:rsidRPr="00F925AE">
        <w:rPr>
          <w:rFonts w:cs="Times New Roman"/>
          <w:i/>
          <w:sz w:val="20"/>
          <w:szCs w:val="20"/>
        </w:rPr>
        <w:t xml:space="preserve"> </w:t>
      </w:r>
      <w:r w:rsidRPr="00F925AE">
        <w:rPr>
          <w:rFonts w:cs="Times New Roman"/>
          <w:sz w:val="20"/>
          <w:szCs w:val="20"/>
        </w:rPr>
        <w:t xml:space="preserve">The correction term is not significant, indicating that the unobserved characteristics of firms that received PLs do not </w:t>
      </w:r>
      <w:r w:rsidRPr="00F925AE">
        <w:rPr>
          <w:rFonts w:cs="Times New Roman"/>
          <w:sz w:val="20"/>
          <w:szCs w:val="20"/>
        </w:rPr>
        <w:lastRenderedPageBreak/>
        <w:t>significantly affect their access to external debt. Moreover, the results relative to our hypotheses 1, 2, 4 and 5 are confirmed and coefficients are similar to those reported in column VIII of Table 6.</w:t>
      </w:r>
      <w:r w:rsidRPr="00F925AE">
        <w:rPr>
          <w:rStyle w:val="Refdenotaalpie"/>
          <w:rFonts w:cs="Times New Roman"/>
          <w:sz w:val="20"/>
          <w:szCs w:val="20"/>
        </w:rPr>
        <w:footnoteReference w:id="10"/>
      </w:r>
    </w:p>
    <w:p w:rsidR="00512993" w:rsidRPr="00F925AE" w:rsidRDefault="00512993" w:rsidP="00512993">
      <w:pPr>
        <w:ind w:firstLine="0"/>
        <w:rPr>
          <w:rFonts w:eastAsia="Times New Roman" w:cs="Times New Roman"/>
          <w:color w:val="000000"/>
          <w:sz w:val="20"/>
          <w:szCs w:val="20"/>
          <w:lang w:eastAsia="en-US"/>
        </w:rPr>
      </w:pPr>
      <w:r w:rsidRPr="00F925AE">
        <w:rPr>
          <w:rFonts w:cs="Times New Roman"/>
          <w:b/>
          <w:sz w:val="20"/>
          <w:szCs w:val="20"/>
        </w:rPr>
        <w:t xml:space="preserve">Increased tangibility: </w:t>
      </w:r>
      <w:r w:rsidR="007C60DA" w:rsidRPr="00F925AE">
        <w:rPr>
          <w:rFonts w:cs="Times New Roman"/>
          <w:sz w:val="20"/>
          <w:szCs w:val="20"/>
        </w:rPr>
        <w:fldChar w:fldCharType="begin" w:fldLock="1"/>
      </w:r>
      <w:r w:rsidRPr="00F925AE">
        <w:rPr>
          <w:rFonts w:cs="Times New Roman"/>
          <w:sz w:val="20"/>
          <w:szCs w:val="20"/>
        </w:rPr>
        <w:instrText>ADDIN CSL_CITATION { "citationItems" : [ { "id" : "ITEM-1", "itemData" : { "ISBN" : "0002-8282", "ISSN" : "0002-8282", "abstract" : "The article investigates the question on how the market reacts if both signaling and rationing are a priori feasible alternatives. In the framework of credit markets under imperfect information, it has been proven that no borrower will be denied credit if banks use the collateral requirements of their loan contracts as a signaling mechanism. Signaling mechanisms dispose demand rationing in competitive equilibrium. This indicates that theories which attempt to explain rationing by adverse selection effects also have to give an explanation why screening devices cannot be adopted.", "author" : [ { "dropping-particle" : "", "family" : "Bester", "given" : "Helmut", "non-dropping-particle" : "", "parse-names" : false, "suffix" : "" } ], "container-title" : "American Economic Review", "id" : "ITEM-1", "issue" : "4", "issued" : { "date-parts" : [ [ "1985" ] ] }, "page" : "850-855", "title" : "Screening vs Rationing in Credit Markets with Imperfect Information", "type" : "article-journal", "volume" : "75" }, "uris" : [ "http://www.mendeley.com/documents/?uuid=19bb81a6-fd45-4a15-aa84-bf705f77e45e" ] } ], "mendeley" : { "formattedCitation" : "(Bester 1985)", "manualFormatting" : "Bester (1985)", "plainTextFormattedCitation" : "(Bester 1985)", "previouslyFormattedCitation" : "(Bester 1985)" }, "properties" : { "noteIndex" : 0 }, "schema" : "https://github.com/citation-style-language/schema/raw/master/csl-citation.json" }</w:instrText>
      </w:r>
      <w:r w:rsidR="007C60DA" w:rsidRPr="00F925AE">
        <w:rPr>
          <w:rFonts w:cs="Times New Roman"/>
          <w:sz w:val="20"/>
          <w:szCs w:val="20"/>
        </w:rPr>
        <w:fldChar w:fldCharType="separate"/>
      </w:r>
      <w:r w:rsidRPr="00F925AE">
        <w:rPr>
          <w:rFonts w:cs="Times New Roman"/>
          <w:noProof/>
          <w:sz w:val="20"/>
          <w:szCs w:val="20"/>
        </w:rPr>
        <w:t>Bester (1985)</w:t>
      </w:r>
      <w:r w:rsidR="007C60DA" w:rsidRPr="00F925AE">
        <w:rPr>
          <w:rFonts w:cs="Times New Roman"/>
          <w:sz w:val="20"/>
          <w:szCs w:val="20"/>
        </w:rPr>
        <w:fldChar w:fldCharType="end"/>
      </w:r>
      <w:r w:rsidRPr="00F925AE">
        <w:rPr>
          <w:rFonts w:cs="Times New Roman"/>
          <w:sz w:val="20"/>
          <w:szCs w:val="20"/>
        </w:rPr>
        <w:t xml:space="preserve"> shows that an increase in the value of collateral results in an easier access to commercial debt. ENISA-backed firms can use PLs to acquire tangible assets that can subsequently be pledged as collateral. </w:t>
      </w:r>
      <w:r w:rsidR="00F22E2C" w:rsidRPr="00F925AE">
        <w:rPr>
          <w:rFonts w:cs="Times New Roman"/>
          <w:sz w:val="20"/>
          <w:szCs w:val="20"/>
        </w:rPr>
        <w:t>In fact, in an unreported estimate, we find that the receipt of PLs significantly increases companies’ tangible assets.</w:t>
      </w:r>
      <w:r w:rsidR="00F22E2C" w:rsidRPr="00F925AE">
        <w:rPr>
          <w:rStyle w:val="Refdenotaalpie"/>
          <w:rFonts w:cs="Times New Roman"/>
          <w:sz w:val="20"/>
          <w:szCs w:val="20"/>
        </w:rPr>
        <w:footnoteReference w:id="11"/>
      </w:r>
      <w:r w:rsidR="00F22E2C" w:rsidRPr="00F925AE">
        <w:rPr>
          <w:rFonts w:cs="Times New Roman"/>
          <w:sz w:val="20"/>
          <w:szCs w:val="20"/>
        </w:rPr>
        <w:t xml:space="preserve"> Commercial banks may be more willing to lend money to ENISA-backed firms because they have higher tangibility (i.e., more collateral), and not because of a certification effect. In order to rule out the alternative hypothesis that the link between PL and access to bank loans is </w:t>
      </w:r>
      <w:r w:rsidR="00F22E2C" w:rsidRPr="00F925AE">
        <w:rPr>
          <w:rFonts w:cs="Times New Roman"/>
          <w:iCs/>
          <w:sz w:val="20"/>
          <w:szCs w:val="20"/>
        </w:rPr>
        <w:t>fully mediated</w:t>
      </w:r>
      <w:r w:rsidR="00F22E2C" w:rsidRPr="00F925AE">
        <w:rPr>
          <w:rFonts w:cs="Times New Roman"/>
          <w:sz w:val="20"/>
          <w:szCs w:val="20"/>
        </w:rPr>
        <w:t xml:space="preserve"> by an increase of tangible assets, we augment our baseline model of external debt with the interaction between </w:t>
      </w:r>
      <w:r w:rsidR="00F22E2C" w:rsidRPr="00F925AE">
        <w:rPr>
          <w:rFonts w:cs="Times New Roman"/>
          <w:i/>
          <w:sz w:val="20"/>
          <w:szCs w:val="20"/>
        </w:rPr>
        <w:t>PL</w:t>
      </w:r>
      <w:r w:rsidR="00F22E2C" w:rsidRPr="00F925AE">
        <w:rPr>
          <w:rFonts w:cs="Times New Roman"/>
          <w:i/>
          <w:sz w:val="20"/>
          <w:szCs w:val="20"/>
          <w:vertAlign w:val="subscript"/>
        </w:rPr>
        <w:t>i,t</w:t>
      </w:r>
      <w:r w:rsidR="00F22E2C" w:rsidRPr="00F925AE">
        <w:rPr>
          <w:rFonts w:cs="Times New Roman"/>
          <w:sz w:val="20"/>
          <w:szCs w:val="20"/>
        </w:rPr>
        <w:t xml:space="preserve"> and </w:t>
      </w:r>
      <w:r w:rsidR="00F22E2C" w:rsidRPr="00F925AE">
        <w:rPr>
          <w:rFonts w:cs="Times New Roman"/>
          <w:i/>
          <w:sz w:val="20"/>
          <w:szCs w:val="20"/>
        </w:rPr>
        <w:t>Tangibles</w:t>
      </w:r>
      <w:r w:rsidR="00F22E2C" w:rsidRPr="00F925AE">
        <w:rPr>
          <w:rFonts w:cs="Times New Roman"/>
          <w:i/>
          <w:sz w:val="20"/>
          <w:szCs w:val="20"/>
          <w:vertAlign w:val="subscript"/>
        </w:rPr>
        <w:t>i,t-1</w:t>
      </w:r>
      <w:r w:rsidR="00F22E2C" w:rsidRPr="00F925AE">
        <w:rPr>
          <w:rFonts w:cs="Times New Roman"/>
          <w:sz w:val="20"/>
          <w:szCs w:val="20"/>
        </w:rPr>
        <w:t xml:space="preserve">. In Column III of Table 7 we show a negative and significant coefficient for this interaction variable. The sum of coefficients of </w:t>
      </w:r>
      <w:r w:rsidR="00F22E2C" w:rsidRPr="00F925AE">
        <w:rPr>
          <w:rFonts w:cs="Times New Roman"/>
          <w:i/>
          <w:sz w:val="20"/>
          <w:szCs w:val="20"/>
        </w:rPr>
        <w:t>Tangibles</w:t>
      </w:r>
      <w:r w:rsidR="00F22E2C" w:rsidRPr="00F925AE">
        <w:rPr>
          <w:rFonts w:cs="Times New Roman"/>
          <w:i/>
          <w:sz w:val="20"/>
          <w:szCs w:val="20"/>
          <w:vertAlign w:val="subscript"/>
        </w:rPr>
        <w:t>i,t-1</w:t>
      </w:r>
      <w:r w:rsidR="00F22E2C" w:rsidRPr="00F925AE">
        <w:rPr>
          <w:rFonts w:cs="Times New Roman"/>
          <w:sz w:val="20"/>
          <w:szCs w:val="20"/>
        </w:rPr>
        <w:t xml:space="preserve"> and </w:t>
      </w:r>
      <w:r w:rsidR="00F22E2C" w:rsidRPr="00F925AE">
        <w:rPr>
          <w:rFonts w:cs="Times New Roman"/>
          <w:i/>
          <w:sz w:val="20"/>
          <w:szCs w:val="20"/>
        </w:rPr>
        <w:t>PL</w:t>
      </w:r>
      <w:r w:rsidR="00F22E2C" w:rsidRPr="00F925AE">
        <w:rPr>
          <w:rFonts w:cs="Times New Roman"/>
          <w:i/>
          <w:sz w:val="20"/>
          <w:szCs w:val="20"/>
          <w:vertAlign w:val="subscript"/>
        </w:rPr>
        <w:t>i,t</w:t>
      </w:r>
      <w:r w:rsidR="00F22E2C" w:rsidRPr="00F925AE">
        <w:rPr>
          <w:rFonts w:cs="Times New Roman"/>
          <w:sz w:val="20"/>
          <w:szCs w:val="20"/>
        </w:rPr>
        <w:t xml:space="preserve"> * </w:t>
      </w:r>
      <w:r w:rsidR="00F22E2C" w:rsidRPr="00F925AE">
        <w:rPr>
          <w:rFonts w:cs="Times New Roman"/>
          <w:i/>
          <w:sz w:val="20"/>
          <w:szCs w:val="20"/>
        </w:rPr>
        <w:t>Tangibles</w:t>
      </w:r>
      <w:r w:rsidR="00F22E2C" w:rsidRPr="00F925AE">
        <w:rPr>
          <w:rFonts w:cs="Times New Roman"/>
          <w:i/>
          <w:sz w:val="20"/>
          <w:szCs w:val="20"/>
          <w:vertAlign w:val="subscript"/>
        </w:rPr>
        <w:t>i,t-1</w:t>
      </w:r>
      <w:r w:rsidR="00F22E2C" w:rsidRPr="00F925AE">
        <w:rPr>
          <w:rFonts w:cs="Times New Roman"/>
          <w:sz w:val="20"/>
          <w:szCs w:val="20"/>
        </w:rPr>
        <w:t xml:space="preserve"> is not significantly different from 0 at standard significance level, indicating that the debt of companies that received a PL is not sensitive to the tangibility of the company’s assets. In other terms, the presence of collateral is not fundamental to access external debt for ENISA-backed companies. Moreover, the coefficient of </w:t>
      </w:r>
      <w:r w:rsidR="00F22E2C" w:rsidRPr="00F925AE">
        <w:rPr>
          <w:rFonts w:cs="Times New Roman"/>
          <w:i/>
          <w:sz w:val="20"/>
          <w:szCs w:val="20"/>
        </w:rPr>
        <w:t>PL</w:t>
      </w:r>
      <w:r w:rsidR="00F22E2C" w:rsidRPr="00F925AE">
        <w:rPr>
          <w:rFonts w:cs="Times New Roman"/>
          <w:i/>
          <w:sz w:val="20"/>
          <w:szCs w:val="20"/>
          <w:vertAlign w:val="subscript"/>
        </w:rPr>
        <w:t>i,t</w:t>
      </w:r>
      <w:r w:rsidR="00F22E2C" w:rsidRPr="00F925AE">
        <w:rPr>
          <w:rFonts w:cs="Times New Roman"/>
          <w:sz w:val="20"/>
          <w:szCs w:val="20"/>
        </w:rPr>
        <w:t xml:space="preserve"> is still positive and significant: </w:t>
      </w:r>
      <w:r w:rsidR="00F22E2C" w:rsidRPr="00F925AE">
        <w:rPr>
          <w:rFonts w:eastAsia="Times New Roman" w:cs="Times New Roman"/>
          <w:color w:val="000000"/>
          <w:sz w:val="20"/>
          <w:szCs w:val="20"/>
          <w:lang w:eastAsia="en-US"/>
        </w:rPr>
        <w:t>a certification effect is found</w:t>
      </w:r>
      <w:r w:rsidR="00F22E2C" w:rsidRPr="00F925AE">
        <w:rPr>
          <w:rFonts w:cs="Times New Roman"/>
          <w:sz w:val="20"/>
          <w:szCs w:val="20"/>
        </w:rPr>
        <w:t xml:space="preserve"> e</w:t>
      </w:r>
      <w:r w:rsidR="00F22E2C" w:rsidRPr="00F925AE">
        <w:rPr>
          <w:rFonts w:eastAsia="Times New Roman" w:cs="Times New Roman"/>
          <w:color w:val="000000"/>
          <w:sz w:val="20"/>
          <w:szCs w:val="20"/>
          <w:lang w:eastAsia="en-US"/>
        </w:rPr>
        <w:t xml:space="preserve">ven after controlling for the </w:t>
      </w:r>
      <w:r w:rsidR="00F22E2C" w:rsidRPr="00F925AE">
        <w:rPr>
          <w:rFonts w:eastAsia="Times New Roman" w:cs="Times New Roman"/>
          <w:i/>
          <w:color w:val="000000"/>
          <w:sz w:val="20"/>
          <w:szCs w:val="20"/>
          <w:lang w:eastAsia="en-US"/>
        </w:rPr>
        <w:t>collateral</w:t>
      </w:r>
      <w:r w:rsidR="00F22E2C" w:rsidRPr="00F925AE">
        <w:rPr>
          <w:rFonts w:eastAsia="Times New Roman" w:cs="Times New Roman"/>
          <w:color w:val="000000"/>
          <w:sz w:val="20"/>
          <w:szCs w:val="20"/>
          <w:lang w:eastAsia="en-US"/>
        </w:rPr>
        <w:t xml:space="preserve"> </w:t>
      </w:r>
      <w:r w:rsidR="00F22E2C" w:rsidRPr="00F925AE">
        <w:rPr>
          <w:rFonts w:eastAsia="Times New Roman" w:cs="Times New Roman"/>
          <w:i/>
          <w:color w:val="000000"/>
          <w:sz w:val="20"/>
          <w:szCs w:val="20"/>
          <w:lang w:eastAsia="en-US"/>
        </w:rPr>
        <w:t>effect</w:t>
      </w:r>
      <w:r w:rsidR="00F22E2C" w:rsidRPr="00F925AE">
        <w:rPr>
          <w:rFonts w:eastAsia="Times New Roman" w:cs="Times New Roman"/>
          <w:color w:val="000000"/>
          <w:sz w:val="20"/>
          <w:szCs w:val="20"/>
          <w:lang w:eastAsia="en-US"/>
        </w:rPr>
        <w:t xml:space="preserve"> of PLs </w:t>
      </w:r>
      <w:r w:rsidR="007C60DA" w:rsidRPr="00F925AE">
        <w:rPr>
          <w:rFonts w:eastAsia="Times New Roman" w:cs="Times New Roman"/>
          <w:color w:val="000000"/>
          <w:sz w:val="20"/>
          <w:szCs w:val="20"/>
          <w:lang w:eastAsia="en-US"/>
        </w:rPr>
        <w:fldChar w:fldCharType="begin" w:fldLock="1"/>
      </w:r>
      <w:r w:rsidR="00F22E2C" w:rsidRPr="00F925AE">
        <w:rPr>
          <w:rFonts w:eastAsia="Times New Roman" w:cs="Times New Roman"/>
          <w:color w:val="000000"/>
          <w:sz w:val="20"/>
          <w:szCs w:val="20"/>
          <w:lang w:eastAsia="en-US"/>
        </w:rPr>
        <w:instrText>ADDIN CSL_CITATION { "citationItems" : [ { "id" : "ITEM-1", "itemData" : { "DOI" : "10.1016/j.respol.2013.07.003", "ISSN" : "00487333", "abstract" : "This work analyses the effect of public subsidies on firms\u2019 investments and investment\u2013cash flow sensitivity in a longitudinal sample of 288 Italian unlisted non-venture capital backed owner-managed new-technology-based firms (NTBFs), observed over a 15-year period from 1994 to 2008. Seventy five of these firms received one or more public subsidies in the observation period. We use an error correction model (ECM) specification and system generalised method of moment (GMM) techniques that take into account the endogeneity of public subsidies. First, we find that the investments of small NTBFs are sensitive to internal cash flows, while those of large NTBFs are not. Receipt of public subsidies by small NTBFs results in an increased investment rate and a reduced investment\u2013cash flow sensitivity, in the immediately following year. We interpret these results as an indication of the relaxation of financial constraints. Moreover, while the increase in the investment rate does not persist in the long run, the dependence of investments on cash flow remains negligible after receipt of the first public subsidy. These results support the view that public subsidies can help small NTBFs in persistently removing the financial constraints that bind their investment activity.", "author" : [ { "dropping-particle" : "", "family" : "Colombo", "given" : "Massimo Gaetano", "non-dropping-particle" : "", "parse-names" : false, "suffix" : "" }, { "dropping-particle" : "", "family" : "Croce", "given" : "Annalisa", "non-dropping-particle" : "", "parse-names" : false, "suffix" : "" }, { "dropping-particle" : "", "family" : "Guerini", "given" : "Massimiliano", "non-dropping-particle" : "", "parse-names" : false, "suffix" : "" } ], "container-title" : "Research Policy", "id" : "ITEM-1", "issue" : "9", "issued" : { "date-parts" : [ [ "2013", "11" ] ] }, "page" : "1605-1623", "title" : "The Effect of Public Subsidies on Firms\u2019 Investment\u2013Cash Flow Sensitivity: Transient or Persistent?", "type" : "article-journal", "volume" : "42" }, "uris" : [ "http://www.mendeley.com/documents/?uuid=ac945889-6c62-492d-9e2a-f0017d77d6a6" ] } ], "mendeley" : { "formattedCitation" : "(Colombo et al. 2013)", "plainTextFormattedCitation" : "(Colombo et al. 2013)", "previouslyFormattedCitation" : "(Colombo et al. 2013)" }, "properties" : { "noteIndex" : 0 }, "schema" : "https://github.com/citation-style-language/schema/raw/master/csl-citation.json" }</w:instrText>
      </w:r>
      <w:r w:rsidR="007C60DA" w:rsidRPr="00F925AE">
        <w:rPr>
          <w:rFonts w:eastAsia="Times New Roman" w:cs="Times New Roman"/>
          <w:color w:val="000000"/>
          <w:sz w:val="20"/>
          <w:szCs w:val="20"/>
          <w:lang w:eastAsia="en-US"/>
        </w:rPr>
        <w:fldChar w:fldCharType="separate"/>
      </w:r>
      <w:r w:rsidR="00F22E2C" w:rsidRPr="00F925AE">
        <w:rPr>
          <w:rFonts w:eastAsia="Times New Roman" w:cs="Times New Roman"/>
          <w:noProof/>
          <w:color w:val="000000"/>
          <w:sz w:val="20"/>
          <w:szCs w:val="20"/>
          <w:lang w:eastAsia="en-US"/>
        </w:rPr>
        <w:t>(Colombo et al. 2013)</w:t>
      </w:r>
      <w:r w:rsidR="007C60DA" w:rsidRPr="00F925AE">
        <w:rPr>
          <w:rFonts w:eastAsia="Times New Roman" w:cs="Times New Roman"/>
          <w:color w:val="000000"/>
          <w:sz w:val="20"/>
          <w:szCs w:val="20"/>
          <w:lang w:eastAsia="en-US"/>
        </w:rPr>
        <w:fldChar w:fldCharType="end"/>
      </w:r>
      <w:r w:rsidR="00F22E2C" w:rsidRPr="00F925AE">
        <w:rPr>
          <w:rFonts w:cs="Times New Roman"/>
          <w:sz w:val="20"/>
          <w:szCs w:val="20"/>
        </w:rPr>
        <w:t xml:space="preserve">. Our hypotheses 1, 2, 4 and 5 are confirmed. The magnitude of the effect of PLs on external debt is however lower for companies with more tangibles, and becomes negligible when </w:t>
      </w:r>
      <w:r w:rsidR="00F22E2C" w:rsidRPr="00F925AE">
        <w:rPr>
          <w:rFonts w:cs="Times New Roman"/>
          <w:i/>
          <w:sz w:val="20"/>
          <w:szCs w:val="20"/>
        </w:rPr>
        <w:t>Tangibles</w:t>
      </w:r>
      <w:r w:rsidR="00F22E2C" w:rsidRPr="00F925AE">
        <w:rPr>
          <w:rFonts w:cs="Times New Roman"/>
          <w:i/>
          <w:sz w:val="20"/>
          <w:szCs w:val="20"/>
          <w:vertAlign w:val="subscript"/>
        </w:rPr>
        <w:t>i,t-1</w:t>
      </w:r>
      <w:r w:rsidR="00F22E2C" w:rsidRPr="00F925AE">
        <w:rPr>
          <w:rFonts w:cs="Times New Roman"/>
          <w:sz w:val="20"/>
          <w:szCs w:val="20"/>
        </w:rPr>
        <w:t xml:space="preserve"> is higher than 0.5, i.e. the 85</w:t>
      </w:r>
      <w:r w:rsidR="00F22E2C" w:rsidRPr="00F925AE">
        <w:rPr>
          <w:rFonts w:cs="Times New Roman"/>
          <w:sz w:val="20"/>
          <w:szCs w:val="20"/>
          <w:vertAlign w:val="superscript"/>
        </w:rPr>
        <w:t>th</w:t>
      </w:r>
      <w:r w:rsidR="00F22E2C" w:rsidRPr="00F925AE">
        <w:rPr>
          <w:rFonts w:cs="Times New Roman"/>
          <w:sz w:val="20"/>
          <w:szCs w:val="20"/>
        </w:rPr>
        <w:t xml:space="preserve"> percentile of the variable in our sample.</w:t>
      </w:r>
      <w:r w:rsidRPr="00F925AE">
        <w:rPr>
          <w:rFonts w:eastAsia="Times New Roman" w:cs="Times New Roman"/>
          <w:color w:val="000000"/>
          <w:sz w:val="20"/>
          <w:szCs w:val="20"/>
          <w:lang w:eastAsia="en-US"/>
        </w:rPr>
        <w:t xml:space="preserve">  </w:t>
      </w:r>
    </w:p>
    <w:p w:rsidR="00512993" w:rsidRPr="00F925AE" w:rsidRDefault="00512993" w:rsidP="00512993">
      <w:pPr>
        <w:autoSpaceDE w:val="0"/>
        <w:autoSpaceDN w:val="0"/>
        <w:adjustRightInd w:val="0"/>
        <w:spacing w:before="120" w:after="120"/>
        <w:ind w:firstLine="0"/>
        <w:jc w:val="center"/>
        <w:rPr>
          <w:rFonts w:eastAsia="Times New Roman" w:cs="Times New Roman"/>
          <w:sz w:val="20"/>
          <w:szCs w:val="20"/>
        </w:rPr>
      </w:pPr>
      <w:r w:rsidRPr="00F925AE">
        <w:rPr>
          <w:rFonts w:eastAsia="Times New Roman" w:cs="Times New Roman"/>
          <w:sz w:val="20"/>
          <w:szCs w:val="20"/>
        </w:rPr>
        <w:t xml:space="preserve"> [Insert Table 7 here]</w:t>
      </w:r>
    </w:p>
    <w:p w:rsidR="00512993" w:rsidRPr="00F925AE" w:rsidRDefault="00512993" w:rsidP="00512993">
      <w:pPr>
        <w:pStyle w:val="Ttulo1"/>
        <w:rPr>
          <w:rFonts w:cs="Times New Roman"/>
        </w:rPr>
      </w:pPr>
      <w:r w:rsidRPr="00F925AE">
        <w:rPr>
          <w:rFonts w:cs="Times New Roman"/>
        </w:rPr>
        <w:t>Discussion and conclusion</w:t>
      </w:r>
    </w:p>
    <w:p w:rsidR="00512993" w:rsidRPr="00F925AE" w:rsidRDefault="00512993" w:rsidP="00512993">
      <w:pPr>
        <w:autoSpaceDE w:val="0"/>
        <w:autoSpaceDN w:val="0"/>
        <w:adjustRightInd w:val="0"/>
        <w:spacing w:before="120" w:after="120"/>
        <w:rPr>
          <w:rFonts w:cs="Times New Roman"/>
          <w:sz w:val="20"/>
          <w:szCs w:val="20"/>
        </w:rPr>
      </w:pPr>
      <w:r w:rsidRPr="00F925AE">
        <w:rPr>
          <w:rFonts w:cs="Times New Roman"/>
          <w:sz w:val="20"/>
          <w:szCs w:val="20"/>
        </w:rPr>
        <w:t xml:space="preserve">In this work we study the effectiveness of PLs granted by a government agency in improving recipient SMEs' access to external debt. PLs are hybrid financial instruments that share characteristics from traditional loans and equity. The lender is rewarded in two ways: a pre-determined interest rate, and a share of the firm’s profits. </w:t>
      </w:r>
    </w:p>
    <w:p w:rsidR="00512993" w:rsidRPr="00F925AE" w:rsidRDefault="00512993" w:rsidP="00512993">
      <w:pPr>
        <w:autoSpaceDE w:val="0"/>
        <w:autoSpaceDN w:val="0"/>
        <w:adjustRightInd w:val="0"/>
        <w:spacing w:before="120" w:after="120"/>
        <w:rPr>
          <w:rFonts w:eastAsia="Times New Roman" w:cs="Times New Roman"/>
          <w:sz w:val="20"/>
          <w:szCs w:val="20"/>
        </w:rPr>
      </w:pPr>
      <w:r w:rsidRPr="00F925AE">
        <w:rPr>
          <w:rFonts w:cs="Times New Roman"/>
          <w:sz w:val="20"/>
          <w:szCs w:val="20"/>
        </w:rPr>
        <w:t>PLs are awarded selectively and often require the borrower to b</w:t>
      </w:r>
      <w:r w:rsidRPr="00F925AE">
        <w:rPr>
          <w:rFonts w:eastAsia="Times New Roman" w:cs="Times New Roman"/>
          <w:sz w:val="20"/>
          <w:szCs w:val="20"/>
        </w:rPr>
        <w:t xml:space="preserve">alance the amount of the PL with a predefined capital increase. High-quality SMEs are more likely to be able to raise the additional capital and </w:t>
      </w:r>
      <w:r w:rsidRPr="00F925AE">
        <w:rPr>
          <w:rFonts w:eastAsia="Times New Roman" w:cs="Times New Roman"/>
          <w:sz w:val="20"/>
          <w:szCs w:val="20"/>
        </w:rPr>
        <w:lastRenderedPageBreak/>
        <w:t xml:space="preserve">successfully pass through the government’s screening process. Therefore, receipt of PLs can be seen by external investors, especially commercial banks, as an indication of the SMEs’ quality. This is a necessary condition for a certification effect to be in place </w:t>
      </w:r>
      <w:r w:rsidR="007C60DA" w:rsidRPr="00F925AE">
        <w:rPr>
          <w:rFonts w:eastAsia="Times New Roman" w:cs="Times New Roman"/>
          <w:sz w:val="20"/>
          <w:szCs w:val="20"/>
        </w:rPr>
        <w:fldChar w:fldCharType="begin" w:fldLock="1"/>
      </w:r>
      <w:r w:rsidRPr="00F925AE">
        <w:rPr>
          <w:rFonts w:eastAsia="Times New Roman" w:cs="Times New Roman"/>
          <w:sz w:val="20"/>
          <w:szCs w:val="20"/>
        </w:rPr>
        <w:instrText>ADDIN CSL_CITATION { "citationItems" : [ { "id" : "ITEM-1", "itemData" : { "DOI" : "10.1016/j.respol.2010.08.001", "ISSN" : "00487333", "abstract" : "Government subsidies for R&amp;D are intended to promote projects with high returns to society but too little private returns to be beneficial for private investors. This may be caused by spillovers or a low appropriability rate. Apart from the direct funding of these projects, government grants may serve as a signal for good investments for private investors. We use a simple signaling model with different types of R&amp;D projects to capture this phenomenon. The agency has a preference for basic research projects as they promise high expected social returns, while banks prefer applied research projects with high private returns. In a setup where the subsidy can only be used to distinguish between basic and applied research projects, government agency\u2019s signal is not very helpful for banks. However, if the subsidy is accompanied by a quality signal, it can lead to increased or better selected private investments.", "author" : [ { "dropping-particle" : "", "family" : "Kleer", "given" : "Robin", "non-dropping-particle" : "", "parse-names" : false, "suffix" : "" } ], "container-title" : "Research Policy", "id" : "ITEM-1", "issue" : "10", "issued" : { "date-parts" : [ [ "2010", "12" ] ] }, "page" : "1361-1374", "title" : "Government R&amp;D Subsidies as a Signal for Private Investors", "type" : "article-journal", "volume" : "39" }, "uris" : [ "http://www.mendeley.com/documents/?uuid=62c97547-3ece-4237-9c05-ae2b031b57b2" ] } ], "mendeley" : { "formattedCitation" : "(Kleer 2010)", "plainTextFormattedCitation" : "(Kleer 2010)", "previouslyFormattedCitation" : "(Kleer 2010)" }, "properties" : { "noteIndex" : 0 }, "schema" : "https://github.com/citation-style-language/schema/raw/master/csl-citation.json" }</w:instrText>
      </w:r>
      <w:r w:rsidR="007C60DA" w:rsidRPr="00F925AE">
        <w:rPr>
          <w:rFonts w:eastAsia="Times New Roman" w:cs="Times New Roman"/>
          <w:sz w:val="20"/>
          <w:szCs w:val="20"/>
        </w:rPr>
        <w:fldChar w:fldCharType="separate"/>
      </w:r>
      <w:r w:rsidRPr="00F925AE">
        <w:rPr>
          <w:rFonts w:eastAsia="Times New Roman" w:cs="Times New Roman"/>
          <w:noProof/>
          <w:sz w:val="20"/>
          <w:szCs w:val="20"/>
        </w:rPr>
        <w:t>(Kleer 2010)</w:t>
      </w:r>
      <w:r w:rsidR="007C60DA" w:rsidRPr="00F925AE">
        <w:rPr>
          <w:rFonts w:eastAsia="Times New Roman" w:cs="Times New Roman"/>
          <w:sz w:val="20"/>
          <w:szCs w:val="20"/>
        </w:rPr>
        <w:fldChar w:fldCharType="end"/>
      </w:r>
      <w:r w:rsidRPr="00F925AE">
        <w:rPr>
          <w:rFonts w:eastAsia="Times New Roman" w:cs="Times New Roman"/>
          <w:sz w:val="20"/>
          <w:szCs w:val="20"/>
        </w:rPr>
        <w:t xml:space="preserve">. The certification hypothesis </w:t>
      </w:r>
      <w:r w:rsidR="007C60DA" w:rsidRPr="00F925AE">
        <w:rPr>
          <w:rFonts w:eastAsia="Times New Roman" w:cs="Times New Roman"/>
          <w:sz w:val="20"/>
          <w:szCs w:val="20"/>
        </w:rPr>
        <w:fldChar w:fldCharType="begin" w:fldLock="1"/>
      </w:r>
      <w:r w:rsidRPr="00F925AE">
        <w:rPr>
          <w:rFonts w:eastAsia="Times New Roman" w:cs="Times New Roman"/>
          <w:sz w:val="20"/>
          <w:szCs w:val="20"/>
        </w:rPr>
        <w:instrText>ADDIN CSL_CITATION { "citationItems" : [ { "id" : "ITEM-1", "itemData" : { "DOI" : "10.1111/1468-0297.00684", "author" : [ { "dropping-particle" : "", "family" : "Lerner", "given" : "Joshua", "non-dropping-particle" : "", "parse-names" : false, "suffix" : "" } ], "container-title" : "Economic Journal", "id" : "ITEM-1", "issue" : "477", "issued" : { "date-parts" : [ [ "2002" ] ] }, "page" : "F73-F84", "publisher" : "Blackwell Publishing for the Royal Economic Society", "title" : "When Bureaucrats Meet Entrepreneurs: The Design of Effective 'Public Venture Capital' Programmes", "type" : "article-journal", "volume" : "112" }, "uris" : [ "http://www.mendeley.com/documents/?uuid=5c80991c-44e7-46b6-a715-e3f54de7b42b" ] } ], "mendeley" : { "formattedCitation" : "(Lerner 2002)", "plainTextFormattedCitation" : "(Lerner 2002)", "previouslyFormattedCitation" : "(Lerner 2002)" }, "properties" : { "noteIndex" : 0 }, "schema" : "https://github.com/citation-style-language/schema/raw/master/csl-citation.json" }</w:instrText>
      </w:r>
      <w:r w:rsidR="007C60DA" w:rsidRPr="00F925AE">
        <w:rPr>
          <w:rFonts w:eastAsia="Times New Roman" w:cs="Times New Roman"/>
          <w:sz w:val="20"/>
          <w:szCs w:val="20"/>
        </w:rPr>
        <w:fldChar w:fldCharType="separate"/>
      </w:r>
      <w:r w:rsidRPr="00F925AE">
        <w:rPr>
          <w:rFonts w:eastAsia="Times New Roman" w:cs="Times New Roman"/>
          <w:noProof/>
          <w:sz w:val="20"/>
          <w:szCs w:val="20"/>
        </w:rPr>
        <w:t>(Lerner 2002)</w:t>
      </w:r>
      <w:r w:rsidR="007C60DA" w:rsidRPr="00F925AE">
        <w:rPr>
          <w:rFonts w:eastAsia="Times New Roman" w:cs="Times New Roman"/>
          <w:sz w:val="20"/>
          <w:szCs w:val="20"/>
        </w:rPr>
        <w:fldChar w:fldCharType="end"/>
      </w:r>
      <w:r w:rsidRPr="00F925AE">
        <w:rPr>
          <w:rFonts w:eastAsia="Times New Roman" w:cs="Times New Roman"/>
          <w:sz w:val="20"/>
          <w:szCs w:val="20"/>
        </w:rPr>
        <w:t xml:space="preserve"> predicts that the receipt of selective forms of public support reduces information asymmetries around firms’ quality and limits adverse selection problems, improving firms’ access to external finance. While this hypothesis was tested on R&amp;D subsidies </w:t>
      </w:r>
      <w:r w:rsidR="007C60DA" w:rsidRPr="00F925AE">
        <w:rPr>
          <w:rFonts w:eastAsia="Times New Roman" w:cs="Times New Roman"/>
          <w:sz w:val="20"/>
          <w:szCs w:val="20"/>
        </w:rPr>
        <w:fldChar w:fldCharType="begin" w:fldLock="1"/>
      </w:r>
      <w:r w:rsidRPr="00F925AE">
        <w:rPr>
          <w:rFonts w:eastAsia="Times New Roman" w:cs="Times New Roman"/>
          <w:sz w:val="20"/>
          <w:szCs w:val="20"/>
        </w:rPr>
        <w:instrText>ADDIN CSL_CITATION { "citationItems" : [ { "id" : "ITEM-1", "itemData" : { "DOI" : "10.3905/jpe.2000.319960", "ISSN" : "1556-5068", "author" : [ { "dropping-particle" : "", "family" : "Lerner", "given" : "Joshua", "non-dropping-particle" : "", "parse-names" : false, "suffix" : "" } ], "container-title" : "Journal of Business", "genre" : "article", "id" : "ITEM-1", "issue" : "3", "issued" : { "date-parts" : [ [ "1999" ] ] }, "note" : "From Duplicate 1 ( \n\n\nThe Government as Venture Capitalist: The Long-Run Impact of the SBIR Program\n\n\n- Lerner, Josh )\n\n\n\n\n\n\n\n\nFrom Duplicate 2 ( \n\n\nThe Government as Venture Capitalist: The Long-Run Impact of the {SBIR} Program\n\n\n- Lerner, Joshua )\n\n\n\n\nFrom Duplicate 2 ( \n\n\nThe Government as Venture Capitalist: The Long-Run Impact of the SBIR Program\n\n\n- Lerner, Joshua )\n\n", "page" : "285-318", "title" : "The Government as Venture Capitalist: The Long-Run Impact of the SBIR Program", "type" : "article-journal", "volume" : "72" }, "uris" : [ "http://www.mendeley.com/documents/?uuid=f3c6e7af-90df-4e66-a21d-244880cdd2ec" ] }, { "id" : "ITEM-2", "itemData" : { "DOI" : "10.1016/j.respol.2006.09.019", "ISSN" : "00487333", "abstract" : "This paper investigates the role of government R&amp;D subsidy programs in stimulating knowledgespillovers. R&amp;D subsidies are an effective public policy instrument when knowledgespillovers exist yet exante it is difficult to identify projects that have the greatest potential to increase innovation and economic growth. This paper derives a set of project and firm attributes that the literature finds generate knowledgespillovers and uses data on project proposals to estimate the degree to which a government R&amp;D program conforms. We find that projects that were awarded R&amp;D subsidies were more likely to have attributes such as participation in new research joint ventures and connections to universities and other firms. Following the post-award activities of firm, we find that receipt of a government R&amp;D subsidy increased the funding from other sources when compared to firms that were not awarded funding.", "author" : [ { "dropping-particle" : "", "family" : "Feldman", "given" : "Maryann P.", "non-dropping-particle" : "", "parse-names" : false, "suffix" : "" }, { "dropping-particle" : "", "family" : "Kelley", "given" : "Maryellen R.", "non-dropping-particle" : "", "parse-names" : false, "suffix" : "" } ], "container-title" : "Research Policy", "id" : "ITEM-2", "issue" : "10", "issued" : { "date-parts" : [ [ "2006", "12" ] ] }, "page" : "1509-1521", "title" : "The Ex-Ante Assessment of Knowledge Spillovers: Government R&amp;D Policy, Economic Incentives and Private Firm Behavior", "type" : "article-journal", "volume" : "35" }, "uris" : [ "http://www.mendeley.com/documents/?uuid=cbca8dee-6edb-48c9-962f-b9bb9e5346d6" ] }, { "id" : "ITEM-3", "itemData" : { "DOI" : "10.1016/j.respol.2012.01.001", "ISSN" : "00487333", "abstract" : "Many countries spend sizeable sums of public money on R&amp;D grants to alleviate debt and equity gaps for small firms\u2019 innovation projects. In making such awards, knowledgeable government officials may certify firms to private financiers. Using a unique Belgian dataset of 1107 approved requests and a control group of denied requests for a specific type of R&amp;D grant, we examine the impact of subsidies on small firms\u2019 access to external equity, short term and long term debt financing. We find that obtaining an R&amp;D subsidy provides a positive signal about SME quality and results in better access to long-term debt.", "author" : [ { "dropping-particle" : "", "family" : "Meuleman", "given" : "Miguel", "non-dropping-particle" : "", "parse-names" : false, "suffix" : "" }, { "dropping-particle" : "", "family" : "Maeseneire", "given" : "Wouter", "non-dropping-particle" : "De", "parse-names" : false, "suffix" : "" } ], "container-title" : "Research Policy", "id" : "ITEM-3", "issue" : "3", "issued" : { "date-parts" : [ [ "2012", "4" ] ] }, "page" : "580-591", "title" : "Do R&amp;D Subsidies Affect SMEs\u2019 Access to External Financing?", "type" : "article-journal", "volume" : "41" }, "uris" : [ "http://www.mendeley.com/documents/?uuid=d1f90ddc-2d4e-4a32-b467-35189ac0286f" ] } ], "mendeley" : { "formattedCitation" : "(Feldman and Kelley 2006; Lerner 1999; Meuleman and De Maeseneire 2012)", "plainTextFormattedCitation" : "(Feldman and Kelley 2006; Lerner 1999; Meuleman and De Maeseneire 2012)", "previouslyFormattedCitation" : "(Feldman and Kelley 2006; Lerner 1999; Meuleman and De Maeseneire 2012)" }, "properties" : { "noteIndex" : 0 }, "schema" : "https://github.com/citation-style-language/schema/raw/master/csl-citation.json" }</w:instrText>
      </w:r>
      <w:r w:rsidR="007C60DA" w:rsidRPr="00F925AE">
        <w:rPr>
          <w:rFonts w:eastAsia="Times New Roman" w:cs="Times New Roman"/>
          <w:sz w:val="20"/>
          <w:szCs w:val="20"/>
        </w:rPr>
        <w:fldChar w:fldCharType="separate"/>
      </w:r>
      <w:r w:rsidRPr="00F925AE">
        <w:rPr>
          <w:rFonts w:eastAsia="Times New Roman" w:cs="Times New Roman"/>
          <w:noProof/>
          <w:sz w:val="20"/>
          <w:szCs w:val="20"/>
        </w:rPr>
        <w:t>(Feldman and Kelley 2006; Lerner 1999; Meuleman and De Maeseneire 2012)</w:t>
      </w:r>
      <w:r w:rsidR="007C60DA" w:rsidRPr="00F925AE">
        <w:rPr>
          <w:rFonts w:eastAsia="Times New Roman" w:cs="Times New Roman"/>
          <w:sz w:val="20"/>
          <w:szCs w:val="20"/>
        </w:rPr>
        <w:fldChar w:fldCharType="end"/>
      </w:r>
      <w:r w:rsidRPr="00F925AE">
        <w:rPr>
          <w:rFonts w:eastAsia="Times New Roman" w:cs="Times New Roman"/>
          <w:sz w:val="20"/>
          <w:szCs w:val="20"/>
        </w:rPr>
        <w:t xml:space="preserve"> and Government VC </w:t>
      </w:r>
      <w:r w:rsidR="007C60DA" w:rsidRPr="00F925AE">
        <w:rPr>
          <w:rFonts w:eastAsia="Times New Roman" w:cs="Times New Roman"/>
          <w:sz w:val="20"/>
          <w:szCs w:val="20"/>
        </w:rPr>
        <w:fldChar w:fldCharType="begin" w:fldLock="1"/>
      </w:r>
      <w:r w:rsidRPr="00F925AE">
        <w:rPr>
          <w:rFonts w:eastAsia="Times New Roman" w:cs="Times New Roman"/>
          <w:sz w:val="20"/>
          <w:szCs w:val="20"/>
        </w:rPr>
        <w:instrText>ADDIN CSL_CITATION { "citationItems" : [ { "id" : "ITEM-1", "itemData" : { "DOI" : "10.1016/j.jbusvent.2015.10.001", "ISSN" : "08839026", "author" : [ { "dropping-particle" : "", "family" : "Guerini", "given" : "Massimiliano", "non-dropping-particle" : "", "parse-names" : false, "suffix" : "" }, { "dropping-particle" : "", "family" : "Quas", "given" : "Anita", "non-dropping-particle" : "", "parse-names" : false, "suffix" : "" } ], "container-title" : "Journal of Business Venturing", "id" : "ITEM-1", "issue" : "2", "issued" : { "date-parts" : [ [ "2015" ] ] }, "page" : "175\u2013195", "title" : "Governmental Venture Capital in Europe: Screening and Certification", "type" : "article-journal", "volume" : "31" }, "uris" : [ "http://www.mendeley.com/documents/?uuid=a3c05150-7ad8-4c36-8ac2-c5c4525f862e" ] } ], "mendeley" : { "formattedCitation" : "(Guerini and Quas 2015)", "plainTextFormattedCitation" : "(Guerini and Quas 2015)", "previouslyFormattedCitation" : "(Guerini and Quas 2015)" }, "properties" : { "noteIndex" : 0 }, "schema" : "https://github.com/citation-style-language/schema/raw/master/csl-citation.json" }</w:instrText>
      </w:r>
      <w:r w:rsidR="007C60DA" w:rsidRPr="00F925AE">
        <w:rPr>
          <w:rFonts w:eastAsia="Times New Roman" w:cs="Times New Roman"/>
          <w:sz w:val="20"/>
          <w:szCs w:val="20"/>
        </w:rPr>
        <w:fldChar w:fldCharType="separate"/>
      </w:r>
      <w:r w:rsidRPr="00F925AE">
        <w:rPr>
          <w:rFonts w:eastAsia="Times New Roman" w:cs="Times New Roman"/>
          <w:noProof/>
          <w:sz w:val="20"/>
          <w:szCs w:val="20"/>
        </w:rPr>
        <w:t>(Guerini and Quas 2015)</w:t>
      </w:r>
      <w:r w:rsidR="007C60DA" w:rsidRPr="00F925AE">
        <w:rPr>
          <w:rFonts w:eastAsia="Times New Roman" w:cs="Times New Roman"/>
          <w:sz w:val="20"/>
          <w:szCs w:val="20"/>
        </w:rPr>
        <w:fldChar w:fldCharType="end"/>
      </w:r>
      <w:r w:rsidRPr="00F925AE">
        <w:rPr>
          <w:rFonts w:eastAsia="Times New Roman" w:cs="Times New Roman"/>
          <w:sz w:val="20"/>
          <w:szCs w:val="20"/>
        </w:rPr>
        <w:t>, we test it for the first time on PLs. We argue that the receipt of PLs may also reduce moral hazard problems between SMEs and commercial banks. PLs align SMEs and lenders’ interests by requiring the lender to commit additional capital.</w:t>
      </w:r>
    </w:p>
    <w:p w:rsidR="00512993" w:rsidRPr="00F925AE" w:rsidRDefault="00512993" w:rsidP="00512993">
      <w:pPr>
        <w:autoSpaceDE w:val="0"/>
        <w:autoSpaceDN w:val="0"/>
        <w:adjustRightInd w:val="0"/>
        <w:spacing w:before="120" w:after="120"/>
        <w:rPr>
          <w:rFonts w:cs="Times New Roman"/>
          <w:sz w:val="20"/>
          <w:szCs w:val="20"/>
        </w:rPr>
      </w:pPr>
      <w:r w:rsidRPr="00F925AE">
        <w:rPr>
          <w:rFonts w:cs="Times New Roman"/>
          <w:sz w:val="20"/>
          <w:szCs w:val="20"/>
        </w:rPr>
        <w:t>We test our hypotheses on a sample of 488 firms receiving PLs from a Spanish government agency (ENISA) between 2005 and 2010</w:t>
      </w:r>
      <w:r w:rsidR="00F22E2C" w:rsidRPr="00F925AE">
        <w:rPr>
          <w:rFonts w:cs="Times New Roman"/>
          <w:sz w:val="20"/>
          <w:szCs w:val="20"/>
        </w:rPr>
        <w:t xml:space="preserve"> and a control group of 719 peers.</w:t>
      </w:r>
      <w:r w:rsidRPr="00F925AE">
        <w:rPr>
          <w:rFonts w:cs="Times New Roman"/>
          <w:sz w:val="20"/>
          <w:szCs w:val="20"/>
        </w:rPr>
        <w:t xml:space="preserve"> We find that SMEs receiving PLs have significantly higher financial debt</w:t>
      </w:r>
      <w:r w:rsidR="00F22E2C" w:rsidRPr="00F925AE">
        <w:rPr>
          <w:rFonts w:cs="Times New Roman"/>
          <w:sz w:val="20"/>
          <w:szCs w:val="20"/>
        </w:rPr>
        <w:t xml:space="preserve"> (+31.5%)</w:t>
      </w:r>
      <w:r w:rsidRPr="00F925AE">
        <w:rPr>
          <w:rFonts w:cs="Times New Roman"/>
          <w:sz w:val="20"/>
          <w:szCs w:val="20"/>
        </w:rPr>
        <w:t xml:space="preserve">, well beyond the value of the loan itself. The effect is </w:t>
      </w:r>
      <w:r w:rsidR="00F22E2C" w:rsidRPr="00F925AE">
        <w:rPr>
          <w:rFonts w:cs="Times New Roman"/>
          <w:sz w:val="20"/>
          <w:szCs w:val="20"/>
        </w:rPr>
        <w:t>driven by</w:t>
      </w:r>
      <w:r w:rsidRPr="00F925AE">
        <w:rPr>
          <w:rFonts w:cs="Times New Roman"/>
          <w:sz w:val="20"/>
          <w:szCs w:val="20"/>
        </w:rPr>
        <w:t xml:space="preserve"> firms operating in high-technology sectors</w:t>
      </w:r>
      <w:r w:rsidR="00F22E2C" w:rsidRPr="00F925AE">
        <w:rPr>
          <w:rFonts w:cs="Times New Roman"/>
          <w:sz w:val="20"/>
          <w:szCs w:val="20"/>
        </w:rPr>
        <w:t xml:space="preserve"> and small firms (i.e., less than 6 million euros of total assets at the moment of the receipt of the PL)</w:t>
      </w:r>
      <w:r w:rsidRPr="00F925AE">
        <w:rPr>
          <w:rFonts w:cs="Times New Roman"/>
          <w:sz w:val="20"/>
          <w:szCs w:val="20"/>
        </w:rPr>
        <w:t xml:space="preserve">, which are characterized by higher information asymmetries. In contrast, we do not find a significant effect on younger firms, probably because ENISA-backed firms were all very young at the time the loan was granted (70% and 85% of them were, respectively, less than 5 and 10 years old). The certification effect is </w:t>
      </w:r>
      <w:r w:rsidR="00F22E2C" w:rsidRPr="00F925AE">
        <w:rPr>
          <w:rFonts w:cs="Times New Roman"/>
          <w:sz w:val="20"/>
          <w:szCs w:val="20"/>
        </w:rPr>
        <w:t>not significant</w:t>
      </w:r>
      <w:r w:rsidRPr="00F925AE">
        <w:rPr>
          <w:rFonts w:cs="Times New Roman"/>
          <w:sz w:val="20"/>
          <w:szCs w:val="20"/>
        </w:rPr>
        <w:t xml:space="preserve"> for firms that had previously received government support</w:t>
      </w:r>
      <w:r w:rsidR="00C53765" w:rsidRPr="00F925AE">
        <w:rPr>
          <w:rFonts w:cs="Times New Roman"/>
          <w:sz w:val="20"/>
          <w:szCs w:val="20"/>
        </w:rPr>
        <w:t xml:space="preserve"> and</w:t>
      </w:r>
      <w:r w:rsidRPr="00F925AE">
        <w:rPr>
          <w:rFonts w:cs="Times New Roman"/>
          <w:sz w:val="20"/>
          <w:szCs w:val="20"/>
        </w:rPr>
        <w:t xml:space="preserve"> whose quality was arguably already certified by another government agency. On the contrary, we do not find that firms that received VC (also a certifying body) were less affected by the receipt of PLs. One possible explanation for this result is that the information conveyed by VC and the government is not redundant in the eye of commercial banks, provided that it comes from totally different sources.</w:t>
      </w:r>
      <w:r w:rsidR="00F22E2C" w:rsidRPr="00F925AE">
        <w:rPr>
          <w:rFonts w:cs="Times New Roman"/>
          <w:sz w:val="20"/>
          <w:szCs w:val="20"/>
        </w:rPr>
        <w:t xml:space="preserve"> Lastly, the effect of PLs is stronger for companies with fewer tangible assets, i.e. lower values of collateral.</w:t>
      </w:r>
    </w:p>
    <w:p w:rsidR="00512993" w:rsidRPr="00F925AE" w:rsidRDefault="00512993" w:rsidP="00512993">
      <w:pPr>
        <w:autoSpaceDE w:val="0"/>
        <w:autoSpaceDN w:val="0"/>
        <w:adjustRightInd w:val="0"/>
        <w:spacing w:before="120" w:after="120"/>
        <w:rPr>
          <w:rFonts w:cs="Times New Roman"/>
          <w:sz w:val="20"/>
          <w:szCs w:val="20"/>
        </w:rPr>
      </w:pPr>
      <w:r w:rsidRPr="00F925AE">
        <w:rPr>
          <w:rFonts w:cs="Times New Roman"/>
          <w:sz w:val="20"/>
          <w:szCs w:val="20"/>
        </w:rPr>
        <w:t xml:space="preserve">This work contributes to the literature on entrepreneurial finance in several ways. First, </w:t>
      </w:r>
      <w:r w:rsidRPr="00F925AE">
        <w:rPr>
          <w:rFonts w:eastAsia="Times New Roman" w:cs="Times New Roman"/>
          <w:sz w:val="20"/>
          <w:szCs w:val="20"/>
        </w:rPr>
        <w:t>by focusing on hybrid financial instruments, which have only recently attracted the interest of policymakers</w:t>
      </w:r>
      <w:r w:rsidRPr="00F925AE">
        <w:rPr>
          <w:rFonts w:cs="Times New Roman"/>
          <w:sz w:val="20"/>
          <w:szCs w:val="20"/>
        </w:rPr>
        <w:t xml:space="preserve"> </w:t>
      </w:r>
      <w:r w:rsidR="007C60DA" w:rsidRPr="00F925AE">
        <w:rPr>
          <w:rFonts w:cs="Times New Roman"/>
          <w:sz w:val="20"/>
          <w:szCs w:val="20"/>
        </w:rPr>
        <w:fldChar w:fldCharType="begin" w:fldLock="1"/>
      </w:r>
      <w:r w:rsidRPr="00F925AE">
        <w:rPr>
          <w:rFonts w:cs="Times New Roman"/>
          <w:sz w:val="20"/>
          <w:szCs w:val="20"/>
        </w:rPr>
        <w:instrText>ADDIN CSL_CITATION { "citationItems" : [ { "id" : "ITEM-1", "itemData" : { "author" : [ { "dropping-particle" : "", "family" : "OECD", "given" : "", "non-dropping-particle" : "", "parse-names" : false, "suffix" : "" } ], "id" : "ITEM-1", "issued" : { "date-parts" : [ [ "2015" ] ] }, "number-of-pages" : "1 - 109", "title" : "New approaches to SME and Entrepreneurial Financing: Broadening the Range of Instruments", "type" : "report" }, "uris" : [ "http://www.mendeley.com/documents/?uuid=ca493dc5-32ce-4231-9bfa-549a9d23b440" ] } ], "mendeley" : { "formattedCitation" : "(OECD 2015)", "plainTextFormattedCitation" : "(OECD 2015)", "previouslyFormattedCitation" : "(OECD 2015)" }, "properties" : { "noteIndex" : 0 }, "schema" : "https://github.com/citation-style-language/schema/raw/master/csl-citation.json" }</w:instrText>
      </w:r>
      <w:r w:rsidR="007C60DA" w:rsidRPr="00F925AE">
        <w:rPr>
          <w:rFonts w:cs="Times New Roman"/>
          <w:sz w:val="20"/>
          <w:szCs w:val="20"/>
        </w:rPr>
        <w:fldChar w:fldCharType="separate"/>
      </w:r>
      <w:r w:rsidRPr="00F925AE">
        <w:rPr>
          <w:rFonts w:cs="Times New Roman"/>
          <w:noProof/>
          <w:sz w:val="20"/>
          <w:szCs w:val="20"/>
        </w:rPr>
        <w:t>(OECD 2015)</w:t>
      </w:r>
      <w:r w:rsidR="007C60DA" w:rsidRPr="00F925AE">
        <w:rPr>
          <w:rFonts w:cs="Times New Roman"/>
          <w:sz w:val="20"/>
          <w:szCs w:val="20"/>
        </w:rPr>
        <w:fldChar w:fldCharType="end"/>
      </w:r>
      <w:r w:rsidRPr="00F925AE">
        <w:rPr>
          <w:rFonts w:cs="Times New Roman"/>
          <w:sz w:val="20"/>
          <w:szCs w:val="20"/>
        </w:rPr>
        <w:t xml:space="preserve">, we extend the existing literature on the different forms of government support to young and innovative firms </w:t>
      </w:r>
      <w:r w:rsidR="007C60DA" w:rsidRPr="00F925AE">
        <w:rPr>
          <w:rFonts w:eastAsia="Times New Roman" w:cs="Times New Roman"/>
          <w:sz w:val="20"/>
          <w:szCs w:val="20"/>
        </w:rPr>
        <w:fldChar w:fldCharType="begin" w:fldLock="1"/>
      </w:r>
      <w:r w:rsidRPr="00F925AE">
        <w:rPr>
          <w:rFonts w:eastAsia="Times New Roman" w:cs="Times New Roman"/>
          <w:sz w:val="20"/>
          <w:szCs w:val="20"/>
        </w:rPr>
        <w:instrText>ADDIN CSL_CITATION { "citationItems" : [ { "id" : "ITEM-1", "itemData" : { "DOI" : "10.1023/A:1011164801073", "ISSN" : "0921898X", "author" : [ { "dropping-particle" : "", "family" : "North", "given" : "David", "non-dropping-particle" : "", "parse-names" : false, "suffix" : "" }, { "dropping-particle" : "", "family" : "Smallbone", "given" : "David", "non-dropping-particle" : "", "parse-names" : false, "suffix" : "" }, { "dropping-particle" : "", "family" : "Vickers", "given" : "Ian", "non-dropping-particle" : "", "parse-names" : false, "suffix" : "" } ], "container-title" : "Small Business Economics", "id" : "ITEM-1", "issue" : "4", "issued" : { "date-parts" : [ [ "2001" ] ] }, "page" : "303-317", "publisher" : "Kluwer Academic Publishers", "title" : "Public Sector Support for Innovating SMEs", "type" : "article-journal", "volume" : "16" }, "uris" : [ "http://www.mendeley.com/documents/?uuid=b8957fd8-034c-3763-b971-048819834916" ] } ], "mendeley" : { "formattedCitation" : "(North et al. 2001)", "plainTextFormattedCitation" : "(North et al. 2001)", "previouslyFormattedCitation" : "(North et al. 2001)" }, "properties" : { "noteIndex" : 0 }, "schema" : "https://github.com/citation-style-language/schema/raw/master/csl-citation.json" }</w:instrText>
      </w:r>
      <w:r w:rsidR="007C60DA" w:rsidRPr="00F925AE">
        <w:rPr>
          <w:rFonts w:eastAsia="Times New Roman" w:cs="Times New Roman"/>
          <w:sz w:val="20"/>
          <w:szCs w:val="20"/>
        </w:rPr>
        <w:fldChar w:fldCharType="separate"/>
      </w:r>
      <w:r w:rsidRPr="00F925AE">
        <w:rPr>
          <w:rFonts w:eastAsia="Times New Roman" w:cs="Times New Roman"/>
          <w:noProof/>
          <w:sz w:val="20"/>
          <w:szCs w:val="20"/>
        </w:rPr>
        <w:t>(North et al. 2001)</w:t>
      </w:r>
      <w:r w:rsidR="007C60DA" w:rsidRPr="00F925AE">
        <w:rPr>
          <w:rFonts w:eastAsia="Times New Roman" w:cs="Times New Roman"/>
          <w:sz w:val="20"/>
          <w:szCs w:val="20"/>
        </w:rPr>
        <w:fldChar w:fldCharType="end"/>
      </w:r>
      <w:r w:rsidRPr="00F925AE">
        <w:rPr>
          <w:rFonts w:eastAsia="Times New Roman" w:cs="Times New Roman"/>
          <w:sz w:val="20"/>
          <w:szCs w:val="20"/>
        </w:rPr>
        <w:t xml:space="preserve">. </w:t>
      </w:r>
      <w:r w:rsidRPr="00F925AE">
        <w:rPr>
          <w:rFonts w:cs="Times New Roman"/>
          <w:sz w:val="20"/>
          <w:szCs w:val="20"/>
        </w:rPr>
        <w:t xml:space="preserve">Second, we complement the existing evidence on the certification effect of government support towards external investors by studying under which conditions the effect is stronger, thus expanding the study of Meuleman and De Maeseneire (2012). </w:t>
      </w:r>
      <w:r w:rsidRPr="00F925AE">
        <w:rPr>
          <w:rFonts w:eastAsia="Times New Roman" w:cs="Times New Roman"/>
          <w:sz w:val="20"/>
          <w:szCs w:val="20"/>
        </w:rPr>
        <w:t xml:space="preserve">Third, we contribute to the existing evidence on the impact of policy measures </w:t>
      </w:r>
      <w:r w:rsidRPr="00F925AE">
        <w:rPr>
          <w:rFonts w:eastAsia="Times New Roman" w:cs="Times New Roman"/>
          <w:sz w:val="20"/>
          <w:szCs w:val="20"/>
        </w:rPr>
        <w:lastRenderedPageBreak/>
        <w:t xml:space="preserve">undertaken by public authorities to fill the funding gap in SMEs. </w:t>
      </w:r>
      <w:r w:rsidRPr="00F925AE">
        <w:rPr>
          <w:rFonts w:cs="Times New Roman"/>
          <w:sz w:val="20"/>
          <w:szCs w:val="20"/>
        </w:rPr>
        <w:t>While other researchers have found that</w:t>
      </w:r>
      <w:r w:rsidR="00F76CAD" w:rsidRPr="00F925AE">
        <w:rPr>
          <w:rFonts w:cs="Times New Roman"/>
          <w:sz w:val="20"/>
          <w:szCs w:val="20"/>
        </w:rPr>
        <w:t xml:space="preserve"> the</w:t>
      </w:r>
      <w:r w:rsidRPr="00F925AE">
        <w:rPr>
          <w:rFonts w:cs="Times New Roman"/>
          <w:sz w:val="20"/>
          <w:szCs w:val="20"/>
        </w:rPr>
        <w:t xml:space="preserve"> receipt of government support reduces the financial constraints of award</w:t>
      </w:r>
      <w:r w:rsidR="007F4963" w:rsidRPr="00F925AE">
        <w:rPr>
          <w:rFonts w:cs="Times New Roman"/>
          <w:sz w:val="20"/>
          <w:szCs w:val="20"/>
        </w:rPr>
        <w:t>-receiving</w:t>
      </w:r>
      <w:r w:rsidRPr="00F925AE">
        <w:rPr>
          <w:rFonts w:cs="Times New Roman"/>
          <w:sz w:val="20"/>
          <w:szCs w:val="20"/>
        </w:rPr>
        <w:t xml:space="preserve"> firms </w:t>
      </w:r>
      <w:r w:rsidR="007C60DA" w:rsidRPr="00F925AE">
        <w:rPr>
          <w:rFonts w:cs="Times New Roman"/>
          <w:sz w:val="20"/>
          <w:szCs w:val="20"/>
        </w:rPr>
        <w:fldChar w:fldCharType="begin" w:fldLock="1"/>
      </w:r>
      <w:r w:rsidRPr="00F925AE">
        <w:rPr>
          <w:rFonts w:cs="Times New Roman"/>
          <w:sz w:val="20"/>
          <w:szCs w:val="20"/>
        </w:rPr>
        <w:instrText>ADDIN CSL_CITATION { "citationItems" : [ { "id" : "ITEM-1", "itemData" : { "DOI" : "10.1016/j.respol.2013.07.003", "ISSN" : "00487333", "abstract" : "This work analyses the effect of public subsidies on firms\u2019 investments and investment\u2013cash flow sensitivity in a longitudinal sample of 288 Italian unlisted non-venture capital backed owner-managed new-technology-based firms (NTBFs), observed over a 15-year period from 1994 to 2008. Seventy five of these firms received one or more public subsidies in the observation period. We use an error correction model (ECM) specification and system generalised method of moment (GMM) techniques that take into account the endogeneity of public subsidies. First, we find that the investments of small NTBFs are sensitive to internal cash flows, while those of large NTBFs are not. Receipt of public subsidies by small NTBFs results in an increased investment rate and a reduced investment\u2013cash flow sensitivity, in the immediately following year. We interpret these results as an indication of the relaxation of financial constraints. Moreover, while the increase in the investment rate does not persist in the long run, the dependence of investments on cash flow remains negligible after receipt of the first public subsidy. These results support the view that public subsidies can help small NTBFs in persistently removing the financial constraints that bind their investment activity.", "author" : [ { "dropping-particle" : "", "family" : "Colombo", "given" : "Massimo Gaetano", "non-dropping-particle" : "", "parse-names" : false, "suffix" : "" }, { "dropping-particle" : "", "family" : "Croce", "given" : "Annalisa", "non-dropping-particle" : "", "parse-names" : false, "suffix" : "" }, { "dropping-particle" : "", "family" : "Guerini", "given" : "Massimiliano", "non-dropping-particle" : "", "parse-names" : false, "suffix" : "" } ], "container-title" : "Research Policy", "id" : "ITEM-1", "issue" : "9", "issued" : { "date-parts" : [ [ "2013", "11" ] ] }, "page" : "1605-1623", "title" : "The Effect of Public Subsidies on Firms\u2019 Investment\u2013Cash Flow Sensitivity: Transient or Persistent?", "type" : "article-journal", "volume" : "42" }, "uris" : [ "http://www.mendeley.com/documents/?uuid=ac945889-6c62-492d-9e2a-f0017d77d6a6" ] } ], "mendeley" : { "formattedCitation" : "(Colombo et al. 2013)", "manualFormatting" : "(e.g., Colombo et al. 2013)", "plainTextFormattedCitation" : "(Colombo et al. 2013)", "previouslyFormattedCitation" : "(Colombo et al. 2013)" }, "properties" : { "noteIndex" : 0 }, "schema" : "https://github.com/citation-style-language/schema/raw/master/csl-citation.json" }</w:instrText>
      </w:r>
      <w:r w:rsidR="007C60DA" w:rsidRPr="00F925AE">
        <w:rPr>
          <w:rFonts w:cs="Times New Roman"/>
          <w:sz w:val="20"/>
          <w:szCs w:val="20"/>
        </w:rPr>
        <w:fldChar w:fldCharType="separate"/>
      </w:r>
      <w:r w:rsidRPr="00F925AE">
        <w:rPr>
          <w:rFonts w:cs="Times New Roman"/>
          <w:noProof/>
          <w:sz w:val="20"/>
          <w:szCs w:val="20"/>
        </w:rPr>
        <w:t>(e.g., Colombo et al. 2013)</w:t>
      </w:r>
      <w:r w:rsidR="007C60DA" w:rsidRPr="00F925AE">
        <w:rPr>
          <w:rFonts w:cs="Times New Roman"/>
          <w:sz w:val="20"/>
          <w:szCs w:val="20"/>
        </w:rPr>
        <w:fldChar w:fldCharType="end"/>
      </w:r>
      <w:r w:rsidRPr="00F925AE">
        <w:rPr>
          <w:rFonts w:cs="Times New Roman"/>
          <w:sz w:val="20"/>
          <w:szCs w:val="20"/>
        </w:rPr>
        <w:t xml:space="preserve">, this work provides more details about the mechanisms through which this effect is enhanced. In particular, besides the aforementioned certification effect, we also find that </w:t>
      </w:r>
      <w:r w:rsidR="00F76CAD" w:rsidRPr="00F925AE">
        <w:rPr>
          <w:rFonts w:cs="Times New Roman"/>
          <w:sz w:val="20"/>
          <w:szCs w:val="20"/>
        </w:rPr>
        <w:t xml:space="preserve">the </w:t>
      </w:r>
      <w:r w:rsidRPr="00F925AE">
        <w:rPr>
          <w:rFonts w:cs="Times New Roman"/>
          <w:sz w:val="20"/>
          <w:szCs w:val="20"/>
        </w:rPr>
        <w:t xml:space="preserve">receipt of PLs allows firms to increase the value of their collateral, which in turn improves access to commercial debt. The certification effect and the </w:t>
      </w:r>
      <w:r w:rsidRPr="00F925AE">
        <w:rPr>
          <w:rFonts w:cs="Times New Roman"/>
          <w:i/>
          <w:sz w:val="20"/>
          <w:szCs w:val="20"/>
        </w:rPr>
        <w:t>collateral effect</w:t>
      </w:r>
      <w:r w:rsidRPr="00F925AE">
        <w:rPr>
          <w:rFonts w:cs="Times New Roman"/>
          <w:sz w:val="20"/>
          <w:szCs w:val="20"/>
        </w:rPr>
        <w:t xml:space="preserve"> partially mediate each other.</w:t>
      </w:r>
    </w:p>
    <w:p w:rsidR="00512993" w:rsidRPr="00F925AE" w:rsidRDefault="00512993" w:rsidP="00512993">
      <w:pPr>
        <w:autoSpaceDE w:val="0"/>
        <w:autoSpaceDN w:val="0"/>
        <w:adjustRightInd w:val="0"/>
        <w:spacing w:before="120" w:after="120"/>
        <w:rPr>
          <w:rFonts w:eastAsia="Times New Roman" w:cs="Times New Roman"/>
          <w:sz w:val="20"/>
          <w:szCs w:val="20"/>
        </w:rPr>
      </w:pPr>
      <w:r w:rsidRPr="00F925AE">
        <w:rPr>
          <w:rFonts w:cs="Times New Roman"/>
          <w:sz w:val="20"/>
          <w:szCs w:val="20"/>
        </w:rPr>
        <w:t xml:space="preserve">We believe that this paper also has interesting policy implications. In the struggle to design appropriate schemes to support SMEs </w:t>
      </w:r>
      <w:r w:rsidR="007C60DA" w:rsidRPr="00F925AE">
        <w:rPr>
          <w:rFonts w:eastAsia="Times New Roman" w:cs="Times New Roman"/>
          <w:sz w:val="20"/>
          <w:szCs w:val="20"/>
        </w:rPr>
        <w:fldChar w:fldCharType="begin" w:fldLock="1"/>
      </w:r>
      <w:r w:rsidRPr="00F925AE">
        <w:rPr>
          <w:rFonts w:eastAsia="Times New Roman" w:cs="Times New Roman"/>
          <w:sz w:val="20"/>
          <w:szCs w:val="20"/>
        </w:rPr>
        <w:instrText>ADDIN CSL_CITATION { "citationItems" : [ { "id" : "ITEM-1", "itemData" : { "DOI" : "10.1007/s10961-014-9380-9", "ISSN" : "0892-9912", "abstract" : "Governments around the world have set up governmental venture capital (GVC) funds, and are increasingly doing so, with the aims of fostering the development of a private venture capital industry and to alleviate the equity capital gap of young innovative firms. The rationale and the appropriateness of these programs is controversial. In this paper, we borrow from the recent literature on entrepreneurial finance to document the evolution and to compare the effects of the different types of governmental support. In contrast with a lack of success in some countries, there have been successful GVC initiatives, such as the Australian Innovation Investment Fund. Consequently, the proper design of the investment processes of GVC funds is an urgent topic for scholars and policy makers.", "author" : [ { "dropping-particle" : "", "family" : "Colombo", "given" : "Massimo Gaetano", "non-dropping-particle" : "", "parse-names" : false, "suffix" : "" }, { "dropping-particle" : "", "family" : "Cumming", "given" : "Douglas J.", "non-dropping-particle" : "", "parse-names" : false, "suffix" : "" }, { "dropping-particle" : "", "family" : "Vismara", "given" : "Silvio", "non-dropping-particle" : "", "parse-names" : false, "suffix" : "" } ], "container-title" : "Journal of Technology Transfer", "id" : "ITEM-1", "issue" : "1", "issued" : { "date-parts" : [ [ "2016", "12", "6" ] ] }, "page" : "10-24", "title" : "Governmental Venture Capital For Innovative Young Firms", "type" : "article-journal", "volume" : "41" }, "uris" : [ "http://www.mendeley.com/documents/?uuid=f6fed9c4-6517-4b94-bdb4-67c5640cce7d" ] } ], "mendeley" : { "formattedCitation" : "(Colombo et al. 2016)", "manualFormatting" : "(Colombo et al. 2014)", "plainTextFormattedCitation" : "(Colombo et al. 2016)", "previouslyFormattedCitation" : "(Colombo et al. 2016)" }, "properties" : { "noteIndex" : 0 }, "schema" : "https://github.com/citation-style-language/schema/raw/master/csl-citation.json" }</w:instrText>
      </w:r>
      <w:r w:rsidR="007C60DA" w:rsidRPr="00F925AE">
        <w:rPr>
          <w:rFonts w:eastAsia="Times New Roman" w:cs="Times New Roman"/>
          <w:sz w:val="20"/>
          <w:szCs w:val="20"/>
        </w:rPr>
        <w:fldChar w:fldCharType="separate"/>
      </w:r>
      <w:r w:rsidRPr="00F925AE">
        <w:rPr>
          <w:rFonts w:eastAsia="Times New Roman" w:cs="Times New Roman"/>
          <w:noProof/>
          <w:sz w:val="20"/>
          <w:szCs w:val="20"/>
        </w:rPr>
        <w:t>(Colombo et al. 2014)</w:t>
      </w:r>
      <w:r w:rsidR="007C60DA" w:rsidRPr="00F925AE">
        <w:rPr>
          <w:rFonts w:eastAsia="Times New Roman" w:cs="Times New Roman"/>
          <w:sz w:val="20"/>
          <w:szCs w:val="20"/>
        </w:rPr>
        <w:fldChar w:fldCharType="end"/>
      </w:r>
      <w:r w:rsidRPr="00F925AE">
        <w:rPr>
          <w:rFonts w:eastAsia="Times New Roman" w:cs="Times New Roman"/>
          <w:sz w:val="20"/>
          <w:szCs w:val="20"/>
        </w:rPr>
        <w:t xml:space="preserve">, </w:t>
      </w:r>
      <w:r w:rsidRPr="00F925AE">
        <w:rPr>
          <w:rFonts w:cs="Times New Roman"/>
          <w:sz w:val="20"/>
          <w:szCs w:val="20"/>
        </w:rPr>
        <w:t xml:space="preserve">policy makers </w:t>
      </w:r>
      <w:r w:rsidR="00C53765" w:rsidRPr="00F925AE">
        <w:rPr>
          <w:rFonts w:cs="Times New Roman"/>
          <w:sz w:val="20"/>
          <w:szCs w:val="20"/>
        </w:rPr>
        <w:t xml:space="preserve">throughout </w:t>
      </w:r>
      <w:r w:rsidRPr="00F925AE">
        <w:rPr>
          <w:rFonts w:cs="Times New Roman"/>
          <w:sz w:val="20"/>
          <w:szCs w:val="20"/>
        </w:rPr>
        <w:t xml:space="preserve"> the world have recently directed their attention towards hybrid instruments, which combine debt and equity features </w:t>
      </w:r>
      <w:r w:rsidR="007C60DA" w:rsidRPr="00F925AE">
        <w:rPr>
          <w:rFonts w:cs="Times New Roman"/>
          <w:sz w:val="20"/>
          <w:szCs w:val="20"/>
        </w:rPr>
        <w:fldChar w:fldCharType="begin" w:fldLock="1"/>
      </w:r>
      <w:r w:rsidRPr="00F925AE">
        <w:rPr>
          <w:rFonts w:cs="Times New Roman"/>
          <w:sz w:val="20"/>
          <w:szCs w:val="20"/>
        </w:rPr>
        <w:instrText>ADDIN CSL_CITATION { "citationItems" : [ { "id" : "ITEM-1", "itemData" : { "author" : [ { "dropping-particle" : "", "family" : "OECD", "given" : "", "non-dropping-particle" : "", "parse-names" : false, "suffix" : "" } ], "id" : "ITEM-1", "issued" : { "date-parts" : [ [ "2015" ] ] }, "number-of-pages" : "1 - 109", "title" : "New approaches to SME and Entrepreneurial Financing: Broadening the Range of Instruments", "type" : "report" }, "uris" : [ "http://www.mendeley.com/documents/?uuid=ca493dc5-32ce-4231-9bfa-549a9d23b440" ] } ], "mendeley" : { "formattedCitation" : "(OECD 2015)", "plainTextFormattedCitation" : "(OECD 2015)", "previouslyFormattedCitation" : "(OECD 2015)" }, "properties" : { "noteIndex" : 0 }, "schema" : "https://github.com/citation-style-language/schema/raw/master/csl-citation.json" }</w:instrText>
      </w:r>
      <w:r w:rsidR="007C60DA" w:rsidRPr="00F925AE">
        <w:rPr>
          <w:rFonts w:cs="Times New Roman"/>
          <w:sz w:val="20"/>
          <w:szCs w:val="20"/>
        </w:rPr>
        <w:fldChar w:fldCharType="separate"/>
      </w:r>
      <w:r w:rsidRPr="00F925AE">
        <w:rPr>
          <w:rFonts w:cs="Times New Roman"/>
          <w:noProof/>
          <w:sz w:val="20"/>
          <w:szCs w:val="20"/>
        </w:rPr>
        <w:t>(OECD 2015)</w:t>
      </w:r>
      <w:r w:rsidR="007C60DA" w:rsidRPr="00F925AE">
        <w:rPr>
          <w:rFonts w:cs="Times New Roman"/>
          <w:sz w:val="20"/>
          <w:szCs w:val="20"/>
        </w:rPr>
        <w:fldChar w:fldCharType="end"/>
      </w:r>
      <w:r w:rsidRPr="00F925AE">
        <w:rPr>
          <w:rFonts w:cs="Times New Roman"/>
          <w:sz w:val="20"/>
          <w:szCs w:val="20"/>
        </w:rPr>
        <w:t>. This paper supports the use of one of these new schemes: PLs</w:t>
      </w:r>
      <w:r w:rsidRPr="00F925AE">
        <w:rPr>
          <w:rFonts w:eastAsia="Times New Roman" w:cs="Times New Roman"/>
          <w:sz w:val="20"/>
          <w:szCs w:val="20"/>
        </w:rPr>
        <w:t>.</w:t>
      </w:r>
      <w:r w:rsidRPr="00F925AE">
        <w:rPr>
          <w:rFonts w:cs="Times New Roman"/>
          <w:sz w:val="20"/>
          <w:szCs w:val="20"/>
        </w:rPr>
        <w:t xml:space="preserve"> As a policy instrument,</w:t>
      </w:r>
      <w:r w:rsidRPr="00F925AE">
        <w:rPr>
          <w:rFonts w:eastAsia="Times New Roman" w:cs="Times New Roman"/>
          <w:sz w:val="20"/>
          <w:szCs w:val="20"/>
        </w:rPr>
        <w:t xml:space="preserve"> </w:t>
      </w:r>
      <w:r w:rsidRPr="00F925AE">
        <w:rPr>
          <w:rFonts w:cs="Times New Roman"/>
          <w:sz w:val="20"/>
          <w:szCs w:val="20"/>
        </w:rPr>
        <w:t>PLs are</w:t>
      </w:r>
      <w:r w:rsidRPr="00F925AE">
        <w:rPr>
          <w:rFonts w:eastAsia="Times New Roman" w:cs="Times New Roman"/>
          <w:sz w:val="20"/>
          <w:szCs w:val="20"/>
        </w:rPr>
        <w:t xml:space="preserve"> characterized by a lower burden than R&amp;D subsidies in terms of government spending, which is a concern nowadays to reduce the government deficit, especially in the light of the fact that the benefits of R&amp;D subsidies do not always cover their costs </w:t>
      </w:r>
      <w:r w:rsidR="007C60DA" w:rsidRPr="00F925AE">
        <w:rPr>
          <w:rFonts w:eastAsia="Times New Roman" w:cs="Times New Roman"/>
          <w:sz w:val="20"/>
          <w:szCs w:val="20"/>
        </w:rPr>
        <w:fldChar w:fldCharType="begin" w:fldLock="1"/>
      </w:r>
      <w:r w:rsidRPr="00F925AE">
        <w:rPr>
          <w:rFonts w:eastAsia="Times New Roman" w:cs="Times New Roman"/>
          <w:sz w:val="20"/>
          <w:szCs w:val="20"/>
        </w:rPr>
        <w:instrText>ADDIN CSL_CITATION { "citationItems" : [ { "id" : "ITEM-1", "itemData" : { "DOI" : "10.1007/s11187-016-9749-2", "ISSN" : "0921-898X", "author" : [ { "dropping-particle" : "", "family" : "Decramer", "given" : "Stefaan", "non-dropping-particle" : "", "parse-names" : false, "suffix" : "" }, { "dropping-particle" : "", "family" : "Vanormelingen", "given" : "Stijn", "non-dropping-particle" : "", "parse-names" : false, "suffix" : "" } ], "container-title" : "Small Business Economics", "id" : "ITEM-1", "issued" : { "date-parts" : [ [ "2016", "6", "22" ] ] }, "page" : "1-26", "publisher" : "Springer US", "title" : "The Effectiveness of Investment Subsidies: Evidence From a Regression Discontinuity Design", "type" : "article-journal", "volume" : "In press" }, "uris" : [ "http://www.mendeley.com/documents/?uuid=986e679c-597d-3efb-b8cd-3a351c94a1d7" ] } ], "mendeley" : { "formattedCitation" : "(Decramer and Vanormelingen 2016)", "plainTextFormattedCitation" : "(Decramer and Vanormelingen 2016)", "previouslyFormattedCitation" : "(Decramer and Vanormelingen 2016)" }, "properties" : { "noteIndex" : 0 }, "schema" : "https://github.com/citation-style-language/schema/raw/master/csl-citation.json" }</w:instrText>
      </w:r>
      <w:r w:rsidR="007C60DA" w:rsidRPr="00F925AE">
        <w:rPr>
          <w:rFonts w:eastAsia="Times New Roman" w:cs="Times New Roman"/>
          <w:sz w:val="20"/>
          <w:szCs w:val="20"/>
        </w:rPr>
        <w:fldChar w:fldCharType="separate"/>
      </w:r>
      <w:r w:rsidRPr="00F925AE">
        <w:rPr>
          <w:rFonts w:eastAsia="Times New Roman" w:cs="Times New Roman"/>
          <w:noProof/>
          <w:sz w:val="20"/>
          <w:szCs w:val="20"/>
        </w:rPr>
        <w:t>(Decramer and Vanormelingen 2016)</w:t>
      </w:r>
      <w:r w:rsidR="007C60DA" w:rsidRPr="00F925AE">
        <w:rPr>
          <w:rFonts w:eastAsia="Times New Roman" w:cs="Times New Roman"/>
          <w:sz w:val="20"/>
          <w:szCs w:val="20"/>
        </w:rPr>
        <w:fldChar w:fldCharType="end"/>
      </w:r>
      <w:r w:rsidRPr="00F925AE">
        <w:rPr>
          <w:rFonts w:eastAsia="Times New Roman" w:cs="Times New Roman"/>
          <w:sz w:val="20"/>
          <w:szCs w:val="20"/>
        </w:rPr>
        <w:t xml:space="preserve">. Furthermore, the institution granting the loans does not face as much risk as in the case of pure equity investments. In addition, the potential universe of firms that could take advantage of this instrument is significantly larger than that of VC. From the entrepreneurs’ point of view, </w:t>
      </w:r>
      <w:r w:rsidRPr="00F925AE">
        <w:rPr>
          <w:rFonts w:cs="Times New Roman"/>
          <w:sz w:val="20"/>
          <w:szCs w:val="20"/>
        </w:rPr>
        <w:t>with PLs SMEs face minimum interest payments until breakeven is reached, and are not affected by internal capital dilution.</w:t>
      </w:r>
      <w:r w:rsidR="00F22E2C" w:rsidRPr="00F925AE">
        <w:rPr>
          <w:rFonts w:cs="Times New Roman"/>
          <w:sz w:val="20"/>
          <w:szCs w:val="20"/>
        </w:rPr>
        <w:t xml:space="preserve"> </w:t>
      </w:r>
      <w:r w:rsidR="00F22E2C" w:rsidRPr="00F925AE">
        <w:rPr>
          <w:rFonts w:eastAsia="Times New Roman" w:cs="Times New Roman"/>
          <w:sz w:val="20"/>
          <w:szCs w:val="20"/>
        </w:rPr>
        <w:t>Moreover, we show that PLs exert a negligible certification effect on low-technology, medium-sized companies with sizeable tangible assets, or in companies that already received support from government institutions. These results may provide guidance to governmental agencies in the selective provision of their loans.</w:t>
      </w:r>
    </w:p>
    <w:p w:rsidR="00512993" w:rsidRPr="00F925AE" w:rsidRDefault="00512993">
      <w:pPr>
        <w:autoSpaceDE w:val="0"/>
        <w:autoSpaceDN w:val="0"/>
        <w:adjustRightInd w:val="0"/>
        <w:spacing w:before="120" w:after="120"/>
        <w:rPr>
          <w:rFonts w:eastAsia="Times New Roman" w:cs="Times New Roman"/>
          <w:sz w:val="20"/>
          <w:szCs w:val="20"/>
        </w:rPr>
      </w:pPr>
      <w:r w:rsidRPr="00F925AE">
        <w:rPr>
          <w:rFonts w:cs="Times New Roman"/>
          <w:sz w:val="20"/>
          <w:szCs w:val="20"/>
        </w:rPr>
        <w:t>ENISA clearly represents a success story that could be an inspiration for policy makers outside Spain whose objective is to facilitate SMEs' access to external finance. This study shows that ENISA is considered as a reputable certifying agency by private-sector institutions, which value and trust the screening skills of ENISA. ENISA has developed its reputation as a capable screener, especially in the high–technology sector, by being active in the VC industry for more than ten years before turning its interest to quasi-equity instruments. One important caveat for policy makers is, therefore, to build the reputation of the certifying agency, for instance, by relying on a recognized experience and success of an existing institution.</w:t>
      </w:r>
    </w:p>
    <w:p w:rsidR="00DA2D4F" w:rsidRPr="00F925AE" w:rsidRDefault="00512993">
      <w:pPr>
        <w:rPr>
          <w:rFonts w:eastAsiaTheme="majorEastAsia" w:cs="Times New Roman"/>
          <w:b/>
          <w:spacing w:val="5"/>
          <w:sz w:val="20"/>
          <w:szCs w:val="20"/>
        </w:rPr>
      </w:pPr>
      <w:r w:rsidRPr="00F925AE">
        <w:rPr>
          <w:rFonts w:cs="Times New Roman"/>
          <w:sz w:val="20"/>
          <w:szCs w:val="20"/>
        </w:rPr>
        <w:lastRenderedPageBreak/>
        <w:t xml:space="preserve">This work presents some limitations that open avenues for future research. While we describe the potential advantages of PLs over R&amp;D subsidies and government-affiliated VC, future research may offer empirical evidence on whether the peculiarities of PLs effectively result in a higher certification effect of SMEs towards banks than </w:t>
      </w:r>
      <w:r w:rsidRPr="00F925AE">
        <w:rPr>
          <w:rFonts w:eastAsia="Times New Roman" w:cs="Times New Roman"/>
          <w:sz w:val="20"/>
          <w:szCs w:val="20"/>
        </w:rPr>
        <w:t>other types of government intervention</w:t>
      </w:r>
      <w:r w:rsidRPr="00F925AE">
        <w:rPr>
          <w:rFonts w:cs="Times New Roman"/>
          <w:sz w:val="20"/>
          <w:szCs w:val="20"/>
        </w:rPr>
        <w:t xml:space="preserve">. This type of study would be especially useful to develop interesting policy implications, and is at the very top of our research agenda. Future contributions to the government certification literature towards commercial banks should also test whether the certification effect is stronger for short-term or long-term debt and whether it </w:t>
      </w:r>
      <w:r w:rsidR="007F4A56" w:rsidRPr="00F925AE">
        <w:rPr>
          <w:rFonts w:cs="Times New Roman"/>
          <w:sz w:val="20"/>
          <w:szCs w:val="20"/>
        </w:rPr>
        <w:t xml:space="preserve">also </w:t>
      </w:r>
      <w:r w:rsidRPr="00F925AE">
        <w:rPr>
          <w:rFonts w:cs="Times New Roman"/>
          <w:sz w:val="20"/>
          <w:szCs w:val="20"/>
        </w:rPr>
        <w:t xml:space="preserve">has an effect on the cost of debt, rather than on the amount received. Finally, it would be interesting to test to what extent the certification effect is affected by the self-selection condition imposed through the capital increase that recipient firms are required to complete. </w:t>
      </w:r>
      <w:r w:rsidRPr="00F925AE">
        <w:rPr>
          <w:rFonts w:cs="Times New Roman"/>
          <w:sz w:val="20"/>
          <w:szCs w:val="20"/>
        </w:rPr>
        <w:br w:type="page"/>
      </w:r>
    </w:p>
    <w:p w:rsidR="00512993" w:rsidRPr="00F925AE" w:rsidRDefault="00512993" w:rsidP="00512993">
      <w:pPr>
        <w:pStyle w:val="Ttulo1"/>
        <w:numPr>
          <w:ilvl w:val="0"/>
          <w:numId w:val="0"/>
        </w:numPr>
        <w:spacing w:before="120"/>
        <w:rPr>
          <w:rFonts w:cs="Times New Roman"/>
          <w:lang w:val="it-IT"/>
        </w:rPr>
      </w:pPr>
      <w:r w:rsidRPr="00F925AE">
        <w:rPr>
          <w:rFonts w:cs="Times New Roman"/>
          <w:lang w:val="it-IT"/>
        </w:rPr>
        <w:lastRenderedPageBreak/>
        <w:t>References</w:t>
      </w:r>
    </w:p>
    <w:p w:rsidR="00512993" w:rsidRPr="00F925AE" w:rsidRDefault="007C60DA"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sz w:val="20"/>
          <w:szCs w:val="20"/>
        </w:rPr>
        <w:fldChar w:fldCharType="begin" w:fldLock="1"/>
      </w:r>
      <w:r w:rsidR="00512993" w:rsidRPr="00F925AE">
        <w:rPr>
          <w:rFonts w:cs="Times New Roman"/>
          <w:sz w:val="20"/>
          <w:szCs w:val="20"/>
          <w:lang w:val="it-IT"/>
        </w:rPr>
        <w:instrText xml:space="preserve">ADDIN Mendeley Bibliography CSL_BIBLIOGRAPHY </w:instrText>
      </w:r>
      <w:r w:rsidRPr="00F925AE">
        <w:rPr>
          <w:rFonts w:cs="Times New Roman"/>
          <w:sz w:val="20"/>
          <w:szCs w:val="20"/>
        </w:rPr>
        <w:fldChar w:fldCharType="separate"/>
      </w:r>
      <w:r w:rsidR="00512993" w:rsidRPr="00F925AE">
        <w:rPr>
          <w:rFonts w:cs="Times New Roman"/>
          <w:noProof/>
          <w:sz w:val="20"/>
          <w:szCs w:val="20"/>
          <w:lang w:val="es-ES"/>
        </w:rPr>
        <w:t xml:space="preserve">Agostino, M., &amp; Trivieri, F. (2014). </w:t>
      </w:r>
      <w:r w:rsidR="00512993" w:rsidRPr="00F925AE">
        <w:rPr>
          <w:rFonts w:cs="Times New Roman"/>
          <w:noProof/>
          <w:sz w:val="20"/>
          <w:szCs w:val="20"/>
        </w:rPr>
        <w:t xml:space="preserve">Does Trade Credit Play a Signalling Role? Some Evidence from SMEs Microdata. </w:t>
      </w:r>
      <w:r w:rsidR="00512993" w:rsidRPr="00F925AE">
        <w:rPr>
          <w:rFonts w:cs="Times New Roman"/>
          <w:i/>
          <w:iCs/>
          <w:noProof/>
          <w:sz w:val="20"/>
          <w:szCs w:val="20"/>
        </w:rPr>
        <w:t>Small Business Economics</w:t>
      </w:r>
      <w:r w:rsidR="00512993" w:rsidRPr="00F925AE">
        <w:rPr>
          <w:rFonts w:cs="Times New Roman"/>
          <w:noProof/>
          <w:sz w:val="20"/>
          <w:szCs w:val="20"/>
        </w:rPr>
        <w:t xml:space="preserve">, </w:t>
      </w:r>
      <w:r w:rsidR="00512993" w:rsidRPr="00F925AE">
        <w:rPr>
          <w:rFonts w:cs="Times New Roman"/>
          <w:i/>
          <w:iCs/>
          <w:noProof/>
          <w:sz w:val="20"/>
          <w:szCs w:val="20"/>
        </w:rPr>
        <w:t>42</w:t>
      </w:r>
      <w:r w:rsidR="00512993" w:rsidRPr="00F925AE">
        <w:rPr>
          <w:rFonts w:cs="Times New Roman"/>
          <w:noProof/>
          <w:sz w:val="20"/>
          <w:szCs w:val="20"/>
        </w:rPr>
        <w:t>(1), 131–151. doi:10.1007/s11187-013-9478-8</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Alperovych, Y., Hübner, G., &amp; Lobet, F. (2015). How does Governmental versus Private Venture Capital Backing Affect a Firm’s Efficiency? Evidence from Belgium. </w:t>
      </w:r>
      <w:r w:rsidRPr="00F925AE">
        <w:rPr>
          <w:rFonts w:cs="Times New Roman"/>
          <w:i/>
          <w:iCs/>
          <w:noProof/>
          <w:sz w:val="20"/>
          <w:szCs w:val="20"/>
        </w:rPr>
        <w:t>Journal of Business Venturing</w:t>
      </w:r>
      <w:r w:rsidRPr="00F925AE">
        <w:rPr>
          <w:rFonts w:cs="Times New Roman"/>
          <w:noProof/>
          <w:sz w:val="20"/>
          <w:szCs w:val="20"/>
        </w:rPr>
        <w:t xml:space="preserve">, </w:t>
      </w:r>
      <w:r w:rsidRPr="00F925AE">
        <w:rPr>
          <w:rFonts w:cs="Times New Roman"/>
          <w:i/>
          <w:iCs/>
          <w:noProof/>
          <w:sz w:val="20"/>
          <w:szCs w:val="20"/>
        </w:rPr>
        <w:t>30</w:t>
      </w:r>
      <w:r w:rsidRPr="00F925AE">
        <w:rPr>
          <w:rFonts w:cs="Times New Roman"/>
          <w:noProof/>
          <w:sz w:val="20"/>
          <w:szCs w:val="20"/>
        </w:rPr>
        <w:t>(4), 508–525. doi:10.1016/j.jbusvent.2014.11.001</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Bernanke, B. S., Gertler, M., &amp; Gilchrist, S. (1996). The Financial Accelerator and the Flight to Quality. </w:t>
      </w:r>
      <w:r w:rsidRPr="00F925AE">
        <w:rPr>
          <w:rFonts w:cs="Times New Roman"/>
          <w:i/>
          <w:iCs/>
          <w:noProof/>
          <w:sz w:val="20"/>
          <w:szCs w:val="20"/>
        </w:rPr>
        <w:t>Review of Economics and Statistics</w:t>
      </w:r>
      <w:r w:rsidRPr="00F925AE">
        <w:rPr>
          <w:rFonts w:cs="Times New Roman"/>
          <w:noProof/>
          <w:sz w:val="20"/>
          <w:szCs w:val="20"/>
        </w:rPr>
        <w:t xml:space="preserve">, </w:t>
      </w:r>
      <w:r w:rsidRPr="00F925AE">
        <w:rPr>
          <w:rFonts w:cs="Times New Roman"/>
          <w:i/>
          <w:iCs/>
          <w:noProof/>
          <w:sz w:val="20"/>
          <w:szCs w:val="20"/>
        </w:rPr>
        <w:t>78</w:t>
      </w:r>
      <w:r w:rsidRPr="00F925AE">
        <w:rPr>
          <w:rFonts w:cs="Times New Roman"/>
          <w:noProof/>
          <w:sz w:val="20"/>
          <w:szCs w:val="20"/>
        </w:rPr>
        <w:t>(1), 1–15. doi:10.3386/w4789</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Bertoni, F., &amp; Tykvová, T. (2015). Does Governmental Venture Capital Spur Invention and Innovation? Evidence from Young European Biotech Companies. </w:t>
      </w:r>
      <w:r w:rsidRPr="00F925AE">
        <w:rPr>
          <w:rFonts w:cs="Times New Roman"/>
          <w:i/>
          <w:iCs/>
          <w:noProof/>
          <w:sz w:val="20"/>
          <w:szCs w:val="20"/>
        </w:rPr>
        <w:t>Research Policy</w:t>
      </w:r>
      <w:r w:rsidRPr="00F925AE">
        <w:rPr>
          <w:rFonts w:cs="Times New Roman"/>
          <w:noProof/>
          <w:sz w:val="20"/>
          <w:szCs w:val="20"/>
        </w:rPr>
        <w:t xml:space="preserve">, </w:t>
      </w:r>
      <w:r w:rsidRPr="00F925AE">
        <w:rPr>
          <w:rFonts w:cs="Times New Roman"/>
          <w:i/>
          <w:iCs/>
          <w:noProof/>
          <w:sz w:val="20"/>
          <w:szCs w:val="20"/>
        </w:rPr>
        <w:t>44</w:t>
      </w:r>
      <w:r w:rsidRPr="00F925AE">
        <w:rPr>
          <w:rFonts w:cs="Times New Roman"/>
          <w:noProof/>
          <w:sz w:val="20"/>
          <w:szCs w:val="20"/>
        </w:rPr>
        <w:t>(4), 925–935. doi:10.1016/j.respol.2015.02.002</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Bester, H. (1985). Screening vs Rationing in Credit Markets with Imperfect Information. </w:t>
      </w:r>
      <w:r w:rsidRPr="00F925AE">
        <w:rPr>
          <w:rFonts w:cs="Times New Roman"/>
          <w:i/>
          <w:iCs/>
          <w:noProof/>
          <w:sz w:val="20"/>
          <w:szCs w:val="20"/>
        </w:rPr>
        <w:t>American Economic Review</w:t>
      </w:r>
      <w:r w:rsidRPr="00F925AE">
        <w:rPr>
          <w:rFonts w:cs="Times New Roman"/>
          <w:noProof/>
          <w:sz w:val="20"/>
          <w:szCs w:val="20"/>
        </w:rPr>
        <w:t xml:space="preserve">, </w:t>
      </w:r>
      <w:r w:rsidRPr="00F925AE">
        <w:rPr>
          <w:rFonts w:cs="Times New Roman"/>
          <w:i/>
          <w:iCs/>
          <w:noProof/>
          <w:sz w:val="20"/>
          <w:szCs w:val="20"/>
        </w:rPr>
        <w:t>75</w:t>
      </w:r>
      <w:r w:rsidRPr="00F925AE">
        <w:rPr>
          <w:rFonts w:cs="Times New Roman"/>
          <w:noProof/>
          <w:sz w:val="20"/>
          <w:szCs w:val="20"/>
        </w:rPr>
        <w:t>(4), 850–855. http://www.jstor.org/stable/1821362</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Binks, M. R., &amp; Ennew, C. T. (1996). Growing Firms and the Credit Constraint. </w:t>
      </w:r>
      <w:r w:rsidRPr="00F925AE">
        <w:rPr>
          <w:rFonts w:cs="Times New Roman"/>
          <w:i/>
          <w:iCs/>
          <w:noProof/>
          <w:sz w:val="20"/>
          <w:szCs w:val="20"/>
        </w:rPr>
        <w:t>Small Business Economics</w:t>
      </w:r>
      <w:r w:rsidRPr="00F925AE">
        <w:rPr>
          <w:rFonts w:cs="Times New Roman"/>
          <w:noProof/>
          <w:sz w:val="20"/>
          <w:szCs w:val="20"/>
        </w:rPr>
        <w:t xml:space="preserve">, </w:t>
      </w:r>
      <w:r w:rsidRPr="00F925AE">
        <w:rPr>
          <w:rFonts w:cs="Times New Roman"/>
          <w:i/>
          <w:iCs/>
          <w:noProof/>
          <w:sz w:val="20"/>
          <w:szCs w:val="20"/>
        </w:rPr>
        <w:t>8</w:t>
      </w:r>
      <w:r w:rsidRPr="00F925AE">
        <w:rPr>
          <w:rFonts w:cs="Times New Roman"/>
          <w:noProof/>
          <w:sz w:val="20"/>
          <w:szCs w:val="20"/>
        </w:rPr>
        <w:t>(1), 17–25. doi:10.1007/BF00391972</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Binks, M. R., Ennew, C. T., &amp; Reed, G. V. (1992). Information Asymmetries and the Provision of Finance to Small Firms. </w:t>
      </w:r>
      <w:r w:rsidRPr="00F925AE">
        <w:rPr>
          <w:rFonts w:cs="Times New Roman"/>
          <w:i/>
          <w:iCs/>
          <w:noProof/>
          <w:sz w:val="20"/>
          <w:szCs w:val="20"/>
        </w:rPr>
        <w:t>International Small Business Journal</w:t>
      </w:r>
      <w:r w:rsidRPr="00F925AE">
        <w:rPr>
          <w:rFonts w:cs="Times New Roman"/>
          <w:noProof/>
          <w:sz w:val="20"/>
          <w:szCs w:val="20"/>
        </w:rPr>
        <w:t xml:space="preserve">, </w:t>
      </w:r>
      <w:r w:rsidRPr="00F925AE">
        <w:rPr>
          <w:rFonts w:cs="Times New Roman"/>
          <w:i/>
          <w:iCs/>
          <w:noProof/>
          <w:sz w:val="20"/>
          <w:szCs w:val="20"/>
        </w:rPr>
        <w:t>11</w:t>
      </w:r>
      <w:r w:rsidRPr="00F925AE">
        <w:rPr>
          <w:rFonts w:cs="Times New Roman"/>
          <w:noProof/>
          <w:sz w:val="20"/>
          <w:szCs w:val="20"/>
        </w:rPr>
        <w:t>(1), 35–46. doi:10.1177/026624269201100103</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Busom, I., Corchuelo, B., &amp; Martínez-Ros, E. (2014). Tax Incentives… Or Subsidies for Business R&amp;D? </w:t>
      </w:r>
      <w:r w:rsidRPr="00F925AE">
        <w:rPr>
          <w:rFonts w:cs="Times New Roman"/>
          <w:i/>
          <w:iCs/>
          <w:noProof/>
          <w:sz w:val="20"/>
          <w:szCs w:val="20"/>
        </w:rPr>
        <w:t>Small Business Economics</w:t>
      </w:r>
      <w:r w:rsidRPr="00F925AE">
        <w:rPr>
          <w:rFonts w:cs="Times New Roman"/>
          <w:noProof/>
          <w:sz w:val="20"/>
          <w:szCs w:val="20"/>
        </w:rPr>
        <w:t xml:space="preserve">, </w:t>
      </w:r>
      <w:r w:rsidRPr="00F925AE">
        <w:rPr>
          <w:rFonts w:cs="Times New Roman"/>
          <w:i/>
          <w:iCs/>
          <w:noProof/>
          <w:sz w:val="20"/>
          <w:szCs w:val="20"/>
        </w:rPr>
        <w:t>4</w:t>
      </w:r>
      <w:r w:rsidRPr="00F925AE">
        <w:rPr>
          <w:rFonts w:cs="Times New Roman"/>
          <w:noProof/>
          <w:sz w:val="20"/>
          <w:szCs w:val="20"/>
        </w:rPr>
        <w:t>(3), 571–596. doi:10.1007/s11187-014-9569-1</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Carpenter, R. E., &amp; Petersen, B. C. (2002a). Is the Growth of Small Firms Constrained by Internal Finance? </w:t>
      </w:r>
      <w:r w:rsidRPr="00F925AE">
        <w:rPr>
          <w:rFonts w:cs="Times New Roman"/>
          <w:i/>
          <w:iCs/>
          <w:noProof/>
          <w:sz w:val="20"/>
          <w:szCs w:val="20"/>
        </w:rPr>
        <w:t>Review of Economics and Statistics</w:t>
      </w:r>
      <w:r w:rsidRPr="00F925AE">
        <w:rPr>
          <w:rFonts w:cs="Times New Roman"/>
          <w:noProof/>
          <w:sz w:val="20"/>
          <w:szCs w:val="20"/>
        </w:rPr>
        <w:t xml:space="preserve">, </w:t>
      </w:r>
      <w:r w:rsidRPr="00F925AE">
        <w:rPr>
          <w:rFonts w:cs="Times New Roman"/>
          <w:i/>
          <w:iCs/>
          <w:noProof/>
          <w:sz w:val="20"/>
          <w:szCs w:val="20"/>
        </w:rPr>
        <w:t>84</w:t>
      </w:r>
      <w:r w:rsidRPr="00F925AE">
        <w:rPr>
          <w:rFonts w:cs="Times New Roman"/>
          <w:noProof/>
          <w:sz w:val="20"/>
          <w:szCs w:val="20"/>
        </w:rPr>
        <w:t>(2), 298–309. doi:10.1162/003465302317411541</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Carpenter, R. E., &amp; Petersen, B. C. (2002b). Capital Market Imperfections, High-Tech Investment, and New Equity Financing. </w:t>
      </w:r>
      <w:r w:rsidRPr="00F925AE">
        <w:rPr>
          <w:rFonts w:cs="Times New Roman"/>
          <w:i/>
          <w:iCs/>
          <w:noProof/>
          <w:sz w:val="20"/>
          <w:szCs w:val="20"/>
        </w:rPr>
        <w:t>Economic Journal</w:t>
      </w:r>
      <w:r w:rsidRPr="00F925AE">
        <w:rPr>
          <w:rFonts w:cs="Times New Roman"/>
          <w:noProof/>
          <w:sz w:val="20"/>
          <w:szCs w:val="20"/>
        </w:rPr>
        <w:t xml:space="preserve">, </w:t>
      </w:r>
      <w:r w:rsidRPr="00F925AE">
        <w:rPr>
          <w:rFonts w:cs="Times New Roman"/>
          <w:i/>
          <w:iCs/>
          <w:noProof/>
          <w:sz w:val="20"/>
          <w:szCs w:val="20"/>
        </w:rPr>
        <w:t>112</w:t>
      </w:r>
      <w:r w:rsidRPr="00F925AE">
        <w:rPr>
          <w:rFonts w:cs="Times New Roman"/>
          <w:noProof/>
          <w:sz w:val="20"/>
          <w:szCs w:val="20"/>
        </w:rPr>
        <w:t>(477), F54–F72. doi:10.1111/1468-0297.00683</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Chemmanur, T. J., Krishnan, K., &amp; Nandy, D. K. (2011). How Does Venture Capital Financing Improve Efficiency in Private Firms? A look Beneath the Surface. </w:t>
      </w:r>
      <w:r w:rsidRPr="00F925AE">
        <w:rPr>
          <w:rFonts w:cs="Times New Roman"/>
          <w:i/>
          <w:iCs/>
          <w:noProof/>
          <w:sz w:val="20"/>
          <w:szCs w:val="20"/>
        </w:rPr>
        <w:t>Review of Financial Studies</w:t>
      </w:r>
      <w:r w:rsidRPr="00F925AE">
        <w:rPr>
          <w:rFonts w:cs="Times New Roman"/>
          <w:noProof/>
          <w:sz w:val="20"/>
          <w:szCs w:val="20"/>
        </w:rPr>
        <w:t xml:space="preserve">, </w:t>
      </w:r>
      <w:r w:rsidRPr="00F925AE">
        <w:rPr>
          <w:rFonts w:cs="Times New Roman"/>
          <w:i/>
          <w:iCs/>
          <w:noProof/>
          <w:sz w:val="20"/>
          <w:szCs w:val="20"/>
        </w:rPr>
        <w:t>24</w:t>
      </w:r>
      <w:r w:rsidRPr="00F925AE">
        <w:rPr>
          <w:rFonts w:cs="Times New Roman"/>
          <w:noProof/>
          <w:sz w:val="20"/>
          <w:szCs w:val="20"/>
        </w:rPr>
        <w:t>(617), 4037–4090. doi:10.1093/rfs/hhr096</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lang w:val="es-ES"/>
        </w:rPr>
        <w:t xml:space="preserve">Colombo, M. G., Croce, A., &amp; Guerini, M. (2013). </w:t>
      </w:r>
      <w:r w:rsidRPr="00F925AE">
        <w:rPr>
          <w:rFonts w:cs="Times New Roman"/>
          <w:noProof/>
          <w:sz w:val="20"/>
          <w:szCs w:val="20"/>
        </w:rPr>
        <w:t xml:space="preserve">The Effect of Public Subsidies on Firms’ Investment–Cash Flow Sensitivity: Transient or Persistent? </w:t>
      </w:r>
      <w:r w:rsidRPr="00F925AE">
        <w:rPr>
          <w:rFonts w:cs="Times New Roman"/>
          <w:i/>
          <w:iCs/>
          <w:noProof/>
          <w:sz w:val="20"/>
          <w:szCs w:val="20"/>
        </w:rPr>
        <w:t>Research Policy</w:t>
      </w:r>
      <w:r w:rsidRPr="00F925AE">
        <w:rPr>
          <w:rFonts w:cs="Times New Roman"/>
          <w:noProof/>
          <w:sz w:val="20"/>
          <w:szCs w:val="20"/>
        </w:rPr>
        <w:t xml:space="preserve">, </w:t>
      </w:r>
      <w:r w:rsidRPr="00F925AE">
        <w:rPr>
          <w:rFonts w:cs="Times New Roman"/>
          <w:i/>
          <w:iCs/>
          <w:noProof/>
          <w:sz w:val="20"/>
          <w:szCs w:val="20"/>
        </w:rPr>
        <w:t>42</w:t>
      </w:r>
      <w:r w:rsidRPr="00F925AE">
        <w:rPr>
          <w:rFonts w:cs="Times New Roman"/>
          <w:noProof/>
          <w:sz w:val="20"/>
          <w:szCs w:val="20"/>
        </w:rPr>
        <w:t>(9), 1605–1623. doi:10.1016/j.respol.2013.07.003</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Colombo, M. G., Cumming, D. J., &amp; Vismara, S. (2016). Governmental Venture Capital For Innovative Young Firms. </w:t>
      </w:r>
      <w:r w:rsidRPr="00F925AE">
        <w:rPr>
          <w:rFonts w:cs="Times New Roman"/>
          <w:i/>
          <w:iCs/>
          <w:noProof/>
          <w:sz w:val="20"/>
          <w:szCs w:val="20"/>
        </w:rPr>
        <w:t>Journal of Technology Transfer</w:t>
      </w:r>
      <w:r w:rsidRPr="00F925AE">
        <w:rPr>
          <w:rFonts w:cs="Times New Roman"/>
          <w:noProof/>
          <w:sz w:val="20"/>
          <w:szCs w:val="20"/>
        </w:rPr>
        <w:t xml:space="preserve">, </w:t>
      </w:r>
      <w:r w:rsidRPr="00F925AE">
        <w:rPr>
          <w:rFonts w:cs="Times New Roman"/>
          <w:i/>
          <w:iCs/>
          <w:noProof/>
          <w:sz w:val="20"/>
          <w:szCs w:val="20"/>
        </w:rPr>
        <w:t>41</w:t>
      </w:r>
      <w:r w:rsidRPr="00F925AE">
        <w:rPr>
          <w:rFonts w:cs="Times New Roman"/>
          <w:noProof/>
          <w:sz w:val="20"/>
          <w:szCs w:val="20"/>
        </w:rPr>
        <w:t>(1), 10–24. doi:10.1007/s10961-014-9380-9</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Croce, A., Martì Pellon, J., &amp; Murtinu, S. (2013). The Impact of Venture Capital on the Productivity Growth of European Entrepreneurial Firms: “Screening” or “Value Added” Effect? </w:t>
      </w:r>
      <w:r w:rsidRPr="00F925AE">
        <w:rPr>
          <w:rFonts w:cs="Times New Roman"/>
          <w:i/>
          <w:iCs/>
          <w:noProof/>
          <w:sz w:val="20"/>
          <w:szCs w:val="20"/>
        </w:rPr>
        <w:t>Journal of Business Venturing</w:t>
      </w:r>
      <w:r w:rsidRPr="00F925AE">
        <w:rPr>
          <w:rFonts w:cs="Times New Roman"/>
          <w:noProof/>
          <w:sz w:val="20"/>
          <w:szCs w:val="20"/>
        </w:rPr>
        <w:t xml:space="preserve">, </w:t>
      </w:r>
      <w:r w:rsidRPr="00F925AE">
        <w:rPr>
          <w:rFonts w:cs="Times New Roman"/>
          <w:i/>
          <w:iCs/>
          <w:noProof/>
          <w:sz w:val="20"/>
          <w:szCs w:val="20"/>
        </w:rPr>
        <w:t>28</w:t>
      </w:r>
      <w:r w:rsidRPr="00F925AE">
        <w:rPr>
          <w:rFonts w:cs="Times New Roman"/>
          <w:noProof/>
          <w:sz w:val="20"/>
          <w:szCs w:val="20"/>
        </w:rPr>
        <w:t>(4), 489–510. doi:10.1016/j.jbusvent.2012.06.001</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lang w:val="it-IT"/>
        </w:rPr>
      </w:pPr>
      <w:r w:rsidRPr="00F925AE">
        <w:rPr>
          <w:rFonts w:cs="Times New Roman"/>
          <w:noProof/>
          <w:sz w:val="20"/>
          <w:szCs w:val="20"/>
        </w:rPr>
        <w:t xml:space="preserve">Czarnitzki, D., &amp; Delanote, J. (2015). R&amp;D Policies for Young SMEs: Input and Output Effects. </w:t>
      </w:r>
      <w:r w:rsidRPr="00F925AE">
        <w:rPr>
          <w:rFonts w:cs="Times New Roman"/>
          <w:i/>
          <w:iCs/>
          <w:noProof/>
          <w:sz w:val="20"/>
          <w:szCs w:val="20"/>
          <w:lang w:val="it-IT"/>
        </w:rPr>
        <w:t>Small Business Economics</w:t>
      </w:r>
      <w:r w:rsidRPr="00F925AE">
        <w:rPr>
          <w:rFonts w:cs="Times New Roman"/>
          <w:noProof/>
          <w:sz w:val="20"/>
          <w:szCs w:val="20"/>
          <w:lang w:val="it-IT"/>
        </w:rPr>
        <w:t xml:space="preserve">, </w:t>
      </w:r>
      <w:r w:rsidRPr="00F925AE">
        <w:rPr>
          <w:rFonts w:cs="Times New Roman"/>
          <w:i/>
          <w:iCs/>
          <w:noProof/>
          <w:sz w:val="20"/>
          <w:szCs w:val="20"/>
          <w:lang w:val="it-IT"/>
        </w:rPr>
        <w:t>45</w:t>
      </w:r>
      <w:r w:rsidRPr="00F925AE">
        <w:rPr>
          <w:rFonts w:cs="Times New Roman"/>
          <w:noProof/>
          <w:sz w:val="20"/>
          <w:szCs w:val="20"/>
          <w:lang w:val="it-IT"/>
        </w:rPr>
        <w:t>(3), 465–485. doi:10.1007/s11187-015-9661-1</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lang w:val="it-IT"/>
        </w:rPr>
        <w:t xml:space="preserve">Dalla Pellegrina, L., Frazzoni, S., Rotondi, Z., &amp; Vezzulli, A. (2016). </w:t>
      </w:r>
      <w:r w:rsidRPr="00F925AE">
        <w:rPr>
          <w:rFonts w:cs="Times New Roman"/>
          <w:noProof/>
          <w:sz w:val="20"/>
          <w:szCs w:val="20"/>
        </w:rPr>
        <w:t xml:space="preserve">Does ICT Adoption Improve Access to Credit for Small Enterprises? </w:t>
      </w:r>
      <w:r w:rsidRPr="00F925AE">
        <w:rPr>
          <w:rFonts w:cs="Times New Roman"/>
          <w:i/>
          <w:iCs/>
          <w:noProof/>
          <w:sz w:val="20"/>
          <w:szCs w:val="20"/>
        </w:rPr>
        <w:t>Small Business Economics</w:t>
      </w:r>
      <w:r w:rsidR="000D4AA4">
        <w:rPr>
          <w:rFonts w:cs="Times New Roman"/>
          <w:noProof/>
          <w:sz w:val="20"/>
          <w:szCs w:val="20"/>
        </w:rPr>
        <w:t>,</w:t>
      </w:r>
      <w:r w:rsidRPr="00F925AE">
        <w:rPr>
          <w:rFonts w:cs="Times New Roman"/>
          <w:noProof/>
          <w:sz w:val="20"/>
          <w:szCs w:val="20"/>
        </w:rPr>
        <w:t xml:space="preserve"> doi:10.1007/S11187-016-9794-X</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Decramer, S., &amp; Vanormelingen, S. (2016). The Effectiveness of Investment Subsidies: Evidence From a Regression Discontinuity Design. </w:t>
      </w:r>
      <w:r w:rsidRPr="00F925AE">
        <w:rPr>
          <w:rFonts w:cs="Times New Roman"/>
          <w:i/>
          <w:iCs/>
          <w:noProof/>
          <w:sz w:val="20"/>
          <w:szCs w:val="20"/>
        </w:rPr>
        <w:t>Small Business Economics</w:t>
      </w:r>
      <w:r w:rsidR="000D4AA4">
        <w:rPr>
          <w:rFonts w:cs="Times New Roman"/>
          <w:noProof/>
          <w:sz w:val="20"/>
          <w:szCs w:val="20"/>
        </w:rPr>
        <w:t>,</w:t>
      </w:r>
      <w:r w:rsidRPr="00F925AE">
        <w:rPr>
          <w:rFonts w:cs="Times New Roman"/>
          <w:noProof/>
          <w:sz w:val="20"/>
          <w:szCs w:val="20"/>
        </w:rPr>
        <w:t xml:space="preserve"> doi:10.1007/s11187-016-9749-2</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Diamond, D. W. (1991). Monitoring and Reputation: The Choice between Bank Loans and Directly Placed Debt. </w:t>
      </w:r>
      <w:r w:rsidRPr="00F925AE">
        <w:rPr>
          <w:rFonts w:cs="Times New Roman"/>
          <w:i/>
          <w:iCs/>
          <w:noProof/>
          <w:sz w:val="20"/>
          <w:szCs w:val="20"/>
        </w:rPr>
        <w:t>Journal of Political Economy</w:t>
      </w:r>
      <w:r w:rsidRPr="00F925AE">
        <w:rPr>
          <w:rFonts w:cs="Times New Roman"/>
          <w:noProof/>
          <w:sz w:val="20"/>
          <w:szCs w:val="20"/>
        </w:rPr>
        <w:t xml:space="preserve">, </w:t>
      </w:r>
      <w:r w:rsidRPr="00F925AE">
        <w:rPr>
          <w:rFonts w:cs="Times New Roman"/>
          <w:i/>
          <w:iCs/>
          <w:noProof/>
          <w:sz w:val="20"/>
          <w:szCs w:val="20"/>
        </w:rPr>
        <w:t>99</w:t>
      </w:r>
      <w:r w:rsidRPr="00F925AE">
        <w:rPr>
          <w:rFonts w:cs="Times New Roman"/>
          <w:noProof/>
          <w:sz w:val="20"/>
          <w:szCs w:val="20"/>
        </w:rPr>
        <w:t>(4), 689–721. doi:10.1086/261775</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Eurostat. (2015). Eurostat Indicators on High-Tech Industry and Knowledge - Intensive Services. Annex 3. http://epp.eurostat.ec.europa.eu/cache/ITY_SDDS/Annexes/htec_esms_an3.pdf</w:t>
      </w:r>
      <w:r w:rsidR="000D4AA4">
        <w:rPr>
          <w:rFonts w:cs="Times New Roman"/>
          <w:noProof/>
          <w:sz w:val="20"/>
          <w:szCs w:val="20"/>
        </w:rPr>
        <w:t>. Accessed 16 January 2016.</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Feldman, M. P., &amp; Kelley, M. R. (2003). Leveraging Research and Development: Assessing the Impact of the US Advanced Technology Program. </w:t>
      </w:r>
      <w:r w:rsidRPr="00F925AE">
        <w:rPr>
          <w:rFonts w:cs="Times New Roman"/>
          <w:i/>
          <w:iCs/>
          <w:noProof/>
          <w:sz w:val="20"/>
          <w:szCs w:val="20"/>
        </w:rPr>
        <w:t>Small Business Economics</w:t>
      </w:r>
      <w:r w:rsidRPr="00F925AE">
        <w:rPr>
          <w:rFonts w:cs="Times New Roman"/>
          <w:noProof/>
          <w:sz w:val="20"/>
          <w:szCs w:val="20"/>
        </w:rPr>
        <w:t xml:space="preserve">, </w:t>
      </w:r>
      <w:r w:rsidRPr="00F925AE">
        <w:rPr>
          <w:rFonts w:cs="Times New Roman"/>
          <w:i/>
          <w:iCs/>
          <w:noProof/>
          <w:sz w:val="20"/>
          <w:szCs w:val="20"/>
        </w:rPr>
        <w:t>20</w:t>
      </w:r>
      <w:r w:rsidRPr="00F925AE">
        <w:rPr>
          <w:rFonts w:cs="Times New Roman"/>
          <w:noProof/>
          <w:sz w:val="20"/>
          <w:szCs w:val="20"/>
        </w:rPr>
        <w:t>(2), 153–165. doi:10.1023/A:1022264031993</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Feldman, M. P., &amp; Kelley, M. R. (2006). The Ex-Ante Assessment of Knowledge Spillovers: Government R&amp;D Policy, Economic Incentives and Private Firm Behavior. </w:t>
      </w:r>
      <w:r w:rsidRPr="00F925AE">
        <w:rPr>
          <w:rFonts w:cs="Times New Roman"/>
          <w:i/>
          <w:iCs/>
          <w:noProof/>
          <w:sz w:val="20"/>
          <w:szCs w:val="20"/>
        </w:rPr>
        <w:t>Research Policy</w:t>
      </w:r>
      <w:r w:rsidRPr="00F925AE">
        <w:rPr>
          <w:rFonts w:cs="Times New Roman"/>
          <w:noProof/>
          <w:sz w:val="20"/>
          <w:szCs w:val="20"/>
        </w:rPr>
        <w:t xml:space="preserve">, </w:t>
      </w:r>
      <w:r w:rsidRPr="00F925AE">
        <w:rPr>
          <w:rFonts w:cs="Times New Roman"/>
          <w:i/>
          <w:iCs/>
          <w:noProof/>
          <w:sz w:val="20"/>
          <w:szCs w:val="20"/>
        </w:rPr>
        <w:t>35</w:t>
      </w:r>
      <w:r w:rsidRPr="00F925AE">
        <w:rPr>
          <w:rFonts w:cs="Times New Roman"/>
          <w:noProof/>
          <w:sz w:val="20"/>
          <w:szCs w:val="20"/>
        </w:rPr>
        <w:t xml:space="preserve">(10), 1509–1521. </w:t>
      </w:r>
      <w:r w:rsidRPr="00F925AE">
        <w:rPr>
          <w:rFonts w:cs="Times New Roman"/>
          <w:noProof/>
          <w:sz w:val="20"/>
          <w:szCs w:val="20"/>
        </w:rPr>
        <w:lastRenderedPageBreak/>
        <w:t>doi:10.1016/j.respol.2006.09.019</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Grilli, L., &amp; Murtinu, S. (2014). Government, Venture Capital and the Growth of European High-tech Entrepreneurial Firms. </w:t>
      </w:r>
      <w:r w:rsidRPr="00F925AE">
        <w:rPr>
          <w:rFonts w:cs="Times New Roman"/>
          <w:i/>
          <w:iCs/>
          <w:noProof/>
          <w:sz w:val="20"/>
          <w:szCs w:val="20"/>
        </w:rPr>
        <w:t>Research Policy</w:t>
      </w:r>
      <w:r w:rsidRPr="00F925AE">
        <w:rPr>
          <w:rFonts w:cs="Times New Roman"/>
          <w:noProof/>
          <w:sz w:val="20"/>
          <w:szCs w:val="20"/>
        </w:rPr>
        <w:t xml:space="preserve">, </w:t>
      </w:r>
      <w:r w:rsidRPr="00F925AE">
        <w:rPr>
          <w:rFonts w:cs="Times New Roman"/>
          <w:i/>
          <w:iCs/>
          <w:noProof/>
          <w:sz w:val="20"/>
          <w:szCs w:val="20"/>
        </w:rPr>
        <w:t>43</w:t>
      </w:r>
      <w:r w:rsidRPr="00F925AE">
        <w:rPr>
          <w:rFonts w:cs="Times New Roman"/>
          <w:noProof/>
          <w:sz w:val="20"/>
          <w:szCs w:val="20"/>
        </w:rPr>
        <w:t>(9), 1523–1543. doi:10.1016/j.respol.2014.04.002</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Grilli, L., &amp; Murtinu, S. (2015). New Technology-Based Firms in Europe: Market Penetration, Public Venture Capital, and Timing of Investment. </w:t>
      </w:r>
      <w:r w:rsidRPr="00F925AE">
        <w:rPr>
          <w:rFonts w:cs="Times New Roman"/>
          <w:i/>
          <w:iCs/>
          <w:noProof/>
          <w:sz w:val="20"/>
          <w:szCs w:val="20"/>
        </w:rPr>
        <w:t>Industrial and Corporate Change</w:t>
      </w:r>
      <w:r w:rsidRPr="00F925AE">
        <w:rPr>
          <w:rFonts w:cs="Times New Roman"/>
          <w:noProof/>
          <w:sz w:val="20"/>
          <w:szCs w:val="20"/>
        </w:rPr>
        <w:t xml:space="preserve">, </w:t>
      </w:r>
      <w:r w:rsidRPr="00F925AE">
        <w:rPr>
          <w:rFonts w:cs="Times New Roman"/>
          <w:i/>
          <w:iCs/>
          <w:noProof/>
          <w:sz w:val="20"/>
          <w:szCs w:val="20"/>
        </w:rPr>
        <w:t>24</w:t>
      </w:r>
      <w:r w:rsidRPr="00F925AE">
        <w:rPr>
          <w:rFonts w:cs="Times New Roman"/>
          <w:noProof/>
          <w:sz w:val="20"/>
          <w:szCs w:val="20"/>
        </w:rPr>
        <w:t>(5), 1109–1148. doi:10.1093/icc/dtu025</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Guerini, M., &amp; Quas, A. (2015). Governmental Venture Capital in Europe: Screening and Certification. </w:t>
      </w:r>
      <w:r w:rsidRPr="00F925AE">
        <w:rPr>
          <w:rFonts w:cs="Times New Roman"/>
          <w:i/>
          <w:iCs/>
          <w:noProof/>
          <w:sz w:val="20"/>
          <w:szCs w:val="20"/>
        </w:rPr>
        <w:t>Journal of Business Venturing</w:t>
      </w:r>
      <w:r w:rsidRPr="00F925AE">
        <w:rPr>
          <w:rFonts w:cs="Times New Roman"/>
          <w:noProof/>
          <w:sz w:val="20"/>
          <w:szCs w:val="20"/>
        </w:rPr>
        <w:t xml:space="preserve">, </w:t>
      </w:r>
      <w:r w:rsidRPr="00F925AE">
        <w:rPr>
          <w:rFonts w:cs="Times New Roman"/>
          <w:i/>
          <w:iCs/>
          <w:noProof/>
          <w:sz w:val="20"/>
          <w:szCs w:val="20"/>
        </w:rPr>
        <w:t>31</w:t>
      </w:r>
      <w:r w:rsidRPr="00F925AE">
        <w:rPr>
          <w:rFonts w:cs="Times New Roman"/>
          <w:noProof/>
          <w:sz w:val="20"/>
          <w:szCs w:val="20"/>
        </w:rPr>
        <w:t>(2), 175–195. doi:10.1016/j.jbusvent.2015.10.001</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Hall, B. H. (2002). The Financing of Research and Development. </w:t>
      </w:r>
      <w:r w:rsidRPr="00F925AE">
        <w:rPr>
          <w:rFonts w:cs="Times New Roman"/>
          <w:i/>
          <w:iCs/>
          <w:noProof/>
          <w:sz w:val="20"/>
          <w:szCs w:val="20"/>
        </w:rPr>
        <w:t>Oxford Review of Economic Policy</w:t>
      </w:r>
      <w:r w:rsidRPr="00F925AE">
        <w:rPr>
          <w:rFonts w:cs="Times New Roman"/>
          <w:noProof/>
          <w:sz w:val="20"/>
          <w:szCs w:val="20"/>
        </w:rPr>
        <w:t xml:space="preserve">, </w:t>
      </w:r>
      <w:r w:rsidRPr="00F925AE">
        <w:rPr>
          <w:rFonts w:cs="Times New Roman"/>
          <w:i/>
          <w:iCs/>
          <w:noProof/>
          <w:sz w:val="20"/>
          <w:szCs w:val="20"/>
        </w:rPr>
        <w:t>18</w:t>
      </w:r>
      <w:r w:rsidRPr="00F925AE">
        <w:rPr>
          <w:rFonts w:cs="Times New Roman"/>
          <w:noProof/>
          <w:sz w:val="20"/>
          <w:szCs w:val="20"/>
        </w:rPr>
        <w:t>(1), 35–51. doi:10.1093/oxrep/18.1.35</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Heckman, J. J. (1979). Sample Selection Bias as a Specification Error. </w:t>
      </w:r>
      <w:r w:rsidRPr="00F925AE">
        <w:rPr>
          <w:rFonts w:cs="Times New Roman"/>
          <w:i/>
          <w:iCs/>
          <w:noProof/>
          <w:sz w:val="20"/>
          <w:szCs w:val="20"/>
        </w:rPr>
        <w:t>Econometrica</w:t>
      </w:r>
      <w:r w:rsidRPr="00F925AE">
        <w:rPr>
          <w:rFonts w:cs="Times New Roman"/>
          <w:noProof/>
          <w:sz w:val="20"/>
          <w:szCs w:val="20"/>
        </w:rPr>
        <w:t xml:space="preserve">, </w:t>
      </w:r>
      <w:r w:rsidRPr="00F925AE">
        <w:rPr>
          <w:rFonts w:cs="Times New Roman"/>
          <w:i/>
          <w:iCs/>
          <w:noProof/>
          <w:sz w:val="20"/>
          <w:szCs w:val="20"/>
        </w:rPr>
        <w:t>47</w:t>
      </w:r>
      <w:r w:rsidRPr="00F925AE">
        <w:rPr>
          <w:rFonts w:cs="Times New Roman"/>
          <w:noProof/>
          <w:sz w:val="20"/>
          <w:szCs w:val="20"/>
        </w:rPr>
        <w:t>(1), 153–161. doi:10.2307/1912352</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Huergo, E., &amp; Moreno, L. (2014). National or International Public Funding? Subsidies or Loans? Evaluating the Innovation Impact of R&amp;D Support Programmes. </w:t>
      </w:r>
      <w:r w:rsidRPr="00F925AE">
        <w:rPr>
          <w:rFonts w:cs="Times New Roman"/>
          <w:i/>
          <w:iCs/>
          <w:noProof/>
          <w:sz w:val="20"/>
          <w:szCs w:val="20"/>
        </w:rPr>
        <w:t>MPRA paper NO. 54218</w:t>
      </w:r>
      <w:r w:rsidRPr="00F925AE">
        <w:rPr>
          <w:rFonts w:cs="Times New Roman"/>
          <w:noProof/>
          <w:sz w:val="20"/>
          <w:szCs w:val="20"/>
        </w:rPr>
        <w:t>, 1–35.</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lang w:val="es-ES"/>
        </w:rPr>
        <w:t xml:space="preserve">Huergo, E., Trenado, M., &amp; Ubierna, A. (2013). </w:t>
      </w:r>
      <w:r w:rsidRPr="00F925AE">
        <w:rPr>
          <w:rFonts w:cs="Times New Roman"/>
          <w:noProof/>
          <w:sz w:val="20"/>
          <w:szCs w:val="20"/>
        </w:rPr>
        <w:t xml:space="preserve">The Impact of Low-Interest Credits on Business R&amp;D Expenditures: Spanish Firms and CDTI Loans for R&amp;D projects. </w:t>
      </w:r>
      <w:r w:rsidRPr="00F925AE">
        <w:rPr>
          <w:rFonts w:cs="Times New Roman"/>
          <w:i/>
          <w:iCs/>
          <w:noProof/>
          <w:sz w:val="20"/>
          <w:szCs w:val="20"/>
        </w:rPr>
        <w:t>MPRA paper No. 44221</w:t>
      </w:r>
      <w:r w:rsidRPr="00F925AE">
        <w:rPr>
          <w:rFonts w:cs="Times New Roman"/>
          <w:noProof/>
          <w:sz w:val="20"/>
          <w:szCs w:val="20"/>
        </w:rPr>
        <w:t>, 1–57.</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Infelise, F. (2014). </w:t>
      </w:r>
      <w:r w:rsidRPr="00F925AE">
        <w:rPr>
          <w:rFonts w:cs="Times New Roman"/>
          <w:i/>
          <w:iCs/>
          <w:noProof/>
          <w:sz w:val="20"/>
          <w:szCs w:val="20"/>
        </w:rPr>
        <w:t>Supporting Access to Finance by SMEs: Mapping the Initiatives in Five EU countries</w:t>
      </w:r>
      <w:r w:rsidRPr="00F925AE">
        <w:rPr>
          <w:rFonts w:cs="Times New Roman"/>
          <w:noProof/>
          <w:sz w:val="20"/>
          <w:szCs w:val="20"/>
        </w:rPr>
        <w:t>. Flensburg (GER). https://www.ceps.eu/publications/supporting-access-finance-smes-mapping-initiatives-five-eu-countries. Accessed 3 June 2015.</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Karhunen, H., &amp; Huovari, J. (2015). R&amp;D Subsidies and Productivity in SMEs. </w:t>
      </w:r>
      <w:r w:rsidRPr="00F925AE">
        <w:rPr>
          <w:rFonts w:cs="Times New Roman"/>
          <w:i/>
          <w:iCs/>
          <w:noProof/>
          <w:sz w:val="20"/>
          <w:szCs w:val="20"/>
        </w:rPr>
        <w:t>Small Business Economics</w:t>
      </w:r>
      <w:r w:rsidRPr="00F925AE">
        <w:rPr>
          <w:rFonts w:cs="Times New Roman"/>
          <w:noProof/>
          <w:sz w:val="20"/>
          <w:szCs w:val="20"/>
        </w:rPr>
        <w:t xml:space="preserve">, </w:t>
      </w:r>
      <w:r w:rsidRPr="00F925AE">
        <w:rPr>
          <w:rFonts w:cs="Times New Roman"/>
          <w:i/>
          <w:iCs/>
          <w:noProof/>
          <w:sz w:val="20"/>
          <w:szCs w:val="20"/>
        </w:rPr>
        <w:t>45</w:t>
      </w:r>
      <w:r w:rsidRPr="00F925AE">
        <w:rPr>
          <w:rFonts w:cs="Times New Roman"/>
          <w:noProof/>
          <w:sz w:val="20"/>
          <w:szCs w:val="20"/>
        </w:rPr>
        <w:t>(4), 805–823. doi:10.1007/s11187-015-9658-9</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Kleer, R. (2010). Government R&amp;D Subsidies as a Signal for Private Investors. </w:t>
      </w:r>
      <w:r w:rsidRPr="00F925AE">
        <w:rPr>
          <w:rFonts w:cs="Times New Roman"/>
          <w:i/>
          <w:iCs/>
          <w:noProof/>
          <w:sz w:val="20"/>
          <w:szCs w:val="20"/>
        </w:rPr>
        <w:t>Research Policy</w:t>
      </w:r>
      <w:r w:rsidRPr="00F925AE">
        <w:rPr>
          <w:rFonts w:cs="Times New Roman"/>
          <w:noProof/>
          <w:sz w:val="20"/>
          <w:szCs w:val="20"/>
        </w:rPr>
        <w:t xml:space="preserve">, </w:t>
      </w:r>
      <w:r w:rsidRPr="00F925AE">
        <w:rPr>
          <w:rFonts w:cs="Times New Roman"/>
          <w:i/>
          <w:iCs/>
          <w:noProof/>
          <w:sz w:val="20"/>
          <w:szCs w:val="20"/>
        </w:rPr>
        <w:t>39</w:t>
      </w:r>
      <w:r w:rsidRPr="00F925AE">
        <w:rPr>
          <w:rFonts w:cs="Times New Roman"/>
          <w:noProof/>
          <w:sz w:val="20"/>
          <w:szCs w:val="20"/>
        </w:rPr>
        <w:t>(10), 1361–1374. doi:10.1016/j.respol.2010.08.001</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Kuo, C.-J., Chen, C.-M., &amp; Sung, C.-H. (2011). Evaluating Guarantee Fees for Loans to Small and Medium-Sized Enterprises. </w:t>
      </w:r>
      <w:r w:rsidRPr="00F925AE">
        <w:rPr>
          <w:rFonts w:cs="Times New Roman"/>
          <w:i/>
          <w:iCs/>
          <w:noProof/>
          <w:sz w:val="20"/>
          <w:szCs w:val="20"/>
        </w:rPr>
        <w:t>Small Business Economics</w:t>
      </w:r>
      <w:r w:rsidRPr="00F925AE">
        <w:rPr>
          <w:rFonts w:cs="Times New Roman"/>
          <w:noProof/>
          <w:sz w:val="20"/>
          <w:szCs w:val="20"/>
        </w:rPr>
        <w:t xml:space="preserve">, </w:t>
      </w:r>
      <w:r w:rsidRPr="00F925AE">
        <w:rPr>
          <w:rFonts w:cs="Times New Roman"/>
          <w:i/>
          <w:iCs/>
          <w:noProof/>
          <w:sz w:val="20"/>
          <w:szCs w:val="20"/>
        </w:rPr>
        <w:t>37</w:t>
      </w:r>
      <w:r w:rsidRPr="00F925AE">
        <w:rPr>
          <w:rFonts w:cs="Times New Roman"/>
          <w:noProof/>
          <w:sz w:val="20"/>
          <w:szCs w:val="20"/>
        </w:rPr>
        <w:t>(2), 205–218. doi:10.1007/s11187-009-9236-0</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lang w:val="fr-FR"/>
        </w:rPr>
      </w:pPr>
      <w:r w:rsidRPr="00F925AE">
        <w:rPr>
          <w:rFonts w:cs="Times New Roman"/>
          <w:noProof/>
          <w:sz w:val="20"/>
          <w:szCs w:val="20"/>
        </w:rPr>
        <w:t xml:space="preserve">Lee, P. M., &amp; Wahal, S. (2004). Grandstanding, Certification and the Underpricing of Venture Capital Backed IPOs. </w:t>
      </w:r>
      <w:r w:rsidRPr="00F925AE">
        <w:rPr>
          <w:rFonts w:cs="Times New Roman"/>
          <w:i/>
          <w:iCs/>
          <w:noProof/>
          <w:sz w:val="20"/>
          <w:szCs w:val="20"/>
          <w:lang w:val="fr-FR"/>
        </w:rPr>
        <w:t>Journal of Financial Economics</w:t>
      </w:r>
      <w:r w:rsidRPr="00F925AE">
        <w:rPr>
          <w:rFonts w:cs="Times New Roman"/>
          <w:noProof/>
          <w:sz w:val="20"/>
          <w:szCs w:val="20"/>
          <w:lang w:val="fr-FR"/>
        </w:rPr>
        <w:t xml:space="preserve">, </w:t>
      </w:r>
      <w:r w:rsidRPr="00F925AE">
        <w:rPr>
          <w:rFonts w:cs="Times New Roman"/>
          <w:i/>
          <w:iCs/>
          <w:noProof/>
          <w:sz w:val="20"/>
          <w:szCs w:val="20"/>
          <w:lang w:val="fr-FR"/>
        </w:rPr>
        <w:t>73</w:t>
      </w:r>
      <w:r w:rsidRPr="00F925AE">
        <w:rPr>
          <w:rFonts w:cs="Times New Roman"/>
          <w:noProof/>
          <w:sz w:val="20"/>
          <w:szCs w:val="20"/>
          <w:lang w:val="fr-FR"/>
        </w:rPr>
        <w:t>(2), 375–407. article. doi:10.1016/j.jfineco.2003.09.003</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lang w:val="fr-FR"/>
        </w:rPr>
        <w:t xml:space="preserve">Leleux, B., &amp; Surlemont, B. (2003). </w:t>
      </w:r>
      <w:r w:rsidRPr="00F925AE">
        <w:rPr>
          <w:rFonts w:cs="Times New Roman"/>
          <w:noProof/>
          <w:sz w:val="20"/>
          <w:szCs w:val="20"/>
        </w:rPr>
        <w:t xml:space="preserve">Public versus Private Venture Capital: Seeding or Crowding Out? A Pan-European Analysis. </w:t>
      </w:r>
      <w:r w:rsidRPr="00F925AE">
        <w:rPr>
          <w:rFonts w:cs="Times New Roman"/>
          <w:i/>
          <w:iCs/>
          <w:noProof/>
          <w:sz w:val="20"/>
          <w:szCs w:val="20"/>
        </w:rPr>
        <w:t>Journal of Business Venturing</w:t>
      </w:r>
      <w:r w:rsidRPr="00F925AE">
        <w:rPr>
          <w:rFonts w:cs="Times New Roman"/>
          <w:noProof/>
          <w:sz w:val="20"/>
          <w:szCs w:val="20"/>
        </w:rPr>
        <w:t xml:space="preserve">, </w:t>
      </w:r>
      <w:r w:rsidRPr="00F925AE">
        <w:rPr>
          <w:rFonts w:cs="Times New Roman"/>
          <w:i/>
          <w:iCs/>
          <w:noProof/>
          <w:sz w:val="20"/>
          <w:szCs w:val="20"/>
        </w:rPr>
        <w:t>18</w:t>
      </w:r>
      <w:r w:rsidRPr="00F925AE">
        <w:rPr>
          <w:rFonts w:cs="Times New Roman"/>
          <w:noProof/>
          <w:sz w:val="20"/>
          <w:szCs w:val="20"/>
        </w:rPr>
        <w:t>(1), 81–104. doi:10.1016/S0883-9026(01)00078-7</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Lemmon, M. L., Roberts, M. R., &amp; Zender, J. F. (2008). Back to the Beginning: Persistence and the Cross-Section of Corporate Capital Structure. </w:t>
      </w:r>
      <w:r w:rsidRPr="00F925AE">
        <w:rPr>
          <w:rFonts w:cs="Times New Roman"/>
          <w:i/>
          <w:iCs/>
          <w:noProof/>
          <w:sz w:val="20"/>
          <w:szCs w:val="20"/>
        </w:rPr>
        <w:t>Journal of Finance</w:t>
      </w:r>
      <w:r w:rsidRPr="00F925AE">
        <w:rPr>
          <w:rFonts w:cs="Times New Roman"/>
          <w:noProof/>
          <w:sz w:val="20"/>
          <w:szCs w:val="20"/>
        </w:rPr>
        <w:t xml:space="preserve">, </w:t>
      </w:r>
      <w:r w:rsidRPr="00F925AE">
        <w:rPr>
          <w:rFonts w:cs="Times New Roman"/>
          <w:i/>
          <w:iCs/>
          <w:noProof/>
          <w:sz w:val="20"/>
          <w:szCs w:val="20"/>
        </w:rPr>
        <w:t>63</w:t>
      </w:r>
      <w:r w:rsidRPr="00F925AE">
        <w:rPr>
          <w:rFonts w:cs="Times New Roman"/>
          <w:noProof/>
          <w:sz w:val="20"/>
          <w:szCs w:val="20"/>
        </w:rPr>
        <w:t>(4), 1575–1608. doi:10.1111/j.1540-6261.2008.01369.x</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Lerner, J. (1999). The Government as Venture Capitalist: The Long-Run Impact of the SBIR Program. </w:t>
      </w:r>
      <w:r w:rsidRPr="00F925AE">
        <w:rPr>
          <w:rFonts w:cs="Times New Roman"/>
          <w:i/>
          <w:iCs/>
          <w:noProof/>
          <w:sz w:val="20"/>
          <w:szCs w:val="20"/>
        </w:rPr>
        <w:t>Journal of Business</w:t>
      </w:r>
      <w:r w:rsidRPr="00F925AE">
        <w:rPr>
          <w:rFonts w:cs="Times New Roman"/>
          <w:noProof/>
          <w:sz w:val="20"/>
          <w:szCs w:val="20"/>
        </w:rPr>
        <w:t xml:space="preserve">, </w:t>
      </w:r>
      <w:r w:rsidRPr="00F925AE">
        <w:rPr>
          <w:rFonts w:cs="Times New Roman"/>
          <w:i/>
          <w:iCs/>
          <w:noProof/>
          <w:sz w:val="20"/>
          <w:szCs w:val="20"/>
        </w:rPr>
        <w:t>72</w:t>
      </w:r>
      <w:r w:rsidRPr="00F925AE">
        <w:rPr>
          <w:rFonts w:cs="Times New Roman"/>
          <w:noProof/>
          <w:sz w:val="20"/>
          <w:szCs w:val="20"/>
        </w:rPr>
        <w:t>(3), 285–318. article. doi:10.3905/jpe.2000.319960</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Lerner, J. (2002). When Bureaucrats Meet Entrepreneurs: The Design of Effective “Public Venture Capital” Programmes. </w:t>
      </w:r>
      <w:r w:rsidRPr="00F925AE">
        <w:rPr>
          <w:rFonts w:cs="Times New Roman"/>
          <w:i/>
          <w:iCs/>
          <w:noProof/>
          <w:sz w:val="20"/>
          <w:szCs w:val="20"/>
        </w:rPr>
        <w:t>Economic Journal</w:t>
      </w:r>
      <w:r w:rsidRPr="00F925AE">
        <w:rPr>
          <w:rFonts w:cs="Times New Roman"/>
          <w:noProof/>
          <w:sz w:val="20"/>
          <w:szCs w:val="20"/>
        </w:rPr>
        <w:t xml:space="preserve">, </w:t>
      </w:r>
      <w:r w:rsidRPr="00F925AE">
        <w:rPr>
          <w:rFonts w:cs="Times New Roman"/>
          <w:i/>
          <w:iCs/>
          <w:noProof/>
          <w:sz w:val="20"/>
          <w:szCs w:val="20"/>
        </w:rPr>
        <w:t>112</w:t>
      </w:r>
      <w:r w:rsidRPr="00F925AE">
        <w:rPr>
          <w:rFonts w:cs="Times New Roman"/>
          <w:noProof/>
          <w:sz w:val="20"/>
          <w:szCs w:val="20"/>
        </w:rPr>
        <w:t>(477), F73–F84. doi:10.1111/1468-0297.00684</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Magri, S. (2009). The Financing of Small Innovative Firms: the Italian Case. </w:t>
      </w:r>
      <w:r w:rsidRPr="00F925AE">
        <w:rPr>
          <w:rFonts w:cs="Times New Roman"/>
          <w:i/>
          <w:iCs/>
          <w:noProof/>
          <w:sz w:val="20"/>
          <w:szCs w:val="20"/>
        </w:rPr>
        <w:t>Economics of Innovation and New Technology</w:t>
      </w:r>
      <w:r w:rsidRPr="00F925AE">
        <w:rPr>
          <w:rFonts w:cs="Times New Roman"/>
          <w:noProof/>
          <w:sz w:val="20"/>
          <w:szCs w:val="20"/>
        </w:rPr>
        <w:t xml:space="preserve">, </w:t>
      </w:r>
      <w:r w:rsidRPr="00F925AE">
        <w:rPr>
          <w:rFonts w:cs="Times New Roman"/>
          <w:i/>
          <w:iCs/>
          <w:noProof/>
          <w:sz w:val="20"/>
          <w:szCs w:val="20"/>
        </w:rPr>
        <w:t>18</w:t>
      </w:r>
      <w:r w:rsidRPr="00F925AE">
        <w:rPr>
          <w:rFonts w:cs="Times New Roman"/>
          <w:noProof/>
          <w:sz w:val="20"/>
          <w:szCs w:val="20"/>
        </w:rPr>
        <w:t>(2), 181–204. doi:10.1080/10438590701738016</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Meuleman, M., &amp; De Maeseneire, W. (2012). Do R&amp;D Subsidies Affect SMEs’ Access to External Financing? </w:t>
      </w:r>
      <w:r w:rsidRPr="00F925AE">
        <w:rPr>
          <w:rFonts w:cs="Times New Roman"/>
          <w:i/>
          <w:iCs/>
          <w:noProof/>
          <w:sz w:val="20"/>
          <w:szCs w:val="20"/>
        </w:rPr>
        <w:t>Research Policy</w:t>
      </w:r>
      <w:r w:rsidRPr="00F925AE">
        <w:rPr>
          <w:rFonts w:cs="Times New Roman"/>
          <w:noProof/>
          <w:sz w:val="20"/>
          <w:szCs w:val="20"/>
        </w:rPr>
        <w:t xml:space="preserve">, </w:t>
      </w:r>
      <w:r w:rsidRPr="00F925AE">
        <w:rPr>
          <w:rFonts w:cs="Times New Roman"/>
          <w:i/>
          <w:iCs/>
          <w:noProof/>
          <w:sz w:val="20"/>
          <w:szCs w:val="20"/>
        </w:rPr>
        <w:t>41</w:t>
      </w:r>
      <w:r w:rsidRPr="00F925AE">
        <w:rPr>
          <w:rFonts w:cs="Times New Roman"/>
          <w:noProof/>
          <w:sz w:val="20"/>
          <w:szCs w:val="20"/>
        </w:rPr>
        <w:t>(3), 580–591. doi:10.1016/j.respol.2012.01.001</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Michaelas, N., Chittenden, F., &amp; Poutziouris, P. (1999). Financial Policy and Capital Structure Choice in U.K. SMEs: Empirical Evidence from Company Panel Data. </w:t>
      </w:r>
      <w:r w:rsidRPr="00F925AE">
        <w:rPr>
          <w:rFonts w:cs="Times New Roman"/>
          <w:i/>
          <w:iCs/>
          <w:noProof/>
          <w:sz w:val="20"/>
          <w:szCs w:val="20"/>
        </w:rPr>
        <w:t>Small Business Economics</w:t>
      </w:r>
      <w:r w:rsidRPr="00F925AE">
        <w:rPr>
          <w:rFonts w:cs="Times New Roman"/>
          <w:noProof/>
          <w:sz w:val="20"/>
          <w:szCs w:val="20"/>
        </w:rPr>
        <w:t xml:space="preserve">, </w:t>
      </w:r>
      <w:r w:rsidRPr="00F925AE">
        <w:rPr>
          <w:rFonts w:cs="Times New Roman"/>
          <w:i/>
          <w:iCs/>
          <w:noProof/>
          <w:sz w:val="20"/>
          <w:szCs w:val="20"/>
        </w:rPr>
        <w:t>12</w:t>
      </w:r>
      <w:r w:rsidRPr="00F925AE">
        <w:rPr>
          <w:rFonts w:cs="Times New Roman"/>
          <w:noProof/>
          <w:sz w:val="20"/>
          <w:szCs w:val="20"/>
        </w:rPr>
        <w:t>(2), 113–130. doi:10.1023/A:1008010724051</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Minola, T., Vismara, S., &amp; Hahn, D. (2016). Screening Model for the Support of Governmental Venture Capital. </w:t>
      </w:r>
      <w:r w:rsidRPr="00F925AE">
        <w:rPr>
          <w:rFonts w:cs="Times New Roman"/>
          <w:i/>
          <w:iCs/>
          <w:noProof/>
          <w:sz w:val="20"/>
          <w:szCs w:val="20"/>
        </w:rPr>
        <w:t>Journal of Technology Transfer</w:t>
      </w:r>
      <w:r w:rsidR="00994403">
        <w:rPr>
          <w:rFonts w:cs="Times New Roman"/>
          <w:noProof/>
          <w:sz w:val="20"/>
          <w:szCs w:val="20"/>
        </w:rPr>
        <w:t>,</w:t>
      </w:r>
      <w:r w:rsidRPr="00F925AE">
        <w:rPr>
          <w:rFonts w:cs="Times New Roman"/>
          <w:noProof/>
          <w:sz w:val="20"/>
          <w:szCs w:val="20"/>
        </w:rPr>
        <w:t xml:space="preserve"> doi:10.1007/s10961-015-9461-4</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Myers, S. C., &amp; Majluf, N. S. (1984). Corporate Financing and Investment Decisions When Firms Have Information That Investors Do Not Have. </w:t>
      </w:r>
      <w:r w:rsidRPr="00F925AE">
        <w:rPr>
          <w:rFonts w:cs="Times New Roman"/>
          <w:i/>
          <w:iCs/>
          <w:noProof/>
          <w:sz w:val="20"/>
          <w:szCs w:val="20"/>
        </w:rPr>
        <w:t>Journal of Financial Economics</w:t>
      </w:r>
      <w:r w:rsidRPr="00F925AE">
        <w:rPr>
          <w:rFonts w:cs="Times New Roman"/>
          <w:noProof/>
          <w:sz w:val="20"/>
          <w:szCs w:val="20"/>
        </w:rPr>
        <w:t xml:space="preserve">, </w:t>
      </w:r>
      <w:r w:rsidRPr="00F925AE">
        <w:rPr>
          <w:rFonts w:cs="Times New Roman"/>
          <w:i/>
          <w:iCs/>
          <w:noProof/>
          <w:sz w:val="20"/>
          <w:szCs w:val="20"/>
        </w:rPr>
        <w:t>13</w:t>
      </w:r>
      <w:r w:rsidR="00994403">
        <w:rPr>
          <w:rFonts w:cs="Times New Roman"/>
          <w:noProof/>
          <w:sz w:val="20"/>
          <w:szCs w:val="20"/>
        </w:rPr>
        <w:t>(2), 187–221</w:t>
      </w:r>
      <w:r w:rsidRPr="00F925AE">
        <w:rPr>
          <w:rFonts w:cs="Times New Roman"/>
          <w:noProof/>
          <w:sz w:val="20"/>
          <w:szCs w:val="20"/>
        </w:rPr>
        <w:t>. doi:10.1016/0304-405X(84)90023-0</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lastRenderedPageBreak/>
        <w:t xml:space="preserve">North, D., Smallbone, D., &amp; Vickers, I. (2001). Public Sector Support for Innovating SMEs. </w:t>
      </w:r>
      <w:r w:rsidRPr="00F925AE">
        <w:rPr>
          <w:rFonts w:cs="Times New Roman"/>
          <w:i/>
          <w:iCs/>
          <w:noProof/>
          <w:sz w:val="20"/>
          <w:szCs w:val="20"/>
        </w:rPr>
        <w:t>Small Business Economics</w:t>
      </w:r>
      <w:r w:rsidRPr="00F925AE">
        <w:rPr>
          <w:rFonts w:cs="Times New Roman"/>
          <w:noProof/>
          <w:sz w:val="20"/>
          <w:szCs w:val="20"/>
        </w:rPr>
        <w:t xml:space="preserve">, </w:t>
      </w:r>
      <w:r w:rsidRPr="00F925AE">
        <w:rPr>
          <w:rFonts w:cs="Times New Roman"/>
          <w:i/>
          <w:iCs/>
          <w:noProof/>
          <w:sz w:val="20"/>
          <w:szCs w:val="20"/>
        </w:rPr>
        <w:t>16</w:t>
      </w:r>
      <w:r w:rsidRPr="00F925AE">
        <w:rPr>
          <w:rFonts w:cs="Times New Roman"/>
          <w:noProof/>
          <w:sz w:val="20"/>
          <w:szCs w:val="20"/>
        </w:rPr>
        <w:t>(4), 303–317. doi:10.1023/A:1011164801073</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OECD. (2015). </w:t>
      </w:r>
      <w:r w:rsidRPr="00F925AE">
        <w:rPr>
          <w:rFonts w:cs="Times New Roman"/>
          <w:i/>
          <w:iCs/>
          <w:noProof/>
          <w:sz w:val="20"/>
          <w:szCs w:val="20"/>
        </w:rPr>
        <w:t>New approaches to SME and Entrepreneurial Financing: Broadening the Range of Instruments</w:t>
      </w:r>
      <w:r w:rsidRPr="00F925AE">
        <w:rPr>
          <w:rFonts w:cs="Times New Roman"/>
          <w:noProof/>
          <w:sz w:val="20"/>
          <w:szCs w:val="20"/>
        </w:rPr>
        <w:t>. http://www.oecd.org/cfe/smes/New-Approaches-SME-full-report.pdf. Accessed 13 January 2016</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Pollock, T. G., Chen, G., Jackson, E. M., &amp; Hambrick, D. C. (2010). How Much Prestige is Enough? Assessing the Value of Multiple Types of High-Status Affiliates for Young Firms. </w:t>
      </w:r>
      <w:r w:rsidRPr="00F925AE">
        <w:rPr>
          <w:rFonts w:cs="Times New Roman"/>
          <w:i/>
          <w:iCs/>
          <w:noProof/>
          <w:sz w:val="20"/>
          <w:szCs w:val="20"/>
        </w:rPr>
        <w:t>Journal of Business Venturing</w:t>
      </w:r>
      <w:r w:rsidRPr="00F925AE">
        <w:rPr>
          <w:rFonts w:cs="Times New Roman"/>
          <w:noProof/>
          <w:sz w:val="20"/>
          <w:szCs w:val="20"/>
        </w:rPr>
        <w:t xml:space="preserve">, </w:t>
      </w:r>
      <w:r w:rsidRPr="00F925AE">
        <w:rPr>
          <w:rFonts w:cs="Times New Roman"/>
          <w:i/>
          <w:iCs/>
          <w:noProof/>
          <w:sz w:val="20"/>
          <w:szCs w:val="20"/>
        </w:rPr>
        <w:t>25</w:t>
      </w:r>
      <w:r w:rsidRPr="00F925AE">
        <w:rPr>
          <w:rFonts w:cs="Times New Roman"/>
          <w:noProof/>
          <w:sz w:val="20"/>
          <w:szCs w:val="20"/>
        </w:rPr>
        <w:t>(1), 6–23. doi:10.1016/j.jbusvent.2009.01.003</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Puri, M., &amp; Zarutskie, R. (2012). On the Life Cycle Dynamics of Venture-Capital- and Non-Venture-Capital-Financed Firms. </w:t>
      </w:r>
      <w:r w:rsidRPr="00F925AE">
        <w:rPr>
          <w:rFonts w:cs="Times New Roman"/>
          <w:i/>
          <w:iCs/>
          <w:noProof/>
          <w:sz w:val="20"/>
          <w:szCs w:val="20"/>
        </w:rPr>
        <w:t>Journal of Finance</w:t>
      </w:r>
      <w:r w:rsidRPr="00F925AE">
        <w:rPr>
          <w:rFonts w:cs="Times New Roman"/>
          <w:noProof/>
          <w:sz w:val="20"/>
          <w:szCs w:val="20"/>
        </w:rPr>
        <w:t xml:space="preserve">, </w:t>
      </w:r>
      <w:r w:rsidRPr="00F925AE">
        <w:rPr>
          <w:rFonts w:cs="Times New Roman"/>
          <w:i/>
          <w:iCs/>
          <w:noProof/>
          <w:sz w:val="20"/>
          <w:szCs w:val="20"/>
        </w:rPr>
        <w:t>67</w:t>
      </w:r>
      <w:r w:rsidRPr="00F925AE">
        <w:rPr>
          <w:rFonts w:cs="Times New Roman"/>
          <w:noProof/>
          <w:sz w:val="20"/>
          <w:szCs w:val="20"/>
        </w:rPr>
        <w:t>(6), 2247–2293.</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Sogorb-Mira, F. (2005). How SME Uniqueness Affects Capital Structure: Evidence From a 1994-1998 Spanish Data Panel. </w:t>
      </w:r>
      <w:r w:rsidRPr="00F925AE">
        <w:rPr>
          <w:rFonts w:cs="Times New Roman"/>
          <w:i/>
          <w:iCs/>
          <w:noProof/>
          <w:sz w:val="20"/>
          <w:szCs w:val="20"/>
        </w:rPr>
        <w:t>Small Business Economics</w:t>
      </w:r>
      <w:r w:rsidRPr="00F925AE">
        <w:rPr>
          <w:rFonts w:cs="Times New Roman"/>
          <w:noProof/>
          <w:sz w:val="20"/>
          <w:szCs w:val="20"/>
        </w:rPr>
        <w:t xml:space="preserve">, </w:t>
      </w:r>
      <w:r w:rsidRPr="00F925AE">
        <w:rPr>
          <w:rFonts w:cs="Times New Roman"/>
          <w:i/>
          <w:iCs/>
          <w:noProof/>
          <w:sz w:val="20"/>
          <w:szCs w:val="20"/>
        </w:rPr>
        <w:t>25</w:t>
      </w:r>
      <w:r w:rsidRPr="00F925AE">
        <w:rPr>
          <w:rFonts w:cs="Times New Roman"/>
          <w:noProof/>
          <w:sz w:val="20"/>
          <w:szCs w:val="20"/>
        </w:rPr>
        <w:t>, 447–457. doi:10.1007/s11187-004-6486-8</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Sørensen, J. B., &amp; Stuart, T. E. (2000). Aging, Obsolescence, and Organizational Innovation. </w:t>
      </w:r>
      <w:r w:rsidRPr="00F925AE">
        <w:rPr>
          <w:rFonts w:cs="Times New Roman"/>
          <w:i/>
          <w:iCs/>
          <w:noProof/>
          <w:sz w:val="20"/>
          <w:szCs w:val="20"/>
        </w:rPr>
        <w:t>Administrative Science Quarterly</w:t>
      </w:r>
      <w:r w:rsidRPr="00F925AE">
        <w:rPr>
          <w:rFonts w:cs="Times New Roman"/>
          <w:noProof/>
          <w:sz w:val="20"/>
          <w:szCs w:val="20"/>
        </w:rPr>
        <w:t xml:space="preserve">, </w:t>
      </w:r>
      <w:r w:rsidRPr="00F925AE">
        <w:rPr>
          <w:rFonts w:cs="Times New Roman"/>
          <w:i/>
          <w:iCs/>
          <w:noProof/>
          <w:sz w:val="20"/>
          <w:szCs w:val="20"/>
        </w:rPr>
        <w:t>45</w:t>
      </w:r>
      <w:r w:rsidRPr="00F925AE">
        <w:rPr>
          <w:rFonts w:cs="Times New Roman"/>
          <w:noProof/>
          <w:sz w:val="20"/>
          <w:szCs w:val="20"/>
        </w:rPr>
        <w:t>(1), 81–112. doi:10.2307/2666980</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Stiglitz, J. E., &amp; Weiss, A. (1981). Credit Rationing in Markets with imperfect Information. </w:t>
      </w:r>
      <w:r w:rsidRPr="00F925AE">
        <w:rPr>
          <w:rFonts w:cs="Times New Roman"/>
          <w:i/>
          <w:iCs/>
          <w:noProof/>
          <w:sz w:val="20"/>
          <w:szCs w:val="20"/>
        </w:rPr>
        <w:t>American Economic Review</w:t>
      </w:r>
      <w:r w:rsidRPr="00F925AE">
        <w:rPr>
          <w:rFonts w:cs="Times New Roman"/>
          <w:noProof/>
          <w:sz w:val="20"/>
          <w:szCs w:val="20"/>
        </w:rPr>
        <w:t xml:space="preserve">, </w:t>
      </w:r>
      <w:r w:rsidRPr="00F925AE">
        <w:rPr>
          <w:rFonts w:cs="Times New Roman"/>
          <w:i/>
          <w:iCs/>
          <w:noProof/>
          <w:sz w:val="20"/>
          <w:szCs w:val="20"/>
        </w:rPr>
        <w:t>71</w:t>
      </w:r>
      <w:r w:rsidR="00994403">
        <w:rPr>
          <w:rFonts w:cs="Times New Roman"/>
          <w:noProof/>
          <w:sz w:val="20"/>
          <w:szCs w:val="20"/>
        </w:rPr>
        <w:t>, 393–409</w:t>
      </w:r>
      <w:r w:rsidRPr="00F925AE">
        <w:rPr>
          <w:rFonts w:cs="Times New Roman"/>
          <w:noProof/>
          <w:sz w:val="20"/>
          <w:szCs w:val="20"/>
        </w:rPr>
        <w:t>. http://www.jstor.org/stable/1802787</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Teece, D. J. (1986). Profiting from Technological Innovation: Implications for Integration, Collaboration, Licensing and Public Policy. </w:t>
      </w:r>
      <w:r w:rsidRPr="00F925AE">
        <w:rPr>
          <w:rFonts w:cs="Times New Roman"/>
          <w:i/>
          <w:iCs/>
          <w:noProof/>
          <w:sz w:val="20"/>
          <w:szCs w:val="20"/>
        </w:rPr>
        <w:t>Research Policy</w:t>
      </w:r>
      <w:r w:rsidRPr="00F925AE">
        <w:rPr>
          <w:rFonts w:cs="Times New Roman"/>
          <w:noProof/>
          <w:sz w:val="20"/>
          <w:szCs w:val="20"/>
        </w:rPr>
        <w:t xml:space="preserve">, </w:t>
      </w:r>
      <w:r w:rsidRPr="00F925AE">
        <w:rPr>
          <w:rFonts w:cs="Times New Roman"/>
          <w:i/>
          <w:iCs/>
          <w:noProof/>
          <w:sz w:val="20"/>
          <w:szCs w:val="20"/>
        </w:rPr>
        <w:t>15</w:t>
      </w:r>
      <w:r w:rsidRPr="00F925AE">
        <w:rPr>
          <w:rFonts w:cs="Times New Roman"/>
          <w:noProof/>
          <w:sz w:val="20"/>
          <w:szCs w:val="20"/>
        </w:rPr>
        <w:t>(6), 285–305. doi:10.1016/0048-7333(86)90027-2</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Tirole, J. (2006). </w:t>
      </w:r>
      <w:r w:rsidRPr="00F925AE">
        <w:rPr>
          <w:rFonts w:cs="Times New Roman"/>
          <w:i/>
          <w:iCs/>
          <w:noProof/>
          <w:sz w:val="20"/>
          <w:szCs w:val="20"/>
        </w:rPr>
        <w:t>The Theory of Corporate Finance</w:t>
      </w:r>
      <w:r w:rsidRPr="00F925AE">
        <w:rPr>
          <w:rFonts w:cs="Times New Roman"/>
          <w:noProof/>
          <w:sz w:val="20"/>
          <w:szCs w:val="20"/>
        </w:rPr>
        <w:t>. Princeton (NJ): Princeton University Press.</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Titman, S., &amp; Wessels, R. (1988). The Determinants of Capital Structure Choice. </w:t>
      </w:r>
      <w:r w:rsidRPr="00F925AE">
        <w:rPr>
          <w:rFonts w:cs="Times New Roman"/>
          <w:i/>
          <w:iCs/>
          <w:noProof/>
          <w:sz w:val="20"/>
          <w:szCs w:val="20"/>
        </w:rPr>
        <w:t>Journal of finance</w:t>
      </w:r>
      <w:r w:rsidRPr="00F925AE">
        <w:rPr>
          <w:rFonts w:cs="Times New Roman"/>
          <w:noProof/>
          <w:sz w:val="20"/>
          <w:szCs w:val="20"/>
        </w:rPr>
        <w:t xml:space="preserve">, </w:t>
      </w:r>
      <w:r w:rsidRPr="00F925AE">
        <w:rPr>
          <w:rFonts w:cs="Times New Roman"/>
          <w:i/>
          <w:iCs/>
          <w:noProof/>
          <w:sz w:val="20"/>
          <w:szCs w:val="20"/>
        </w:rPr>
        <w:t>43</w:t>
      </w:r>
      <w:r w:rsidRPr="00F925AE">
        <w:rPr>
          <w:rFonts w:cs="Times New Roman"/>
          <w:noProof/>
          <w:sz w:val="20"/>
          <w:szCs w:val="20"/>
        </w:rPr>
        <w:t>(1), 1–19. doi:10.1111/j.1540-6261.1988.tb02585.x</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Ueda, M. (2004). Banks versus Venture Capital: Project Evaluation, Screening, and Expropriation. </w:t>
      </w:r>
      <w:r w:rsidRPr="00F925AE">
        <w:rPr>
          <w:rFonts w:cs="Times New Roman"/>
          <w:i/>
          <w:iCs/>
          <w:noProof/>
          <w:sz w:val="20"/>
          <w:szCs w:val="20"/>
        </w:rPr>
        <w:t>Journal of Finance</w:t>
      </w:r>
      <w:r w:rsidRPr="00F925AE">
        <w:rPr>
          <w:rFonts w:cs="Times New Roman"/>
          <w:noProof/>
          <w:sz w:val="20"/>
          <w:szCs w:val="20"/>
        </w:rPr>
        <w:t xml:space="preserve">, </w:t>
      </w:r>
      <w:r w:rsidRPr="00F925AE">
        <w:rPr>
          <w:rFonts w:cs="Times New Roman"/>
          <w:i/>
          <w:iCs/>
          <w:noProof/>
          <w:sz w:val="20"/>
          <w:szCs w:val="20"/>
        </w:rPr>
        <w:t>59</w:t>
      </w:r>
      <w:r w:rsidRPr="00F925AE">
        <w:rPr>
          <w:rFonts w:cs="Times New Roman"/>
          <w:noProof/>
          <w:sz w:val="20"/>
          <w:szCs w:val="20"/>
        </w:rPr>
        <w:t>(2), 601–621. doi:10.1111/j.1540-6261.2004.00643.x</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Vander Bauwhede, H., De Meyere, M., &amp; Van Cauwenberge, P. (2015). Financial Reporting Quality and the Cost of Debt of SMEs. </w:t>
      </w:r>
      <w:r w:rsidRPr="00F925AE">
        <w:rPr>
          <w:rFonts w:cs="Times New Roman"/>
          <w:i/>
          <w:iCs/>
          <w:noProof/>
          <w:sz w:val="20"/>
          <w:szCs w:val="20"/>
        </w:rPr>
        <w:t>Small Business Economics</w:t>
      </w:r>
      <w:r w:rsidRPr="00F925AE">
        <w:rPr>
          <w:rFonts w:cs="Times New Roman"/>
          <w:noProof/>
          <w:sz w:val="20"/>
          <w:szCs w:val="20"/>
        </w:rPr>
        <w:t xml:space="preserve">, </w:t>
      </w:r>
      <w:r w:rsidRPr="00F925AE">
        <w:rPr>
          <w:rFonts w:cs="Times New Roman"/>
          <w:i/>
          <w:iCs/>
          <w:noProof/>
          <w:sz w:val="20"/>
          <w:szCs w:val="20"/>
        </w:rPr>
        <w:t>45</w:t>
      </w:r>
      <w:r w:rsidRPr="00F925AE">
        <w:rPr>
          <w:rFonts w:cs="Times New Roman"/>
          <w:noProof/>
          <w:sz w:val="20"/>
          <w:szCs w:val="20"/>
        </w:rPr>
        <w:t>(1), 149–164. doi:10.1007/s11187-015-9645-1</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Vella, F., &amp; Verbeek, M. (1999). Estimating and Interpreting Models with Endogenous Treatment Effects. </w:t>
      </w:r>
      <w:r w:rsidRPr="00F925AE">
        <w:rPr>
          <w:rFonts w:cs="Times New Roman"/>
          <w:i/>
          <w:iCs/>
          <w:noProof/>
          <w:sz w:val="20"/>
          <w:szCs w:val="20"/>
        </w:rPr>
        <w:t>Journal of Business &amp; Economic Statistics</w:t>
      </w:r>
      <w:r w:rsidRPr="00F925AE">
        <w:rPr>
          <w:rFonts w:cs="Times New Roman"/>
          <w:noProof/>
          <w:sz w:val="20"/>
          <w:szCs w:val="20"/>
        </w:rPr>
        <w:t xml:space="preserve">, </w:t>
      </w:r>
      <w:r w:rsidRPr="00F925AE">
        <w:rPr>
          <w:rFonts w:cs="Times New Roman"/>
          <w:i/>
          <w:iCs/>
          <w:noProof/>
          <w:sz w:val="20"/>
          <w:szCs w:val="20"/>
        </w:rPr>
        <w:t>17</w:t>
      </w:r>
      <w:r w:rsidRPr="00F925AE">
        <w:rPr>
          <w:rFonts w:cs="Times New Roman"/>
          <w:noProof/>
          <w:sz w:val="20"/>
          <w:szCs w:val="20"/>
        </w:rPr>
        <w:t>(4), 473–478. doi:10.1080/07350015.1999.10524835</w:t>
      </w:r>
    </w:p>
    <w:p w:rsidR="00512993" w:rsidRPr="00F925AE" w:rsidRDefault="00512993" w:rsidP="00512993">
      <w:pPr>
        <w:widowControl w:val="0"/>
        <w:autoSpaceDE w:val="0"/>
        <w:autoSpaceDN w:val="0"/>
        <w:adjustRightInd w:val="0"/>
        <w:spacing w:before="100" w:after="100" w:line="240" w:lineRule="auto"/>
        <w:ind w:left="480" w:hanging="480"/>
        <w:rPr>
          <w:rFonts w:cs="Times New Roman"/>
          <w:noProof/>
          <w:sz w:val="20"/>
          <w:szCs w:val="20"/>
        </w:rPr>
      </w:pPr>
      <w:r w:rsidRPr="00F925AE">
        <w:rPr>
          <w:rFonts w:cs="Times New Roman"/>
          <w:noProof/>
          <w:sz w:val="20"/>
          <w:szCs w:val="20"/>
        </w:rPr>
        <w:t xml:space="preserve">Zúñiga Vicente, J., Alonso-Borrego, C., Forcadell, F. J., &amp; Galàn, J. I. (2014). Assessing the Effect of Public Subsidies on Firm R&amp;D Investment: A Survey. </w:t>
      </w:r>
      <w:r w:rsidRPr="00F925AE">
        <w:rPr>
          <w:rFonts w:cs="Times New Roman"/>
          <w:i/>
          <w:iCs/>
          <w:noProof/>
          <w:sz w:val="20"/>
          <w:szCs w:val="20"/>
        </w:rPr>
        <w:t>Journal of Economic Surveys</w:t>
      </w:r>
      <w:r w:rsidRPr="00F925AE">
        <w:rPr>
          <w:rFonts w:cs="Times New Roman"/>
          <w:noProof/>
          <w:sz w:val="20"/>
          <w:szCs w:val="20"/>
        </w:rPr>
        <w:t xml:space="preserve">, </w:t>
      </w:r>
      <w:r w:rsidRPr="00F925AE">
        <w:rPr>
          <w:rFonts w:cs="Times New Roman"/>
          <w:i/>
          <w:iCs/>
          <w:noProof/>
          <w:sz w:val="20"/>
          <w:szCs w:val="20"/>
        </w:rPr>
        <w:t>28</w:t>
      </w:r>
      <w:r w:rsidRPr="00F925AE">
        <w:rPr>
          <w:rFonts w:cs="Times New Roman"/>
          <w:noProof/>
          <w:sz w:val="20"/>
          <w:szCs w:val="20"/>
        </w:rPr>
        <w:t>(1), 36–67. doi:10.1111/j.1467-6419.2012.00738.x</w:t>
      </w:r>
    </w:p>
    <w:p w:rsidR="00512993" w:rsidRPr="00F925AE" w:rsidRDefault="007C60DA" w:rsidP="00512993">
      <w:pPr>
        <w:widowControl w:val="0"/>
        <w:autoSpaceDE w:val="0"/>
        <w:autoSpaceDN w:val="0"/>
        <w:adjustRightInd w:val="0"/>
        <w:spacing w:before="100" w:after="100" w:line="240" w:lineRule="auto"/>
        <w:ind w:left="480" w:hanging="480"/>
        <w:rPr>
          <w:rFonts w:cs="Times New Roman"/>
          <w:sz w:val="20"/>
          <w:szCs w:val="20"/>
        </w:rPr>
      </w:pPr>
      <w:r w:rsidRPr="00F925AE">
        <w:rPr>
          <w:rFonts w:cs="Times New Roman"/>
          <w:sz w:val="20"/>
          <w:szCs w:val="20"/>
        </w:rPr>
        <w:fldChar w:fldCharType="end"/>
      </w:r>
    </w:p>
    <w:p w:rsidR="00512993" w:rsidRPr="007D564F" w:rsidRDefault="00512993">
      <w:pPr>
        <w:rPr>
          <w:sz w:val="20"/>
          <w:szCs w:val="20"/>
        </w:rPr>
      </w:pPr>
      <w:r w:rsidRPr="007D564F">
        <w:rPr>
          <w:sz w:val="20"/>
          <w:szCs w:val="20"/>
        </w:rPr>
        <w:br w:type="page"/>
      </w:r>
    </w:p>
    <w:p w:rsidR="00512993" w:rsidRPr="007D564F" w:rsidRDefault="00512993" w:rsidP="00512993">
      <w:pPr>
        <w:pStyle w:val="Ttulo1"/>
        <w:numPr>
          <w:ilvl w:val="0"/>
          <w:numId w:val="0"/>
        </w:numPr>
        <w:ind w:left="432"/>
        <w:rPr>
          <w:rFonts w:eastAsia="Times New Roman"/>
        </w:rPr>
      </w:pPr>
      <w:r w:rsidRPr="007D564F">
        <w:rPr>
          <w:rFonts w:eastAsia="Times New Roman"/>
        </w:rPr>
        <w:lastRenderedPageBreak/>
        <w:t>Tables</w:t>
      </w:r>
    </w:p>
    <w:p w:rsidR="00512993" w:rsidRPr="007D564F" w:rsidRDefault="00512993" w:rsidP="00512993">
      <w:pPr>
        <w:pStyle w:val="Descripcin"/>
        <w:keepLines/>
        <w:spacing w:after="0" w:line="240" w:lineRule="auto"/>
        <w:rPr>
          <w:szCs w:val="20"/>
        </w:rPr>
      </w:pPr>
      <w:bookmarkStart w:id="1" w:name="_Ref404095164"/>
      <w:r w:rsidRPr="007D564F">
        <w:rPr>
          <w:szCs w:val="20"/>
        </w:rPr>
        <w:t xml:space="preserve">Table </w:t>
      </w:r>
      <w:r w:rsidR="007C60DA" w:rsidRPr="007D564F">
        <w:rPr>
          <w:szCs w:val="20"/>
        </w:rPr>
        <w:fldChar w:fldCharType="begin"/>
      </w:r>
      <w:r w:rsidRPr="007D564F">
        <w:rPr>
          <w:szCs w:val="20"/>
        </w:rPr>
        <w:instrText xml:space="preserve"> SEQ Table \* ARABIC </w:instrText>
      </w:r>
      <w:r w:rsidR="007C60DA" w:rsidRPr="007D564F">
        <w:rPr>
          <w:szCs w:val="20"/>
        </w:rPr>
        <w:fldChar w:fldCharType="separate"/>
      </w:r>
      <w:r w:rsidRPr="007D564F">
        <w:rPr>
          <w:noProof/>
          <w:szCs w:val="20"/>
        </w:rPr>
        <w:t>1</w:t>
      </w:r>
      <w:r w:rsidR="007C60DA" w:rsidRPr="007D564F">
        <w:rPr>
          <w:szCs w:val="20"/>
        </w:rPr>
        <w:fldChar w:fldCharType="end"/>
      </w:r>
      <w:r w:rsidRPr="007D564F">
        <w:rPr>
          <w:szCs w:val="20"/>
        </w:rPr>
        <w:t>: Universe of ENISA loans belonging to the programs EBT, PYME and JOVENES</w:t>
      </w:r>
    </w:p>
    <w:tbl>
      <w:tblPr>
        <w:tblW w:w="5000" w:type="pct"/>
        <w:tblCellMar>
          <w:left w:w="70" w:type="dxa"/>
          <w:right w:w="70" w:type="dxa"/>
        </w:tblCellMar>
        <w:tblLook w:val="04A0" w:firstRow="1" w:lastRow="0" w:firstColumn="1" w:lastColumn="0" w:noHBand="0" w:noVBand="1"/>
      </w:tblPr>
      <w:tblGrid>
        <w:gridCol w:w="2135"/>
        <w:gridCol w:w="1032"/>
        <w:gridCol w:w="1033"/>
        <w:gridCol w:w="1033"/>
        <w:gridCol w:w="1033"/>
        <w:gridCol w:w="1033"/>
        <w:gridCol w:w="1033"/>
        <w:gridCol w:w="1212"/>
      </w:tblGrid>
      <w:tr w:rsidR="00DA2D4F" w:rsidRPr="007D564F" w:rsidTr="00512993">
        <w:trPr>
          <w:trHeight w:val="20"/>
        </w:trPr>
        <w:tc>
          <w:tcPr>
            <w:tcW w:w="1119" w:type="pct"/>
            <w:tcBorders>
              <w:top w:val="nil"/>
              <w:left w:val="nil"/>
              <w:bottom w:val="double" w:sz="6" w:space="0" w:color="auto"/>
              <w:right w:val="nil"/>
            </w:tcBorders>
            <w:noWrap/>
            <w:vAlign w:val="bottom"/>
            <w:hideMark/>
          </w:tcPr>
          <w:p w:rsidR="00512993" w:rsidRPr="007D564F" w:rsidRDefault="00512993" w:rsidP="00512993">
            <w:pPr>
              <w:keepNext/>
              <w:keepLines/>
              <w:spacing w:after="0" w:line="240" w:lineRule="auto"/>
              <w:ind w:firstLine="0"/>
              <w:jc w:val="left"/>
              <w:rPr>
                <w:rFonts w:eastAsia="Times New Roman" w:cs="Times New Roman"/>
                <w:color w:val="000000"/>
                <w:sz w:val="20"/>
                <w:szCs w:val="20"/>
                <w:lang w:eastAsia="es-ES"/>
              </w:rPr>
            </w:pPr>
            <w:r w:rsidRPr="007D564F">
              <w:rPr>
                <w:rFonts w:eastAsia="Times New Roman" w:cs="Times New Roman"/>
                <w:color w:val="000000"/>
                <w:sz w:val="20"/>
                <w:szCs w:val="20"/>
                <w:lang w:eastAsia="es-ES"/>
              </w:rPr>
              <w:t> </w:t>
            </w:r>
          </w:p>
        </w:tc>
        <w:tc>
          <w:tcPr>
            <w:tcW w:w="541" w:type="pct"/>
            <w:tcBorders>
              <w:top w:val="nil"/>
              <w:left w:val="nil"/>
              <w:bottom w:val="double" w:sz="6" w:space="0" w:color="auto"/>
              <w:right w:val="nil"/>
            </w:tcBorders>
            <w:noWrap/>
            <w:vAlign w:val="bottom"/>
            <w:hideMark/>
          </w:tcPr>
          <w:p w:rsidR="00512993" w:rsidRPr="007D564F" w:rsidRDefault="00512993" w:rsidP="00512993">
            <w:pPr>
              <w:keepNext/>
              <w:keepLines/>
              <w:spacing w:after="0" w:line="240" w:lineRule="auto"/>
              <w:ind w:firstLine="0"/>
              <w:jc w:val="left"/>
              <w:rPr>
                <w:rFonts w:eastAsia="Times New Roman" w:cs="Times New Roman"/>
                <w:color w:val="000000"/>
                <w:sz w:val="20"/>
                <w:szCs w:val="20"/>
                <w:lang w:eastAsia="es-ES"/>
              </w:rPr>
            </w:pPr>
            <w:r w:rsidRPr="007D564F">
              <w:rPr>
                <w:rFonts w:eastAsia="Times New Roman" w:cs="Times New Roman"/>
                <w:color w:val="000000"/>
                <w:sz w:val="20"/>
                <w:szCs w:val="20"/>
                <w:lang w:eastAsia="es-ES"/>
              </w:rPr>
              <w:t> </w:t>
            </w:r>
          </w:p>
        </w:tc>
        <w:tc>
          <w:tcPr>
            <w:tcW w:w="541" w:type="pct"/>
            <w:tcBorders>
              <w:top w:val="nil"/>
              <w:left w:val="nil"/>
              <w:bottom w:val="double" w:sz="6" w:space="0" w:color="auto"/>
              <w:right w:val="nil"/>
            </w:tcBorders>
            <w:noWrap/>
            <w:vAlign w:val="bottom"/>
            <w:hideMark/>
          </w:tcPr>
          <w:p w:rsidR="00512993" w:rsidRPr="007D564F" w:rsidRDefault="00512993" w:rsidP="00512993">
            <w:pPr>
              <w:keepNext/>
              <w:keepLines/>
              <w:spacing w:after="0" w:line="240" w:lineRule="auto"/>
              <w:ind w:firstLine="0"/>
              <w:jc w:val="left"/>
              <w:rPr>
                <w:rFonts w:eastAsia="Times New Roman" w:cs="Times New Roman"/>
                <w:color w:val="000000"/>
                <w:sz w:val="20"/>
                <w:szCs w:val="20"/>
                <w:lang w:eastAsia="es-ES"/>
              </w:rPr>
            </w:pPr>
            <w:r w:rsidRPr="007D564F">
              <w:rPr>
                <w:rFonts w:eastAsia="Times New Roman" w:cs="Times New Roman"/>
                <w:color w:val="000000"/>
                <w:sz w:val="20"/>
                <w:szCs w:val="20"/>
                <w:lang w:eastAsia="es-ES"/>
              </w:rPr>
              <w:t> </w:t>
            </w:r>
          </w:p>
        </w:tc>
        <w:tc>
          <w:tcPr>
            <w:tcW w:w="541" w:type="pct"/>
            <w:tcBorders>
              <w:top w:val="nil"/>
              <w:left w:val="nil"/>
              <w:bottom w:val="double" w:sz="6" w:space="0" w:color="auto"/>
              <w:right w:val="nil"/>
            </w:tcBorders>
            <w:noWrap/>
            <w:vAlign w:val="bottom"/>
            <w:hideMark/>
          </w:tcPr>
          <w:p w:rsidR="00512993" w:rsidRPr="007D564F" w:rsidRDefault="00512993" w:rsidP="00512993">
            <w:pPr>
              <w:keepNext/>
              <w:keepLines/>
              <w:spacing w:after="0" w:line="240" w:lineRule="auto"/>
              <w:ind w:firstLine="0"/>
              <w:jc w:val="left"/>
              <w:rPr>
                <w:rFonts w:eastAsia="Times New Roman" w:cs="Times New Roman"/>
                <w:color w:val="000000"/>
                <w:sz w:val="20"/>
                <w:szCs w:val="20"/>
                <w:lang w:eastAsia="es-ES"/>
              </w:rPr>
            </w:pPr>
            <w:r w:rsidRPr="007D564F">
              <w:rPr>
                <w:rFonts w:eastAsia="Times New Roman" w:cs="Times New Roman"/>
                <w:color w:val="000000"/>
                <w:sz w:val="20"/>
                <w:szCs w:val="20"/>
                <w:lang w:eastAsia="es-ES"/>
              </w:rPr>
              <w:t> </w:t>
            </w:r>
          </w:p>
        </w:tc>
        <w:tc>
          <w:tcPr>
            <w:tcW w:w="541" w:type="pct"/>
            <w:tcBorders>
              <w:top w:val="nil"/>
              <w:left w:val="nil"/>
              <w:bottom w:val="double" w:sz="6" w:space="0" w:color="auto"/>
              <w:right w:val="nil"/>
            </w:tcBorders>
            <w:noWrap/>
            <w:vAlign w:val="bottom"/>
            <w:hideMark/>
          </w:tcPr>
          <w:p w:rsidR="00512993" w:rsidRPr="007D564F" w:rsidRDefault="00512993" w:rsidP="00512993">
            <w:pPr>
              <w:keepNext/>
              <w:keepLines/>
              <w:spacing w:after="0" w:line="240" w:lineRule="auto"/>
              <w:ind w:firstLine="0"/>
              <w:jc w:val="left"/>
              <w:rPr>
                <w:rFonts w:eastAsia="Times New Roman" w:cs="Times New Roman"/>
                <w:color w:val="000000"/>
                <w:sz w:val="20"/>
                <w:szCs w:val="20"/>
                <w:lang w:eastAsia="es-ES"/>
              </w:rPr>
            </w:pPr>
            <w:r w:rsidRPr="007D564F">
              <w:rPr>
                <w:rFonts w:eastAsia="Times New Roman" w:cs="Times New Roman"/>
                <w:color w:val="000000"/>
                <w:sz w:val="20"/>
                <w:szCs w:val="20"/>
                <w:lang w:eastAsia="es-ES"/>
              </w:rPr>
              <w:t> </w:t>
            </w:r>
          </w:p>
        </w:tc>
        <w:tc>
          <w:tcPr>
            <w:tcW w:w="541" w:type="pct"/>
            <w:tcBorders>
              <w:top w:val="nil"/>
              <w:left w:val="nil"/>
              <w:bottom w:val="double" w:sz="6" w:space="0" w:color="auto"/>
              <w:right w:val="nil"/>
            </w:tcBorders>
            <w:noWrap/>
            <w:vAlign w:val="bottom"/>
            <w:hideMark/>
          </w:tcPr>
          <w:p w:rsidR="00512993" w:rsidRPr="007D564F" w:rsidRDefault="00512993" w:rsidP="00512993">
            <w:pPr>
              <w:keepNext/>
              <w:keepLines/>
              <w:spacing w:after="0" w:line="240" w:lineRule="auto"/>
              <w:ind w:firstLine="0"/>
              <w:jc w:val="left"/>
              <w:rPr>
                <w:rFonts w:eastAsia="Times New Roman" w:cs="Times New Roman"/>
                <w:color w:val="000000"/>
                <w:sz w:val="20"/>
                <w:szCs w:val="20"/>
                <w:lang w:eastAsia="es-ES"/>
              </w:rPr>
            </w:pPr>
            <w:r w:rsidRPr="007D564F">
              <w:rPr>
                <w:rFonts w:eastAsia="Times New Roman" w:cs="Times New Roman"/>
                <w:color w:val="000000"/>
                <w:sz w:val="20"/>
                <w:szCs w:val="20"/>
                <w:lang w:eastAsia="es-ES"/>
              </w:rPr>
              <w:t> </w:t>
            </w:r>
          </w:p>
        </w:tc>
        <w:tc>
          <w:tcPr>
            <w:tcW w:w="541" w:type="pct"/>
            <w:tcBorders>
              <w:top w:val="nil"/>
              <w:left w:val="nil"/>
              <w:bottom w:val="double" w:sz="6" w:space="0" w:color="auto"/>
              <w:right w:val="nil"/>
            </w:tcBorders>
            <w:noWrap/>
            <w:vAlign w:val="bottom"/>
            <w:hideMark/>
          </w:tcPr>
          <w:p w:rsidR="00512993" w:rsidRPr="007D564F" w:rsidRDefault="00512993" w:rsidP="00512993">
            <w:pPr>
              <w:keepNext/>
              <w:keepLines/>
              <w:spacing w:after="0" w:line="240" w:lineRule="auto"/>
              <w:ind w:firstLine="0"/>
              <w:jc w:val="left"/>
              <w:rPr>
                <w:rFonts w:eastAsia="Times New Roman" w:cs="Times New Roman"/>
                <w:color w:val="000000"/>
                <w:sz w:val="20"/>
                <w:szCs w:val="20"/>
                <w:lang w:eastAsia="es-ES"/>
              </w:rPr>
            </w:pPr>
            <w:r w:rsidRPr="007D564F">
              <w:rPr>
                <w:rFonts w:eastAsia="Times New Roman" w:cs="Times New Roman"/>
                <w:color w:val="000000"/>
                <w:sz w:val="20"/>
                <w:szCs w:val="20"/>
                <w:lang w:eastAsia="es-ES"/>
              </w:rPr>
              <w:t> </w:t>
            </w:r>
          </w:p>
        </w:tc>
        <w:tc>
          <w:tcPr>
            <w:tcW w:w="635" w:type="pct"/>
            <w:tcBorders>
              <w:top w:val="nil"/>
              <w:left w:val="nil"/>
              <w:bottom w:val="double" w:sz="6" w:space="0" w:color="auto"/>
              <w:right w:val="nil"/>
            </w:tcBorders>
            <w:noWrap/>
            <w:vAlign w:val="bottom"/>
            <w:hideMark/>
          </w:tcPr>
          <w:p w:rsidR="00512993" w:rsidRPr="007D564F" w:rsidRDefault="00512993" w:rsidP="00512993">
            <w:pPr>
              <w:keepNext/>
              <w:keepLines/>
              <w:spacing w:after="0" w:line="240" w:lineRule="auto"/>
              <w:ind w:firstLine="0"/>
              <w:jc w:val="left"/>
              <w:rPr>
                <w:rFonts w:eastAsia="Times New Roman" w:cs="Times New Roman"/>
                <w:color w:val="000000"/>
                <w:sz w:val="20"/>
                <w:szCs w:val="20"/>
                <w:lang w:eastAsia="es-ES"/>
              </w:rPr>
            </w:pPr>
            <w:r w:rsidRPr="007D564F">
              <w:rPr>
                <w:rFonts w:eastAsia="Times New Roman" w:cs="Times New Roman"/>
                <w:color w:val="000000"/>
                <w:sz w:val="20"/>
                <w:szCs w:val="20"/>
                <w:lang w:eastAsia="es-ES"/>
              </w:rPr>
              <w:t> </w:t>
            </w:r>
          </w:p>
        </w:tc>
      </w:tr>
      <w:tr w:rsidR="00DA2D4F" w:rsidRPr="007D564F" w:rsidTr="00512993">
        <w:trPr>
          <w:trHeight w:val="20"/>
        </w:trPr>
        <w:tc>
          <w:tcPr>
            <w:tcW w:w="5000" w:type="pct"/>
            <w:gridSpan w:val="8"/>
            <w:noWrap/>
            <w:vAlign w:val="bottom"/>
            <w:hideMark/>
          </w:tcPr>
          <w:p w:rsidR="00512993" w:rsidRPr="007D564F" w:rsidRDefault="00512993" w:rsidP="00512993">
            <w:pPr>
              <w:keepNext/>
              <w:keepLines/>
              <w:spacing w:after="0" w:line="240" w:lineRule="auto"/>
              <w:ind w:firstLine="0"/>
              <w:jc w:val="left"/>
              <w:rPr>
                <w:rFonts w:eastAsia="Times New Roman" w:cs="Times New Roman"/>
                <w:i/>
                <w:color w:val="000000"/>
                <w:sz w:val="20"/>
                <w:szCs w:val="20"/>
                <w:lang w:eastAsia="es-ES"/>
              </w:rPr>
            </w:pPr>
            <w:r w:rsidRPr="007D564F">
              <w:rPr>
                <w:rFonts w:eastAsia="Times New Roman" w:cs="Times New Roman"/>
                <w:i/>
                <w:color w:val="000000"/>
                <w:sz w:val="20"/>
                <w:szCs w:val="20"/>
                <w:lang w:eastAsia="es-ES"/>
              </w:rPr>
              <w:t>Panel A. Amount of loans to firms receiving the first loan between 2005 and 2010 (in 1000 Euros)</w:t>
            </w:r>
          </w:p>
        </w:tc>
      </w:tr>
      <w:tr w:rsidR="00DA2D4F" w:rsidRPr="007D564F" w:rsidTr="00512993">
        <w:trPr>
          <w:trHeight w:val="20"/>
        </w:trPr>
        <w:tc>
          <w:tcPr>
            <w:tcW w:w="1119" w:type="pct"/>
            <w:tcBorders>
              <w:top w:val="nil"/>
              <w:left w:val="nil"/>
            </w:tcBorders>
            <w:shd w:val="clear" w:color="auto" w:fill="FFFFFF"/>
            <w:noWrap/>
            <w:vAlign w:val="bottom"/>
            <w:hideMark/>
          </w:tcPr>
          <w:p w:rsidR="00512993" w:rsidRPr="007D564F" w:rsidRDefault="00512993" w:rsidP="00512993">
            <w:pPr>
              <w:keepNext/>
              <w:keepLines/>
              <w:spacing w:after="0" w:line="240" w:lineRule="auto"/>
              <w:ind w:firstLine="0"/>
              <w:rPr>
                <w:rFonts w:eastAsia="Times New Roman" w:cs="Times New Roman"/>
                <w:b/>
                <w:bCs/>
                <w:sz w:val="20"/>
                <w:szCs w:val="20"/>
                <w:lang w:val="es-ES" w:eastAsia="es-ES"/>
              </w:rPr>
            </w:pPr>
            <w:r w:rsidRPr="007D564F">
              <w:rPr>
                <w:rFonts w:eastAsia="Times New Roman" w:cs="Times New Roman"/>
                <w:b/>
                <w:bCs/>
                <w:sz w:val="20"/>
                <w:szCs w:val="20"/>
                <w:lang w:val="es-ES" w:eastAsia="es-ES"/>
              </w:rPr>
              <w:t>Program</w:t>
            </w:r>
          </w:p>
        </w:tc>
        <w:tc>
          <w:tcPr>
            <w:tcW w:w="541" w:type="pct"/>
            <w:tcBorders>
              <w:top w:val="nil"/>
              <w:right w:val="nil"/>
            </w:tcBorders>
            <w:shd w:val="clear" w:color="auto" w:fill="FFFFFF"/>
            <w:noWrap/>
            <w:vAlign w:val="bottom"/>
            <w:hideMark/>
          </w:tcPr>
          <w:p w:rsidR="00512993" w:rsidRPr="007D564F" w:rsidRDefault="00512993" w:rsidP="00512993">
            <w:pPr>
              <w:keepNext/>
              <w:keepLines/>
              <w:spacing w:after="0" w:line="240" w:lineRule="auto"/>
              <w:ind w:firstLine="0"/>
              <w:jc w:val="right"/>
              <w:rPr>
                <w:rFonts w:eastAsia="Times New Roman" w:cs="Times New Roman"/>
                <w:b/>
                <w:bCs/>
                <w:sz w:val="20"/>
                <w:szCs w:val="20"/>
                <w:lang w:val="es-ES" w:eastAsia="es-ES"/>
              </w:rPr>
            </w:pPr>
            <w:r w:rsidRPr="007D564F">
              <w:rPr>
                <w:rFonts w:eastAsia="Times New Roman" w:cs="Times New Roman"/>
                <w:b/>
                <w:bCs/>
                <w:sz w:val="20"/>
                <w:szCs w:val="20"/>
                <w:lang w:val="es-ES" w:eastAsia="es-ES"/>
              </w:rPr>
              <w:t>2005</w:t>
            </w:r>
          </w:p>
        </w:tc>
        <w:tc>
          <w:tcPr>
            <w:tcW w:w="541" w:type="pct"/>
            <w:tcBorders>
              <w:top w:val="nil"/>
              <w:left w:val="nil"/>
              <w:right w:val="nil"/>
            </w:tcBorders>
            <w:shd w:val="clear" w:color="auto" w:fill="FFFFFF"/>
            <w:noWrap/>
            <w:vAlign w:val="bottom"/>
            <w:hideMark/>
          </w:tcPr>
          <w:p w:rsidR="00512993" w:rsidRPr="007D564F" w:rsidRDefault="00512993" w:rsidP="00512993">
            <w:pPr>
              <w:keepNext/>
              <w:keepLines/>
              <w:spacing w:after="0" w:line="240" w:lineRule="auto"/>
              <w:ind w:firstLine="0"/>
              <w:jc w:val="right"/>
              <w:rPr>
                <w:rFonts w:eastAsia="Times New Roman" w:cs="Times New Roman"/>
                <w:b/>
                <w:bCs/>
                <w:sz w:val="20"/>
                <w:szCs w:val="20"/>
                <w:lang w:val="es-ES" w:eastAsia="es-ES"/>
              </w:rPr>
            </w:pPr>
            <w:r w:rsidRPr="007D564F">
              <w:rPr>
                <w:rFonts w:eastAsia="Times New Roman" w:cs="Times New Roman"/>
                <w:b/>
                <w:bCs/>
                <w:sz w:val="20"/>
                <w:szCs w:val="20"/>
                <w:lang w:val="es-ES" w:eastAsia="es-ES"/>
              </w:rPr>
              <w:t>2006</w:t>
            </w:r>
          </w:p>
        </w:tc>
        <w:tc>
          <w:tcPr>
            <w:tcW w:w="541" w:type="pct"/>
            <w:tcBorders>
              <w:top w:val="nil"/>
              <w:left w:val="nil"/>
              <w:right w:val="nil"/>
            </w:tcBorders>
            <w:shd w:val="clear" w:color="auto" w:fill="FFFFFF"/>
            <w:noWrap/>
            <w:vAlign w:val="bottom"/>
            <w:hideMark/>
          </w:tcPr>
          <w:p w:rsidR="00512993" w:rsidRPr="007D564F" w:rsidRDefault="00512993" w:rsidP="00512993">
            <w:pPr>
              <w:keepNext/>
              <w:keepLines/>
              <w:spacing w:after="0" w:line="240" w:lineRule="auto"/>
              <w:ind w:firstLine="0"/>
              <w:jc w:val="right"/>
              <w:rPr>
                <w:rFonts w:eastAsia="Times New Roman" w:cs="Times New Roman"/>
                <w:b/>
                <w:bCs/>
                <w:sz w:val="20"/>
                <w:szCs w:val="20"/>
                <w:lang w:val="es-ES" w:eastAsia="es-ES"/>
              </w:rPr>
            </w:pPr>
            <w:r w:rsidRPr="007D564F">
              <w:rPr>
                <w:rFonts w:eastAsia="Times New Roman" w:cs="Times New Roman"/>
                <w:b/>
                <w:bCs/>
                <w:sz w:val="20"/>
                <w:szCs w:val="20"/>
                <w:lang w:val="es-ES" w:eastAsia="es-ES"/>
              </w:rPr>
              <w:t>2007</w:t>
            </w:r>
          </w:p>
        </w:tc>
        <w:tc>
          <w:tcPr>
            <w:tcW w:w="541" w:type="pct"/>
            <w:tcBorders>
              <w:top w:val="nil"/>
              <w:left w:val="nil"/>
              <w:right w:val="nil"/>
            </w:tcBorders>
            <w:shd w:val="clear" w:color="auto" w:fill="FFFFFF"/>
            <w:noWrap/>
            <w:vAlign w:val="bottom"/>
            <w:hideMark/>
          </w:tcPr>
          <w:p w:rsidR="00512993" w:rsidRPr="007D564F" w:rsidRDefault="00512993" w:rsidP="00512993">
            <w:pPr>
              <w:keepNext/>
              <w:keepLines/>
              <w:spacing w:after="0" w:line="240" w:lineRule="auto"/>
              <w:ind w:firstLine="0"/>
              <w:jc w:val="right"/>
              <w:rPr>
                <w:rFonts w:eastAsia="Times New Roman" w:cs="Times New Roman"/>
                <w:b/>
                <w:bCs/>
                <w:sz w:val="20"/>
                <w:szCs w:val="20"/>
                <w:lang w:val="es-ES" w:eastAsia="es-ES"/>
              </w:rPr>
            </w:pPr>
            <w:r w:rsidRPr="007D564F">
              <w:rPr>
                <w:rFonts w:eastAsia="Times New Roman" w:cs="Times New Roman"/>
                <w:b/>
                <w:bCs/>
                <w:sz w:val="20"/>
                <w:szCs w:val="20"/>
                <w:lang w:val="es-ES" w:eastAsia="es-ES"/>
              </w:rPr>
              <w:t>2008</w:t>
            </w:r>
          </w:p>
        </w:tc>
        <w:tc>
          <w:tcPr>
            <w:tcW w:w="541" w:type="pct"/>
            <w:tcBorders>
              <w:top w:val="nil"/>
              <w:left w:val="nil"/>
              <w:right w:val="nil"/>
            </w:tcBorders>
            <w:shd w:val="clear" w:color="auto" w:fill="FFFFFF"/>
            <w:noWrap/>
            <w:vAlign w:val="bottom"/>
            <w:hideMark/>
          </w:tcPr>
          <w:p w:rsidR="00512993" w:rsidRPr="007D564F" w:rsidRDefault="00512993" w:rsidP="00512993">
            <w:pPr>
              <w:keepNext/>
              <w:keepLines/>
              <w:spacing w:after="0" w:line="240" w:lineRule="auto"/>
              <w:ind w:firstLine="0"/>
              <w:jc w:val="right"/>
              <w:rPr>
                <w:rFonts w:eastAsia="Times New Roman" w:cs="Times New Roman"/>
                <w:b/>
                <w:bCs/>
                <w:sz w:val="20"/>
                <w:szCs w:val="20"/>
                <w:lang w:val="es-ES" w:eastAsia="es-ES"/>
              </w:rPr>
            </w:pPr>
            <w:r w:rsidRPr="007D564F">
              <w:rPr>
                <w:rFonts w:eastAsia="Times New Roman" w:cs="Times New Roman"/>
                <w:b/>
                <w:bCs/>
                <w:sz w:val="20"/>
                <w:szCs w:val="20"/>
                <w:lang w:val="es-ES" w:eastAsia="es-ES"/>
              </w:rPr>
              <w:t>2009</w:t>
            </w:r>
          </w:p>
        </w:tc>
        <w:tc>
          <w:tcPr>
            <w:tcW w:w="541" w:type="pct"/>
            <w:tcBorders>
              <w:top w:val="nil"/>
              <w:left w:val="nil"/>
              <w:right w:val="nil"/>
            </w:tcBorders>
            <w:shd w:val="clear" w:color="auto" w:fill="FFFFFF"/>
            <w:noWrap/>
            <w:vAlign w:val="bottom"/>
            <w:hideMark/>
          </w:tcPr>
          <w:p w:rsidR="00512993" w:rsidRPr="007D564F" w:rsidRDefault="00512993" w:rsidP="00512993">
            <w:pPr>
              <w:keepNext/>
              <w:keepLines/>
              <w:spacing w:after="0" w:line="240" w:lineRule="auto"/>
              <w:ind w:firstLine="0"/>
              <w:jc w:val="right"/>
              <w:rPr>
                <w:rFonts w:eastAsia="Times New Roman" w:cs="Times New Roman"/>
                <w:b/>
                <w:bCs/>
                <w:sz w:val="20"/>
                <w:szCs w:val="20"/>
                <w:lang w:val="es-ES" w:eastAsia="es-ES"/>
              </w:rPr>
            </w:pPr>
            <w:r w:rsidRPr="007D564F">
              <w:rPr>
                <w:rFonts w:eastAsia="Times New Roman" w:cs="Times New Roman"/>
                <w:b/>
                <w:bCs/>
                <w:sz w:val="20"/>
                <w:szCs w:val="20"/>
                <w:lang w:val="es-ES" w:eastAsia="es-ES"/>
              </w:rPr>
              <w:t>2010</w:t>
            </w:r>
          </w:p>
        </w:tc>
        <w:tc>
          <w:tcPr>
            <w:tcW w:w="635" w:type="pct"/>
            <w:tcBorders>
              <w:top w:val="nil"/>
              <w:left w:val="nil"/>
              <w:right w:val="nil"/>
            </w:tcBorders>
            <w:shd w:val="clear" w:color="auto" w:fill="FFFFFF"/>
            <w:noWrap/>
            <w:vAlign w:val="bottom"/>
            <w:hideMark/>
          </w:tcPr>
          <w:p w:rsidR="00512993" w:rsidRPr="007D564F" w:rsidRDefault="00512993" w:rsidP="00512993">
            <w:pPr>
              <w:keepNext/>
              <w:keepLines/>
              <w:spacing w:after="0" w:line="240" w:lineRule="auto"/>
              <w:ind w:firstLine="0"/>
              <w:jc w:val="right"/>
              <w:rPr>
                <w:rFonts w:eastAsia="Times New Roman" w:cs="Times New Roman"/>
                <w:b/>
                <w:bCs/>
                <w:sz w:val="20"/>
                <w:szCs w:val="20"/>
                <w:lang w:val="es-ES" w:eastAsia="es-ES"/>
              </w:rPr>
            </w:pPr>
            <w:r w:rsidRPr="007D564F">
              <w:rPr>
                <w:rFonts w:eastAsia="Times New Roman" w:cs="Times New Roman"/>
                <w:b/>
                <w:bCs/>
                <w:sz w:val="20"/>
                <w:szCs w:val="20"/>
                <w:lang w:val="es-ES" w:eastAsia="es-ES"/>
              </w:rPr>
              <w:t>Total</w:t>
            </w:r>
          </w:p>
        </w:tc>
      </w:tr>
      <w:tr w:rsidR="00DA2D4F" w:rsidRPr="007D564F" w:rsidTr="00512993">
        <w:trPr>
          <w:trHeight w:val="20"/>
        </w:trPr>
        <w:tc>
          <w:tcPr>
            <w:tcW w:w="1119" w:type="pct"/>
            <w:noWrap/>
            <w:vAlign w:val="bottom"/>
            <w:hideMark/>
          </w:tcPr>
          <w:p w:rsidR="00512993" w:rsidRPr="007D564F" w:rsidRDefault="00512993" w:rsidP="00512993">
            <w:pPr>
              <w:keepNext/>
              <w:keepLines/>
              <w:spacing w:after="0" w:line="240" w:lineRule="auto"/>
              <w:ind w:left="284" w:firstLine="0"/>
              <w:jc w:val="lef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EBT</w:t>
            </w:r>
          </w:p>
        </w:tc>
        <w:tc>
          <w:tcPr>
            <w:tcW w:w="541" w:type="pct"/>
            <w:tcBorders>
              <w:top w:val="nil"/>
              <w:bottom w:val="nil"/>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5,600</w:t>
            </w:r>
          </w:p>
        </w:tc>
        <w:tc>
          <w:tcPr>
            <w:tcW w:w="541"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12,943</w:t>
            </w:r>
          </w:p>
        </w:tc>
        <w:tc>
          <w:tcPr>
            <w:tcW w:w="541"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10,030</w:t>
            </w:r>
          </w:p>
        </w:tc>
        <w:tc>
          <w:tcPr>
            <w:tcW w:w="541"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16,092</w:t>
            </w:r>
          </w:p>
        </w:tc>
        <w:tc>
          <w:tcPr>
            <w:tcW w:w="541"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17,285</w:t>
            </w:r>
          </w:p>
        </w:tc>
        <w:tc>
          <w:tcPr>
            <w:tcW w:w="541"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17,805</w:t>
            </w:r>
          </w:p>
        </w:tc>
        <w:tc>
          <w:tcPr>
            <w:tcW w:w="635"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bCs/>
                <w:i/>
                <w:color w:val="000000"/>
                <w:sz w:val="20"/>
                <w:szCs w:val="20"/>
                <w:lang w:val="es-ES" w:eastAsia="es-ES"/>
              </w:rPr>
            </w:pPr>
            <w:r w:rsidRPr="007D564F">
              <w:rPr>
                <w:rFonts w:eastAsia="Times New Roman" w:cs="Times New Roman"/>
                <w:bCs/>
                <w:i/>
                <w:color w:val="000000"/>
                <w:sz w:val="20"/>
                <w:szCs w:val="20"/>
                <w:lang w:val="es-ES" w:eastAsia="es-ES"/>
              </w:rPr>
              <w:t>79,755</w:t>
            </w:r>
          </w:p>
        </w:tc>
      </w:tr>
      <w:tr w:rsidR="00DA2D4F" w:rsidRPr="007D564F" w:rsidTr="00512993">
        <w:trPr>
          <w:trHeight w:val="20"/>
        </w:trPr>
        <w:tc>
          <w:tcPr>
            <w:tcW w:w="1119" w:type="pct"/>
            <w:noWrap/>
            <w:vAlign w:val="bottom"/>
            <w:hideMark/>
          </w:tcPr>
          <w:p w:rsidR="00512993" w:rsidRPr="007D564F" w:rsidRDefault="00512993" w:rsidP="00512993">
            <w:pPr>
              <w:keepNext/>
              <w:keepLines/>
              <w:spacing w:after="0" w:line="240" w:lineRule="auto"/>
              <w:ind w:left="284" w:firstLine="0"/>
              <w:jc w:val="lef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PYME</w:t>
            </w:r>
          </w:p>
        </w:tc>
        <w:tc>
          <w:tcPr>
            <w:tcW w:w="541" w:type="pct"/>
            <w:tcBorders>
              <w:top w:val="nil"/>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3,920</w:t>
            </w:r>
          </w:p>
        </w:tc>
        <w:tc>
          <w:tcPr>
            <w:tcW w:w="541"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6,975</w:t>
            </w:r>
          </w:p>
        </w:tc>
        <w:tc>
          <w:tcPr>
            <w:tcW w:w="541"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11,378</w:t>
            </w:r>
          </w:p>
        </w:tc>
        <w:tc>
          <w:tcPr>
            <w:tcW w:w="541"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15,013</w:t>
            </w:r>
          </w:p>
        </w:tc>
        <w:tc>
          <w:tcPr>
            <w:tcW w:w="541"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22,840</w:t>
            </w:r>
          </w:p>
        </w:tc>
        <w:tc>
          <w:tcPr>
            <w:tcW w:w="541"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65,460</w:t>
            </w:r>
          </w:p>
        </w:tc>
        <w:tc>
          <w:tcPr>
            <w:tcW w:w="635"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bCs/>
                <w:i/>
                <w:color w:val="000000"/>
                <w:sz w:val="20"/>
                <w:szCs w:val="20"/>
                <w:lang w:val="es-ES" w:eastAsia="es-ES"/>
              </w:rPr>
            </w:pPr>
            <w:r w:rsidRPr="007D564F">
              <w:rPr>
                <w:rFonts w:eastAsia="Times New Roman" w:cs="Times New Roman"/>
                <w:bCs/>
                <w:i/>
                <w:color w:val="000000"/>
                <w:sz w:val="20"/>
                <w:szCs w:val="20"/>
                <w:lang w:val="es-ES" w:eastAsia="es-ES"/>
              </w:rPr>
              <w:t>125,585</w:t>
            </w:r>
          </w:p>
        </w:tc>
      </w:tr>
      <w:tr w:rsidR="00DA2D4F" w:rsidRPr="007D564F" w:rsidTr="00512993">
        <w:trPr>
          <w:trHeight w:val="20"/>
        </w:trPr>
        <w:tc>
          <w:tcPr>
            <w:tcW w:w="1119" w:type="pct"/>
            <w:tcBorders>
              <w:top w:val="nil"/>
              <w:left w:val="nil"/>
            </w:tcBorders>
            <w:noWrap/>
            <w:vAlign w:val="bottom"/>
            <w:hideMark/>
          </w:tcPr>
          <w:p w:rsidR="00512993" w:rsidRPr="007D564F" w:rsidRDefault="00512993" w:rsidP="00512993">
            <w:pPr>
              <w:keepNext/>
              <w:keepLines/>
              <w:spacing w:after="0" w:line="240" w:lineRule="auto"/>
              <w:ind w:left="284" w:firstLine="0"/>
              <w:jc w:val="lef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JOVENES</w:t>
            </w:r>
          </w:p>
        </w:tc>
        <w:tc>
          <w:tcPr>
            <w:tcW w:w="541" w:type="pct"/>
            <w:tcBorders>
              <w:top w:val="nil"/>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0</w:t>
            </w:r>
          </w:p>
        </w:tc>
        <w:tc>
          <w:tcPr>
            <w:tcW w:w="541" w:type="pct"/>
            <w:tcBorders>
              <w:top w:val="nil"/>
              <w:left w:val="nil"/>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0</w:t>
            </w:r>
          </w:p>
        </w:tc>
        <w:tc>
          <w:tcPr>
            <w:tcW w:w="541" w:type="pct"/>
            <w:tcBorders>
              <w:top w:val="nil"/>
              <w:left w:val="nil"/>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0</w:t>
            </w:r>
          </w:p>
        </w:tc>
        <w:tc>
          <w:tcPr>
            <w:tcW w:w="541" w:type="pct"/>
            <w:tcBorders>
              <w:top w:val="nil"/>
              <w:left w:val="nil"/>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0</w:t>
            </w:r>
          </w:p>
        </w:tc>
        <w:tc>
          <w:tcPr>
            <w:tcW w:w="541" w:type="pct"/>
            <w:tcBorders>
              <w:top w:val="nil"/>
              <w:left w:val="nil"/>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0</w:t>
            </w:r>
          </w:p>
        </w:tc>
        <w:tc>
          <w:tcPr>
            <w:tcW w:w="541" w:type="pct"/>
            <w:tcBorders>
              <w:top w:val="nil"/>
              <w:left w:val="nil"/>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6,597</w:t>
            </w:r>
          </w:p>
        </w:tc>
        <w:tc>
          <w:tcPr>
            <w:tcW w:w="635" w:type="pct"/>
            <w:tcBorders>
              <w:top w:val="nil"/>
              <w:left w:val="nil"/>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bCs/>
                <w:i/>
                <w:color w:val="000000"/>
                <w:sz w:val="20"/>
                <w:szCs w:val="20"/>
                <w:lang w:val="es-ES" w:eastAsia="es-ES"/>
              </w:rPr>
            </w:pPr>
            <w:r w:rsidRPr="007D564F">
              <w:rPr>
                <w:rFonts w:eastAsia="Times New Roman" w:cs="Times New Roman"/>
                <w:bCs/>
                <w:i/>
                <w:color w:val="000000"/>
                <w:sz w:val="20"/>
                <w:szCs w:val="20"/>
                <w:lang w:val="es-ES" w:eastAsia="es-ES"/>
              </w:rPr>
              <w:t>6,597</w:t>
            </w:r>
          </w:p>
        </w:tc>
      </w:tr>
      <w:tr w:rsidR="00DA2D4F" w:rsidRPr="007D564F" w:rsidTr="00512993">
        <w:trPr>
          <w:trHeight w:val="20"/>
        </w:trPr>
        <w:tc>
          <w:tcPr>
            <w:tcW w:w="1119" w:type="pct"/>
            <w:tcBorders>
              <w:bottom w:val="single" w:sz="4" w:space="0" w:color="auto"/>
            </w:tcBorders>
            <w:noWrap/>
            <w:vAlign w:val="bottom"/>
            <w:hideMark/>
          </w:tcPr>
          <w:p w:rsidR="00512993" w:rsidRPr="007D564F" w:rsidRDefault="00512993" w:rsidP="00512993">
            <w:pPr>
              <w:keepNext/>
              <w:keepLines/>
              <w:spacing w:after="0" w:line="240" w:lineRule="auto"/>
              <w:ind w:left="284" w:firstLine="0"/>
              <w:jc w:val="left"/>
              <w:rPr>
                <w:rFonts w:eastAsia="Times New Roman" w:cs="Times New Roman"/>
                <w:bCs/>
                <w:i/>
                <w:color w:val="000000"/>
                <w:sz w:val="20"/>
                <w:szCs w:val="20"/>
                <w:lang w:val="es-ES" w:eastAsia="es-ES"/>
              </w:rPr>
            </w:pPr>
            <w:r w:rsidRPr="007D564F">
              <w:rPr>
                <w:rFonts w:eastAsia="Times New Roman" w:cs="Times New Roman"/>
                <w:bCs/>
                <w:i/>
                <w:color w:val="000000"/>
                <w:sz w:val="20"/>
                <w:szCs w:val="20"/>
                <w:lang w:val="es-ES" w:eastAsia="es-ES"/>
              </w:rPr>
              <w:t>Total</w:t>
            </w:r>
          </w:p>
        </w:tc>
        <w:tc>
          <w:tcPr>
            <w:tcW w:w="541" w:type="pct"/>
            <w:tcBorders>
              <w:bottom w:val="single" w:sz="4" w:space="0" w:color="auto"/>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bCs/>
                <w:i/>
                <w:color w:val="000000"/>
                <w:sz w:val="20"/>
                <w:szCs w:val="20"/>
                <w:lang w:val="es-ES" w:eastAsia="es-ES"/>
              </w:rPr>
            </w:pPr>
            <w:r w:rsidRPr="007D564F">
              <w:rPr>
                <w:rFonts w:eastAsia="Times New Roman" w:cs="Times New Roman"/>
                <w:bCs/>
                <w:i/>
                <w:color w:val="000000"/>
                <w:sz w:val="20"/>
                <w:szCs w:val="20"/>
                <w:lang w:val="es-ES" w:eastAsia="es-ES"/>
              </w:rPr>
              <w:t>9,520</w:t>
            </w:r>
          </w:p>
        </w:tc>
        <w:tc>
          <w:tcPr>
            <w:tcW w:w="541" w:type="pct"/>
            <w:tcBorders>
              <w:bottom w:val="single" w:sz="4" w:space="0" w:color="auto"/>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bCs/>
                <w:i/>
                <w:color w:val="000000"/>
                <w:sz w:val="20"/>
                <w:szCs w:val="20"/>
                <w:lang w:val="es-ES" w:eastAsia="es-ES"/>
              </w:rPr>
            </w:pPr>
            <w:r w:rsidRPr="007D564F">
              <w:rPr>
                <w:rFonts w:eastAsia="Times New Roman" w:cs="Times New Roman"/>
                <w:bCs/>
                <w:i/>
                <w:color w:val="000000"/>
                <w:sz w:val="20"/>
                <w:szCs w:val="20"/>
                <w:lang w:val="es-ES" w:eastAsia="es-ES"/>
              </w:rPr>
              <w:t>19,918</w:t>
            </w:r>
          </w:p>
        </w:tc>
        <w:tc>
          <w:tcPr>
            <w:tcW w:w="541" w:type="pct"/>
            <w:tcBorders>
              <w:bottom w:val="single" w:sz="4" w:space="0" w:color="auto"/>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bCs/>
                <w:i/>
                <w:color w:val="000000"/>
                <w:sz w:val="20"/>
                <w:szCs w:val="20"/>
                <w:lang w:val="es-ES" w:eastAsia="es-ES"/>
              </w:rPr>
            </w:pPr>
            <w:r w:rsidRPr="007D564F">
              <w:rPr>
                <w:rFonts w:eastAsia="Times New Roman" w:cs="Times New Roman"/>
                <w:bCs/>
                <w:i/>
                <w:color w:val="000000"/>
                <w:sz w:val="20"/>
                <w:szCs w:val="20"/>
                <w:lang w:val="es-ES" w:eastAsia="es-ES"/>
              </w:rPr>
              <w:t>21,408</w:t>
            </w:r>
          </w:p>
        </w:tc>
        <w:tc>
          <w:tcPr>
            <w:tcW w:w="541" w:type="pct"/>
            <w:tcBorders>
              <w:bottom w:val="single" w:sz="4" w:space="0" w:color="auto"/>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bCs/>
                <w:i/>
                <w:color w:val="000000"/>
                <w:sz w:val="20"/>
                <w:szCs w:val="20"/>
                <w:lang w:val="es-ES" w:eastAsia="es-ES"/>
              </w:rPr>
            </w:pPr>
            <w:r w:rsidRPr="007D564F">
              <w:rPr>
                <w:rFonts w:eastAsia="Times New Roman" w:cs="Times New Roman"/>
                <w:bCs/>
                <w:i/>
                <w:color w:val="000000"/>
                <w:sz w:val="20"/>
                <w:szCs w:val="20"/>
                <w:lang w:val="es-ES" w:eastAsia="es-ES"/>
              </w:rPr>
              <w:t>31,105</w:t>
            </w:r>
          </w:p>
        </w:tc>
        <w:tc>
          <w:tcPr>
            <w:tcW w:w="541" w:type="pct"/>
            <w:tcBorders>
              <w:bottom w:val="single" w:sz="4" w:space="0" w:color="auto"/>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bCs/>
                <w:i/>
                <w:color w:val="000000"/>
                <w:sz w:val="20"/>
                <w:szCs w:val="20"/>
                <w:lang w:val="es-ES" w:eastAsia="es-ES"/>
              </w:rPr>
            </w:pPr>
            <w:r w:rsidRPr="007D564F">
              <w:rPr>
                <w:rFonts w:eastAsia="Times New Roman" w:cs="Times New Roman"/>
                <w:bCs/>
                <w:i/>
                <w:color w:val="000000"/>
                <w:sz w:val="20"/>
                <w:szCs w:val="20"/>
                <w:lang w:val="es-ES" w:eastAsia="es-ES"/>
              </w:rPr>
              <w:t>40,125</w:t>
            </w:r>
          </w:p>
        </w:tc>
        <w:tc>
          <w:tcPr>
            <w:tcW w:w="541" w:type="pct"/>
            <w:tcBorders>
              <w:bottom w:val="single" w:sz="4" w:space="0" w:color="auto"/>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bCs/>
                <w:i/>
                <w:color w:val="000000"/>
                <w:sz w:val="20"/>
                <w:szCs w:val="20"/>
                <w:lang w:val="es-ES" w:eastAsia="es-ES"/>
              </w:rPr>
            </w:pPr>
            <w:r w:rsidRPr="007D564F">
              <w:rPr>
                <w:rFonts w:eastAsia="Times New Roman" w:cs="Times New Roman"/>
                <w:bCs/>
                <w:i/>
                <w:color w:val="000000"/>
                <w:sz w:val="20"/>
                <w:szCs w:val="20"/>
                <w:lang w:val="es-ES" w:eastAsia="es-ES"/>
              </w:rPr>
              <w:t>89,862</w:t>
            </w:r>
          </w:p>
        </w:tc>
        <w:tc>
          <w:tcPr>
            <w:tcW w:w="635" w:type="pct"/>
            <w:tcBorders>
              <w:bottom w:val="single" w:sz="4" w:space="0" w:color="auto"/>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bCs/>
                <w:i/>
                <w:color w:val="000000"/>
                <w:sz w:val="20"/>
                <w:szCs w:val="20"/>
                <w:lang w:val="es-ES" w:eastAsia="es-ES"/>
              </w:rPr>
            </w:pPr>
            <w:r w:rsidRPr="007D564F">
              <w:rPr>
                <w:rFonts w:eastAsia="Times New Roman" w:cs="Times New Roman"/>
                <w:bCs/>
                <w:i/>
                <w:color w:val="000000"/>
                <w:sz w:val="20"/>
                <w:szCs w:val="20"/>
                <w:lang w:val="es-ES" w:eastAsia="es-ES"/>
              </w:rPr>
              <w:t>211,937</w:t>
            </w:r>
          </w:p>
        </w:tc>
      </w:tr>
      <w:tr w:rsidR="00DA2D4F" w:rsidRPr="007D564F" w:rsidTr="00512993">
        <w:trPr>
          <w:trHeight w:val="20"/>
        </w:trPr>
        <w:tc>
          <w:tcPr>
            <w:tcW w:w="1119" w:type="pct"/>
            <w:tcBorders>
              <w:top w:val="single" w:sz="4" w:space="0" w:color="auto"/>
            </w:tcBorders>
            <w:noWrap/>
            <w:vAlign w:val="bottom"/>
            <w:hideMark/>
          </w:tcPr>
          <w:p w:rsidR="00512993" w:rsidRPr="007D564F" w:rsidRDefault="00512993" w:rsidP="00512993">
            <w:pPr>
              <w:keepNext/>
              <w:keepLines/>
              <w:spacing w:after="0" w:line="276" w:lineRule="auto"/>
              <w:ind w:firstLine="0"/>
              <w:jc w:val="left"/>
              <w:rPr>
                <w:rFonts w:asciiTheme="minorHAnsi" w:eastAsiaTheme="minorHAnsi" w:hAnsiTheme="minorHAnsi" w:cs="Times New Roman"/>
                <w:sz w:val="20"/>
                <w:szCs w:val="20"/>
                <w:lang w:eastAsia="en-US"/>
              </w:rPr>
            </w:pPr>
            <w:r w:rsidRPr="007D564F">
              <w:rPr>
                <w:rFonts w:asciiTheme="minorHAnsi" w:eastAsiaTheme="minorHAnsi" w:hAnsiTheme="minorHAnsi" w:cs="Times New Roman"/>
                <w:sz w:val="20"/>
                <w:szCs w:val="20"/>
                <w:lang w:eastAsia="en-US"/>
              </w:rPr>
              <w:t xml:space="preserve"> </w:t>
            </w:r>
          </w:p>
        </w:tc>
        <w:tc>
          <w:tcPr>
            <w:tcW w:w="541" w:type="pct"/>
            <w:tcBorders>
              <w:top w:val="single" w:sz="4" w:space="0" w:color="auto"/>
            </w:tcBorders>
            <w:noWrap/>
            <w:vAlign w:val="bottom"/>
            <w:hideMark/>
          </w:tcPr>
          <w:p w:rsidR="00512993" w:rsidRPr="007D564F" w:rsidRDefault="00512993" w:rsidP="00512993">
            <w:pPr>
              <w:keepNext/>
              <w:keepLines/>
              <w:spacing w:after="0" w:line="276" w:lineRule="auto"/>
              <w:ind w:firstLine="0"/>
              <w:jc w:val="left"/>
              <w:rPr>
                <w:rFonts w:asciiTheme="minorHAnsi" w:eastAsiaTheme="minorHAnsi" w:hAnsiTheme="minorHAnsi" w:cs="Times New Roman"/>
                <w:sz w:val="20"/>
                <w:szCs w:val="20"/>
                <w:lang w:eastAsia="en-US"/>
              </w:rPr>
            </w:pPr>
          </w:p>
        </w:tc>
        <w:tc>
          <w:tcPr>
            <w:tcW w:w="541" w:type="pct"/>
            <w:tcBorders>
              <w:top w:val="single" w:sz="4" w:space="0" w:color="auto"/>
            </w:tcBorders>
            <w:noWrap/>
            <w:vAlign w:val="bottom"/>
            <w:hideMark/>
          </w:tcPr>
          <w:p w:rsidR="00512993" w:rsidRPr="007D564F" w:rsidRDefault="00512993" w:rsidP="00512993">
            <w:pPr>
              <w:keepNext/>
              <w:keepLines/>
              <w:spacing w:after="0" w:line="276" w:lineRule="auto"/>
              <w:ind w:firstLine="0"/>
              <w:jc w:val="left"/>
              <w:rPr>
                <w:rFonts w:asciiTheme="minorHAnsi" w:eastAsiaTheme="minorHAnsi" w:hAnsiTheme="minorHAnsi" w:cs="Times New Roman"/>
                <w:sz w:val="20"/>
                <w:szCs w:val="20"/>
                <w:lang w:eastAsia="en-US"/>
              </w:rPr>
            </w:pPr>
          </w:p>
        </w:tc>
        <w:tc>
          <w:tcPr>
            <w:tcW w:w="541" w:type="pct"/>
            <w:tcBorders>
              <w:top w:val="single" w:sz="4" w:space="0" w:color="auto"/>
            </w:tcBorders>
            <w:noWrap/>
            <w:vAlign w:val="bottom"/>
            <w:hideMark/>
          </w:tcPr>
          <w:p w:rsidR="00512993" w:rsidRPr="007D564F" w:rsidRDefault="00512993" w:rsidP="00512993">
            <w:pPr>
              <w:keepNext/>
              <w:keepLines/>
              <w:spacing w:after="0" w:line="276" w:lineRule="auto"/>
              <w:ind w:firstLine="0"/>
              <w:jc w:val="left"/>
              <w:rPr>
                <w:rFonts w:asciiTheme="minorHAnsi" w:eastAsiaTheme="minorHAnsi" w:hAnsiTheme="minorHAnsi" w:cs="Times New Roman"/>
                <w:sz w:val="20"/>
                <w:szCs w:val="20"/>
                <w:lang w:eastAsia="en-US"/>
              </w:rPr>
            </w:pPr>
          </w:p>
        </w:tc>
        <w:tc>
          <w:tcPr>
            <w:tcW w:w="541" w:type="pct"/>
            <w:tcBorders>
              <w:top w:val="single" w:sz="4" w:space="0" w:color="auto"/>
            </w:tcBorders>
            <w:noWrap/>
            <w:vAlign w:val="bottom"/>
            <w:hideMark/>
          </w:tcPr>
          <w:p w:rsidR="00512993" w:rsidRPr="007D564F" w:rsidRDefault="00512993" w:rsidP="00512993">
            <w:pPr>
              <w:keepNext/>
              <w:keepLines/>
              <w:spacing w:after="0" w:line="276" w:lineRule="auto"/>
              <w:ind w:firstLine="0"/>
              <w:jc w:val="left"/>
              <w:rPr>
                <w:rFonts w:asciiTheme="minorHAnsi" w:eastAsiaTheme="minorHAnsi" w:hAnsiTheme="minorHAnsi" w:cs="Times New Roman"/>
                <w:sz w:val="20"/>
                <w:szCs w:val="20"/>
                <w:lang w:eastAsia="en-US"/>
              </w:rPr>
            </w:pPr>
          </w:p>
        </w:tc>
        <w:tc>
          <w:tcPr>
            <w:tcW w:w="541" w:type="pct"/>
            <w:tcBorders>
              <w:top w:val="single" w:sz="4" w:space="0" w:color="auto"/>
            </w:tcBorders>
            <w:noWrap/>
            <w:vAlign w:val="bottom"/>
            <w:hideMark/>
          </w:tcPr>
          <w:p w:rsidR="00512993" w:rsidRPr="007D564F" w:rsidRDefault="00512993" w:rsidP="00512993">
            <w:pPr>
              <w:keepNext/>
              <w:keepLines/>
              <w:spacing w:after="0" w:line="276" w:lineRule="auto"/>
              <w:ind w:firstLine="0"/>
              <w:jc w:val="left"/>
              <w:rPr>
                <w:rFonts w:asciiTheme="minorHAnsi" w:eastAsiaTheme="minorHAnsi" w:hAnsiTheme="minorHAnsi" w:cs="Times New Roman"/>
                <w:sz w:val="20"/>
                <w:szCs w:val="20"/>
                <w:lang w:eastAsia="en-US"/>
              </w:rPr>
            </w:pPr>
          </w:p>
        </w:tc>
        <w:tc>
          <w:tcPr>
            <w:tcW w:w="541" w:type="pct"/>
            <w:tcBorders>
              <w:top w:val="single" w:sz="4" w:space="0" w:color="auto"/>
            </w:tcBorders>
            <w:noWrap/>
            <w:vAlign w:val="bottom"/>
            <w:hideMark/>
          </w:tcPr>
          <w:p w:rsidR="00512993" w:rsidRPr="007D564F" w:rsidRDefault="00512993" w:rsidP="00512993">
            <w:pPr>
              <w:keepNext/>
              <w:keepLines/>
              <w:spacing w:after="0" w:line="276" w:lineRule="auto"/>
              <w:ind w:firstLine="0"/>
              <w:jc w:val="left"/>
              <w:rPr>
                <w:rFonts w:asciiTheme="minorHAnsi" w:eastAsiaTheme="minorHAnsi" w:hAnsiTheme="minorHAnsi" w:cs="Times New Roman"/>
                <w:sz w:val="20"/>
                <w:szCs w:val="20"/>
                <w:lang w:eastAsia="en-US"/>
              </w:rPr>
            </w:pPr>
          </w:p>
        </w:tc>
        <w:tc>
          <w:tcPr>
            <w:tcW w:w="635" w:type="pct"/>
            <w:tcBorders>
              <w:top w:val="single" w:sz="4" w:space="0" w:color="auto"/>
            </w:tcBorders>
            <w:noWrap/>
            <w:vAlign w:val="bottom"/>
            <w:hideMark/>
          </w:tcPr>
          <w:p w:rsidR="00512993" w:rsidRPr="007D564F" w:rsidRDefault="00512993" w:rsidP="00512993">
            <w:pPr>
              <w:keepNext/>
              <w:keepLines/>
              <w:spacing w:after="0" w:line="276" w:lineRule="auto"/>
              <w:ind w:firstLine="0"/>
              <w:jc w:val="left"/>
              <w:rPr>
                <w:rFonts w:asciiTheme="minorHAnsi" w:eastAsiaTheme="minorHAnsi" w:hAnsiTheme="minorHAnsi" w:cs="Times New Roman"/>
                <w:sz w:val="20"/>
                <w:szCs w:val="20"/>
                <w:lang w:eastAsia="en-US"/>
              </w:rPr>
            </w:pPr>
          </w:p>
        </w:tc>
      </w:tr>
      <w:tr w:rsidR="00DA2D4F" w:rsidRPr="007D564F" w:rsidTr="00512993">
        <w:trPr>
          <w:trHeight w:val="20"/>
        </w:trPr>
        <w:tc>
          <w:tcPr>
            <w:tcW w:w="5000" w:type="pct"/>
            <w:gridSpan w:val="8"/>
            <w:noWrap/>
            <w:vAlign w:val="bottom"/>
            <w:hideMark/>
          </w:tcPr>
          <w:p w:rsidR="00512993" w:rsidRPr="007D564F" w:rsidRDefault="00512993" w:rsidP="00512993">
            <w:pPr>
              <w:keepNext/>
              <w:keepLines/>
              <w:spacing w:after="0" w:line="240" w:lineRule="auto"/>
              <w:ind w:firstLine="0"/>
              <w:jc w:val="left"/>
              <w:rPr>
                <w:rFonts w:eastAsia="Times New Roman" w:cs="Times New Roman"/>
                <w:i/>
                <w:color w:val="000000"/>
                <w:sz w:val="20"/>
                <w:szCs w:val="20"/>
                <w:lang w:eastAsia="es-ES"/>
              </w:rPr>
            </w:pPr>
            <w:r w:rsidRPr="007D564F">
              <w:rPr>
                <w:rFonts w:eastAsia="Times New Roman" w:cs="Times New Roman"/>
                <w:i/>
                <w:color w:val="000000"/>
                <w:sz w:val="20"/>
                <w:szCs w:val="20"/>
                <w:lang w:eastAsia="es-ES"/>
              </w:rPr>
              <w:t xml:space="preserve">Panel B. Number of loans to firms receiving the first loan between 2005 and 2010 </w:t>
            </w:r>
          </w:p>
        </w:tc>
      </w:tr>
      <w:tr w:rsidR="00DA2D4F" w:rsidRPr="007D564F" w:rsidTr="00512993">
        <w:trPr>
          <w:trHeight w:val="20"/>
        </w:trPr>
        <w:tc>
          <w:tcPr>
            <w:tcW w:w="1119" w:type="pct"/>
            <w:tcBorders>
              <w:top w:val="nil"/>
              <w:left w:val="nil"/>
            </w:tcBorders>
            <w:shd w:val="clear" w:color="auto" w:fill="FFFFFF"/>
            <w:noWrap/>
            <w:vAlign w:val="bottom"/>
            <w:hideMark/>
          </w:tcPr>
          <w:p w:rsidR="00512993" w:rsidRPr="007D564F" w:rsidRDefault="00512993" w:rsidP="00512993">
            <w:pPr>
              <w:keepNext/>
              <w:keepLines/>
              <w:spacing w:after="0" w:line="240" w:lineRule="auto"/>
              <w:ind w:firstLine="0"/>
              <w:rPr>
                <w:rFonts w:eastAsia="Times New Roman" w:cs="Times New Roman"/>
                <w:b/>
                <w:bCs/>
                <w:sz w:val="20"/>
                <w:szCs w:val="20"/>
                <w:lang w:val="es-ES" w:eastAsia="es-ES"/>
              </w:rPr>
            </w:pPr>
            <w:r w:rsidRPr="007D564F">
              <w:rPr>
                <w:rFonts w:eastAsia="Times New Roman" w:cs="Times New Roman"/>
                <w:b/>
                <w:bCs/>
                <w:sz w:val="20"/>
                <w:szCs w:val="20"/>
                <w:lang w:val="es-ES" w:eastAsia="es-ES"/>
              </w:rPr>
              <w:t>Program</w:t>
            </w:r>
          </w:p>
        </w:tc>
        <w:tc>
          <w:tcPr>
            <w:tcW w:w="541" w:type="pct"/>
            <w:tcBorders>
              <w:top w:val="nil"/>
              <w:right w:val="nil"/>
            </w:tcBorders>
            <w:shd w:val="clear" w:color="auto" w:fill="FFFFFF"/>
            <w:noWrap/>
            <w:vAlign w:val="bottom"/>
            <w:hideMark/>
          </w:tcPr>
          <w:p w:rsidR="00512993" w:rsidRPr="007D564F" w:rsidRDefault="00512993" w:rsidP="00512993">
            <w:pPr>
              <w:keepNext/>
              <w:keepLines/>
              <w:spacing w:after="0" w:line="240" w:lineRule="auto"/>
              <w:ind w:firstLine="0"/>
              <w:jc w:val="right"/>
              <w:rPr>
                <w:rFonts w:eastAsia="Times New Roman" w:cs="Times New Roman"/>
                <w:b/>
                <w:bCs/>
                <w:sz w:val="20"/>
                <w:szCs w:val="20"/>
                <w:lang w:val="es-ES" w:eastAsia="es-ES"/>
              </w:rPr>
            </w:pPr>
            <w:r w:rsidRPr="007D564F">
              <w:rPr>
                <w:rFonts w:eastAsia="Times New Roman" w:cs="Times New Roman"/>
                <w:b/>
                <w:bCs/>
                <w:sz w:val="20"/>
                <w:szCs w:val="20"/>
                <w:lang w:val="es-ES" w:eastAsia="es-ES"/>
              </w:rPr>
              <w:t>2005</w:t>
            </w:r>
          </w:p>
        </w:tc>
        <w:tc>
          <w:tcPr>
            <w:tcW w:w="541" w:type="pct"/>
            <w:tcBorders>
              <w:top w:val="nil"/>
              <w:left w:val="nil"/>
              <w:right w:val="nil"/>
            </w:tcBorders>
            <w:shd w:val="clear" w:color="auto" w:fill="FFFFFF"/>
            <w:noWrap/>
            <w:vAlign w:val="bottom"/>
            <w:hideMark/>
          </w:tcPr>
          <w:p w:rsidR="00512993" w:rsidRPr="007D564F" w:rsidRDefault="00512993" w:rsidP="00512993">
            <w:pPr>
              <w:keepNext/>
              <w:keepLines/>
              <w:spacing w:after="0" w:line="240" w:lineRule="auto"/>
              <w:ind w:firstLine="0"/>
              <w:jc w:val="right"/>
              <w:rPr>
                <w:rFonts w:eastAsia="Times New Roman" w:cs="Times New Roman"/>
                <w:b/>
                <w:bCs/>
                <w:sz w:val="20"/>
                <w:szCs w:val="20"/>
                <w:lang w:val="es-ES" w:eastAsia="es-ES"/>
              </w:rPr>
            </w:pPr>
            <w:r w:rsidRPr="007D564F">
              <w:rPr>
                <w:rFonts w:eastAsia="Times New Roman" w:cs="Times New Roman"/>
                <w:b/>
                <w:bCs/>
                <w:sz w:val="20"/>
                <w:szCs w:val="20"/>
                <w:lang w:val="es-ES" w:eastAsia="es-ES"/>
              </w:rPr>
              <w:t>2006</w:t>
            </w:r>
          </w:p>
        </w:tc>
        <w:tc>
          <w:tcPr>
            <w:tcW w:w="541" w:type="pct"/>
            <w:tcBorders>
              <w:top w:val="nil"/>
              <w:left w:val="nil"/>
              <w:right w:val="nil"/>
            </w:tcBorders>
            <w:shd w:val="clear" w:color="auto" w:fill="FFFFFF"/>
            <w:noWrap/>
            <w:vAlign w:val="bottom"/>
            <w:hideMark/>
          </w:tcPr>
          <w:p w:rsidR="00512993" w:rsidRPr="007D564F" w:rsidRDefault="00512993" w:rsidP="00512993">
            <w:pPr>
              <w:keepNext/>
              <w:keepLines/>
              <w:spacing w:after="0" w:line="240" w:lineRule="auto"/>
              <w:ind w:firstLine="0"/>
              <w:jc w:val="right"/>
              <w:rPr>
                <w:rFonts w:eastAsia="Times New Roman" w:cs="Times New Roman"/>
                <w:b/>
                <w:bCs/>
                <w:sz w:val="20"/>
                <w:szCs w:val="20"/>
                <w:lang w:val="es-ES" w:eastAsia="es-ES"/>
              </w:rPr>
            </w:pPr>
            <w:r w:rsidRPr="007D564F">
              <w:rPr>
                <w:rFonts w:eastAsia="Times New Roman" w:cs="Times New Roman"/>
                <w:b/>
                <w:bCs/>
                <w:sz w:val="20"/>
                <w:szCs w:val="20"/>
                <w:lang w:val="es-ES" w:eastAsia="es-ES"/>
              </w:rPr>
              <w:t>2007</w:t>
            </w:r>
          </w:p>
        </w:tc>
        <w:tc>
          <w:tcPr>
            <w:tcW w:w="541" w:type="pct"/>
            <w:tcBorders>
              <w:top w:val="nil"/>
              <w:left w:val="nil"/>
              <w:right w:val="nil"/>
            </w:tcBorders>
            <w:shd w:val="clear" w:color="auto" w:fill="FFFFFF"/>
            <w:noWrap/>
            <w:vAlign w:val="bottom"/>
            <w:hideMark/>
          </w:tcPr>
          <w:p w:rsidR="00512993" w:rsidRPr="007D564F" w:rsidRDefault="00512993" w:rsidP="00512993">
            <w:pPr>
              <w:keepNext/>
              <w:keepLines/>
              <w:spacing w:after="0" w:line="240" w:lineRule="auto"/>
              <w:ind w:firstLine="0"/>
              <w:jc w:val="right"/>
              <w:rPr>
                <w:rFonts w:eastAsia="Times New Roman" w:cs="Times New Roman"/>
                <w:b/>
                <w:bCs/>
                <w:sz w:val="20"/>
                <w:szCs w:val="20"/>
                <w:lang w:val="es-ES" w:eastAsia="es-ES"/>
              </w:rPr>
            </w:pPr>
            <w:r w:rsidRPr="007D564F">
              <w:rPr>
                <w:rFonts w:eastAsia="Times New Roman" w:cs="Times New Roman"/>
                <w:b/>
                <w:bCs/>
                <w:sz w:val="20"/>
                <w:szCs w:val="20"/>
                <w:lang w:val="es-ES" w:eastAsia="es-ES"/>
              </w:rPr>
              <w:t>2008</w:t>
            </w:r>
          </w:p>
        </w:tc>
        <w:tc>
          <w:tcPr>
            <w:tcW w:w="541" w:type="pct"/>
            <w:tcBorders>
              <w:top w:val="nil"/>
              <w:left w:val="nil"/>
              <w:right w:val="nil"/>
            </w:tcBorders>
            <w:shd w:val="clear" w:color="auto" w:fill="FFFFFF"/>
            <w:noWrap/>
            <w:vAlign w:val="bottom"/>
            <w:hideMark/>
          </w:tcPr>
          <w:p w:rsidR="00512993" w:rsidRPr="007D564F" w:rsidRDefault="00512993" w:rsidP="00512993">
            <w:pPr>
              <w:keepNext/>
              <w:keepLines/>
              <w:spacing w:after="0" w:line="240" w:lineRule="auto"/>
              <w:ind w:firstLine="0"/>
              <w:jc w:val="right"/>
              <w:rPr>
                <w:rFonts w:eastAsia="Times New Roman" w:cs="Times New Roman"/>
                <w:b/>
                <w:bCs/>
                <w:sz w:val="20"/>
                <w:szCs w:val="20"/>
                <w:lang w:val="es-ES" w:eastAsia="es-ES"/>
              </w:rPr>
            </w:pPr>
            <w:r w:rsidRPr="007D564F">
              <w:rPr>
                <w:rFonts w:eastAsia="Times New Roman" w:cs="Times New Roman"/>
                <w:b/>
                <w:bCs/>
                <w:sz w:val="20"/>
                <w:szCs w:val="20"/>
                <w:lang w:val="es-ES" w:eastAsia="es-ES"/>
              </w:rPr>
              <w:t>2009</w:t>
            </w:r>
          </w:p>
        </w:tc>
        <w:tc>
          <w:tcPr>
            <w:tcW w:w="541" w:type="pct"/>
            <w:tcBorders>
              <w:top w:val="nil"/>
              <w:left w:val="nil"/>
              <w:right w:val="nil"/>
            </w:tcBorders>
            <w:shd w:val="clear" w:color="auto" w:fill="FFFFFF"/>
            <w:noWrap/>
            <w:vAlign w:val="bottom"/>
            <w:hideMark/>
          </w:tcPr>
          <w:p w:rsidR="00512993" w:rsidRPr="007D564F" w:rsidRDefault="00512993" w:rsidP="00512993">
            <w:pPr>
              <w:keepNext/>
              <w:keepLines/>
              <w:spacing w:after="0" w:line="240" w:lineRule="auto"/>
              <w:ind w:firstLine="0"/>
              <w:jc w:val="right"/>
              <w:rPr>
                <w:rFonts w:eastAsia="Times New Roman" w:cs="Times New Roman"/>
                <w:b/>
                <w:bCs/>
                <w:sz w:val="20"/>
                <w:szCs w:val="20"/>
                <w:lang w:val="es-ES" w:eastAsia="es-ES"/>
              </w:rPr>
            </w:pPr>
            <w:r w:rsidRPr="007D564F">
              <w:rPr>
                <w:rFonts w:eastAsia="Times New Roman" w:cs="Times New Roman"/>
                <w:b/>
                <w:bCs/>
                <w:sz w:val="20"/>
                <w:szCs w:val="20"/>
                <w:lang w:val="es-ES" w:eastAsia="es-ES"/>
              </w:rPr>
              <w:t>2010</w:t>
            </w:r>
          </w:p>
        </w:tc>
        <w:tc>
          <w:tcPr>
            <w:tcW w:w="635" w:type="pct"/>
            <w:tcBorders>
              <w:top w:val="nil"/>
              <w:left w:val="nil"/>
              <w:right w:val="nil"/>
            </w:tcBorders>
            <w:shd w:val="clear" w:color="auto" w:fill="FFFFFF"/>
            <w:noWrap/>
            <w:vAlign w:val="bottom"/>
            <w:hideMark/>
          </w:tcPr>
          <w:p w:rsidR="00512993" w:rsidRPr="007D564F" w:rsidRDefault="00512993" w:rsidP="00512993">
            <w:pPr>
              <w:keepNext/>
              <w:keepLines/>
              <w:spacing w:after="0" w:line="240" w:lineRule="auto"/>
              <w:ind w:firstLine="0"/>
              <w:jc w:val="right"/>
              <w:rPr>
                <w:rFonts w:eastAsia="Times New Roman" w:cs="Times New Roman"/>
                <w:b/>
                <w:bCs/>
                <w:sz w:val="20"/>
                <w:szCs w:val="20"/>
                <w:lang w:val="es-ES" w:eastAsia="es-ES"/>
              </w:rPr>
            </w:pPr>
            <w:r w:rsidRPr="007D564F">
              <w:rPr>
                <w:rFonts w:eastAsia="Times New Roman" w:cs="Times New Roman"/>
                <w:b/>
                <w:bCs/>
                <w:sz w:val="20"/>
                <w:szCs w:val="20"/>
                <w:lang w:val="es-ES" w:eastAsia="es-ES"/>
              </w:rPr>
              <w:t>Total</w:t>
            </w:r>
          </w:p>
        </w:tc>
      </w:tr>
      <w:tr w:rsidR="00DA2D4F" w:rsidRPr="007D564F" w:rsidTr="00512993">
        <w:trPr>
          <w:trHeight w:val="20"/>
        </w:trPr>
        <w:tc>
          <w:tcPr>
            <w:tcW w:w="1119" w:type="pct"/>
            <w:noWrap/>
            <w:vAlign w:val="bottom"/>
            <w:hideMark/>
          </w:tcPr>
          <w:p w:rsidR="00512993" w:rsidRPr="007D564F" w:rsidRDefault="00512993" w:rsidP="00512993">
            <w:pPr>
              <w:keepNext/>
              <w:keepLines/>
              <w:spacing w:after="0" w:line="240" w:lineRule="auto"/>
              <w:ind w:left="284" w:firstLine="0"/>
              <w:jc w:val="lef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EBT</w:t>
            </w:r>
          </w:p>
        </w:tc>
        <w:tc>
          <w:tcPr>
            <w:tcW w:w="541" w:type="pct"/>
            <w:tcBorders>
              <w:top w:val="nil"/>
              <w:bottom w:val="nil"/>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22</w:t>
            </w:r>
          </w:p>
        </w:tc>
        <w:tc>
          <w:tcPr>
            <w:tcW w:w="541"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46</w:t>
            </w:r>
          </w:p>
        </w:tc>
        <w:tc>
          <w:tcPr>
            <w:tcW w:w="541"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40</w:t>
            </w:r>
          </w:p>
        </w:tc>
        <w:tc>
          <w:tcPr>
            <w:tcW w:w="541"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65</w:t>
            </w:r>
          </w:p>
        </w:tc>
        <w:tc>
          <w:tcPr>
            <w:tcW w:w="541"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70</w:t>
            </w:r>
          </w:p>
        </w:tc>
        <w:tc>
          <w:tcPr>
            <w:tcW w:w="541"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67</w:t>
            </w:r>
          </w:p>
        </w:tc>
        <w:tc>
          <w:tcPr>
            <w:tcW w:w="635"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bCs/>
                <w:i/>
                <w:color w:val="000000"/>
                <w:sz w:val="20"/>
                <w:szCs w:val="20"/>
                <w:lang w:val="es-ES" w:eastAsia="es-ES"/>
              </w:rPr>
            </w:pPr>
            <w:r w:rsidRPr="007D564F">
              <w:rPr>
                <w:rFonts w:eastAsia="Times New Roman" w:cs="Times New Roman"/>
                <w:bCs/>
                <w:i/>
                <w:color w:val="000000"/>
                <w:sz w:val="20"/>
                <w:szCs w:val="20"/>
                <w:lang w:val="es-ES" w:eastAsia="es-ES"/>
              </w:rPr>
              <w:t>310</w:t>
            </w:r>
          </w:p>
        </w:tc>
      </w:tr>
      <w:tr w:rsidR="00DA2D4F" w:rsidRPr="007D564F" w:rsidTr="00512993">
        <w:trPr>
          <w:trHeight w:val="20"/>
        </w:trPr>
        <w:tc>
          <w:tcPr>
            <w:tcW w:w="1119" w:type="pct"/>
            <w:noWrap/>
            <w:vAlign w:val="bottom"/>
            <w:hideMark/>
          </w:tcPr>
          <w:p w:rsidR="00512993" w:rsidRPr="007D564F" w:rsidRDefault="00512993" w:rsidP="00512993">
            <w:pPr>
              <w:keepNext/>
              <w:keepLines/>
              <w:spacing w:after="0" w:line="240" w:lineRule="auto"/>
              <w:ind w:left="284" w:firstLine="0"/>
              <w:jc w:val="lef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PYME</w:t>
            </w:r>
          </w:p>
        </w:tc>
        <w:tc>
          <w:tcPr>
            <w:tcW w:w="541" w:type="pct"/>
            <w:tcBorders>
              <w:top w:val="nil"/>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12</w:t>
            </w:r>
          </w:p>
        </w:tc>
        <w:tc>
          <w:tcPr>
            <w:tcW w:w="541"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20</w:t>
            </w:r>
          </w:p>
        </w:tc>
        <w:tc>
          <w:tcPr>
            <w:tcW w:w="541"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31</w:t>
            </w:r>
          </w:p>
        </w:tc>
        <w:tc>
          <w:tcPr>
            <w:tcW w:w="541"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47</w:t>
            </w:r>
          </w:p>
        </w:tc>
        <w:tc>
          <w:tcPr>
            <w:tcW w:w="541"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76</w:t>
            </w:r>
          </w:p>
        </w:tc>
        <w:tc>
          <w:tcPr>
            <w:tcW w:w="541"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211</w:t>
            </w:r>
          </w:p>
        </w:tc>
        <w:tc>
          <w:tcPr>
            <w:tcW w:w="635"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bCs/>
                <w:i/>
                <w:color w:val="000000"/>
                <w:sz w:val="20"/>
                <w:szCs w:val="20"/>
                <w:lang w:val="es-ES" w:eastAsia="es-ES"/>
              </w:rPr>
            </w:pPr>
            <w:r w:rsidRPr="007D564F">
              <w:rPr>
                <w:rFonts w:eastAsia="Times New Roman" w:cs="Times New Roman"/>
                <w:bCs/>
                <w:i/>
                <w:color w:val="000000"/>
                <w:sz w:val="20"/>
                <w:szCs w:val="20"/>
                <w:lang w:val="es-ES" w:eastAsia="es-ES"/>
              </w:rPr>
              <w:t>397</w:t>
            </w:r>
          </w:p>
        </w:tc>
      </w:tr>
      <w:tr w:rsidR="00DA2D4F" w:rsidRPr="007D564F" w:rsidTr="00512993">
        <w:trPr>
          <w:trHeight w:val="20"/>
        </w:trPr>
        <w:tc>
          <w:tcPr>
            <w:tcW w:w="1119" w:type="pct"/>
            <w:tcBorders>
              <w:top w:val="nil"/>
              <w:left w:val="nil"/>
            </w:tcBorders>
            <w:noWrap/>
            <w:vAlign w:val="bottom"/>
            <w:hideMark/>
          </w:tcPr>
          <w:p w:rsidR="00512993" w:rsidRPr="007D564F" w:rsidRDefault="00512993" w:rsidP="00512993">
            <w:pPr>
              <w:keepNext/>
              <w:keepLines/>
              <w:spacing w:after="0" w:line="240" w:lineRule="auto"/>
              <w:ind w:left="284" w:firstLine="0"/>
              <w:jc w:val="lef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JOVENES</w:t>
            </w:r>
          </w:p>
        </w:tc>
        <w:tc>
          <w:tcPr>
            <w:tcW w:w="541" w:type="pct"/>
            <w:tcBorders>
              <w:top w:val="nil"/>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0</w:t>
            </w:r>
          </w:p>
        </w:tc>
        <w:tc>
          <w:tcPr>
            <w:tcW w:w="541" w:type="pct"/>
            <w:tcBorders>
              <w:top w:val="nil"/>
              <w:left w:val="nil"/>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0</w:t>
            </w:r>
          </w:p>
        </w:tc>
        <w:tc>
          <w:tcPr>
            <w:tcW w:w="541" w:type="pct"/>
            <w:tcBorders>
              <w:top w:val="nil"/>
              <w:left w:val="nil"/>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0</w:t>
            </w:r>
          </w:p>
        </w:tc>
        <w:tc>
          <w:tcPr>
            <w:tcW w:w="541" w:type="pct"/>
            <w:tcBorders>
              <w:top w:val="nil"/>
              <w:left w:val="nil"/>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0</w:t>
            </w:r>
          </w:p>
        </w:tc>
        <w:tc>
          <w:tcPr>
            <w:tcW w:w="541" w:type="pct"/>
            <w:tcBorders>
              <w:top w:val="nil"/>
              <w:left w:val="nil"/>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0</w:t>
            </w:r>
          </w:p>
        </w:tc>
        <w:tc>
          <w:tcPr>
            <w:tcW w:w="541" w:type="pct"/>
            <w:tcBorders>
              <w:top w:val="nil"/>
              <w:left w:val="nil"/>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160</w:t>
            </w:r>
          </w:p>
        </w:tc>
        <w:tc>
          <w:tcPr>
            <w:tcW w:w="635" w:type="pct"/>
            <w:tcBorders>
              <w:top w:val="nil"/>
              <w:left w:val="nil"/>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bCs/>
                <w:i/>
                <w:color w:val="000000"/>
                <w:sz w:val="20"/>
                <w:szCs w:val="20"/>
                <w:lang w:val="es-ES" w:eastAsia="es-ES"/>
              </w:rPr>
            </w:pPr>
            <w:r w:rsidRPr="007D564F">
              <w:rPr>
                <w:rFonts w:eastAsia="Times New Roman" w:cs="Times New Roman"/>
                <w:bCs/>
                <w:i/>
                <w:color w:val="000000"/>
                <w:sz w:val="20"/>
                <w:szCs w:val="20"/>
                <w:lang w:val="es-ES" w:eastAsia="es-ES"/>
              </w:rPr>
              <w:t>160</w:t>
            </w:r>
          </w:p>
        </w:tc>
      </w:tr>
      <w:tr w:rsidR="00DA2D4F" w:rsidRPr="007D564F" w:rsidTr="00512993">
        <w:trPr>
          <w:trHeight w:val="20"/>
        </w:trPr>
        <w:tc>
          <w:tcPr>
            <w:tcW w:w="1119" w:type="pct"/>
            <w:tcBorders>
              <w:bottom w:val="single" w:sz="4" w:space="0" w:color="auto"/>
            </w:tcBorders>
            <w:noWrap/>
            <w:vAlign w:val="bottom"/>
            <w:hideMark/>
          </w:tcPr>
          <w:p w:rsidR="00512993" w:rsidRPr="007D564F" w:rsidRDefault="00512993" w:rsidP="00512993">
            <w:pPr>
              <w:keepNext/>
              <w:keepLines/>
              <w:spacing w:after="0" w:line="240" w:lineRule="auto"/>
              <w:ind w:firstLine="284"/>
              <w:jc w:val="left"/>
              <w:rPr>
                <w:rFonts w:eastAsia="Times New Roman" w:cs="Times New Roman"/>
                <w:bCs/>
                <w:i/>
                <w:color w:val="000000"/>
                <w:sz w:val="20"/>
                <w:szCs w:val="20"/>
                <w:lang w:val="es-ES" w:eastAsia="es-ES"/>
              </w:rPr>
            </w:pPr>
            <w:r w:rsidRPr="007D564F">
              <w:rPr>
                <w:rFonts w:eastAsia="Times New Roman" w:cs="Times New Roman"/>
                <w:bCs/>
                <w:i/>
                <w:color w:val="000000"/>
                <w:sz w:val="20"/>
                <w:szCs w:val="20"/>
                <w:lang w:val="es-ES" w:eastAsia="es-ES"/>
              </w:rPr>
              <w:t>Total</w:t>
            </w:r>
          </w:p>
        </w:tc>
        <w:tc>
          <w:tcPr>
            <w:tcW w:w="541" w:type="pct"/>
            <w:tcBorders>
              <w:bottom w:val="single" w:sz="4" w:space="0" w:color="auto"/>
              <w:right w:val="nil"/>
            </w:tcBorders>
            <w:noWrap/>
            <w:vAlign w:val="bottom"/>
            <w:hideMark/>
          </w:tcPr>
          <w:p w:rsidR="00512993" w:rsidRPr="007D564F" w:rsidRDefault="00512993" w:rsidP="00512993">
            <w:pPr>
              <w:keepNext/>
              <w:keepLines/>
              <w:spacing w:after="0" w:line="240" w:lineRule="auto"/>
              <w:ind w:firstLine="284"/>
              <w:jc w:val="right"/>
              <w:rPr>
                <w:rFonts w:eastAsia="Times New Roman" w:cs="Times New Roman"/>
                <w:bCs/>
                <w:i/>
                <w:sz w:val="20"/>
                <w:szCs w:val="20"/>
                <w:lang w:val="es-ES" w:eastAsia="es-ES"/>
              </w:rPr>
            </w:pPr>
            <w:r w:rsidRPr="007D564F">
              <w:rPr>
                <w:rFonts w:eastAsia="Times New Roman" w:cs="Times New Roman"/>
                <w:bCs/>
                <w:i/>
                <w:sz w:val="20"/>
                <w:szCs w:val="20"/>
                <w:lang w:val="es-ES" w:eastAsia="es-ES"/>
              </w:rPr>
              <w:t>34</w:t>
            </w:r>
          </w:p>
        </w:tc>
        <w:tc>
          <w:tcPr>
            <w:tcW w:w="541" w:type="pct"/>
            <w:tcBorders>
              <w:bottom w:val="single" w:sz="4" w:space="0" w:color="auto"/>
            </w:tcBorders>
            <w:noWrap/>
            <w:vAlign w:val="bottom"/>
            <w:hideMark/>
          </w:tcPr>
          <w:p w:rsidR="00512993" w:rsidRPr="007D564F" w:rsidRDefault="00512993" w:rsidP="00512993">
            <w:pPr>
              <w:keepNext/>
              <w:keepLines/>
              <w:spacing w:after="0" w:line="240" w:lineRule="auto"/>
              <w:ind w:firstLine="284"/>
              <w:jc w:val="right"/>
              <w:rPr>
                <w:rFonts w:eastAsia="Times New Roman" w:cs="Times New Roman"/>
                <w:bCs/>
                <w:i/>
                <w:color w:val="000000"/>
                <w:sz w:val="20"/>
                <w:szCs w:val="20"/>
                <w:lang w:val="es-ES" w:eastAsia="es-ES"/>
              </w:rPr>
            </w:pPr>
            <w:r w:rsidRPr="007D564F">
              <w:rPr>
                <w:rFonts w:eastAsia="Times New Roman" w:cs="Times New Roman"/>
                <w:bCs/>
                <w:i/>
                <w:color w:val="000000"/>
                <w:sz w:val="20"/>
                <w:szCs w:val="20"/>
                <w:lang w:val="es-ES" w:eastAsia="es-ES"/>
              </w:rPr>
              <w:t>66</w:t>
            </w:r>
          </w:p>
        </w:tc>
        <w:tc>
          <w:tcPr>
            <w:tcW w:w="541" w:type="pct"/>
            <w:tcBorders>
              <w:bottom w:val="single" w:sz="4" w:space="0" w:color="auto"/>
            </w:tcBorders>
            <w:noWrap/>
            <w:vAlign w:val="bottom"/>
            <w:hideMark/>
          </w:tcPr>
          <w:p w:rsidR="00512993" w:rsidRPr="007D564F" w:rsidRDefault="00512993" w:rsidP="00512993">
            <w:pPr>
              <w:keepNext/>
              <w:keepLines/>
              <w:spacing w:after="0" w:line="240" w:lineRule="auto"/>
              <w:ind w:firstLine="284"/>
              <w:jc w:val="right"/>
              <w:rPr>
                <w:rFonts w:eastAsia="Times New Roman" w:cs="Times New Roman"/>
                <w:bCs/>
                <w:i/>
                <w:color w:val="000000"/>
                <w:sz w:val="20"/>
                <w:szCs w:val="20"/>
                <w:lang w:val="es-ES" w:eastAsia="es-ES"/>
              </w:rPr>
            </w:pPr>
            <w:r w:rsidRPr="007D564F">
              <w:rPr>
                <w:rFonts w:eastAsia="Times New Roman" w:cs="Times New Roman"/>
                <w:bCs/>
                <w:i/>
                <w:color w:val="000000"/>
                <w:sz w:val="20"/>
                <w:szCs w:val="20"/>
                <w:lang w:val="es-ES" w:eastAsia="es-ES"/>
              </w:rPr>
              <w:t>71</w:t>
            </w:r>
          </w:p>
        </w:tc>
        <w:tc>
          <w:tcPr>
            <w:tcW w:w="541" w:type="pct"/>
            <w:tcBorders>
              <w:bottom w:val="single" w:sz="4" w:space="0" w:color="auto"/>
            </w:tcBorders>
            <w:noWrap/>
            <w:vAlign w:val="bottom"/>
            <w:hideMark/>
          </w:tcPr>
          <w:p w:rsidR="00512993" w:rsidRPr="007D564F" w:rsidRDefault="00512993" w:rsidP="00512993">
            <w:pPr>
              <w:keepNext/>
              <w:keepLines/>
              <w:spacing w:after="0" w:line="240" w:lineRule="auto"/>
              <w:ind w:firstLine="284"/>
              <w:jc w:val="right"/>
              <w:rPr>
                <w:rFonts w:eastAsia="Times New Roman" w:cs="Times New Roman"/>
                <w:bCs/>
                <w:i/>
                <w:color w:val="000000"/>
                <w:sz w:val="20"/>
                <w:szCs w:val="20"/>
                <w:lang w:val="es-ES" w:eastAsia="es-ES"/>
              </w:rPr>
            </w:pPr>
            <w:r w:rsidRPr="007D564F">
              <w:rPr>
                <w:rFonts w:eastAsia="Times New Roman" w:cs="Times New Roman"/>
                <w:bCs/>
                <w:i/>
                <w:color w:val="000000"/>
                <w:sz w:val="20"/>
                <w:szCs w:val="20"/>
                <w:lang w:val="es-ES" w:eastAsia="es-ES"/>
              </w:rPr>
              <w:t>112</w:t>
            </w:r>
          </w:p>
        </w:tc>
        <w:tc>
          <w:tcPr>
            <w:tcW w:w="541" w:type="pct"/>
            <w:tcBorders>
              <w:bottom w:val="single" w:sz="4" w:space="0" w:color="auto"/>
            </w:tcBorders>
            <w:noWrap/>
            <w:vAlign w:val="bottom"/>
            <w:hideMark/>
          </w:tcPr>
          <w:p w:rsidR="00512993" w:rsidRPr="007D564F" w:rsidRDefault="00512993" w:rsidP="00512993">
            <w:pPr>
              <w:keepNext/>
              <w:keepLines/>
              <w:spacing w:after="0" w:line="240" w:lineRule="auto"/>
              <w:ind w:firstLine="284"/>
              <w:jc w:val="right"/>
              <w:rPr>
                <w:rFonts w:eastAsia="Times New Roman" w:cs="Times New Roman"/>
                <w:bCs/>
                <w:i/>
                <w:color w:val="000000"/>
                <w:sz w:val="20"/>
                <w:szCs w:val="20"/>
                <w:lang w:val="es-ES" w:eastAsia="es-ES"/>
              </w:rPr>
            </w:pPr>
            <w:r w:rsidRPr="007D564F">
              <w:rPr>
                <w:rFonts w:eastAsia="Times New Roman" w:cs="Times New Roman"/>
                <w:bCs/>
                <w:i/>
                <w:color w:val="000000"/>
                <w:sz w:val="20"/>
                <w:szCs w:val="20"/>
                <w:lang w:val="es-ES" w:eastAsia="es-ES"/>
              </w:rPr>
              <w:t>146</w:t>
            </w:r>
          </w:p>
        </w:tc>
        <w:tc>
          <w:tcPr>
            <w:tcW w:w="541" w:type="pct"/>
            <w:tcBorders>
              <w:bottom w:val="single" w:sz="4" w:space="0" w:color="auto"/>
            </w:tcBorders>
            <w:noWrap/>
            <w:vAlign w:val="bottom"/>
            <w:hideMark/>
          </w:tcPr>
          <w:p w:rsidR="00512993" w:rsidRPr="007D564F" w:rsidRDefault="00512993" w:rsidP="00512993">
            <w:pPr>
              <w:keepNext/>
              <w:keepLines/>
              <w:spacing w:after="0" w:line="240" w:lineRule="auto"/>
              <w:ind w:firstLine="284"/>
              <w:jc w:val="right"/>
              <w:rPr>
                <w:rFonts w:eastAsia="Times New Roman" w:cs="Times New Roman"/>
                <w:bCs/>
                <w:i/>
                <w:color w:val="000000"/>
                <w:sz w:val="20"/>
                <w:szCs w:val="20"/>
                <w:lang w:val="es-ES" w:eastAsia="es-ES"/>
              </w:rPr>
            </w:pPr>
            <w:r w:rsidRPr="007D564F">
              <w:rPr>
                <w:rFonts w:eastAsia="Times New Roman" w:cs="Times New Roman"/>
                <w:bCs/>
                <w:i/>
                <w:color w:val="000000"/>
                <w:sz w:val="20"/>
                <w:szCs w:val="20"/>
                <w:lang w:val="es-ES" w:eastAsia="es-ES"/>
              </w:rPr>
              <w:t>438</w:t>
            </w:r>
          </w:p>
        </w:tc>
        <w:tc>
          <w:tcPr>
            <w:tcW w:w="635" w:type="pct"/>
            <w:tcBorders>
              <w:bottom w:val="single" w:sz="4" w:space="0" w:color="auto"/>
            </w:tcBorders>
            <w:noWrap/>
            <w:vAlign w:val="bottom"/>
            <w:hideMark/>
          </w:tcPr>
          <w:p w:rsidR="00512993" w:rsidRPr="007D564F" w:rsidRDefault="00512993" w:rsidP="00512993">
            <w:pPr>
              <w:keepNext/>
              <w:keepLines/>
              <w:spacing w:after="0" w:line="240" w:lineRule="auto"/>
              <w:ind w:firstLine="284"/>
              <w:jc w:val="right"/>
              <w:rPr>
                <w:rFonts w:eastAsia="Times New Roman" w:cs="Times New Roman"/>
                <w:bCs/>
                <w:i/>
                <w:color w:val="000000"/>
                <w:sz w:val="20"/>
                <w:szCs w:val="20"/>
                <w:lang w:val="es-ES" w:eastAsia="es-ES"/>
              </w:rPr>
            </w:pPr>
            <w:r w:rsidRPr="007D564F">
              <w:rPr>
                <w:rFonts w:eastAsia="Times New Roman" w:cs="Times New Roman"/>
                <w:bCs/>
                <w:i/>
                <w:color w:val="000000"/>
                <w:sz w:val="20"/>
                <w:szCs w:val="20"/>
                <w:lang w:val="es-ES" w:eastAsia="es-ES"/>
              </w:rPr>
              <w:t>867</w:t>
            </w:r>
          </w:p>
        </w:tc>
      </w:tr>
      <w:tr w:rsidR="00DA2D4F" w:rsidRPr="007D564F" w:rsidTr="00512993">
        <w:trPr>
          <w:trHeight w:val="20"/>
        </w:trPr>
        <w:tc>
          <w:tcPr>
            <w:tcW w:w="1119" w:type="pct"/>
            <w:tcBorders>
              <w:top w:val="single" w:sz="4" w:space="0" w:color="auto"/>
            </w:tcBorders>
            <w:noWrap/>
            <w:vAlign w:val="bottom"/>
            <w:hideMark/>
          </w:tcPr>
          <w:p w:rsidR="00512993" w:rsidRPr="007D564F" w:rsidRDefault="00512993" w:rsidP="00512993">
            <w:pPr>
              <w:keepNext/>
              <w:keepLines/>
              <w:spacing w:after="0" w:line="276" w:lineRule="auto"/>
              <w:ind w:firstLine="0"/>
              <w:jc w:val="left"/>
              <w:rPr>
                <w:rFonts w:asciiTheme="minorHAnsi" w:eastAsiaTheme="minorHAnsi" w:hAnsiTheme="minorHAnsi" w:cs="Times New Roman"/>
                <w:sz w:val="20"/>
                <w:szCs w:val="20"/>
                <w:lang w:eastAsia="en-US"/>
              </w:rPr>
            </w:pPr>
            <w:r w:rsidRPr="007D564F">
              <w:rPr>
                <w:rFonts w:asciiTheme="minorHAnsi" w:eastAsiaTheme="minorHAnsi" w:hAnsiTheme="minorHAnsi" w:cs="Times New Roman"/>
                <w:sz w:val="20"/>
                <w:szCs w:val="20"/>
                <w:lang w:eastAsia="en-US"/>
              </w:rPr>
              <w:t xml:space="preserve"> </w:t>
            </w:r>
          </w:p>
        </w:tc>
        <w:tc>
          <w:tcPr>
            <w:tcW w:w="541" w:type="pct"/>
            <w:tcBorders>
              <w:top w:val="single" w:sz="4" w:space="0" w:color="auto"/>
            </w:tcBorders>
            <w:noWrap/>
            <w:vAlign w:val="bottom"/>
            <w:hideMark/>
          </w:tcPr>
          <w:p w:rsidR="00512993" w:rsidRPr="007D564F" w:rsidRDefault="00512993" w:rsidP="00512993">
            <w:pPr>
              <w:keepNext/>
              <w:keepLines/>
              <w:spacing w:after="0" w:line="276" w:lineRule="auto"/>
              <w:ind w:firstLine="0"/>
              <w:jc w:val="left"/>
              <w:rPr>
                <w:rFonts w:asciiTheme="minorHAnsi" w:eastAsiaTheme="minorHAnsi" w:hAnsiTheme="minorHAnsi" w:cs="Times New Roman"/>
                <w:sz w:val="20"/>
                <w:szCs w:val="20"/>
                <w:lang w:eastAsia="en-US"/>
              </w:rPr>
            </w:pPr>
          </w:p>
        </w:tc>
        <w:tc>
          <w:tcPr>
            <w:tcW w:w="541" w:type="pct"/>
            <w:tcBorders>
              <w:top w:val="single" w:sz="4" w:space="0" w:color="auto"/>
            </w:tcBorders>
            <w:noWrap/>
            <w:vAlign w:val="bottom"/>
            <w:hideMark/>
          </w:tcPr>
          <w:p w:rsidR="00512993" w:rsidRPr="007D564F" w:rsidRDefault="00512993" w:rsidP="00512993">
            <w:pPr>
              <w:keepNext/>
              <w:keepLines/>
              <w:spacing w:after="0" w:line="276" w:lineRule="auto"/>
              <w:ind w:firstLine="0"/>
              <w:jc w:val="left"/>
              <w:rPr>
                <w:rFonts w:asciiTheme="minorHAnsi" w:eastAsiaTheme="minorHAnsi" w:hAnsiTheme="minorHAnsi" w:cs="Times New Roman"/>
                <w:sz w:val="20"/>
                <w:szCs w:val="20"/>
                <w:lang w:eastAsia="en-US"/>
              </w:rPr>
            </w:pPr>
          </w:p>
        </w:tc>
        <w:tc>
          <w:tcPr>
            <w:tcW w:w="541" w:type="pct"/>
            <w:tcBorders>
              <w:top w:val="single" w:sz="4" w:space="0" w:color="auto"/>
            </w:tcBorders>
            <w:noWrap/>
            <w:vAlign w:val="bottom"/>
            <w:hideMark/>
          </w:tcPr>
          <w:p w:rsidR="00512993" w:rsidRPr="007D564F" w:rsidRDefault="00512993" w:rsidP="00512993">
            <w:pPr>
              <w:keepNext/>
              <w:keepLines/>
              <w:spacing w:after="0" w:line="276" w:lineRule="auto"/>
              <w:ind w:firstLine="0"/>
              <w:jc w:val="left"/>
              <w:rPr>
                <w:rFonts w:asciiTheme="minorHAnsi" w:eastAsiaTheme="minorHAnsi" w:hAnsiTheme="minorHAnsi" w:cs="Times New Roman"/>
                <w:sz w:val="20"/>
                <w:szCs w:val="20"/>
                <w:lang w:eastAsia="en-US"/>
              </w:rPr>
            </w:pPr>
          </w:p>
        </w:tc>
        <w:tc>
          <w:tcPr>
            <w:tcW w:w="541" w:type="pct"/>
            <w:tcBorders>
              <w:top w:val="single" w:sz="4" w:space="0" w:color="auto"/>
            </w:tcBorders>
            <w:noWrap/>
            <w:vAlign w:val="bottom"/>
            <w:hideMark/>
          </w:tcPr>
          <w:p w:rsidR="00512993" w:rsidRPr="007D564F" w:rsidRDefault="00512993" w:rsidP="00512993">
            <w:pPr>
              <w:keepNext/>
              <w:keepLines/>
              <w:spacing w:after="0" w:line="276" w:lineRule="auto"/>
              <w:ind w:firstLine="0"/>
              <w:jc w:val="left"/>
              <w:rPr>
                <w:rFonts w:asciiTheme="minorHAnsi" w:eastAsiaTheme="minorHAnsi" w:hAnsiTheme="minorHAnsi" w:cs="Times New Roman"/>
                <w:sz w:val="20"/>
                <w:szCs w:val="20"/>
                <w:lang w:eastAsia="en-US"/>
              </w:rPr>
            </w:pPr>
          </w:p>
        </w:tc>
        <w:tc>
          <w:tcPr>
            <w:tcW w:w="541" w:type="pct"/>
            <w:tcBorders>
              <w:top w:val="single" w:sz="4" w:space="0" w:color="auto"/>
            </w:tcBorders>
            <w:noWrap/>
            <w:vAlign w:val="bottom"/>
            <w:hideMark/>
          </w:tcPr>
          <w:p w:rsidR="00512993" w:rsidRPr="007D564F" w:rsidRDefault="00512993" w:rsidP="00512993">
            <w:pPr>
              <w:keepNext/>
              <w:keepLines/>
              <w:spacing w:after="0" w:line="276" w:lineRule="auto"/>
              <w:ind w:firstLine="0"/>
              <w:jc w:val="left"/>
              <w:rPr>
                <w:rFonts w:asciiTheme="minorHAnsi" w:eastAsiaTheme="minorHAnsi" w:hAnsiTheme="minorHAnsi" w:cs="Times New Roman"/>
                <w:sz w:val="20"/>
                <w:szCs w:val="20"/>
                <w:lang w:eastAsia="en-US"/>
              </w:rPr>
            </w:pPr>
          </w:p>
        </w:tc>
        <w:tc>
          <w:tcPr>
            <w:tcW w:w="541" w:type="pct"/>
            <w:tcBorders>
              <w:top w:val="single" w:sz="4" w:space="0" w:color="auto"/>
            </w:tcBorders>
            <w:noWrap/>
            <w:vAlign w:val="bottom"/>
            <w:hideMark/>
          </w:tcPr>
          <w:p w:rsidR="00512993" w:rsidRPr="007D564F" w:rsidRDefault="00512993" w:rsidP="00512993">
            <w:pPr>
              <w:keepNext/>
              <w:keepLines/>
              <w:spacing w:after="0" w:line="276" w:lineRule="auto"/>
              <w:ind w:firstLine="0"/>
              <w:jc w:val="left"/>
              <w:rPr>
                <w:rFonts w:asciiTheme="minorHAnsi" w:eastAsiaTheme="minorHAnsi" w:hAnsiTheme="minorHAnsi" w:cs="Times New Roman"/>
                <w:sz w:val="20"/>
                <w:szCs w:val="20"/>
                <w:lang w:eastAsia="en-US"/>
              </w:rPr>
            </w:pPr>
          </w:p>
        </w:tc>
        <w:tc>
          <w:tcPr>
            <w:tcW w:w="635" w:type="pct"/>
            <w:tcBorders>
              <w:top w:val="single" w:sz="4" w:space="0" w:color="auto"/>
            </w:tcBorders>
            <w:noWrap/>
            <w:vAlign w:val="bottom"/>
            <w:hideMark/>
          </w:tcPr>
          <w:p w:rsidR="00512993" w:rsidRPr="007D564F" w:rsidRDefault="00512993" w:rsidP="00512993">
            <w:pPr>
              <w:keepNext/>
              <w:keepLines/>
              <w:spacing w:after="0" w:line="276" w:lineRule="auto"/>
              <w:ind w:firstLine="0"/>
              <w:jc w:val="left"/>
              <w:rPr>
                <w:rFonts w:asciiTheme="minorHAnsi" w:eastAsiaTheme="minorHAnsi" w:hAnsiTheme="minorHAnsi" w:cs="Times New Roman"/>
                <w:sz w:val="20"/>
                <w:szCs w:val="20"/>
                <w:lang w:eastAsia="en-US"/>
              </w:rPr>
            </w:pPr>
          </w:p>
        </w:tc>
      </w:tr>
      <w:tr w:rsidR="00DA2D4F" w:rsidRPr="007D564F" w:rsidTr="00512993">
        <w:trPr>
          <w:trHeight w:val="20"/>
        </w:trPr>
        <w:tc>
          <w:tcPr>
            <w:tcW w:w="5000" w:type="pct"/>
            <w:gridSpan w:val="8"/>
            <w:noWrap/>
            <w:vAlign w:val="bottom"/>
            <w:hideMark/>
          </w:tcPr>
          <w:p w:rsidR="00512993" w:rsidRPr="007D564F" w:rsidRDefault="00512993" w:rsidP="00512993">
            <w:pPr>
              <w:keepNext/>
              <w:keepLines/>
              <w:spacing w:after="0" w:line="240" w:lineRule="auto"/>
              <w:ind w:firstLine="0"/>
              <w:jc w:val="left"/>
              <w:rPr>
                <w:rFonts w:eastAsia="Times New Roman" w:cs="Times New Roman"/>
                <w:i/>
                <w:color w:val="000000"/>
                <w:sz w:val="20"/>
                <w:szCs w:val="20"/>
                <w:lang w:eastAsia="es-ES"/>
              </w:rPr>
            </w:pPr>
            <w:r w:rsidRPr="007D564F">
              <w:rPr>
                <w:rFonts w:eastAsia="Times New Roman" w:cs="Times New Roman"/>
                <w:i/>
                <w:color w:val="000000"/>
                <w:sz w:val="20"/>
                <w:szCs w:val="20"/>
                <w:lang w:eastAsia="es-ES"/>
              </w:rPr>
              <w:t xml:space="preserve">Panel C. Number of firms receiving loans between 2005 and 2010 </w:t>
            </w:r>
          </w:p>
        </w:tc>
      </w:tr>
      <w:tr w:rsidR="00DA2D4F" w:rsidRPr="007D564F" w:rsidTr="00512993">
        <w:trPr>
          <w:trHeight w:val="20"/>
        </w:trPr>
        <w:tc>
          <w:tcPr>
            <w:tcW w:w="1119" w:type="pct"/>
            <w:tcBorders>
              <w:top w:val="nil"/>
              <w:left w:val="nil"/>
            </w:tcBorders>
            <w:shd w:val="clear" w:color="auto" w:fill="FFFFFF"/>
            <w:noWrap/>
            <w:vAlign w:val="bottom"/>
            <w:hideMark/>
          </w:tcPr>
          <w:p w:rsidR="00512993" w:rsidRPr="007D564F" w:rsidRDefault="00512993" w:rsidP="00512993">
            <w:pPr>
              <w:keepNext/>
              <w:keepLines/>
              <w:spacing w:after="0" w:line="240" w:lineRule="auto"/>
              <w:ind w:firstLine="0"/>
              <w:rPr>
                <w:rFonts w:eastAsia="Times New Roman" w:cs="Times New Roman"/>
                <w:b/>
                <w:bCs/>
                <w:sz w:val="20"/>
                <w:szCs w:val="20"/>
                <w:lang w:val="es-ES" w:eastAsia="es-ES"/>
              </w:rPr>
            </w:pPr>
            <w:r w:rsidRPr="007D564F">
              <w:rPr>
                <w:rFonts w:eastAsia="Times New Roman" w:cs="Times New Roman"/>
                <w:b/>
                <w:bCs/>
                <w:sz w:val="20"/>
                <w:szCs w:val="20"/>
                <w:lang w:val="es-ES" w:eastAsia="es-ES"/>
              </w:rPr>
              <w:t>Program</w:t>
            </w:r>
          </w:p>
        </w:tc>
        <w:tc>
          <w:tcPr>
            <w:tcW w:w="541" w:type="pct"/>
            <w:tcBorders>
              <w:top w:val="nil"/>
              <w:right w:val="nil"/>
            </w:tcBorders>
            <w:shd w:val="clear" w:color="auto" w:fill="FFFFFF"/>
            <w:noWrap/>
            <w:vAlign w:val="bottom"/>
            <w:hideMark/>
          </w:tcPr>
          <w:p w:rsidR="00512993" w:rsidRPr="007D564F" w:rsidRDefault="00512993" w:rsidP="00512993">
            <w:pPr>
              <w:keepNext/>
              <w:keepLines/>
              <w:spacing w:after="0" w:line="240" w:lineRule="auto"/>
              <w:ind w:firstLine="0"/>
              <w:jc w:val="right"/>
              <w:rPr>
                <w:rFonts w:eastAsia="Times New Roman" w:cs="Times New Roman"/>
                <w:b/>
                <w:bCs/>
                <w:sz w:val="20"/>
                <w:szCs w:val="20"/>
                <w:lang w:val="es-ES" w:eastAsia="es-ES"/>
              </w:rPr>
            </w:pPr>
            <w:r w:rsidRPr="007D564F">
              <w:rPr>
                <w:rFonts w:eastAsia="Times New Roman" w:cs="Times New Roman"/>
                <w:b/>
                <w:bCs/>
                <w:sz w:val="20"/>
                <w:szCs w:val="20"/>
                <w:lang w:val="es-ES" w:eastAsia="es-ES"/>
              </w:rPr>
              <w:t>2005</w:t>
            </w:r>
          </w:p>
        </w:tc>
        <w:tc>
          <w:tcPr>
            <w:tcW w:w="541" w:type="pct"/>
            <w:tcBorders>
              <w:top w:val="nil"/>
              <w:left w:val="nil"/>
              <w:right w:val="nil"/>
            </w:tcBorders>
            <w:shd w:val="clear" w:color="auto" w:fill="FFFFFF"/>
            <w:noWrap/>
            <w:vAlign w:val="bottom"/>
            <w:hideMark/>
          </w:tcPr>
          <w:p w:rsidR="00512993" w:rsidRPr="007D564F" w:rsidRDefault="00512993" w:rsidP="00512993">
            <w:pPr>
              <w:keepNext/>
              <w:keepLines/>
              <w:spacing w:after="0" w:line="240" w:lineRule="auto"/>
              <w:ind w:firstLine="0"/>
              <w:jc w:val="right"/>
              <w:rPr>
                <w:rFonts w:eastAsia="Times New Roman" w:cs="Times New Roman"/>
                <w:b/>
                <w:bCs/>
                <w:sz w:val="20"/>
                <w:szCs w:val="20"/>
                <w:lang w:val="es-ES" w:eastAsia="es-ES"/>
              </w:rPr>
            </w:pPr>
            <w:r w:rsidRPr="007D564F">
              <w:rPr>
                <w:rFonts w:eastAsia="Times New Roman" w:cs="Times New Roman"/>
                <w:b/>
                <w:bCs/>
                <w:sz w:val="20"/>
                <w:szCs w:val="20"/>
                <w:lang w:val="es-ES" w:eastAsia="es-ES"/>
              </w:rPr>
              <w:t>2006</w:t>
            </w:r>
          </w:p>
        </w:tc>
        <w:tc>
          <w:tcPr>
            <w:tcW w:w="541" w:type="pct"/>
            <w:tcBorders>
              <w:top w:val="nil"/>
              <w:left w:val="nil"/>
              <w:right w:val="nil"/>
            </w:tcBorders>
            <w:shd w:val="clear" w:color="auto" w:fill="FFFFFF"/>
            <w:noWrap/>
            <w:vAlign w:val="bottom"/>
            <w:hideMark/>
          </w:tcPr>
          <w:p w:rsidR="00512993" w:rsidRPr="007D564F" w:rsidRDefault="00512993" w:rsidP="00512993">
            <w:pPr>
              <w:keepNext/>
              <w:keepLines/>
              <w:spacing w:after="0" w:line="240" w:lineRule="auto"/>
              <w:ind w:firstLine="0"/>
              <w:jc w:val="right"/>
              <w:rPr>
                <w:rFonts w:eastAsia="Times New Roman" w:cs="Times New Roman"/>
                <w:b/>
                <w:bCs/>
                <w:sz w:val="20"/>
                <w:szCs w:val="20"/>
                <w:lang w:val="es-ES" w:eastAsia="es-ES"/>
              </w:rPr>
            </w:pPr>
            <w:r w:rsidRPr="007D564F">
              <w:rPr>
                <w:rFonts w:eastAsia="Times New Roman" w:cs="Times New Roman"/>
                <w:b/>
                <w:bCs/>
                <w:sz w:val="20"/>
                <w:szCs w:val="20"/>
                <w:lang w:val="es-ES" w:eastAsia="es-ES"/>
              </w:rPr>
              <w:t>2007</w:t>
            </w:r>
          </w:p>
        </w:tc>
        <w:tc>
          <w:tcPr>
            <w:tcW w:w="541" w:type="pct"/>
            <w:tcBorders>
              <w:top w:val="nil"/>
              <w:left w:val="nil"/>
              <w:right w:val="nil"/>
            </w:tcBorders>
            <w:shd w:val="clear" w:color="auto" w:fill="FFFFFF"/>
            <w:noWrap/>
            <w:vAlign w:val="bottom"/>
            <w:hideMark/>
          </w:tcPr>
          <w:p w:rsidR="00512993" w:rsidRPr="007D564F" w:rsidRDefault="00512993" w:rsidP="00512993">
            <w:pPr>
              <w:keepNext/>
              <w:keepLines/>
              <w:spacing w:after="0" w:line="240" w:lineRule="auto"/>
              <w:ind w:firstLine="0"/>
              <w:jc w:val="right"/>
              <w:rPr>
                <w:rFonts w:eastAsia="Times New Roman" w:cs="Times New Roman"/>
                <w:b/>
                <w:bCs/>
                <w:sz w:val="20"/>
                <w:szCs w:val="20"/>
                <w:lang w:val="es-ES" w:eastAsia="es-ES"/>
              </w:rPr>
            </w:pPr>
            <w:r w:rsidRPr="007D564F">
              <w:rPr>
                <w:rFonts w:eastAsia="Times New Roman" w:cs="Times New Roman"/>
                <w:b/>
                <w:bCs/>
                <w:sz w:val="20"/>
                <w:szCs w:val="20"/>
                <w:lang w:val="es-ES" w:eastAsia="es-ES"/>
              </w:rPr>
              <w:t>2008</w:t>
            </w:r>
          </w:p>
        </w:tc>
        <w:tc>
          <w:tcPr>
            <w:tcW w:w="541" w:type="pct"/>
            <w:tcBorders>
              <w:top w:val="nil"/>
              <w:left w:val="nil"/>
              <w:right w:val="nil"/>
            </w:tcBorders>
            <w:shd w:val="clear" w:color="auto" w:fill="FFFFFF"/>
            <w:noWrap/>
            <w:vAlign w:val="bottom"/>
            <w:hideMark/>
          </w:tcPr>
          <w:p w:rsidR="00512993" w:rsidRPr="007D564F" w:rsidRDefault="00512993" w:rsidP="00512993">
            <w:pPr>
              <w:keepNext/>
              <w:keepLines/>
              <w:spacing w:after="0" w:line="240" w:lineRule="auto"/>
              <w:ind w:firstLine="0"/>
              <w:jc w:val="right"/>
              <w:rPr>
                <w:rFonts w:eastAsia="Times New Roman" w:cs="Times New Roman"/>
                <w:b/>
                <w:bCs/>
                <w:sz w:val="20"/>
                <w:szCs w:val="20"/>
                <w:lang w:val="es-ES" w:eastAsia="es-ES"/>
              </w:rPr>
            </w:pPr>
            <w:r w:rsidRPr="007D564F">
              <w:rPr>
                <w:rFonts w:eastAsia="Times New Roman" w:cs="Times New Roman"/>
                <w:b/>
                <w:bCs/>
                <w:sz w:val="20"/>
                <w:szCs w:val="20"/>
                <w:lang w:val="es-ES" w:eastAsia="es-ES"/>
              </w:rPr>
              <w:t>2009</w:t>
            </w:r>
          </w:p>
        </w:tc>
        <w:tc>
          <w:tcPr>
            <w:tcW w:w="541" w:type="pct"/>
            <w:tcBorders>
              <w:top w:val="nil"/>
              <w:left w:val="nil"/>
              <w:right w:val="nil"/>
            </w:tcBorders>
            <w:shd w:val="clear" w:color="auto" w:fill="FFFFFF"/>
            <w:noWrap/>
            <w:vAlign w:val="bottom"/>
            <w:hideMark/>
          </w:tcPr>
          <w:p w:rsidR="00512993" w:rsidRPr="007D564F" w:rsidRDefault="00512993" w:rsidP="00512993">
            <w:pPr>
              <w:keepNext/>
              <w:keepLines/>
              <w:spacing w:after="0" w:line="240" w:lineRule="auto"/>
              <w:ind w:firstLine="0"/>
              <w:jc w:val="right"/>
              <w:rPr>
                <w:rFonts w:eastAsia="Times New Roman" w:cs="Times New Roman"/>
                <w:b/>
                <w:bCs/>
                <w:sz w:val="20"/>
                <w:szCs w:val="20"/>
                <w:lang w:val="es-ES" w:eastAsia="es-ES"/>
              </w:rPr>
            </w:pPr>
            <w:r w:rsidRPr="007D564F">
              <w:rPr>
                <w:rFonts w:eastAsia="Times New Roman" w:cs="Times New Roman"/>
                <w:b/>
                <w:bCs/>
                <w:sz w:val="20"/>
                <w:szCs w:val="20"/>
                <w:lang w:val="es-ES" w:eastAsia="es-ES"/>
              </w:rPr>
              <w:t>2010</w:t>
            </w:r>
          </w:p>
        </w:tc>
        <w:tc>
          <w:tcPr>
            <w:tcW w:w="635" w:type="pct"/>
            <w:tcBorders>
              <w:top w:val="nil"/>
              <w:left w:val="nil"/>
              <w:right w:val="nil"/>
            </w:tcBorders>
            <w:shd w:val="clear" w:color="auto" w:fill="FFFFFF"/>
            <w:noWrap/>
            <w:vAlign w:val="bottom"/>
            <w:hideMark/>
          </w:tcPr>
          <w:p w:rsidR="00512993" w:rsidRPr="007D564F" w:rsidRDefault="00512993" w:rsidP="00512993">
            <w:pPr>
              <w:keepNext/>
              <w:keepLines/>
              <w:spacing w:after="0" w:line="240" w:lineRule="auto"/>
              <w:ind w:firstLine="0"/>
              <w:jc w:val="right"/>
              <w:rPr>
                <w:rFonts w:eastAsia="Times New Roman" w:cs="Times New Roman"/>
                <w:b/>
                <w:bCs/>
                <w:sz w:val="20"/>
                <w:szCs w:val="20"/>
                <w:lang w:val="es-ES" w:eastAsia="es-ES"/>
              </w:rPr>
            </w:pPr>
            <w:r w:rsidRPr="007D564F">
              <w:rPr>
                <w:rFonts w:eastAsia="Times New Roman" w:cs="Times New Roman"/>
                <w:b/>
                <w:bCs/>
                <w:sz w:val="20"/>
                <w:szCs w:val="20"/>
                <w:lang w:val="es-ES" w:eastAsia="es-ES"/>
              </w:rPr>
              <w:t>Total</w:t>
            </w:r>
          </w:p>
        </w:tc>
      </w:tr>
      <w:tr w:rsidR="00DA2D4F" w:rsidRPr="007D564F" w:rsidTr="00512993">
        <w:trPr>
          <w:trHeight w:val="20"/>
        </w:trPr>
        <w:tc>
          <w:tcPr>
            <w:tcW w:w="1119" w:type="pct"/>
            <w:noWrap/>
            <w:vAlign w:val="bottom"/>
            <w:hideMark/>
          </w:tcPr>
          <w:p w:rsidR="00512993" w:rsidRPr="007D564F" w:rsidRDefault="00512993" w:rsidP="00512993">
            <w:pPr>
              <w:keepNext/>
              <w:keepLines/>
              <w:spacing w:after="0" w:line="240" w:lineRule="auto"/>
              <w:ind w:left="284" w:firstLine="0"/>
              <w:jc w:val="lef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EBT</w:t>
            </w:r>
          </w:p>
        </w:tc>
        <w:tc>
          <w:tcPr>
            <w:tcW w:w="541" w:type="pct"/>
            <w:tcBorders>
              <w:top w:val="nil"/>
              <w:bottom w:val="nil"/>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22</w:t>
            </w:r>
          </w:p>
        </w:tc>
        <w:tc>
          <w:tcPr>
            <w:tcW w:w="541"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34</w:t>
            </w:r>
          </w:p>
        </w:tc>
        <w:tc>
          <w:tcPr>
            <w:tcW w:w="541"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26</w:t>
            </w:r>
          </w:p>
        </w:tc>
        <w:tc>
          <w:tcPr>
            <w:tcW w:w="541"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42</w:t>
            </w:r>
          </w:p>
        </w:tc>
        <w:tc>
          <w:tcPr>
            <w:tcW w:w="541"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54</w:t>
            </w:r>
          </w:p>
        </w:tc>
        <w:tc>
          <w:tcPr>
            <w:tcW w:w="541"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46</w:t>
            </w:r>
          </w:p>
        </w:tc>
        <w:tc>
          <w:tcPr>
            <w:tcW w:w="635"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bCs/>
                <w:i/>
                <w:color w:val="000000"/>
                <w:sz w:val="20"/>
                <w:szCs w:val="20"/>
                <w:lang w:val="es-ES" w:eastAsia="es-ES"/>
              </w:rPr>
            </w:pPr>
            <w:r w:rsidRPr="007D564F">
              <w:rPr>
                <w:rFonts w:eastAsia="Times New Roman" w:cs="Times New Roman"/>
                <w:bCs/>
                <w:i/>
                <w:color w:val="000000"/>
                <w:sz w:val="20"/>
                <w:szCs w:val="20"/>
                <w:lang w:val="es-ES" w:eastAsia="es-ES"/>
              </w:rPr>
              <w:t>224</w:t>
            </w:r>
          </w:p>
        </w:tc>
      </w:tr>
      <w:tr w:rsidR="00DA2D4F" w:rsidRPr="007D564F" w:rsidTr="00512993">
        <w:trPr>
          <w:trHeight w:val="20"/>
        </w:trPr>
        <w:tc>
          <w:tcPr>
            <w:tcW w:w="1119" w:type="pct"/>
            <w:noWrap/>
            <w:vAlign w:val="bottom"/>
            <w:hideMark/>
          </w:tcPr>
          <w:p w:rsidR="00512993" w:rsidRPr="007D564F" w:rsidRDefault="00512993" w:rsidP="00512993">
            <w:pPr>
              <w:keepNext/>
              <w:keepLines/>
              <w:spacing w:after="0" w:line="240" w:lineRule="auto"/>
              <w:ind w:left="284" w:firstLine="0"/>
              <w:jc w:val="lef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PYME</w:t>
            </w:r>
          </w:p>
        </w:tc>
        <w:tc>
          <w:tcPr>
            <w:tcW w:w="541" w:type="pct"/>
            <w:tcBorders>
              <w:top w:val="nil"/>
              <w:bottom w:val="nil"/>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12</w:t>
            </w:r>
          </w:p>
        </w:tc>
        <w:tc>
          <w:tcPr>
            <w:tcW w:w="541"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16</w:t>
            </w:r>
          </w:p>
        </w:tc>
        <w:tc>
          <w:tcPr>
            <w:tcW w:w="541"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23</w:t>
            </w:r>
          </w:p>
        </w:tc>
        <w:tc>
          <w:tcPr>
            <w:tcW w:w="541"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35</w:t>
            </w:r>
          </w:p>
        </w:tc>
        <w:tc>
          <w:tcPr>
            <w:tcW w:w="541"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62</w:t>
            </w:r>
          </w:p>
        </w:tc>
        <w:tc>
          <w:tcPr>
            <w:tcW w:w="541"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163</w:t>
            </w:r>
          </w:p>
        </w:tc>
        <w:tc>
          <w:tcPr>
            <w:tcW w:w="635" w:type="pct"/>
            <w:noWrap/>
            <w:vAlign w:val="bottom"/>
            <w:hideMark/>
          </w:tcPr>
          <w:p w:rsidR="00512993" w:rsidRPr="007D564F" w:rsidRDefault="00512993" w:rsidP="00512993">
            <w:pPr>
              <w:keepNext/>
              <w:keepLines/>
              <w:spacing w:after="0" w:line="240" w:lineRule="auto"/>
              <w:ind w:firstLine="0"/>
              <w:jc w:val="right"/>
              <w:rPr>
                <w:rFonts w:eastAsia="Times New Roman" w:cs="Times New Roman"/>
                <w:bCs/>
                <w:i/>
                <w:color w:val="000000"/>
                <w:sz w:val="20"/>
                <w:szCs w:val="20"/>
                <w:lang w:val="es-ES" w:eastAsia="es-ES"/>
              </w:rPr>
            </w:pPr>
            <w:r w:rsidRPr="007D564F">
              <w:rPr>
                <w:rFonts w:eastAsia="Times New Roman" w:cs="Times New Roman"/>
                <w:bCs/>
                <w:i/>
                <w:color w:val="000000"/>
                <w:sz w:val="20"/>
                <w:szCs w:val="20"/>
                <w:lang w:val="es-ES" w:eastAsia="es-ES"/>
              </w:rPr>
              <w:t>311</w:t>
            </w:r>
          </w:p>
        </w:tc>
      </w:tr>
      <w:tr w:rsidR="00DA2D4F" w:rsidRPr="007D564F" w:rsidTr="00512993">
        <w:trPr>
          <w:trHeight w:val="20"/>
        </w:trPr>
        <w:tc>
          <w:tcPr>
            <w:tcW w:w="1119" w:type="pct"/>
            <w:tcBorders>
              <w:top w:val="nil"/>
              <w:left w:val="nil"/>
            </w:tcBorders>
            <w:noWrap/>
            <w:vAlign w:val="bottom"/>
            <w:hideMark/>
          </w:tcPr>
          <w:p w:rsidR="00512993" w:rsidRPr="007D564F" w:rsidRDefault="00512993" w:rsidP="00512993">
            <w:pPr>
              <w:keepNext/>
              <w:keepLines/>
              <w:spacing w:after="0" w:line="240" w:lineRule="auto"/>
              <w:ind w:left="284" w:firstLine="0"/>
              <w:jc w:val="lef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JOVENES</w:t>
            </w:r>
          </w:p>
        </w:tc>
        <w:tc>
          <w:tcPr>
            <w:tcW w:w="541" w:type="pct"/>
            <w:tcBorders>
              <w:top w:val="nil"/>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0</w:t>
            </w:r>
          </w:p>
        </w:tc>
        <w:tc>
          <w:tcPr>
            <w:tcW w:w="541" w:type="pct"/>
            <w:tcBorders>
              <w:top w:val="nil"/>
              <w:left w:val="nil"/>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0</w:t>
            </w:r>
          </w:p>
        </w:tc>
        <w:tc>
          <w:tcPr>
            <w:tcW w:w="541" w:type="pct"/>
            <w:tcBorders>
              <w:top w:val="nil"/>
              <w:left w:val="nil"/>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0</w:t>
            </w:r>
          </w:p>
        </w:tc>
        <w:tc>
          <w:tcPr>
            <w:tcW w:w="541" w:type="pct"/>
            <w:tcBorders>
              <w:top w:val="nil"/>
              <w:left w:val="nil"/>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0</w:t>
            </w:r>
          </w:p>
        </w:tc>
        <w:tc>
          <w:tcPr>
            <w:tcW w:w="541" w:type="pct"/>
            <w:tcBorders>
              <w:top w:val="nil"/>
              <w:left w:val="nil"/>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0</w:t>
            </w:r>
          </w:p>
        </w:tc>
        <w:tc>
          <w:tcPr>
            <w:tcW w:w="541" w:type="pct"/>
            <w:tcBorders>
              <w:top w:val="nil"/>
              <w:left w:val="nil"/>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color w:val="000000"/>
                <w:sz w:val="20"/>
                <w:szCs w:val="20"/>
                <w:lang w:val="es-ES" w:eastAsia="es-ES"/>
              </w:rPr>
            </w:pPr>
            <w:r w:rsidRPr="007D564F">
              <w:rPr>
                <w:rFonts w:eastAsia="Times New Roman" w:cs="Times New Roman"/>
                <w:color w:val="000000"/>
                <w:sz w:val="20"/>
                <w:szCs w:val="20"/>
                <w:lang w:val="es-ES" w:eastAsia="es-ES"/>
              </w:rPr>
              <w:t>159</w:t>
            </w:r>
          </w:p>
        </w:tc>
        <w:tc>
          <w:tcPr>
            <w:tcW w:w="635" w:type="pct"/>
            <w:tcBorders>
              <w:top w:val="nil"/>
              <w:left w:val="nil"/>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bCs/>
                <w:i/>
                <w:color w:val="000000"/>
                <w:sz w:val="20"/>
                <w:szCs w:val="20"/>
                <w:lang w:val="es-ES" w:eastAsia="es-ES"/>
              </w:rPr>
            </w:pPr>
            <w:r w:rsidRPr="007D564F">
              <w:rPr>
                <w:rFonts w:eastAsia="Times New Roman" w:cs="Times New Roman"/>
                <w:bCs/>
                <w:i/>
                <w:color w:val="000000"/>
                <w:sz w:val="20"/>
                <w:szCs w:val="20"/>
                <w:lang w:val="es-ES" w:eastAsia="es-ES"/>
              </w:rPr>
              <w:t>159</w:t>
            </w:r>
          </w:p>
        </w:tc>
      </w:tr>
      <w:tr w:rsidR="00DA2D4F" w:rsidRPr="007D564F" w:rsidTr="00512993">
        <w:trPr>
          <w:trHeight w:val="20"/>
        </w:trPr>
        <w:tc>
          <w:tcPr>
            <w:tcW w:w="1119" w:type="pct"/>
            <w:tcBorders>
              <w:left w:val="nil"/>
              <w:bottom w:val="double" w:sz="6" w:space="0" w:color="auto"/>
            </w:tcBorders>
            <w:noWrap/>
            <w:vAlign w:val="bottom"/>
            <w:hideMark/>
          </w:tcPr>
          <w:p w:rsidR="00512993" w:rsidRPr="007D564F" w:rsidRDefault="00512993" w:rsidP="00512993">
            <w:pPr>
              <w:keepNext/>
              <w:keepLines/>
              <w:spacing w:after="0" w:line="240" w:lineRule="auto"/>
              <w:ind w:left="284" w:firstLine="0"/>
              <w:jc w:val="left"/>
              <w:rPr>
                <w:rFonts w:eastAsia="Times New Roman" w:cs="Times New Roman"/>
                <w:bCs/>
                <w:i/>
                <w:color w:val="000000"/>
                <w:sz w:val="20"/>
                <w:szCs w:val="20"/>
                <w:lang w:val="es-ES" w:eastAsia="es-ES"/>
              </w:rPr>
            </w:pPr>
            <w:r w:rsidRPr="007D564F">
              <w:rPr>
                <w:rFonts w:eastAsia="Times New Roman" w:cs="Times New Roman"/>
                <w:bCs/>
                <w:i/>
                <w:color w:val="000000"/>
                <w:sz w:val="20"/>
                <w:szCs w:val="20"/>
                <w:lang w:val="es-ES" w:eastAsia="es-ES"/>
              </w:rPr>
              <w:t>Total</w:t>
            </w:r>
          </w:p>
        </w:tc>
        <w:tc>
          <w:tcPr>
            <w:tcW w:w="541" w:type="pct"/>
            <w:tcBorders>
              <w:bottom w:val="double" w:sz="6" w:space="0" w:color="auto"/>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bCs/>
                <w:i/>
                <w:color w:val="000000"/>
                <w:sz w:val="20"/>
                <w:szCs w:val="20"/>
                <w:lang w:val="es-ES" w:eastAsia="es-ES"/>
              </w:rPr>
            </w:pPr>
            <w:r w:rsidRPr="007D564F">
              <w:rPr>
                <w:rFonts w:eastAsia="Times New Roman" w:cs="Times New Roman"/>
                <w:bCs/>
                <w:i/>
                <w:color w:val="000000"/>
                <w:sz w:val="20"/>
                <w:szCs w:val="20"/>
                <w:lang w:val="es-ES" w:eastAsia="es-ES"/>
              </w:rPr>
              <w:t>34</w:t>
            </w:r>
          </w:p>
        </w:tc>
        <w:tc>
          <w:tcPr>
            <w:tcW w:w="541" w:type="pct"/>
            <w:tcBorders>
              <w:left w:val="nil"/>
              <w:bottom w:val="double" w:sz="6" w:space="0" w:color="auto"/>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bCs/>
                <w:i/>
                <w:color w:val="000000"/>
                <w:sz w:val="20"/>
                <w:szCs w:val="20"/>
                <w:lang w:val="es-ES" w:eastAsia="es-ES"/>
              </w:rPr>
            </w:pPr>
            <w:r w:rsidRPr="007D564F">
              <w:rPr>
                <w:rFonts w:eastAsia="Times New Roman" w:cs="Times New Roman"/>
                <w:bCs/>
                <w:i/>
                <w:color w:val="000000"/>
                <w:sz w:val="20"/>
                <w:szCs w:val="20"/>
                <w:lang w:val="es-ES" w:eastAsia="es-ES"/>
              </w:rPr>
              <w:t>50</w:t>
            </w:r>
          </w:p>
        </w:tc>
        <w:tc>
          <w:tcPr>
            <w:tcW w:w="541" w:type="pct"/>
            <w:tcBorders>
              <w:left w:val="nil"/>
              <w:bottom w:val="double" w:sz="6" w:space="0" w:color="auto"/>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bCs/>
                <w:i/>
                <w:color w:val="000000"/>
                <w:sz w:val="20"/>
                <w:szCs w:val="20"/>
                <w:lang w:val="es-ES" w:eastAsia="es-ES"/>
              </w:rPr>
            </w:pPr>
            <w:r w:rsidRPr="007D564F">
              <w:rPr>
                <w:rFonts w:eastAsia="Times New Roman" w:cs="Times New Roman"/>
                <w:bCs/>
                <w:i/>
                <w:color w:val="000000"/>
                <w:sz w:val="20"/>
                <w:szCs w:val="20"/>
                <w:lang w:val="es-ES" w:eastAsia="es-ES"/>
              </w:rPr>
              <w:t>49</w:t>
            </w:r>
          </w:p>
        </w:tc>
        <w:tc>
          <w:tcPr>
            <w:tcW w:w="541" w:type="pct"/>
            <w:tcBorders>
              <w:left w:val="nil"/>
              <w:bottom w:val="double" w:sz="6" w:space="0" w:color="auto"/>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bCs/>
                <w:i/>
                <w:color w:val="000000"/>
                <w:sz w:val="20"/>
                <w:szCs w:val="20"/>
                <w:lang w:val="es-ES" w:eastAsia="es-ES"/>
              </w:rPr>
            </w:pPr>
            <w:r w:rsidRPr="007D564F">
              <w:rPr>
                <w:rFonts w:eastAsia="Times New Roman" w:cs="Times New Roman"/>
                <w:bCs/>
                <w:i/>
                <w:color w:val="000000"/>
                <w:sz w:val="20"/>
                <w:szCs w:val="20"/>
                <w:lang w:val="es-ES" w:eastAsia="es-ES"/>
              </w:rPr>
              <w:t>77</w:t>
            </w:r>
          </w:p>
        </w:tc>
        <w:tc>
          <w:tcPr>
            <w:tcW w:w="541" w:type="pct"/>
            <w:tcBorders>
              <w:left w:val="nil"/>
              <w:bottom w:val="double" w:sz="6" w:space="0" w:color="auto"/>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bCs/>
                <w:i/>
                <w:color w:val="000000"/>
                <w:sz w:val="20"/>
                <w:szCs w:val="20"/>
                <w:lang w:val="es-ES" w:eastAsia="es-ES"/>
              </w:rPr>
            </w:pPr>
            <w:r w:rsidRPr="007D564F">
              <w:rPr>
                <w:rFonts w:eastAsia="Times New Roman" w:cs="Times New Roman"/>
                <w:bCs/>
                <w:i/>
                <w:color w:val="000000"/>
                <w:sz w:val="20"/>
                <w:szCs w:val="20"/>
                <w:lang w:val="es-ES" w:eastAsia="es-ES"/>
              </w:rPr>
              <w:t>116</w:t>
            </w:r>
          </w:p>
        </w:tc>
        <w:tc>
          <w:tcPr>
            <w:tcW w:w="541" w:type="pct"/>
            <w:tcBorders>
              <w:left w:val="nil"/>
              <w:bottom w:val="double" w:sz="6" w:space="0" w:color="auto"/>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bCs/>
                <w:i/>
                <w:color w:val="000000"/>
                <w:sz w:val="20"/>
                <w:szCs w:val="20"/>
                <w:lang w:val="es-ES" w:eastAsia="es-ES"/>
              </w:rPr>
            </w:pPr>
            <w:r w:rsidRPr="007D564F">
              <w:rPr>
                <w:rFonts w:eastAsia="Times New Roman" w:cs="Times New Roman"/>
                <w:bCs/>
                <w:i/>
                <w:color w:val="000000"/>
                <w:sz w:val="20"/>
                <w:szCs w:val="20"/>
                <w:lang w:val="es-ES" w:eastAsia="es-ES"/>
              </w:rPr>
              <w:t>368</w:t>
            </w:r>
          </w:p>
        </w:tc>
        <w:tc>
          <w:tcPr>
            <w:tcW w:w="635" w:type="pct"/>
            <w:tcBorders>
              <w:left w:val="nil"/>
              <w:bottom w:val="double" w:sz="6" w:space="0" w:color="auto"/>
              <w:right w:val="nil"/>
            </w:tcBorders>
            <w:noWrap/>
            <w:vAlign w:val="bottom"/>
            <w:hideMark/>
          </w:tcPr>
          <w:p w:rsidR="00512993" w:rsidRPr="007D564F" w:rsidRDefault="00512993" w:rsidP="00512993">
            <w:pPr>
              <w:keepNext/>
              <w:keepLines/>
              <w:spacing w:after="0" w:line="240" w:lineRule="auto"/>
              <w:ind w:firstLine="0"/>
              <w:jc w:val="right"/>
              <w:rPr>
                <w:rFonts w:eastAsia="Times New Roman" w:cs="Times New Roman"/>
                <w:bCs/>
                <w:i/>
                <w:color w:val="000000"/>
                <w:sz w:val="20"/>
                <w:szCs w:val="20"/>
                <w:lang w:val="es-ES" w:eastAsia="es-ES"/>
              </w:rPr>
            </w:pPr>
            <w:r w:rsidRPr="007D564F">
              <w:rPr>
                <w:rFonts w:eastAsia="Times New Roman" w:cs="Times New Roman"/>
                <w:bCs/>
                <w:i/>
                <w:color w:val="000000"/>
                <w:sz w:val="20"/>
                <w:szCs w:val="20"/>
                <w:lang w:val="es-ES" w:eastAsia="es-ES"/>
              </w:rPr>
              <w:t>694</w:t>
            </w:r>
          </w:p>
        </w:tc>
      </w:tr>
    </w:tbl>
    <w:p w:rsidR="00512993" w:rsidRPr="007D564F" w:rsidRDefault="00512993" w:rsidP="00512993">
      <w:pPr>
        <w:keepNext/>
        <w:keepLines/>
        <w:autoSpaceDE w:val="0"/>
        <w:autoSpaceDN w:val="0"/>
        <w:adjustRightInd w:val="0"/>
        <w:spacing w:after="120"/>
        <w:rPr>
          <w:rFonts w:eastAsia="Times New Roman"/>
          <w:sz w:val="20"/>
          <w:szCs w:val="20"/>
        </w:rPr>
      </w:pPr>
      <w:r w:rsidRPr="007D564F">
        <w:rPr>
          <w:rFonts w:eastAsia="Times New Roman" w:cs="Times New Roman"/>
          <w:sz w:val="20"/>
          <w:szCs w:val="20"/>
        </w:rPr>
        <w:t>Source: ENISA.</w:t>
      </w:r>
    </w:p>
    <w:p w:rsidR="00512993" w:rsidRPr="007D564F" w:rsidRDefault="00512993">
      <w:pPr>
        <w:spacing w:line="276" w:lineRule="auto"/>
        <w:ind w:firstLine="0"/>
        <w:jc w:val="left"/>
        <w:rPr>
          <w:b/>
          <w:bCs/>
          <w:sz w:val="20"/>
          <w:szCs w:val="20"/>
          <w:lang w:eastAsia="en-US" w:bidi="en-US"/>
        </w:rPr>
      </w:pPr>
      <w:r w:rsidRPr="007D564F">
        <w:rPr>
          <w:szCs w:val="20"/>
        </w:rPr>
        <w:br w:type="page"/>
      </w:r>
    </w:p>
    <w:p w:rsidR="00512993" w:rsidRPr="007D564F" w:rsidRDefault="00512993" w:rsidP="00512993">
      <w:pPr>
        <w:pStyle w:val="Descripcin"/>
        <w:keepLines/>
        <w:spacing w:after="0"/>
        <w:rPr>
          <w:szCs w:val="20"/>
        </w:rPr>
      </w:pPr>
      <w:r w:rsidRPr="007D564F">
        <w:rPr>
          <w:szCs w:val="20"/>
        </w:rPr>
        <w:lastRenderedPageBreak/>
        <w:t xml:space="preserve">Table </w:t>
      </w:r>
      <w:bookmarkEnd w:id="1"/>
      <w:r w:rsidR="007C60DA" w:rsidRPr="007D564F">
        <w:rPr>
          <w:szCs w:val="20"/>
        </w:rPr>
        <w:fldChar w:fldCharType="begin"/>
      </w:r>
      <w:r w:rsidRPr="007D564F">
        <w:rPr>
          <w:szCs w:val="20"/>
        </w:rPr>
        <w:instrText xml:space="preserve"> SEQ Table \* ARABIC </w:instrText>
      </w:r>
      <w:r w:rsidR="007C60DA" w:rsidRPr="007D564F">
        <w:rPr>
          <w:szCs w:val="20"/>
        </w:rPr>
        <w:fldChar w:fldCharType="separate"/>
      </w:r>
      <w:r w:rsidRPr="007D564F">
        <w:rPr>
          <w:noProof/>
          <w:szCs w:val="20"/>
        </w:rPr>
        <w:t>2</w:t>
      </w:r>
      <w:r w:rsidR="007C60DA" w:rsidRPr="007D564F">
        <w:rPr>
          <w:szCs w:val="20"/>
        </w:rPr>
        <w:fldChar w:fldCharType="end"/>
      </w:r>
      <w:r w:rsidRPr="007D564F">
        <w:rPr>
          <w:szCs w:val="20"/>
        </w:rPr>
        <w:t>: Distribution of sample ENISA-backed firms by industry, region and foundation period</w:t>
      </w:r>
    </w:p>
    <w:tbl>
      <w:tblPr>
        <w:tblW w:w="4918" w:type="pct"/>
        <w:tblLayout w:type="fixed"/>
        <w:tblLook w:val="04A0" w:firstRow="1" w:lastRow="0" w:firstColumn="1" w:lastColumn="0" w:noHBand="0" w:noVBand="1"/>
      </w:tblPr>
      <w:tblGrid>
        <w:gridCol w:w="3648"/>
        <w:gridCol w:w="713"/>
        <w:gridCol w:w="850"/>
        <w:gridCol w:w="2551"/>
        <w:gridCol w:w="850"/>
        <w:gridCol w:w="850"/>
      </w:tblGrid>
      <w:tr w:rsidR="00DA2D4F" w:rsidRPr="007D564F" w:rsidTr="00512993">
        <w:trPr>
          <w:trHeight w:val="20"/>
        </w:trPr>
        <w:tc>
          <w:tcPr>
            <w:tcW w:w="1928" w:type="pct"/>
            <w:tcBorders>
              <w:top w:val="double" w:sz="4" w:space="0" w:color="auto"/>
              <w:left w:val="nil"/>
              <w:bottom w:val="single" w:sz="4" w:space="0" w:color="auto"/>
              <w:right w:val="nil"/>
            </w:tcBorders>
            <w:shd w:val="clear" w:color="auto" w:fill="auto"/>
            <w:noWrap/>
            <w:vAlign w:val="bottom"/>
            <w:hideMark/>
          </w:tcPr>
          <w:p w:rsidR="00512993" w:rsidRPr="007D564F" w:rsidRDefault="00512993" w:rsidP="00512993">
            <w:pPr>
              <w:keepNext/>
              <w:keepLines/>
              <w:spacing w:after="0" w:line="240" w:lineRule="auto"/>
              <w:ind w:firstLine="0"/>
              <w:jc w:val="left"/>
              <w:rPr>
                <w:rFonts w:eastAsia="Times New Roman" w:cs="Times New Roman"/>
                <w:color w:val="000000"/>
                <w:sz w:val="20"/>
                <w:szCs w:val="20"/>
                <w:lang w:eastAsia="en-US"/>
              </w:rPr>
            </w:pPr>
            <w:r w:rsidRPr="007D564F">
              <w:rPr>
                <w:rFonts w:eastAsia="Times New Roman" w:cs="Times New Roman"/>
                <w:color w:val="000000"/>
                <w:sz w:val="20"/>
                <w:szCs w:val="20"/>
                <w:lang w:eastAsia="en-US"/>
              </w:rPr>
              <w:t> </w:t>
            </w:r>
          </w:p>
        </w:tc>
        <w:tc>
          <w:tcPr>
            <w:tcW w:w="377" w:type="pct"/>
            <w:tcBorders>
              <w:top w:val="double" w:sz="4" w:space="0" w:color="auto"/>
              <w:left w:val="nil"/>
              <w:bottom w:val="single" w:sz="4" w:space="0" w:color="auto"/>
              <w:right w:val="nil"/>
            </w:tcBorders>
            <w:shd w:val="clear" w:color="auto" w:fill="auto"/>
            <w:noWrap/>
            <w:vAlign w:val="center"/>
            <w:hideMark/>
          </w:tcPr>
          <w:p w:rsidR="00512993" w:rsidRPr="007D564F" w:rsidRDefault="00512993" w:rsidP="00512993">
            <w:pPr>
              <w:keepNext/>
              <w:keepLines/>
              <w:spacing w:after="0" w:line="240" w:lineRule="auto"/>
              <w:ind w:firstLine="0"/>
              <w:outlineLvl w:val="0"/>
              <w:rPr>
                <w:rFonts w:eastAsia="Times New Roman" w:cs="Times New Roman"/>
                <w:color w:val="000000"/>
                <w:sz w:val="20"/>
                <w:szCs w:val="20"/>
                <w:lang w:eastAsia="en-US"/>
              </w:rPr>
            </w:pPr>
            <w:r w:rsidRPr="007D564F">
              <w:rPr>
                <w:rFonts w:eastAsia="Times New Roman" w:cs="Times New Roman"/>
                <w:color w:val="000000"/>
                <w:sz w:val="20"/>
                <w:szCs w:val="20"/>
                <w:lang w:eastAsia="en-US"/>
              </w:rPr>
              <w:t>No</w:t>
            </w:r>
          </w:p>
        </w:tc>
        <w:tc>
          <w:tcPr>
            <w:tcW w:w="449" w:type="pct"/>
            <w:tcBorders>
              <w:top w:val="double" w:sz="4" w:space="0" w:color="auto"/>
              <w:left w:val="nil"/>
              <w:bottom w:val="single" w:sz="4" w:space="0" w:color="auto"/>
              <w:right w:val="nil"/>
            </w:tcBorders>
            <w:shd w:val="clear" w:color="auto" w:fill="auto"/>
            <w:noWrap/>
            <w:vAlign w:val="center"/>
            <w:hideMark/>
          </w:tcPr>
          <w:p w:rsidR="00512993" w:rsidRPr="007D564F" w:rsidRDefault="00512993" w:rsidP="00512993">
            <w:pPr>
              <w:keepNext/>
              <w:keepLines/>
              <w:spacing w:after="0" w:line="240" w:lineRule="auto"/>
              <w:ind w:firstLine="0"/>
              <w:outlineLvl w:val="0"/>
              <w:rPr>
                <w:rFonts w:eastAsia="Times New Roman" w:cs="Times New Roman"/>
                <w:color w:val="000000"/>
                <w:sz w:val="20"/>
                <w:szCs w:val="20"/>
                <w:lang w:eastAsia="en-US"/>
              </w:rPr>
            </w:pPr>
            <w:r w:rsidRPr="007D564F">
              <w:rPr>
                <w:rFonts w:eastAsia="Times New Roman" w:cs="Times New Roman"/>
                <w:color w:val="000000"/>
                <w:sz w:val="20"/>
                <w:szCs w:val="20"/>
                <w:lang w:eastAsia="en-US"/>
              </w:rPr>
              <w:t>%</w:t>
            </w:r>
          </w:p>
        </w:tc>
        <w:tc>
          <w:tcPr>
            <w:tcW w:w="1348" w:type="pct"/>
            <w:tcBorders>
              <w:top w:val="double" w:sz="4" w:space="0" w:color="auto"/>
              <w:left w:val="nil"/>
              <w:bottom w:val="single" w:sz="4" w:space="0" w:color="auto"/>
              <w:right w:val="nil"/>
            </w:tcBorders>
            <w:shd w:val="clear" w:color="auto" w:fill="auto"/>
            <w:noWrap/>
            <w:vAlign w:val="bottom"/>
            <w:hideMark/>
          </w:tcPr>
          <w:p w:rsidR="00512993" w:rsidRPr="007D564F" w:rsidRDefault="00512993" w:rsidP="00512993">
            <w:pPr>
              <w:keepNext/>
              <w:keepLines/>
              <w:spacing w:after="0" w:line="240" w:lineRule="auto"/>
              <w:ind w:left="432" w:firstLine="0"/>
              <w:jc w:val="left"/>
              <w:outlineLvl w:val="0"/>
              <w:rPr>
                <w:rFonts w:eastAsia="Times New Roman" w:cs="Times New Roman"/>
                <w:color w:val="000000"/>
                <w:sz w:val="20"/>
                <w:szCs w:val="20"/>
                <w:lang w:eastAsia="en-US"/>
              </w:rPr>
            </w:pPr>
            <w:r w:rsidRPr="007D564F">
              <w:rPr>
                <w:rFonts w:eastAsia="Times New Roman" w:cs="Times New Roman"/>
                <w:color w:val="000000"/>
                <w:sz w:val="20"/>
                <w:szCs w:val="20"/>
                <w:lang w:eastAsia="en-US"/>
              </w:rPr>
              <w:t> </w:t>
            </w:r>
          </w:p>
        </w:tc>
        <w:tc>
          <w:tcPr>
            <w:tcW w:w="449" w:type="pct"/>
            <w:tcBorders>
              <w:top w:val="double" w:sz="4" w:space="0" w:color="auto"/>
              <w:left w:val="nil"/>
              <w:bottom w:val="single" w:sz="4" w:space="0" w:color="auto"/>
              <w:right w:val="nil"/>
            </w:tcBorders>
            <w:shd w:val="clear" w:color="auto" w:fill="auto"/>
            <w:noWrap/>
            <w:vAlign w:val="center"/>
            <w:hideMark/>
          </w:tcPr>
          <w:p w:rsidR="00512993" w:rsidRPr="007D564F" w:rsidRDefault="00512993" w:rsidP="00512993">
            <w:pPr>
              <w:keepNext/>
              <w:keepLines/>
              <w:spacing w:after="0" w:line="240" w:lineRule="auto"/>
              <w:ind w:firstLine="0"/>
              <w:outlineLvl w:val="0"/>
              <w:rPr>
                <w:rFonts w:eastAsia="Times New Roman" w:cs="Times New Roman"/>
                <w:color w:val="000000"/>
                <w:sz w:val="20"/>
                <w:szCs w:val="20"/>
                <w:lang w:eastAsia="en-US"/>
              </w:rPr>
            </w:pPr>
            <w:r w:rsidRPr="007D564F">
              <w:rPr>
                <w:rFonts w:eastAsia="Times New Roman" w:cs="Times New Roman"/>
                <w:color w:val="000000"/>
                <w:sz w:val="20"/>
                <w:szCs w:val="20"/>
                <w:lang w:eastAsia="en-US"/>
              </w:rPr>
              <w:t>No</w:t>
            </w:r>
          </w:p>
        </w:tc>
        <w:tc>
          <w:tcPr>
            <w:tcW w:w="449" w:type="pct"/>
            <w:tcBorders>
              <w:top w:val="double" w:sz="4" w:space="0" w:color="auto"/>
              <w:left w:val="nil"/>
              <w:bottom w:val="single" w:sz="4" w:space="0" w:color="auto"/>
              <w:right w:val="nil"/>
            </w:tcBorders>
            <w:shd w:val="clear" w:color="auto" w:fill="auto"/>
            <w:noWrap/>
            <w:vAlign w:val="center"/>
            <w:hideMark/>
          </w:tcPr>
          <w:p w:rsidR="00512993" w:rsidRPr="007D564F" w:rsidRDefault="00512993" w:rsidP="00512993">
            <w:pPr>
              <w:keepNext/>
              <w:keepLines/>
              <w:spacing w:after="0" w:line="240" w:lineRule="auto"/>
              <w:ind w:firstLine="0"/>
              <w:outlineLvl w:val="0"/>
              <w:rPr>
                <w:rFonts w:eastAsia="Times New Roman" w:cs="Times New Roman"/>
                <w:color w:val="000000"/>
                <w:sz w:val="20"/>
                <w:szCs w:val="20"/>
                <w:lang w:eastAsia="en-US"/>
              </w:rPr>
            </w:pPr>
            <w:r w:rsidRPr="007D564F">
              <w:rPr>
                <w:rFonts w:eastAsia="Times New Roman" w:cs="Times New Roman"/>
                <w:color w:val="000000"/>
                <w:sz w:val="20"/>
                <w:szCs w:val="20"/>
                <w:lang w:eastAsia="en-US"/>
              </w:rPr>
              <w:t>%</w:t>
            </w:r>
          </w:p>
        </w:tc>
      </w:tr>
      <w:tr w:rsidR="00DA2D4F" w:rsidRPr="007D564F" w:rsidTr="00512993">
        <w:trPr>
          <w:trHeight w:val="20"/>
        </w:trPr>
        <w:tc>
          <w:tcPr>
            <w:tcW w:w="1928" w:type="pct"/>
            <w:tcBorders>
              <w:top w:val="nil"/>
              <w:left w:val="nil"/>
              <w:bottom w:val="nil"/>
              <w:right w:val="nil"/>
            </w:tcBorders>
            <w:shd w:val="clear" w:color="auto" w:fill="auto"/>
            <w:noWrap/>
            <w:vAlign w:val="bottom"/>
            <w:hideMark/>
          </w:tcPr>
          <w:p w:rsidR="00512993" w:rsidRPr="007D564F" w:rsidRDefault="00512993" w:rsidP="00512993">
            <w:pPr>
              <w:keepNext/>
              <w:keepLines/>
              <w:spacing w:before="300" w:after="0" w:line="240" w:lineRule="auto"/>
              <w:ind w:firstLine="0"/>
              <w:jc w:val="left"/>
              <w:outlineLvl w:val="0"/>
              <w:rPr>
                <w:rFonts w:eastAsia="Times New Roman" w:cs="Times New Roman"/>
                <w:b/>
                <w:bCs/>
                <w:color w:val="000000"/>
                <w:sz w:val="20"/>
                <w:szCs w:val="20"/>
                <w:lang w:eastAsia="en-US"/>
              </w:rPr>
            </w:pPr>
            <w:r w:rsidRPr="007D564F">
              <w:rPr>
                <w:rFonts w:eastAsia="Times New Roman" w:cs="Times New Roman"/>
                <w:b/>
                <w:bCs/>
                <w:color w:val="000000"/>
                <w:sz w:val="20"/>
                <w:szCs w:val="20"/>
                <w:lang w:eastAsia="en-US"/>
              </w:rPr>
              <w:t>Industry</w:t>
            </w:r>
          </w:p>
        </w:tc>
        <w:tc>
          <w:tcPr>
            <w:tcW w:w="377" w:type="pct"/>
            <w:tcBorders>
              <w:top w:val="nil"/>
              <w:left w:val="nil"/>
              <w:bottom w:val="nil"/>
              <w:right w:val="nil"/>
            </w:tcBorders>
            <w:shd w:val="clear" w:color="auto" w:fill="auto"/>
            <w:noWrap/>
            <w:vAlign w:val="center"/>
            <w:hideMark/>
          </w:tcPr>
          <w:p w:rsidR="00512993" w:rsidRPr="007D564F" w:rsidRDefault="00512993" w:rsidP="00512993">
            <w:pPr>
              <w:keepNext/>
              <w:keepLines/>
              <w:spacing w:after="0" w:line="240" w:lineRule="auto"/>
              <w:ind w:hanging="51"/>
              <w:jc w:val="center"/>
              <w:rPr>
                <w:rFonts w:eastAsia="Times New Roman" w:cs="Times New Roman"/>
                <w:color w:val="000000"/>
                <w:sz w:val="20"/>
                <w:szCs w:val="20"/>
                <w:lang w:eastAsia="en-US"/>
              </w:rPr>
            </w:pPr>
          </w:p>
        </w:tc>
        <w:tc>
          <w:tcPr>
            <w:tcW w:w="449" w:type="pct"/>
            <w:tcBorders>
              <w:top w:val="nil"/>
              <w:left w:val="nil"/>
              <w:bottom w:val="nil"/>
              <w:right w:val="nil"/>
            </w:tcBorders>
            <w:shd w:val="clear" w:color="auto" w:fill="auto"/>
            <w:noWrap/>
            <w:vAlign w:val="center"/>
            <w:hideMark/>
          </w:tcPr>
          <w:p w:rsidR="00512993" w:rsidRPr="007D564F" w:rsidRDefault="00512993" w:rsidP="00512993">
            <w:pPr>
              <w:keepNext/>
              <w:keepLines/>
              <w:spacing w:after="0" w:line="240" w:lineRule="auto"/>
              <w:ind w:firstLine="0"/>
              <w:jc w:val="center"/>
              <w:rPr>
                <w:rFonts w:eastAsia="Times New Roman" w:cs="Times New Roman"/>
                <w:color w:val="000000"/>
                <w:sz w:val="20"/>
                <w:szCs w:val="20"/>
                <w:lang w:eastAsia="en-US"/>
              </w:rPr>
            </w:pPr>
          </w:p>
        </w:tc>
        <w:tc>
          <w:tcPr>
            <w:tcW w:w="1348" w:type="pct"/>
            <w:tcBorders>
              <w:top w:val="nil"/>
              <w:left w:val="nil"/>
              <w:bottom w:val="nil"/>
              <w:right w:val="nil"/>
            </w:tcBorders>
            <w:shd w:val="clear" w:color="auto" w:fill="auto"/>
            <w:noWrap/>
            <w:vAlign w:val="bottom"/>
            <w:hideMark/>
          </w:tcPr>
          <w:p w:rsidR="00512993" w:rsidRPr="007D564F" w:rsidRDefault="00512993" w:rsidP="00512993">
            <w:pPr>
              <w:keepNext/>
              <w:keepLines/>
              <w:spacing w:after="0" w:line="240" w:lineRule="auto"/>
              <w:ind w:firstLine="0"/>
              <w:jc w:val="left"/>
              <w:rPr>
                <w:rFonts w:eastAsia="Times New Roman" w:cs="Times New Roman"/>
                <w:b/>
                <w:bCs/>
                <w:color w:val="000000"/>
                <w:sz w:val="20"/>
                <w:szCs w:val="20"/>
                <w:lang w:eastAsia="en-US"/>
              </w:rPr>
            </w:pPr>
            <w:r w:rsidRPr="007D564F">
              <w:rPr>
                <w:rFonts w:eastAsia="Times New Roman" w:cs="Times New Roman"/>
                <w:b/>
                <w:bCs/>
                <w:color w:val="000000"/>
                <w:sz w:val="20"/>
                <w:szCs w:val="20"/>
                <w:lang w:eastAsia="en-US"/>
              </w:rPr>
              <w:t>Region</w:t>
            </w:r>
          </w:p>
        </w:tc>
        <w:tc>
          <w:tcPr>
            <w:tcW w:w="449" w:type="pct"/>
            <w:tcBorders>
              <w:top w:val="nil"/>
              <w:left w:val="nil"/>
              <w:bottom w:val="nil"/>
              <w:right w:val="nil"/>
            </w:tcBorders>
            <w:shd w:val="clear" w:color="auto" w:fill="auto"/>
            <w:noWrap/>
            <w:vAlign w:val="center"/>
            <w:hideMark/>
          </w:tcPr>
          <w:p w:rsidR="00512993" w:rsidRPr="007D564F" w:rsidRDefault="00512993" w:rsidP="00512993">
            <w:pPr>
              <w:keepNext/>
              <w:keepLines/>
              <w:spacing w:after="0" w:line="240" w:lineRule="auto"/>
              <w:ind w:firstLine="0"/>
              <w:jc w:val="center"/>
              <w:rPr>
                <w:rFonts w:eastAsia="Times New Roman" w:cs="Times New Roman"/>
                <w:sz w:val="20"/>
                <w:szCs w:val="20"/>
                <w:lang w:eastAsia="en-US"/>
              </w:rPr>
            </w:pPr>
          </w:p>
        </w:tc>
        <w:tc>
          <w:tcPr>
            <w:tcW w:w="449" w:type="pct"/>
            <w:tcBorders>
              <w:top w:val="nil"/>
              <w:left w:val="nil"/>
              <w:bottom w:val="nil"/>
              <w:right w:val="nil"/>
            </w:tcBorders>
            <w:shd w:val="clear" w:color="auto" w:fill="auto"/>
            <w:noWrap/>
            <w:vAlign w:val="center"/>
            <w:hideMark/>
          </w:tcPr>
          <w:p w:rsidR="00512993" w:rsidRPr="007D564F" w:rsidRDefault="00512993" w:rsidP="00512993">
            <w:pPr>
              <w:keepNext/>
              <w:keepLines/>
              <w:spacing w:after="0" w:line="240" w:lineRule="auto"/>
              <w:ind w:firstLine="0"/>
              <w:jc w:val="center"/>
              <w:rPr>
                <w:rFonts w:eastAsia="Times New Roman" w:cs="Times New Roman"/>
                <w:sz w:val="20"/>
                <w:szCs w:val="20"/>
                <w:lang w:eastAsia="en-US"/>
              </w:rPr>
            </w:pPr>
          </w:p>
        </w:tc>
      </w:tr>
      <w:tr w:rsidR="00DA2D4F" w:rsidRPr="007D564F" w:rsidTr="00512993">
        <w:trPr>
          <w:trHeight w:val="20"/>
        </w:trPr>
        <w:tc>
          <w:tcPr>
            <w:tcW w:w="1928" w:type="pct"/>
            <w:tcBorders>
              <w:top w:val="nil"/>
              <w:left w:val="nil"/>
              <w:bottom w:val="nil"/>
              <w:right w:val="nil"/>
            </w:tcBorders>
            <w:shd w:val="clear" w:color="auto" w:fill="auto"/>
            <w:noWrap/>
            <w:vAlign w:val="bottom"/>
            <w:hideMark/>
          </w:tcPr>
          <w:p w:rsidR="00512993" w:rsidRPr="007D564F" w:rsidRDefault="00512993" w:rsidP="00512993">
            <w:pPr>
              <w:keepNext/>
              <w:keepLines/>
              <w:spacing w:after="0" w:line="240" w:lineRule="auto"/>
              <w:ind w:left="284" w:firstLine="0"/>
              <w:rPr>
                <w:color w:val="000000"/>
                <w:sz w:val="20"/>
                <w:szCs w:val="20"/>
              </w:rPr>
            </w:pPr>
            <w:r w:rsidRPr="007D564F">
              <w:rPr>
                <w:color w:val="000000"/>
                <w:sz w:val="20"/>
                <w:szCs w:val="20"/>
              </w:rPr>
              <w:t>Chemicals and materials</w:t>
            </w:r>
          </w:p>
        </w:tc>
        <w:tc>
          <w:tcPr>
            <w:tcW w:w="377"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hanging="51"/>
              <w:jc w:val="right"/>
              <w:rPr>
                <w:rFonts w:eastAsia="Times New Roman" w:cs="Times New Roman"/>
                <w:b/>
                <w:spacing w:val="5"/>
                <w:sz w:val="20"/>
                <w:szCs w:val="20"/>
                <w:lang w:eastAsia="en-US"/>
              </w:rPr>
            </w:pPr>
            <w:r w:rsidRPr="007D564F">
              <w:rPr>
                <w:sz w:val="22"/>
              </w:rPr>
              <w:t>28</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rFonts w:cstheme="majorBidi"/>
                <w:b/>
                <w:spacing w:val="5"/>
                <w:sz w:val="20"/>
                <w:szCs w:val="20"/>
              </w:rPr>
            </w:pPr>
            <w:r w:rsidRPr="007D564F">
              <w:rPr>
                <w:sz w:val="22"/>
              </w:rPr>
              <w:t>5.74</w:t>
            </w:r>
          </w:p>
        </w:tc>
        <w:tc>
          <w:tcPr>
            <w:tcW w:w="1348" w:type="pct"/>
            <w:tcBorders>
              <w:top w:val="nil"/>
              <w:left w:val="nil"/>
              <w:bottom w:val="nil"/>
              <w:right w:val="nil"/>
            </w:tcBorders>
            <w:shd w:val="clear" w:color="auto" w:fill="auto"/>
            <w:noWrap/>
            <w:vAlign w:val="bottom"/>
            <w:hideMark/>
          </w:tcPr>
          <w:p w:rsidR="00512993" w:rsidRPr="007D564F" w:rsidRDefault="00512993" w:rsidP="00512993">
            <w:pPr>
              <w:keepNext/>
              <w:keepLines/>
              <w:spacing w:after="0" w:line="240" w:lineRule="auto"/>
              <w:ind w:left="322" w:firstLine="0"/>
              <w:rPr>
                <w:color w:val="000000"/>
                <w:sz w:val="20"/>
                <w:szCs w:val="20"/>
              </w:rPr>
            </w:pPr>
            <w:r w:rsidRPr="007D564F">
              <w:rPr>
                <w:color w:val="000000"/>
                <w:sz w:val="20"/>
                <w:szCs w:val="20"/>
              </w:rPr>
              <w:t>Andalucía</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color w:val="000000"/>
                <w:sz w:val="20"/>
                <w:szCs w:val="20"/>
              </w:rPr>
            </w:pPr>
            <w:r w:rsidRPr="007D564F">
              <w:rPr>
                <w:color w:val="000000"/>
                <w:sz w:val="22"/>
              </w:rPr>
              <w:t>32</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sz w:val="20"/>
                <w:szCs w:val="20"/>
              </w:rPr>
            </w:pPr>
            <w:r w:rsidRPr="007D564F">
              <w:rPr>
                <w:sz w:val="22"/>
              </w:rPr>
              <w:t>6.56</w:t>
            </w:r>
          </w:p>
        </w:tc>
      </w:tr>
      <w:tr w:rsidR="00DA2D4F" w:rsidRPr="007D564F" w:rsidTr="00512993">
        <w:trPr>
          <w:trHeight w:val="20"/>
        </w:trPr>
        <w:tc>
          <w:tcPr>
            <w:tcW w:w="1928" w:type="pct"/>
            <w:tcBorders>
              <w:top w:val="nil"/>
              <w:left w:val="nil"/>
              <w:bottom w:val="nil"/>
              <w:right w:val="nil"/>
            </w:tcBorders>
            <w:shd w:val="clear" w:color="auto" w:fill="auto"/>
            <w:noWrap/>
            <w:vAlign w:val="bottom"/>
            <w:hideMark/>
          </w:tcPr>
          <w:p w:rsidR="00512993" w:rsidRPr="007D564F" w:rsidRDefault="00512993" w:rsidP="00512993">
            <w:pPr>
              <w:keepNext/>
              <w:keepLines/>
              <w:spacing w:after="0" w:line="240" w:lineRule="auto"/>
              <w:ind w:left="284" w:firstLine="0"/>
              <w:rPr>
                <w:color w:val="000000"/>
                <w:sz w:val="20"/>
                <w:szCs w:val="20"/>
              </w:rPr>
            </w:pPr>
            <w:r w:rsidRPr="007D564F">
              <w:rPr>
                <w:color w:val="000000"/>
                <w:sz w:val="20"/>
                <w:szCs w:val="20"/>
              </w:rPr>
              <w:t>Computers, electronics, equipment</w:t>
            </w:r>
          </w:p>
        </w:tc>
        <w:tc>
          <w:tcPr>
            <w:tcW w:w="377"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hanging="51"/>
              <w:jc w:val="right"/>
              <w:rPr>
                <w:rFonts w:eastAsia="Times New Roman" w:cs="Times New Roman"/>
                <w:b/>
                <w:spacing w:val="5"/>
                <w:sz w:val="20"/>
                <w:szCs w:val="20"/>
                <w:lang w:eastAsia="en-US"/>
              </w:rPr>
            </w:pPr>
            <w:r w:rsidRPr="007D564F">
              <w:rPr>
                <w:sz w:val="22"/>
              </w:rPr>
              <w:t>46</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rFonts w:cstheme="majorBidi"/>
                <w:b/>
                <w:spacing w:val="5"/>
                <w:sz w:val="20"/>
                <w:szCs w:val="20"/>
              </w:rPr>
            </w:pPr>
            <w:r w:rsidRPr="007D564F">
              <w:rPr>
                <w:sz w:val="22"/>
              </w:rPr>
              <w:t>9.43</w:t>
            </w:r>
          </w:p>
        </w:tc>
        <w:tc>
          <w:tcPr>
            <w:tcW w:w="1348" w:type="pct"/>
            <w:tcBorders>
              <w:top w:val="nil"/>
              <w:left w:val="nil"/>
              <w:bottom w:val="nil"/>
              <w:right w:val="nil"/>
            </w:tcBorders>
            <w:shd w:val="clear" w:color="auto" w:fill="auto"/>
            <w:noWrap/>
            <w:vAlign w:val="bottom"/>
            <w:hideMark/>
          </w:tcPr>
          <w:p w:rsidR="00512993" w:rsidRPr="007D564F" w:rsidRDefault="00512993" w:rsidP="00512993">
            <w:pPr>
              <w:keepNext/>
              <w:keepLines/>
              <w:spacing w:after="0" w:line="240" w:lineRule="auto"/>
              <w:ind w:left="322" w:firstLine="0"/>
              <w:rPr>
                <w:color w:val="000000"/>
                <w:sz w:val="20"/>
                <w:szCs w:val="20"/>
              </w:rPr>
            </w:pPr>
            <w:r w:rsidRPr="007D564F">
              <w:rPr>
                <w:color w:val="000000"/>
                <w:sz w:val="20"/>
                <w:szCs w:val="20"/>
              </w:rPr>
              <w:t>Aragón</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color w:val="000000"/>
                <w:sz w:val="20"/>
                <w:szCs w:val="20"/>
              </w:rPr>
            </w:pPr>
            <w:r w:rsidRPr="007D564F">
              <w:rPr>
                <w:color w:val="000000"/>
                <w:sz w:val="22"/>
              </w:rPr>
              <w:t>15</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sz w:val="20"/>
                <w:szCs w:val="20"/>
              </w:rPr>
            </w:pPr>
            <w:r w:rsidRPr="007D564F">
              <w:rPr>
                <w:sz w:val="22"/>
              </w:rPr>
              <w:t>3.07</w:t>
            </w:r>
          </w:p>
        </w:tc>
      </w:tr>
      <w:tr w:rsidR="00DA2D4F" w:rsidRPr="007D564F" w:rsidTr="00512993">
        <w:trPr>
          <w:trHeight w:val="20"/>
        </w:trPr>
        <w:tc>
          <w:tcPr>
            <w:tcW w:w="1928" w:type="pct"/>
            <w:tcBorders>
              <w:top w:val="nil"/>
              <w:left w:val="nil"/>
              <w:bottom w:val="nil"/>
              <w:right w:val="nil"/>
            </w:tcBorders>
            <w:shd w:val="clear" w:color="auto" w:fill="auto"/>
            <w:noWrap/>
            <w:vAlign w:val="bottom"/>
            <w:hideMark/>
          </w:tcPr>
          <w:p w:rsidR="00512993" w:rsidRPr="007D564F" w:rsidRDefault="00925257" w:rsidP="00512993">
            <w:pPr>
              <w:keepNext/>
              <w:keepLines/>
              <w:spacing w:after="0" w:line="240" w:lineRule="auto"/>
              <w:ind w:left="284" w:firstLine="0"/>
              <w:rPr>
                <w:color w:val="000000"/>
                <w:sz w:val="20"/>
                <w:szCs w:val="20"/>
              </w:rPr>
            </w:pPr>
            <w:r w:rsidRPr="007D564F">
              <w:rPr>
                <w:color w:val="000000"/>
                <w:sz w:val="20"/>
                <w:szCs w:val="20"/>
              </w:rPr>
              <w:t>Other low-</w:t>
            </w:r>
            <w:r w:rsidR="00512993" w:rsidRPr="007D564F">
              <w:rPr>
                <w:color w:val="000000"/>
                <w:sz w:val="20"/>
                <w:szCs w:val="20"/>
              </w:rPr>
              <w:t>tech</w:t>
            </w:r>
            <w:r w:rsidRPr="007D564F">
              <w:rPr>
                <w:color w:val="000000"/>
                <w:sz w:val="20"/>
                <w:szCs w:val="20"/>
              </w:rPr>
              <w:t>nology</w:t>
            </w:r>
            <w:r w:rsidR="00512993" w:rsidRPr="007D564F">
              <w:rPr>
                <w:color w:val="000000"/>
                <w:sz w:val="20"/>
                <w:szCs w:val="20"/>
              </w:rPr>
              <w:t xml:space="preserve"> manufacturing</w:t>
            </w:r>
          </w:p>
        </w:tc>
        <w:tc>
          <w:tcPr>
            <w:tcW w:w="377"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hanging="51"/>
              <w:jc w:val="right"/>
              <w:rPr>
                <w:rFonts w:eastAsia="Times New Roman" w:cs="Times New Roman"/>
                <w:b/>
                <w:spacing w:val="5"/>
                <w:sz w:val="20"/>
                <w:szCs w:val="20"/>
                <w:lang w:eastAsia="en-US"/>
              </w:rPr>
            </w:pPr>
            <w:r w:rsidRPr="007D564F">
              <w:rPr>
                <w:sz w:val="22"/>
              </w:rPr>
              <w:t>31</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rFonts w:cstheme="majorBidi"/>
                <w:b/>
                <w:spacing w:val="5"/>
                <w:sz w:val="20"/>
                <w:szCs w:val="20"/>
              </w:rPr>
            </w:pPr>
            <w:r w:rsidRPr="007D564F">
              <w:rPr>
                <w:sz w:val="22"/>
              </w:rPr>
              <w:t>6.35</w:t>
            </w:r>
          </w:p>
        </w:tc>
        <w:tc>
          <w:tcPr>
            <w:tcW w:w="1348" w:type="pct"/>
            <w:tcBorders>
              <w:top w:val="nil"/>
              <w:left w:val="nil"/>
              <w:bottom w:val="nil"/>
              <w:right w:val="nil"/>
            </w:tcBorders>
            <w:shd w:val="clear" w:color="auto" w:fill="auto"/>
            <w:noWrap/>
            <w:vAlign w:val="bottom"/>
            <w:hideMark/>
          </w:tcPr>
          <w:p w:rsidR="00512993" w:rsidRPr="007D564F" w:rsidRDefault="00512993" w:rsidP="00512993">
            <w:pPr>
              <w:keepNext/>
              <w:keepLines/>
              <w:spacing w:after="0" w:line="240" w:lineRule="auto"/>
              <w:ind w:left="322" w:firstLine="0"/>
              <w:rPr>
                <w:color w:val="000000"/>
                <w:sz w:val="20"/>
                <w:szCs w:val="20"/>
              </w:rPr>
            </w:pPr>
            <w:r w:rsidRPr="007D564F">
              <w:rPr>
                <w:color w:val="000000"/>
                <w:sz w:val="20"/>
                <w:szCs w:val="20"/>
              </w:rPr>
              <w:t>Asturias</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color w:val="000000"/>
                <w:sz w:val="20"/>
                <w:szCs w:val="20"/>
              </w:rPr>
            </w:pPr>
            <w:r w:rsidRPr="007D564F">
              <w:rPr>
                <w:color w:val="000000"/>
                <w:sz w:val="22"/>
              </w:rPr>
              <w:t>10</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sz w:val="20"/>
                <w:szCs w:val="20"/>
              </w:rPr>
            </w:pPr>
            <w:r w:rsidRPr="007D564F">
              <w:rPr>
                <w:sz w:val="22"/>
              </w:rPr>
              <w:t>2.05</w:t>
            </w:r>
          </w:p>
        </w:tc>
      </w:tr>
      <w:tr w:rsidR="00DA2D4F" w:rsidRPr="007D564F" w:rsidTr="00512993">
        <w:trPr>
          <w:trHeight w:val="20"/>
        </w:trPr>
        <w:tc>
          <w:tcPr>
            <w:tcW w:w="1928" w:type="pct"/>
            <w:tcBorders>
              <w:top w:val="nil"/>
              <w:left w:val="nil"/>
              <w:bottom w:val="nil"/>
              <w:right w:val="nil"/>
            </w:tcBorders>
            <w:shd w:val="clear" w:color="auto" w:fill="auto"/>
            <w:noWrap/>
            <w:vAlign w:val="bottom"/>
            <w:hideMark/>
          </w:tcPr>
          <w:p w:rsidR="00512993" w:rsidRPr="007D564F" w:rsidRDefault="00512993" w:rsidP="00925257">
            <w:pPr>
              <w:keepNext/>
              <w:keepLines/>
              <w:spacing w:after="0" w:line="240" w:lineRule="auto"/>
              <w:ind w:left="284" w:firstLine="0"/>
              <w:rPr>
                <w:color w:val="000000"/>
                <w:sz w:val="20"/>
                <w:szCs w:val="20"/>
              </w:rPr>
            </w:pPr>
            <w:r w:rsidRPr="007D564F">
              <w:rPr>
                <w:color w:val="000000"/>
                <w:sz w:val="20"/>
                <w:szCs w:val="20"/>
              </w:rPr>
              <w:t>Other high</w:t>
            </w:r>
            <w:r w:rsidR="00925257" w:rsidRPr="007D564F">
              <w:rPr>
                <w:color w:val="000000"/>
                <w:sz w:val="20"/>
                <w:szCs w:val="20"/>
              </w:rPr>
              <w:t>-</w:t>
            </w:r>
            <w:r w:rsidRPr="007D564F">
              <w:rPr>
                <w:color w:val="000000"/>
                <w:sz w:val="20"/>
                <w:szCs w:val="20"/>
              </w:rPr>
              <w:t>tech</w:t>
            </w:r>
            <w:r w:rsidR="00925257" w:rsidRPr="007D564F">
              <w:rPr>
                <w:color w:val="000000"/>
                <w:sz w:val="20"/>
                <w:szCs w:val="20"/>
              </w:rPr>
              <w:t>nology</w:t>
            </w:r>
            <w:r w:rsidRPr="007D564F">
              <w:rPr>
                <w:color w:val="000000"/>
                <w:sz w:val="20"/>
                <w:szCs w:val="20"/>
              </w:rPr>
              <w:t xml:space="preserve"> manufacturing</w:t>
            </w:r>
          </w:p>
        </w:tc>
        <w:tc>
          <w:tcPr>
            <w:tcW w:w="377"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hanging="51"/>
              <w:jc w:val="right"/>
              <w:rPr>
                <w:rFonts w:eastAsia="Times New Roman" w:cs="Times New Roman"/>
                <w:b/>
                <w:spacing w:val="5"/>
                <w:sz w:val="20"/>
                <w:szCs w:val="20"/>
                <w:lang w:eastAsia="en-US"/>
              </w:rPr>
            </w:pPr>
            <w:r w:rsidRPr="007D564F">
              <w:rPr>
                <w:sz w:val="22"/>
              </w:rPr>
              <w:t>20</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rFonts w:cstheme="majorBidi"/>
                <w:b/>
                <w:spacing w:val="5"/>
                <w:sz w:val="20"/>
                <w:szCs w:val="20"/>
              </w:rPr>
            </w:pPr>
            <w:r w:rsidRPr="007D564F">
              <w:rPr>
                <w:sz w:val="22"/>
              </w:rPr>
              <w:t>4.10</w:t>
            </w:r>
          </w:p>
        </w:tc>
        <w:tc>
          <w:tcPr>
            <w:tcW w:w="1348" w:type="pct"/>
            <w:tcBorders>
              <w:top w:val="nil"/>
              <w:left w:val="nil"/>
              <w:bottom w:val="nil"/>
              <w:right w:val="nil"/>
            </w:tcBorders>
            <w:shd w:val="clear" w:color="auto" w:fill="auto"/>
            <w:noWrap/>
            <w:vAlign w:val="bottom"/>
            <w:hideMark/>
          </w:tcPr>
          <w:p w:rsidR="00512993" w:rsidRPr="007D564F" w:rsidRDefault="00512993" w:rsidP="00512993">
            <w:pPr>
              <w:keepNext/>
              <w:keepLines/>
              <w:spacing w:after="0" w:line="240" w:lineRule="auto"/>
              <w:ind w:left="322" w:firstLine="0"/>
              <w:rPr>
                <w:color w:val="000000"/>
                <w:sz w:val="20"/>
                <w:szCs w:val="20"/>
              </w:rPr>
            </w:pPr>
            <w:r w:rsidRPr="007D564F">
              <w:rPr>
                <w:color w:val="000000"/>
                <w:sz w:val="20"/>
                <w:szCs w:val="20"/>
              </w:rPr>
              <w:t>Baleares</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color w:val="000000"/>
                <w:sz w:val="20"/>
                <w:szCs w:val="20"/>
              </w:rPr>
            </w:pPr>
            <w:r w:rsidRPr="007D564F">
              <w:rPr>
                <w:color w:val="000000"/>
                <w:sz w:val="22"/>
              </w:rPr>
              <w:t>6</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sz w:val="20"/>
                <w:szCs w:val="20"/>
              </w:rPr>
            </w:pPr>
            <w:r w:rsidRPr="007D564F">
              <w:rPr>
                <w:sz w:val="22"/>
              </w:rPr>
              <w:t>1.23</w:t>
            </w:r>
          </w:p>
        </w:tc>
      </w:tr>
      <w:tr w:rsidR="00DA2D4F" w:rsidRPr="007D564F" w:rsidTr="00512993">
        <w:trPr>
          <w:trHeight w:val="20"/>
        </w:trPr>
        <w:tc>
          <w:tcPr>
            <w:tcW w:w="1928" w:type="pct"/>
            <w:tcBorders>
              <w:top w:val="nil"/>
              <w:left w:val="nil"/>
              <w:bottom w:val="nil"/>
              <w:right w:val="nil"/>
            </w:tcBorders>
            <w:shd w:val="clear" w:color="auto" w:fill="auto"/>
            <w:noWrap/>
            <w:vAlign w:val="bottom"/>
            <w:hideMark/>
          </w:tcPr>
          <w:p w:rsidR="00512993" w:rsidRPr="007D564F" w:rsidRDefault="00512993" w:rsidP="00512993">
            <w:pPr>
              <w:keepNext/>
              <w:keepLines/>
              <w:spacing w:after="0" w:line="240" w:lineRule="auto"/>
              <w:ind w:left="284" w:firstLine="0"/>
              <w:rPr>
                <w:color w:val="000000"/>
                <w:sz w:val="20"/>
                <w:szCs w:val="20"/>
              </w:rPr>
            </w:pPr>
            <w:r w:rsidRPr="007D564F">
              <w:rPr>
                <w:color w:val="000000"/>
                <w:sz w:val="20"/>
                <w:szCs w:val="20"/>
              </w:rPr>
              <w:t>Trade</w:t>
            </w:r>
          </w:p>
        </w:tc>
        <w:tc>
          <w:tcPr>
            <w:tcW w:w="377"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hanging="51"/>
              <w:jc w:val="right"/>
              <w:rPr>
                <w:rFonts w:eastAsia="Times New Roman" w:cs="Times New Roman"/>
                <w:b/>
                <w:spacing w:val="5"/>
                <w:sz w:val="20"/>
                <w:szCs w:val="20"/>
                <w:lang w:eastAsia="en-US"/>
              </w:rPr>
            </w:pPr>
            <w:r w:rsidRPr="007D564F">
              <w:rPr>
                <w:sz w:val="22"/>
              </w:rPr>
              <w:t>46</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rFonts w:cstheme="majorBidi"/>
                <w:b/>
                <w:spacing w:val="5"/>
                <w:sz w:val="20"/>
                <w:szCs w:val="20"/>
              </w:rPr>
            </w:pPr>
            <w:r w:rsidRPr="007D564F">
              <w:rPr>
                <w:sz w:val="22"/>
              </w:rPr>
              <w:t>9.43</w:t>
            </w:r>
          </w:p>
        </w:tc>
        <w:tc>
          <w:tcPr>
            <w:tcW w:w="1348" w:type="pct"/>
            <w:tcBorders>
              <w:top w:val="nil"/>
              <w:left w:val="nil"/>
              <w:bottom w:val="nil"/>
              <w:right w:val="nil"/>
            </w:tcBorders>
            <w:shd w:val="clear" w:color="auto" w:fill="auto"/>
            <w:noWrap/>
            <w:vAlign w:val="bottom"/>
            <w:hideMark/>
          </w:tcPr>
          <w:p w:rsidR="00512993" w:rsidRPr="007D564F" w:rsidRDefault="00512993" w:rsidP="00512993">
            <w:pPr>
              <w:keepNext/>
              <w:keepLines/>
              <w:spacing w:after="0" w:line="240" w:lineRule="auto"/>
              <w:ind w:left="322" w:firstLine="0"/>
              <w:rPr>
                <w:color w:val="000000"/>
                <w:sz w:val="20"/>
                <w:szCs w:val="20"/>
              </w:rPr>
            </w:pPr>
            <w:r w:rsidRPr="007D564F">
              <w:rPr>
                <w:color w:val="000000"/>
                <w:sz w:val="20"/>
                <w:szCs w:val="20"/>
              </w:rPr>
              <w:t>Canarias</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color w:val="000000"/>
                <w:sz w:val="20"/>
                <w:szCs w:val="20"/>
              </w:rPr>
            </w:pPr>
            <w:r w:rsidRPr="007D564F">
              <w:rPr>
                <w:color w:val="000000"/>
                <w:sz w:val="22"/>
              </w:rPr>
              <w:t>1</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sz w:val="20"/>
                <w:szCs w:val="20"/>
              </w:rPr>
            </w:pPr>
            <w:r w:rsidRPr="007D564F">
              <w:rPr>
                <w:sz w:val="22"/>
              </w:rPr>
              <w:t>0.20</w:t>
            </w:r>
          </w:p>
        </w:tc>
      </w:tr>
      <w:tr w:rsidR="00DA2D4F" w:rsidRPr="007D564F" w:rsidTr="00512993">
        <w:trPr>
          <w:trHeight w:val="20"/>
        </w:trPr>
        <w:tc>
          <w:tcPr>
            <w:tcW w:w="1928" w:type="pct"/>
            <w:tcBorders>
              <w:top w:val="nil"/>
              <w:left w:val="nil"/>
              <w:bottom w:val="nil"/>
              <w:right w:val="nil"/>
            </w:tcBorders>
            <w:shd w:val="clear" w:color="auto" w:fill="auto"/>
            <w:noWrap/>
            <w:vAlign w:val="bottom"/>
            <w:hideMark/>
          </w:tcPr>
          <w:p w:rsidR="00512993" w:rsidRPr="007D564F" w:rsidRDefault="00512993" w:rsidP="00512993">
            <w:pPr>
              <w:keepNext/>
              <w:keepLines/>
              <w:spacing w:after="0" w:line="240" w:lineRule="auto"/>
              <w:ind w:left="284" w:firstLine="0"/>
              <w:rPr>
                <w:color w:val="000000"/>
                <w:sz w:val="20"/>
                <w:szCs w:val="20"/>
              </w:rPr>
            </w:pPr>
            <w:r w:rsidRPr="007D564F">
              <w:rPr>
                <w:color w:val="000000"/>
                <w:sz w:val="20"/>
                <w:szCs w:val="20"/>
              </w:rPr>
              <w:t>ICT</w:t>
            </w:r>
          </w:p>
        </w:tc>
        <w:tc>
          <w:tcPr>
            <w:tcW w:w="377"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hanging="51"/>
              <w:jc w:val="right"/>
              <w:rPr>
                <w:rFonts w:eastAsia="Times New Roman" w:cs="Times New Roman"/>
                <w:b/>
                <w:spacing w:val="5"/>
                <w:sz w:val="20"/>
                <w:szCs w:val="20"/>
                <w:lang w:eastAsia="en-US"/>
              </w:rPr>
            </w:pPr>
            <w:r w:rsidRPr="007D564F">
              <w:rPr>
                <w:sz w:val="22"/>
              </w:rPr>
              <w:t>36</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rFonts w:cstheme="majorBidi"/>
                <w:b/>
                <w:spacing w:val="5"/>
                <w:sz w:val="20"/>
                <w:szCs w:val="20"/>
              </w:rPr>
            </w:pPr>
            <w:r w:rsidRPr="007D564F">
              <w:rPr>
                <w:sz w:val="22"/>
              </w:rPr>
              <w:t>7.38</w:t>
            </w:r>
          </w:p>
        </w:tc>
        <w:tc>
          <w:tcPr>
            <w:tcW w:w="1348" w:type="pct"/>
            <w:tcBorders>
              <w:top w:val="nil"/>
              <w:left w:val="nil"/>
              <w:bottom w:val="nil"/>
              <w:right w:val="nil"/>
            </w:tcBorders>
            <w:shd w:val="clear" w:color="auto" w:fill="auto"/>
            <w:noWrap/>
            <w:vAlign w:val="bottom"/>
            <w:hideMark/>
          </w:tcPr>
          <w:p w:rsidR="00512993" w:rsidRPr="007D564F" w:rsidRDefault="00512993" w:rsidP="00512993">
            <w:pPr>
              <w:keepNext/>
              <w:keepLines/>
              <w:spacing w:after="0" w:line="240" w:lineRule="auto"/>
              <w:ind w:left="322" w:firstLine="0"/>
              <w:rPr>
                <w:color w:val="000000"/>
                <w:sz w:val="20"/>
                <w:szCs w:val="20"/>
              </w:rPr>
            </w:pPr>
            <w:r w:rsidRPr="007D564F">
              <w:rPr>
                <w:color w:val="000000"/>
                <w:sz w:val="20"/>
                <w:szCs w:val="20"/>
              </w:rPr>
              <w:t>Cantabria</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color w:val="000000"/>
                <w:sz w:val="20"/>
                <w:szCs w:val="20"/>
              </w:rPr>
            </w:pPr>
            <w:r w:rsidRPr="007D564F">
              <w:rPr>
                <w:color w:val="000000"/>
                <w:sz w:val="22"/>
              </w:rPr>
              <w:t>5</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sz w:val="20"/>
                <w:szCs w:val="20"/>
              </w:rPr>
            </w:pPr>
            <w:r w:rsidRPr="007D564F">
              <w:rPr>
                <w:sz w:val="22"/>
              </w:rPr>
              <w:t>1.02</w:t>
            </w:r>
          </w:p>
        </w:tc>
      </w:tr>
      <w:tr w:rsidR="00DA2D4F" w:rsidRPr="007D564F" w:rsidTr="00512993">
        <w:trPr>
          <w:trHeight w:val="20"/>
        </w:trPr>
        <w:tc>
          <w:tcPr>
            <w:tcW w:w="1928" w:type="pct"/>
            <w:tcBorders>
              <w:top w:val="nil"/>
              <w:left w:val="nil"/>
              <w:right w:val="nil"/>
            </w:tcBorders>
            <w:shd w:val="clear" w:color="auto" w:fill="auto"/>
            <w:noWrap/>
            <w:vAlign w:val="bottom"/>
            <w:hideMark/>
          </w:tcPr>
          <w:p w:rsidR="00512993" w:rsidRPr="007D564F" w:rsidRDefault="00512993" w:rsidP="00512993">
            <w:pPr>
              <w:keepNext/>
              <w:keepLines/>
              <w:spacing w:after="0" w:line="240" w:lineRule="auto"/>
              <w:ind w:left="284" w:firstLine="0"/>
              <w:rPr>
                <w:color w:val="000000"/>
                <w:sz w:val="20"/>
                <w:szCs w:val="20"/>
              </w:rPr>
            </w:pPr>
            <w:r w:rsidRPr="007D564F">
              <w:rPr>
                <w:color w:val="000000"/>
                <w:sz w:val="20"/>
                <w:szCs w:val="20"/>
              </w:rPr>
              <w:t>Professional services</w:t>
            </w:r>
          </w:p>
        </w:tc>
        <w:tc>
          <w:tcPr>
            <w:tcW w:w="377" w:type="pct"/>
            <w:tcBorders>
              <w:top w:val="nil"/>
              <w:left w:val="nil"/>
              <w:right w:val="nil"/>
            </w:tcBorders>
            <w:shd w:val="clear" w:color="auto" w:fill="auto"/>
            <w:noWrap/>
            <w:vAlign w:val="bottom"/>
          </w:tcPr>
          <w:p w:rsidR="00512993" w:rsidRPr="007D564F" w:rsidRDefault="00512993" w:rsidP="00512993">
            <w:pPr>
              <w:keepNext/>
              <w:keepLines/>
              <w:spacing w:after="0" w:line="240" w:lineRule="auto"/>
              <w:ind w:hanging="51"/>
              <w:jc w:val="right"/>
              <w:rPr>
                <w:rFonts w:eastAsia="Times New Roman" w:cs="Times New Roman"/>
                <w:b/>
                <w:spacing w:val="5"/>
                <w:sz w:val="20"/>
                <w:szCs w:val="20"/>
                <w:lang w:eastAsia="en-US"/>
              </w:rPr>
            </w:pPr>
            <w:r w:rsidRPr="007D564F">
              <w:rPr>
                <w:sz w:val="22"/>
              </w:rPr>
              <w:t>57</w:t>
            </w:r>
          </w:p>
        </w:tc>
        <w:tc>
          <w:tcPr>
            <w:tcW w:w="449" w:type="pct"/>
            <w:tcBorders>
              <w:top w:val="nil"/>
              <w:left w:val="nil"/>
              <w:right w:val="nil"/>
            </w:tcBorders>
            <w:shd w:val="clear" w:color="auto" w:fill="auto"/>
            <w:noWrap/>
            <w:vAlign w:val="bottom"/>
          </w:tcPr>
          <w:p w:rsidR="00512993" w:rsidRPr="007D564F" w:rsidRDefault="00512993" w:rsidP="00512993">
            <w:pPr>
              <w:keepNext/>
              <w:keepLines/>
              <w:spacing w:after="0" w:line="240" w:lineRule="auto"/>
              <w:ind w:firstLine="0"/>
              <w:jc w:val="right"/>
              <w:rPr>
                <w:rFonts w:cstheme="majorBidi"/>
                <w:b/>
                <w:spacing w:val="5"/>
                <w:sz w:val="20"/>
                <w:szCs w:val="20"/>
              </w:rPr>
            </w:pPr>
            <w:r w:rsidRPr="007D564F">
              <w:rPr>
                <w:sz w:val="22"/>
              </w:rPr>
              <w:t>11.68</w:t>
            </w:r>
          </w:p>
        </w:tc>
        <w:tc>
          <w:tcPr>
            <w:tcW w:w="1348" w:type="pct"/>
            <w:tcBorders>
              <w:top w:val="nil"/>
              <w:left w:val="nil"/>
              <w:bottom w:val="nil"/>
              <w:right w:val="nil"/>
            </w:tcBorders>
            <w:shd w:val="clear" w:color="auto" w:fill="auto"/>
            <w:noWrap/>
            <w:vAlign w:val="bottom"/>
            <w:hideMark/>
          </w:tcPr>
          <w:p w:rsidR="00512993" w:rsidRPr="007D564F" w:rsidRDefault="00512993" w:rsidP="00512993">
            <w:pPr>
              <w:keepNext/>
              <w:keepLines/>
              <w:spacing w:after="0" w:line="240" w:lineRule="auto"/>
              <w:ind w:left="322" w:firstLine="0"/>
              <w:rPr>
                <w:color w:val="000000"/>
                <w:sz w:val="20"/>
                <w:szCs w:val="20"/>
              </w:rPr>
            </w:pPr>
            <w:r w:rsidRPr="007D564F">
              <w:rPr>
                <w:color w:val="000000"/>
                <w:sz w:val="20"/>
                <w:szCs w:val="20"/>
              </w:rPr>
              <w:t>Castilla La Mancha</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color w:val="000000"/>
                <w:sz w:val="20"/>
                <w:szCs w:val="20"/>
              </w:rPr>
            </w:pPr>
            <w:r w:rsidRPr="007D564F">
              <w:rPr>
                <w:color w:val="000000"/>
                <w:sz w:val="22"/>
              </w:rPr>
              <w:t>10</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sz w:val="20"/>
                <w:szCs w:val="20"/>
              </w:rPr>
            </w:pPr>
            <w:r w:rsidRPr="007D564F">
              <w:rPr>
                <w:sz w:val="22"/>
              </w:rPr>
              <w:t>2.05</w:t>
            </w:r>
          </w:p>
        </w:tc>
      </w:tr>
      <w:tr w:rsidR="00DA2D4F" w:rsidRPr="007D564F" w:rsidTr="00512993">
        <w:trPr>
          <w:trHeight w:val="20"/>
        </w:trPr>
        <w:tc>
          <w:tcPr>
            <w:tcW w:w="1928" w:type="pct"/>
            <w:tcBorders>
              <w:top w:val="nil"/>
              <w:left w:val="nil"/>
              <w:right w:val="nil"/>
            </w:tcBorders>
            <w:shd w:val="clear" w:color="auto" w:fill="auto"/>
            <w:noWrap/>
            <w:vAlign w:val="bottom"/>
            <w:hideMark/>
          </w:tcPr>
          <w:p w:rsidR="00512993" w:rsidRPr="007D564F" w:rsidRDefault="00512993" w:rsidP="00512993">
            <w:pPr>
              <w:keepNext/>
              <w:keepLines/>
              <w:spacing w:after="0" w:line="240" w:lineRule="auto"/>
              <w:ind w:left="284" w:firstLine="0"/>
              <w:rPr>
                <w:color w:val="000000"/>
                <w:sz w:val="20"/>
                <w:szCs w:val="20"/>
              </w:rPr>
            </w:pPr>
            <w:r w:rsidRPr="007D564F">
              <w:rPr>
                <w:color w:val="000000"/>
                <w:sz w:val="20"/>
                <w:szCs w:val="20"/>
              </w:rPr>
              <w:t>Personal services</w:t>
            </w:r>
          </w:p>
        </w:tc>
        <w:tc>
          <w:tcPr>
            <w:tcW w:w="377" w:type="pct"/>
            <w:tcBorders>
              <w:top w:val="nil"/>
              <w:left w:val="nil"/>
              <w:right w:val="nil"/>
            </w:tcBorders>
            <w:shd w:val="clear" w:color="auto" w:fill="auto"/>
            <w:noWrap/>
            <w:vAlign w:val="bottom"/>
          </w:tcPr>
          <w:p w:rsidR="00512993" w:rsidRPr="007D564F" w:rsidRDefault="00512993" w:rsidP="00512993">
            <w:pPr>
              <w:keepNext/>
              <w:keepLines/>
              <w:spacing w:after="0" w:line="240" w:lineRule="auto"/>
              <w:ind w:hanging="51"/>
              <w:jc w:val="right"/>
              <w:rPr>
                <w:rFonts w:eastAsia="Times New Roman" w:cs="Times New Roman"/>
                <w:b/>
                <w:iCs/>
                <w:spacing w:val="5"/>
                <w:sz w:val="20"/>
                <w:szCs w:val="20"/>
                <w:lang w:eastAsia="en-US"/>
              </w:rPr>
            </w:pPr>
            <w:r w:rsidRPr="007D564F">
              <w:rPr>
                <w:sz w:val="22"/>
              </w:rPr>
              <w:t>33</w:t>
            </w:r>
          </w:p>
        </w:tc>
        <w:tc>
          <w:tcPr>
            <w:tcW w:w="449" w:type="pct"/>
            <w:tcBorders>
              <w:top w:val="nil"/>
              <w:left w:val="nil"/>
              <w:right w:val="nil"/>
            </w:tcBorders>
            <w:shd w:val="clear" w:color="auto" w:fill="auto"/>
            <w:noWrap/>
            <w:vAlign w:val="bottom"/>
          </w:tcPr>
          <w:p w:rsidR="00512993" w:rsidRPr="007D564F" w:rsidRDefault="00512993" w:rsidP="00512993">
            <w:pPr>
              <w:keepNext/>
              <w:keepLines/>
              <w:spacing w:after="0" w:line="240" w:lineRule="auto"/>
              <w:ind w:firstLine="0"/>
              <w:jc w:val="right"/>
              <w:rPr>
                <w:rFonts w:cstheme="majorBidi"/>
                <w:b/>
                <w:spacing w:val="5"/>
                <w:sz w:val="20"/>
                <w:szCs w:val="20"/>
              </w:rPr>
            </w:pPr>
            <w:r w:rsidRPr="007D564F">
              <w:rPr>
                <w:sz w:val="22"/>
              </w:rPr>
              <w:t>6.76</w:t>
            </w:r>
          </w:p>
        </w:tc>
        <w:tc>
          <w:tcPr>
            <w:tcW w:w="1348" w:type="pct"/>
            <w:tcBorders>
              <w:top w:val="nil"/>
              <w:left w:val="nil"/>
              <w:bottom w:val="nil"/>
              <w:right w:val="nil"/>
            </w:tcBorders>
            <w:shd w:val="clear" w:color="auto" w:fill="auto"/>
            <w:noWrap/>
            <w:vAlign w:val="bottom"/>
            <w:hideMark/>
          </w:tcPr>
          <w:p w:rsidR="00512993" w:rsidRPr="007D564F" w:rsidRDefault="00512993" w:rsidP="00512993">
            <w:pPr>
              <w:keepNext/>
              <w:keepLines/>
              <w:spacing w:after="0" w:line="240" w:lineRule="auto"/>
              <w:ind w:left="322" w:firstLine="0"/>
              <w:rPr>
                <w:color w:val="000000"/>
                <w:sz w:val="20"/>
                <w:szCs w:val="20"/>
              </w:rPr>
            </w:pPr>
            <w:r w:rsidRPr="007D564F">
              <w:rPr>
                <w:color w:val="000000"/>
                <w:sz w:val="20"/>
                <w:szCs w:val="20"/>
              </w:rPr>
              <w:t>Castilla León</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color w:val="000000"/>
                <w:sz w:val="20"/>
                <w:szCs w:val="20"/>
              </w:rPr>
            </w:pPr>
            <w:r w:rsidRPr="007D564F">
              <w:rPr>
                <w:color w:val="000000"/>
                <w:sz w:val="22"/>
              </w:rPr>
              <w:t>10</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sz w:val="20"/>
                <w:szCs w:val="20"/>
              </w:rPr>
            </w:pPr>
            <w:r w:rsidRPr="007D564F">
              <w:rPr>
                <w:sz w:val="22"/>
              </w:rPr>
              <w:t>2.05</w:t>
            </w:r>
          </w:p>
        </w:tc>
      </w:tr>
      <w:tr w:rsidR="00DA2D4F" w:rsidRPr="007D564F" w:rsidTr="00512993">
        <w:trPr>
          <w:trHeight w:val="20"/>
        </w:trPr>
        <w:tc>
          <w:tcPr>
            <w:tcW w:w="1928" w:type="pct"/>
            <w:tcBorders>
              <w:top w:val="nil"/>
              <w:left w:val="nil"/>
              <w:bottom w:val="nil"/>
              <w:right w:val="nil"/>
            </w:tcBorders>
            <w:shd w:val="clear" w:color="auto" w:fill="auto"/>
            <w:noWrap/>
            <w:vAlign w:val="bottom"/>
            <w:hideMark/>
          </w:tcPr>
          <w:p w:rsidR="00512993" w:rsidRPr="007D564F" w:rsidRDefault="00512993" w:rsidP="00512993">
            <w:pPr>
              <w:keepNext/>
              <w:keepLines/>
              <w:spacing w:after="0" w:line="240" w:lineRule="auto"/>
              <w:ind w:left="284" w:firstLine="0"/>
              <w:rPr>
                <w:color w:val="000000"/>
                <w:sz w:val="20"/>
                <w:szCs w:val="20"/>
              </w:rPr>
            </w:pPr>
            <w:r w:rsidRPr="007D564F">
              <w:rPr>
                <w:color w:val="000000"/>
                <w:sz w:val="20"/>
                <w:szCs w:val="20"/>
              </w:rPr>
              <w:t>Software</w:t>
            </w:r>
          </w:p>
        </w:tc>
        <w:tc>
          <w:tcPr>
            <w:tcW w:w="377"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hanging="51"/>
              <w:jc w:val="right"/>
              <w:rPr>
                <w:rFonts w:eastAsia="Times New Roman" w:cs="Times New Roman"/>
                <w:b/>
                <w:spacing w:val="5"/>
                <w:sz w:val="20"/>
                <w:szCs w:val="20"/>
                <w:lang w:eastAsia="en-US"/>
              </w:rPr>
            </w:pPr>
            <w:r w:rsidRPr="007D564F">
              <w:rPr>
                <w:sz w:val="22"/>
              </w:rPr>
              <w:t>90</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rFonts w:cstheme="majorBidi"/>
                <w:b/>
                <w:spacing w:val="5"/>
                <w:sz w:val="20"/>
                <w:szCs w:val="20"/>
              </w:rPr>
            </w:pPr>
            <w:r w:rsidRPr="007D564F">
              <w:rPr>
                <w:sz w:val="22"/>
              </w:rPr>
              <w:t>18.44</w:t>
            </w:r>
          </w:p>
        </w:tc>
        <w:tc>
          <w:tcPr>
            <w:tcW w:w="1348" w:type="pct"/>
            <w:tcBorders>
              <w:top w:val="nil"/>
              <w:left w:val="nil"/>
              <w:bottom w:val="nil"/>
              <w:right w:val="nil"/>
            </w:tcBorders>
            <w:shd w:val="clear" w:color="auto" w:fill="auto"/>
            <w:noWrap/>
            <w:vAlign w:val="bottom"/>
            <w:hideMark/>
          </w:tcPr>
          <w:p w:rsidR="00512993" w:rsidRPr="007D564F" w:rsidRDefault="00512993" w:rsidP="00512993">
            <w:pPr>
              <w:keepNext/>
              <w:keepLines/>
              <w:spacing w:after="0" w:line="240" w:lineRule="auto"/>
              <w:ind w:left="322" w:firstLine="0"/>
              <w:rPr>
                <w:color w:val="000000"/>
                <w:sz w:val="20"/>
                <w:szCs w:val="20"/>
              </w:rPr>
            </w:pPr>
            <w:r w:rsidRPr="007D564F">
              <w:rPr>
                <w:color w:val="000000"/>
                <w:sz w:val="20"/>
                <w:szCs w:val="20"/>
              </w:rPr>
              <w:t>Cataluña</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color w:val="000000"/>
                <w:sz w:val="20"/>
                <w:szCs w:val="20"/>
              </w:rPr>
            </w:pPr>
            <w:r w:rsidRPr="007D564F">
              <w:rPr>
                <w:color w:val="000000"/>
                <w:sz w:val="22"/>
              </w:rPr>
              <w:t>154</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sz w:val="20"/>
                <w:szCs w:val="20"/>
              </w:rPr>
            </w:pPr>
            <w:r w:rsidRPr="007D564F">
              <w:rPr>
                <w:sz w:val="22"/>
              </w:rPr>
              <w:t>31.56</w:t>
            </w:r>
          </w:p>
        </w:tc>
      </w:tr>
      <w:tr w:rsidR="00DA2D4F" w:rsidRPr="007D564F" w:rsidTr="00512993">
        <w:trPr>
          <w:trHeight w:val="20"/>
        </w:trPr>
        <w:tc>
          <w:tcPr>
            <w:tcW w:w="1928" w:type="pct"/>
            <w:tcBorders>
              <w:top w:val="nil"/>
              <w:left w:val="nil"/>
              <w:bottom w:val="nil"/>
              <w:right w:val="nil"/>
            </w:tcBorders>
            <w:shd w:val="clear" w:color="auto" w:fill="auto"/>
            <w:noWrap/>
            <w:vAlign w:val="bottom"/>
            <w:hideMark/>
          </w:tcPr>
          <w:p w:rsidR="00512993" w:rsidRPr="007D564F" w:rsidRDefault="00512993" w:rsidP="00512993">
            <w:pPr>
              <w:keepNext/>
              <w:keepLines/>
              <w:spacing w:after="0" w:line="240" w:lineRule="auto"/>
              <w:ind w:firstLine="284"/>
              <w:rPr>
                <w:color w:val="000000"/>
                <w:sz w:val="20"/>
                <w:szCs w:val="20"/>
              </w:rPr>
            </w:pPr>
            <w:r w:rsidRPr="007D564F">
              <w:rPr>
                <w:color w:val="000000"/>
                <w:sz w:val="20"/>
                <w:szCs w:val="20"/>
              </w:rPr>
              <w:t>R&amp;D and engineering</w:t>
            </w:r>
          </w:p>
        </w:tc>
        <w:tc>
          <w:tcPr>
            <w:tcW w:w="377"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hanging="51"/>
              <w:jc w:val="right"/>
              <w:rPr>
                <w:rFonts w:eastAsia="Times New Roman" w:cs="Times New Roman"/>
                <w:b/>
                <w:iCs/>
                <w:spacing w:val="5"/>
                <w:sz w:val="20"/>
                <w:szCs w:val="20"/>
                <w:lang w:eastAsia="en-US"/>
              </w:rPr>
            </w:pPr>
            <w:r w:rsidRPr="007D564F">
              <w:rPr>
                <w:sz w:val="22"/>
              </w:rPr>
              <w:t>48</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rFonts w:cstheme="majorBidi"/>
                <w:b/>
                <w:spacing w:val="5"/>
                <w:sz w:val="20"/>
                <w:szCs w:val="20"/>
              </w:rPr>
            </w:pPr>
            <w:r w:rsidRPr="007D564F">
              <w:rPr>
                <w:sz w:val="22"/>
              </w:rPr>
              <w:t>9.84</w:t>
            </w:r>
          </w:p>
        </w:tc>
        <w:tc>
          <w:tcPr>
            <w:tcW w:w="1348" w:type="pct"/>
            <w:tcBorders>
              <w:top w:val="nil"/>
              <w:left w:val="nil"/>
              <w:bottom w:val="nil"/>
              <w:right w:val="nil"/>
            </w:tcBorders>
            <w:shd w:val="clear" w:color="auto" w:fill="auto"/>
            <w:noWrap/>
            <w:vAlign w:val="bottom"/>
            <w:hideMark/>
          </w:tcPr>
          <w:p w:rsidR="00512993" w:rsidRPr="007D564F" w:rsidRDefault="00512993" w:rsidP="00512993">
            <w:pPr>
              <w:keepNext/>
              <w:keepLines/>
              <w:spacing w:after="0" w:line="240" w:lineRule="auto"/>
              <w:ind w:left="322" w:firstLine="0"/>
              <w:rPr>
                <w:color w:val="000000"/>
                <w:sz w:val="20"/>
                <w:szCs w:val="20"/>
              </w:rPr>
            </w:pPr>
            <w:r w:rsidRPr="007D564F">
              <w:rPr>
                <w:color w:val="000000"/>
                <w:sz w:val="20"/>
                <w:szCs w:val="20"/>
              </w:rPr>
              <w:t>Comunidad Valenciana</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color w:val="000000"/>
                <w:sz w:val="20"/>
                <w:szCs w:val="20"/>
              </w:rPr>
            </w:pPr>
            <w:r w:rsidRPr="007D564F">
              <w:rPr>
                <w:color w:val="000000"/>
                <w:sz w:val="22"/>
              </w:rPr>
              <w:t>35</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sz w:val="20"/>
                <w:szCs w:val="20"/>
              </w:rPr>
            </w:pPr>
            <w:r w:rsidRPr="007D564F">
              <w:rPr>
                <w:sz w:val="22"/>
              </w:rPr>
              <w:t>7.17</w:t>
            </w:r>
          </w:p>
        </w:tc>
      </w:tr>
      <w:tr w:rsidR="00DA2D4F" w:rsidRPr="007D564F" w:rsidTr="00512993">
        <w:trPr>
          <w:trHeight w:val="20"/>
        </w:trPr>
        <w:tc>
          <w:tcPr>
            <w:tcW w:w="1928" w:type="pct"/>
            <w:tcBorders>
              <w:top w:val="nil"/>
              <w:left w:val="nil"/>
              <w:bottom w:val="nil"/>
              <w:right w:val="nil"/>
            </w:tcBorders>
            <w:shd w:val="clear" w:color="auto" w:fill="auto"/>
            <w:noWrap/>
            <w:vAlign w:val="bottom"/>
            <w:hideMark/>
          </w:tcPr>
          <w:p w:rsidR="00512993" w:rsidRPr="007D564F" w:rsidRDefault="00512993" w:rsidP="00512993">
            <w:pPr>
              <w:keepNext/>
              <w:keepLines/>
              <w:spacing w:after="0" w:line="240" w:lineRule="auto"/>
              <w:ind w:firstLine="284"/>
              <w:rPr>
                <w:color w:val="000000"/>
                <w:sz w:val="20"/>
                <w:szCs w:val="20"/>
              </w:rPr>
            </w:pPr>
            <w:r w:rsidRPr="007D564F">
              <w:rPr>
                <w:color w:val="000000"/>
                <w:sz w:val="20"/>
                <w:szCs w:val="20"/>
              </w:rPr>
              <w:t>Other low tech services</w:t>
            </w:r>
          </w:p>
        </w:tc>
        <w:tc>
          <w:tcPr>
            <w:tcW w:w="377"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hanging="51"/>
              <w:jc w:val="right"/>
              <w:rPr>
                <w:rFonts w:eastAsia="Times New Roman" w:cs="Times New Roman"/>
                <w:b/>
                <w:spacing w:val="5"/>
                <w:sz w:val="20"/>
                <w:szCs w:val="20"/>
                <w:lang w:eastAsia="en-US"/>
              </w:rPr>
            </w:pPr>
            <w:r w:rsidRPr="007D564F">
              <w:rPr>
                <w:sz w:val="22"/>
              </w:rPr>
              <w:t>28</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rFonts w:cstheme="majorBidi"/>
                <w:b/>
                <w:spacing w:val="5"/>
                <w:sz w:val="20"/>
                <w:szCs w:val="20"/>
              </w:rPr>
            </w:pPr>
            <w:r w:rsidRPr="007D564F">
              <w:rPr>
                <w:sz w:val="22"/>
              </w:rPr>
              <w:t>5.74</w:t>
            </w:r>
          </w:p>
        </w:tc>
        <w:tc>
          <w:tcPr>
            <w:tcW w:w="1348" w:type="pct"/>
            <w:tcBorders>
              <w:top w:val="nil"/>
              <w:left w:val="nil"/>
              <w:bottom w:val="nil"/>
              <w:right w:val="nil"/>
            </w:tcBorders>
            <w:shd w:val="clear" w:color="auto" w:fill="auto"/>
            <w:noWrap/>
            <w:vAlign w:val="bottom"/>
            <w:hideMark/>
          </w:tcPr>
          <w:p w:rsidR="00512993" w:rsidRPr="007D564F" w:rsidRDefault="00512993" w:rsidP="00512993">
            <w:pPr>
              <w:keepNext/>
              <w:keepLines/>
              <w:spacing w:after="0" w:line="240" w:lineRule="auto"/>
              <w:ind w:left="322" w:firstLine="0"/>
              <w:rPr>
                <w:color w:val="000000"/>
                <w:sz w:val="20"/>
                <w:szCs w:val="20"/>
              </w:rPr>
            </w:pPr>
            <w:r w:rsidRPr="007D564F">
              <w:rPr>
                <w:color w:val="000000"/>
                <w:sz w:val="20"/>
                <w:szCs w:val="20"/>
              </w:rPr>
              <w:t>Extremadura</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color w:val="000000"/>
                <w:sz w:val="20"/>
                <w:szCs w:val="20"/>
              </w:rPr>
            </w:pPr>
            <w:r w:rsidRPr="007D564F">
              <w:rPr>
                <w:color w:val="000000"/>
                <w:sz w:val="22"/>
              </w:rPr>
              <w:t>15</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sz w:val="20"/>
                <w:szCs w:val="20"/>
              </w:rPr>
            </w:pPr>
            <w:r w:rsidRPr="007D564F">
              <w:rPr>
                <w:sz w:val="22"/>
              </w:rPr>
              <w:t>3.07</w:t>
            </w:r>
          </w:p>
        </w:tc>
      </w:tr>
      <w:tr w:rsidR="00DA2D4F" w:rsidRPr="007D564F" w:rsidTr="00512993">
        <w:trPr>
          <w:trHeight w:val="20"/>
        </w:trPr>
        <w:tc>
          <w:tcPr>
            <w:tcW w:w="1928" w:type="pct"/>
            <w:tcBorders>
              <w:top w:val="nil"/>
              <w:left w:val="nil"/>
              <w:bottom w:val="nil"/>
              <w:right w:val="nil"/>
            </w:tcBorders>
            <w:shd w:val="clear" w:color="auto" w:fill="auto"/>
            <w:noWrap/>
            <w:vAlign w:val="bottom"/>
            <w:hideMark/>
          </w:tcPr>
          <w:p w:rsidR="00512993" w:rsidRPr="007D564F" w:rsidRDefault="00512993" w:rsidP="00512993">
            <w:pPr>
              <w:keepNext/>
              <w:keepLines/>
              <w:spacing w:after="0" w:line="240" w:lineRule="auto"/>
              <w:ind w:firstLine="284"/>
              <w:rPr>
                <w:color w:val="000000"/>
                <w:sz w:val="20"/>
                <w:szCs w:val="20"/>
              </w:rPr>
            </w:pPr>
            <w:r w:rsidRPr="007D564F">
              <w:rPr>
                <w:color w:val="000000"/>
                <w:sz w:val="20"/>
                <w:szCs w:val="20"/>
              </w:rPr>
              <w:t>Other high tech services</w:t>
            </w:r>
          </w:p>
        </w:tc>
        <w:tc>
          <w:tcPr>
            <w:tcW w:w="377"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hanging="51"/>
              <w:jc w:val="right"/>
              <w:rPr>
                <w:rFonts w:eastAsia="Times New Roman" w:cs="Times New Roman"/>
                <w:b/>
                <w:iCs/>
                <w:spacing w:val="5"/>
                <w:sz w:val="20"/>
                <w:szCs w:val="20"/>
                <w:lang w:eastAsia="en-US"/>
              </w:rPr>
            </w:pPr>
            <w:r w:rsidRPr="007D564F">
              <w:rPr>
                <w:sz w:val="22"/>
              </w:rPr>
              <w:t>25</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rFonts w:cstheme="majorBidi"/>
                <w:b/>
                <w:spacing w:val="5"/>
                <w:sz w:val="20"/>
                <w:szCs w:val="20"/>
              </w:rPr>
            </w:pPr>
            <w:r w:rsidRPr="007D564F">
              <w:rPr>
                <w:sz w:val="22"/>
              </w:rPr>
              <w:t>5.12</w:t>
            </w:r>
          </w:p>
        </w:tc>
        <w:tc>
          <w:tcPr>
            <w:tcW w:w="1348" w:type="pct"/>
            <w:tcBorders>
              <w:top w:val="nil"/>
              <w:left w:val="nil"/>
              <w:bottom w:val="nil"/>
              <w:right w:val="nil"/>
            </w:tcBorders>
            <w:shd w:val="clear" w:color="auto" w:fill="auto"/>
            <w:noWrap/>
            <w:vAlign w:val="bottom"/>
            <w:hideMark/>
          </w:tcPr>
          <w:p w:rsidR="00512993" w:rsidRPr="007D564F" w:rsidRDefault="00512993" w:rsidP="00512993">
            <w:pPr>
              <w:keepNext/>
              <w:keepLines/>
              <w:spacing w:after="0" w:line="240" w:lineRule="auto"/>
              <w:ind w:left="322" w:firstLine="0"/>
              <w:rPr>
                <w:color w:val="000000"/>
                <w:sz w:val="20"/>
                <w:szCs w:val="20"/>
              </w:rPr>
            </w:pPr>
            <w:r w:rsidRPr="007D564F">
              <w:rPr>
                <w:color w:val="000000"/>
                <w:sz w:val="20"/>
                <w:szCs w:val="20"/>
              </w:rPr>
              <w:t>Galicia</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color w:val="000000"/>
                <w:sz w:val="20"/>
                <w:szCs w:val="20"/>
              </w:rPr>
            </w:pPr>
            <w:r w:rsidRPr="007D564F">
              <w:rPr>
                <w:color w:val="000000"/>
                <w:sz w:val="22"/>
              </w:rPr>
              <w:t>12</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sz w:val="20"/>
                <w:szCs w:val="20"/>
              </w:rPr>
            </w:pPr>
            <w:r w:rsidRPr="007D564F">
              <w:rPr>
                <w:sz w:val="22"/>
              </w:rPr>
              <w:t>2.46</w:t>
            </w:r>
          </w:p>
        </w:tc>
      </w:tr>
      <w:tr w:rsidR="00DA2D4F" w:rsidRPr="007D564F" w:rsidTr="00512993">
        <w:trPr>
          <w:trHeight w:val="20"/>
        </w:trPr>
        <w:tc>
          <w:tcPr>
            <w:tcW w:w="1928" w:type="pct"/>
            <w:tcBorders>
              <w:top w:val="nil"/>
              <w:left w:val="nil"/>
              <w:bottom w:val="nil"/>
              <w:right w:val="nil"/>
            </w:tcBorders>
            <w:shd w:val="clear" w:color="auto" w:fill="auto"/>
            <w:noWrap/>
            <w:vAlign w:val="bottom"/>
            <w:hideMark/>
          </w:tcPr>
          <w:p w:rsidR="00512993" w:rsidRPr="007D564F" w:rsidRDefault="00512993" w:rsidP="00512993">
            <w:pPr>
              <w:keepNext/>
              <w:keepLines/>
              <w:spacing w:after="0" w:line="240" w:lineRule="auto"/>
              <w:ind w:firstLine="284"/>
              <w:rPr>
                <w:i/>
                <w:iCs/>
                <w:color w:val="000000"/>
                <w:sz w:val="20"/>
                <w:szCs w:val="20"/>
              </w:rPr>
            </w:pPr>
            <w:r w:rsidRPr="007D564F">
              <w:rPr>
                <w:i/>
                <w:iCs/>
                <w:color w:val="000000"/>
                <w:sz w:val="20"/>
                <w:szCs w:val="20"/>
              </w:rPr>
              <w:t>Total</w:t>
            </w:r>
          </w:p>
        </w:tc>
        <w:tc>
          <w:tcPr>
            <w:tcW w:w="377"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hanging="51"/>
              <w:jc w:val="right"/>
              <w:rPr>
                <w:rFonts w:eastAsia="Times New Roman" w:cs="Times New Roman"/>
                <w:b/>
                <w:i/>
                <w:spacing w:val="5"/>
                <w:sz w:val="20"/>
                <w:szCs w:val="20"/>
                <w:lang w:eastAsia="en-US"/>
              </w:rPr>
            </w:pPr>
            <w:r w:rsidRPr="007D564F">
              <w:rPr>
                <w:i/>
                <w:iCs/>
                <w:sz w:val="22"/>
              </w:rPr>
              <w:t>488</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rFonts w:eastAsia="Times New Roman" w:cs="Times New Roman"/>
                <w:b/>
                <w:color w:val="FF0000"/>
                <w:spacing w:val="5"/>
                <w:sz w:val="20"/>
                <w:szCs w:val="20"/>
                <w:lang w:eastAsia="en-US"/>
              </w:rPr>
            </w:pPr>
            <w:r w:rsidRPr="007D564F">
              <w:rPr>
                <w:i/>
                <w:iCs/>
                <w:sz w:val="22"/>
              </w:rPr>
              <w:t>100.00</w:t>
            </w:r>
          </w:p>
        </w:tc>
        <w:tc>
          <w:tcPr>
            <w:tcW w:w="1348"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left="322" w:firstLine="0"/>
              <w:rPr>
                <w:color w:val="000000"/>
                <w:sz w:val="20"/>
                <w:szCs w:val="20"/>
              </w:rPr>
            </w:pPr>
            <w:r w:rsidRPr="007D564F">
              <w:rPr>
                <w:color w:val="000000"/>
                <w:sz w:val="20"/>
                <w:szCs w:val="20"/>
              </w:rPr>
              <w:t>La Rioja</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color w:val="000000"/>
                <w:sz w:val="20"/>
                <w:szCs w:val="20"/>
              </w:rPr>
            </w:pPr>
            <w:r w:rsidRPr="007D564F">
              <w:rPr>
                <w:color w:val="000000"/>
                <w:sz w:val="22"/>
              </w:rPr>
              <w:t>2</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sz w:val="20"/>
                <w:szCs w:val="20"/>
              </w:rPr>
            </w:pPr>
            <w:r w:rsidRPr="007D564F">
              <w:rPr>
                <w:sz w:val="22"/>
              </w:rPr>
              <w:t>0.41</w:t>
            </w:r>
          </w:p>
        </w:tc>
      </w:tr>
      <w:tr w:rsidR="00DA2D4F" w:rsidRPr="007D564F" w:rsidTr="00512993">
        <w:trPr>
          <w:trHeight w:val="20"/>
        </w:trPr>
        <w:tc>
          <w:tcPr>
            <w:tcW w:w="1928" w:type="pct"/>
            <w:tcBorders>
              <w:top w:val="nil"/>
              <w:left w:val="nil"/>
              <w:bottom w:val="nil"/>
              <w:right w:val="nil"/>
            </w:tcBorders>
            <w:shd w:val="clear" w:color="auto" w:fill="auto"/>
            <w:noWrap/>
            <w:vAlign w:val="bottom"/>
            <w:hideMark/>
          </w:tcPr>
          <w:p w:rsidR="00512993" w:rsidRPr="007D564F" w:rsidRDefault="00512993" w:rsidP="00512993">
            <w:pPr>
              <w:keepNext/>
              <w:keepLines/>
              <w:spacing w:after="0" w:line="240" w:lineRule="auto"/>
              <w:ind w:firstLine="0"/>
              <w:jc w:val="left"/>
              <w:rPr>
                <w:rFonts w:eastAsia="Times New Roman" w:cs="Times New Roman"/>
                <w:b/>
                <w:bCs/>
                <w:color w:val="000000"/>
                <w:sz w:val="20"/>
                <w:szCs w:val="20"/>
                <w:lang w:eastAsia="en-US"/>
              </w:rPr>
            </w:pPr>
            <w:r w:rsidRPr="007D564F">
              <w:rPr>
                <w:rFonts w:eastAsia="Times New Roman" w:cs="Times New Roman"/>
                <w:b/>
                <w:bCs/>
                <w:color w:val="000000"/>
                <w:sz w:val="20"/>
                <w:szCs w:val="20"/>
                <w:lang w:eastAsia="en-US"/>
              </w:rPr>
              <w:t>Foundation period</w:t>
            </w:r>
          </w:p>
        </w:tc>
        <w:tc>
          <w:tcPr>
            <w:tcW w:w="377" w:type="pct"/>
            <w:tcBorders>
              <w:top w:val="nil"/>
              <w:left w:val="nil"/>
              <w:bottom w:val="nil"/>
              <w:right w:val="nil"/>
            </w:tcBorders>
            <w:shd w:val="clear" w:color="auto" w:fill="auto"/>
            <w:noWrap/>
            <w:vAlign w:val="center"/>
          </w:tcPr>
          <w:p w:rsidR="00512993" w:rsidRPr="007D564F" w:rsidRDefault="00512993" w:rsidP="00512993">
            <w:pPr>
              <w:keepNext/>
              <w:keepLines/>
              <w:spacing w:after="0" w:line="240" w:lineRule="auto"/>
              <w:ind w:hanging="51"/>
              <w:jc w:val="right"/>
              <w:rPr>
                <w:rFonts w:eastAsia="Times New Roman" w:cs="Times New Roman"/>
                <w:color w:val="FF0000"/>
                <w:sz w:val="20"/>
                <w:szCs w:val="20"/>
                <w:lang w:eastAsia="en-US"/>
              </w:rPr>
            </w:pPr>
          </w:p>
        </w:tc>
        <w:tc>
          <w:tcPr>
            <w:tcW w:w="449" w:type="pct"/>
            <w:tcBorders>
              <w:top w:val="nil"/>
              <w:left w:val="nil"/>
              <w:bottom w:val="nil"/>
              <w:right w:val="nil"/>
            </w:tcBorders>
            <w:shd w:val="clear" w:color="auto" w:fill="auto"/>
            <w:noWrap/>
            <w:vAlign w:val="center"/>
          </w:tcPr>
          <w:p w:rsidR="00512993" w:rsidRPr="007D564F" w:rsidRDefault="00512993" w:rsidP="00512993">
            <w:pPr>
              <w:keepNext/>
              <w:keepLines/>
              <w:spacing w:after="0" w:line="240" w:lineRule="auto"/>
              <w:ind w:firstLine="0"/>
              <w:jc w:val="right"/>
              <w:rPr>
                <w:rFonts w:eastAsia="Times New Roman" w:cs="Times New Roman"/>
                <w:color w:val="FF0000"/>
                <w:sz w:val="20"/>
                <w:szCs w:val="20"/>
                <w:lang w:eastAsia="en-US"/>
              </w:rPr>
            </w:pPr>
          </w:p>
        </w:tc>
        <w:tc>
          <w:tcPr>
            <w:tcW w:w="1348"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left="322" w:firstLine="0"/>
              <w:rPr>
                <w:color w:val="000000"/>
                <w:sz w:val="20"/>
                <w:szCs w:val="20"/>
              </w:rPr>
            </w:pPr>
            <w:r w:rsidRPr="007D564F">
              <w:rPr>
                <w:color w:val="000000"/>
                <w:sz w:val="20"/>
                <w:szCs w:val="20"/>
              </w:rPr>
              <w:t>Madrid</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color w:val="000000"/>
                <w:sz w:val="20"/>
                <w:szCs w:val="20"/>
              </w:rPr>
            </w:pPr>
            <w:r w:rsidRPr="007D564F">
              <w:rPr>
                <w:color w:val="000000"/>
                <w:sz w:val="22"/>
              </w:rPr>
              <w:t>118</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sz w:val="20"/>
                <w:szCs w:val="20"/>
              </w:rPr>
            </w:pPr>
            <w:r w:rsidRPr="007D564F">
              <w:rPr>
                <w:sz w:val="22"/>
              </w:rPr>
              <w:t>24.18</w:t>
            </w:r>
          </w:p>
        </w:tc>
      </w:tr>
      <w:tr w:rsidR="00DA2D4F" w:rsidRPr="007D564F" w:rsidTr="00512993">
        <w:trPr>
          <w:trHeight w:val="20"/>
        </w:trPr>
        <w:tc>
          <w:tcPr>
            <w:tcW w:w="1928" w:type="pct"/>
            <w:tcBorders>
              <w:top w:val="nil"/>
              <w:left w:val="nil"/>
              <w:bottom w:val="nil"/>
              <w:right w:val="nil"/>
            </w:tcBorders>
            <w:shd w:val="clear" w:color="auto" w:fill="auto"/>
            <w:noWrap/>
            <w:vAlign w:val="bottom"/>
            <w:hideMark/>
          </w:tcPr>
          <w:p w:rsidR="00512993" w:rsidRPr="007D564F" w:rsidRDefault="00512993" w:rsidP="00512993">
            <w:pPr>
              <w:keepNext/>
              <w:keepLines/>
              <w:spacing w:after="0" w:line="240" w:lineRule="auto"/>
              <w:ind w:left="284" w:firstLine="0"/>
              <w:jc w:val="left"/>
              <w:rPr>
                <w:rFonts w:eastAsia="Times New Roman" w:cs="Times New Roman"/>
                <w:color w:val="000000"/>
                <w:sz w:val="20"/>
                <w:szCs w:val="20"/>
                <w:lang w:eastAsia="en-US"/>
              </w:rPr>
            </w:pPr>
            <w:r w:rsidRPr="007D564F">
              <w:rPr>
                <w:rFonts w:eastAsia="Times New Roman" w:cs="Times New Roman"/>
                <w:color w:val="000000"/>
                <w:sz w:val="20"/>
                <w:szCs w:val="20"/>
                <w:lang w:eastAsia="en-US"/>
              </w:rPr>
              <w:t>Founded before 2001</w:t>
            </w:r>
          </w:p>
        </w:tc>
        <w:tc>
          <w:tcPr>
            <w:tcW w:w="377"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hanging="51"/>
              <w:jc w:val="right"/>
              <w:rPr>
                <w:rFonts w:eastAsia="Times New Roman" w:cs="Times New Roman"/>
                <w:sz w:val="20"/>
                <w:szCs w:val="20"/>
                <w:lang w:eastAsia="en-US"/>
              </w:rPr>
            </w:pPr>
            <w:r w:rsidRPr="007D564F">
              <w:rPr>
                <w:sz w:val="22"/>
              </w:rPr>
              <w:t>133</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rFonts w:eastAsia="Times New Roman" w:cs="Times New Roman"/>
                <w:sz w:val="20"/>
                <w:szCs w:val="20"/>
                <w:lang w:eastAsia="en-US"/>
              </w:rPr>
            </w:pPr>
            <w:r w:rsidRPr="007D564F">
              <w:rPr>
                <w:sz w:val="22"/>
              </w:rPr>
              <w:t>27.25</w:t>
            </w:r>
          </w:p>
        </w:tc>
        <w:tc>
          <w:tcPr>
            <w:tcW w:w="1348"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left="322" w:firstLine="0"/>
              <w:rPr>
                <w:color w:val="000000"/>
                <w:sz w:val="20"/>
                <w:szCs w:val="20"/>
              </w:rPr>
            </w:pPr>
            <w:r w:rsidRPr="007D564F">
              <w:rPr>
                <w:color w:val="000000"/>
                <w:sz w:val="20"/>
                <w:szCs w:val="20"/>
              </w:rPr>
              <w:t>Murcia</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color w:val="000000"/>
                <w:sz w:val="20"/>
                <w:szCs w:val="20"/>
              </w:rPr>
            </w:pPr>
            <w:r w:rsidRPr="007D564F">
              <w:rPr>
                <w:color w:val="000000"/>
                <w:sz w:val="22"/>
              </w:rPr>
              <w:t>10</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sz w:val="20"/>
                <w:szCs w:val="20"/>
              </w:rPr>
            </w:pPr>
            <w:r w:rsidRPr="007D564F">
              <w:rPr>
                <w:sz w:val="22"/>
              </w:rPr>
              <w:t>2.05</w:t>
            </w:r>
          </w:p>
        </w:tc>
      </w:tr>
      <w:tr w:rsidR="00DA2D4F" w:rsidRPr="007D564F" w:rsidTr="00512993">
        <w:trPr>
          <w:trHeight w:val="20"/>
        </w:trPr>
        <w:tc>
          <w:tcPr>
            <w:tcW w:w="1928" w:type="pct"/>
            <w:tcBorders>
              <w:top w:val="nil"/>
              <w:left w:val="nil"/>
              <w:bottom w:val="nil"/>
              <w:right w:val="nil"/>
            </w:tcBorders>
            <w:shd w:val="clear" w:color="auto" w:fill="auto"/>
            <w:noWrap/>
            <w:vAlign w:val="bottom"/>
            <w:hideMark/>
          </w:tcPr>
          <w:p w:rsidR="00512993" w:rsidRPr="007D564F" w:rsidRDefault="00512993" w:rsidP="00512993">
            <w:pPr>
              <w:keepNext/>
              <w:keepLines/>
              <w:spacing w:after="0" w:line="240" w:lineRule="auto"/>
              <w:ind w:left="284" w:firstLine="0"/>
              <w:contextualSpacing/>
              <w:jc w:val="left"/>
              <w:rPr>
                <w:rFonts w:eastAsia="Times New Roman" w:cs="Times New Roman"/>
                <w:color w:val="000000"/>
                <w:sz w:val="20"/>
                <w:szCs w:val="20"/>
                <w:lang w:eastAsia="en-US"/>
              </w:rPr>
            </w:pPr>
            <w:r w:rsidRPr="007D564F">
              <w:rPr>
                <w:rFonts w:eastAsia="Times New Roman" w:cs="Times New Roman"/>
                <w:color w:val="000000"/>
                <w:sz w:val="20"/>
                <w:szCs w:val="20"/>
                <w:lang w:eastAsia="en-US"/>
              </w:rPr>
              <w:t>Founded between 2001 and 2004</w:t>
            </w:r>
          </w:p>
        </w:tc>
        <w:tc>
          <w:tcPr>
            <w:tcW w:w="377"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hanging="51"/>
              <w:contextualSpacing/>
              <w:jc w:val="right"/>
              <w:rPr>
                <w:rFonts w:eastAsia="Times New Roman" w:cs="Times New Roman"/>
                <w:sz w:val="20"/>
                <w:szCs w:val="20"/>
                <w:lang w:eastAsia="en-US"/>
              </w:rPr>
            </w:pPr>
            <w:r w:rsidRPr="007D564F">
              <w:rPr>
                <w:sz w:val="22"/>
              </w:rPr>
              <w:t>117</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contextualSpacing/>
              <w:jc w:val="right"/>
              <w:rPr>
                <w:rFonts w:eastAsia="Times New Roman" w:cs="Times New Roman"/>
                <w:sz w:val="20"/>
                <w:szCs w:val="20"/>
                <w:lang w:eastAsia="en-US"/>
              </w:rPr>
            </w:pPr>
            <w:r w:rsidRPr="007D564F">
              <w:rPr>
                <w:sz w:val="22"/>
              </w:rPr>
              <w:t>23.98</w:t>
            </w:r>
          </w:p>
        </w:tc>
        <w:tc>
          <w:tcPr>
            <w:tcW w:w="1348"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left="322" w:firstLine="0"/>
              <w:rPr>
                <w:color w:val="000000"/>
                <w:sz w:val="20"/>
                <w:szCs w:val="20"/>
              </w:rPr>
            </w:pPr>
            <w:r w:rsidRPr="007D564F">
              <w:rPr>
                <w:color w:val="000000"/>
                <w:sz w:val="20"/>
                <w:szCs w:val="20"/>
              </w:rPr>
              <w:t>Navarra</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color w:val="000000"/>
                <w:sz w:val="20"/>
                <w:szCs w:val="20"/>
              </w:rPr>
            </w:pPr>
            <w:r w:rsidRPr="007D564F">
              <w:rPr>
                <w:color w:val="000000"/>
                <w:sz w:val="22"/>
              </w:rPr>
              <w:t>17</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sz w:val="20"/>
                <w:szCs w:val="20"/>
              </w:rPr>
            </w:pPr>
            <w:r w:rsidRPr="007D564F">
              <w:rPr>
                <w:sz w:val="22"/>
              </w:rPr>
              <w:t>3.48</w:t>
            </w:r>
          </w:p>
        </w:tc>
      </w:tr>
      <w:tr w:rsidR="00DA2D4F" w:rsidRPr="007D564F" w:rsidTr="00512993">
        <w:trPr>
          <w:trHeight w:val="20"/>
        </w:trPr>
        <w:tc>
          <w:tcPr>
            <w:tcW w:w="1928" w:type="pct"/>
            <w:tcBorders>
              <w:top w:val="nil"/>
              <w:left w:val="nil"/>
              <w:bottom w:val="nil"/>
              <w:right w:val="nil"/>
            </w:tcBorders>
            <w:shd w:val="clear" w:color="auto" w:fill="auto"/>
            <w:noWrap/>
            <w:vAlign w:val="bottom"/>
            <w:hideMark/>
          </w:tcPr>
          <w:p w:rsidR="00512993" w:rsidRPr="007D564F" w:rsidRDefault="00512993" w:rsidP="00512993">
            <w:pPr>
              <w:keepNext/>
              <w:keepLines/>
              <w:spacing w:after="0" w:line="240" w:lineRule="auto"/>
              <w:ind w:left="284" w:firstLine="0"/>
              <w:contextualSpacing/>
              <w:jc w:val="left"/>
              <w:rPr>
                <w:rFonts w:eastAsia="Times New Roman" w:cs="Times New Roman"/>
                <w:color w:val="000000"/>
                <w:sz w:val="20"/>
                <w:szCs w:val="20"/>
                <w:lang w:eastAsia="en-US"/>
              </w:rPr>
            </w:pPr>
            <w:r w:rsidRPr="007D564F">
              <w:rPr>
                <w:rFonts w:eastAsia="Times New Roman" w:cs="Times New Roman"/>
                <w:color w:val="000000"/>
                <w:sz w:val="20"/>
                <w:szCs w:val="20"/>
                <w:lang w:eastAsia="en-US"/>
              </w:rPr>
              <w:t>Founded between 2005 and 2007</w:t>
            </w:r>
          </w:p>
        </w:tc>
        <w:tc>
          <w:tcPr>
            <w:tcW w:w="377"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hanging="51"/>
              <w:contextualSpacing/>
              <w:jc w:val="right"/>
              <w:rPr>
                <w:rFonts w:eastAsia="Times New Roman" w:cs="Times New Roman"/>
                <w:sz w:val="20"/>
                <w:szCs w:val="20"/>
                <w:lang w:eastAsia="en-US"/>
              </w:rPr>
            </w:pPr>
            <w:r w:rsidRPr="007D564F">
              <w:rPr>
                <w:sz w:val="22"/>
              </w:rPr>
              <w:t>127</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contextualSpacing/>
              <w:jc w:val="right"/>
              <w:rPr>
                <w:rFonts w:eastAsia="Times New Roman" w:cs="Times New Roman"/>
                <w:sz w:val="20"/>
                <w:szCs w:val="20"/>
                <w:lang w:eastAsia="en-US"/>
              </w:rPr>
            </w:pPr>
            <w:r w:rsidRPr="007D564F">
              <w:rPr>
                <w:sz w:val="22"/>
              </w:rPr>
              <w:t>26.02</w:t>
            </w:r>
          </w:p>
        </w:tc>
        <w:tc>
          <w:tcPr>
            <w:tcW w:w="1348"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left="322" w:firstLine="0"/>
              <w:rPr>
                <w:color w:val="000000"/>
                <w:sz w:val="20"/>
                <w:szCs w:val="20"/>
              </w:rPr>
            </w:pPr>
            <w:r w:rsidRPr="007D564F">
              <w:rPr>
                <w:color w:val="000000"/>
                <w:sz w:val="20"/>
                <w:szCs w:val="20"/>
              </w:rPr>
              <w:t>Pais Vasco</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color w:val="000000"/>
                <w:sz w:val="20"/>
                <w:szCs w:val="20"/>
              </w:rPr>
            </w:pPr>
            <w:r w:rsidRPr="007D564F">
              <w:rPr>
                <w:color w:val="000000"/>
                <w:sz w:val="22"/>
              </w:rPr>
              <w:t>36</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sz w:val="20"/>
                <w:szCs w:val="20"/>
              </w:rPr>
            </w:pPr>
            <w:r w:rsidRPr="007D564F">
              <w:rPr>
                <w:sz w:val="22"/>
              </w:rPr>
              <w:t>7.38</w:t>
            </w:r>
          </w:p>
        </w:tc>
      </w:tr>
      <w:tr w:rsidR="00DA2D4F" w:rsidRPr="007D564F" w:rsidTr="00512993">
        <w:trPr>
          <w:trHeight w:val="20"/>
        </w:trPr>
        <w:tc>
          <w:tcPr>
            <w:tcW w:w="1928" w:type="pct"/>
            <w:tcBorders>
              <w:top w:val="nil"/>
              <w:left w:val="nil"/>
              <w:bottom w:val="nil"/>
              <w:right w:val="nil"/>
            </w:tcBorders>
            <w:shd w:val="clear" w:color="auto" w:fill="auto"/>
            <w:noWrap/>
            <w:vAlign w:val="bottom"/>
            <w:hideMark/>
          </w:tcPr>
          <w:p w:rsidR="00512993" w:rsidRPr="007D564F" w:rsidRDefault="00512993" w:rsidP="00512993">
            <w:pPr>
              <w:keepNext/>
              <w:keepLines/>
              <w:spacing w:after="0" w:line="240" w:lineRule="auto"/>
              <w:ind w:left="284" w:firstLine="0"/>
              <w:contextualSpacing/>
              <w:jc w:val="left"/>
              <w:rPr>
                <w:rFonts w:eastAsia="Times New Roman" w:cs="Times New Roman"/>
                <w:color w:val="000000"/>
                <w:sz w:val="20"/>
                <w:szCs w:val="20"/>
                <w:lang w:eastAsia="en-US"/>
              </w:rPr>
            </w:pPr>
            <w:r w:rsidRPr="007D564F">
              <w:rPr>
                <w:rFonts w:eastAsia="Times New Roman" w:cs="Times New Roman"/>
                <w:color w:val="000000"/>
                <w:sz w:val="20"/>
                <w:szCs w:val="20"/>
                <w:lang w:eastAsia="en-US"/>
              </w:rPr>
              <w:t>Founded after 2007</w:t>
            </w:r>
          </w:p>
        </w:tc>
        <w:tc>
          <w:tcPr>
            <w:tcW w:w="377"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hanging="51"/>
              <w:contextualSpacing/>
              <w:jc w:val="right"/>
              <w:rPr>
                <w:rFonts w:eastAsia="Times New Roman" w:cs="Times New Roman"/>
                <w:sz w:val="20"/>
                <w:szCs w:val="20"/>
                <w:lang w:eastAsia="en-US"/>
              </w:rPr>
            </w:pPr>
            <w:r w:rsidRPr="007D564F">
              <w:rPr>
                <w:sz w:val="22"/>
              </w:rPr>
              <w:t>111</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contextualSpacing/>
              <w:jc w:val="right"/>
              <w:rPr>
                <w:rFonts w:eastAsia="Times New Roman" w:cs="Times New Roman"/>
                <w:sz w:val="20"/>
                <w:szCs w:val="20"/>
                <w:lang w:eastAsia="en-US"/>
              </w:rPr>
            </w:pPr>
            <w:r w:rsidRPr="007D564F">
              <w:rPr>
                <w:sz w:val="22"/>
              </w:rPr>
              <w:t>22.75</w:t>
            </w:r>
          </w:p>
        </w:tc>
        <w:tc>
          <w:tcPr>
            <w:tcW w:w="1348" w:type="pct"/>
            <w:tcBorders>
              <w:top w:val="nil"/>
              <w:left w:val="nil"/>
              <w:bottom w:val="nil"/>
              <w:right w:val="nil"/>
            </w:tcBorders>
            <w:shd w:val="clear" w:color="auto" w:fill="auto"/>
            <w:noWrap/>
            <w:vAlign w:val="bottom"/>
            <w:hideMark/>
          </w:tcPr>
          <w:p w:rsidR="00512993" w:rsidRPr="007D564F" w:rsidRDefault="00512993" w:rsidP="00512993">
            <w:pPr>
              <w:keepNext/>
              <w:keepLines/>
              <w:spacing w:after="0" w:line="240" w:lineRule="auto"/>
              <w:ind w:left="322" w:firstLine="0"/>
              <w:rPr>
                <w:i/>
                <w:iCs/>
                <w:color w:val="000000"/>
                <w:sz w:val="20"/>
                <w:szCs w:val="20"/>
              </w:rPr>
            </w:pPr>
            <w:r w:rsidRPr="007D564F">
              <w:rPr>
                <w:i/>
                <w:iCs/>
                <w:color w:val="000000"/>
                <w:sz w:val="20"/>
                <w:szCs w:val="20"/>
              </w:rPr>
              <w:t>Total</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i/>
                <w:iCs/>
                <w:sz w:val="20"/>
                <w:szCs w:val="20"/>
              </w:rPr>
            </w:pPr>
            <w:r w:rsidRPr="007D564F">
              <w:rPr>
                <w:i/>
                <w:iCs/>
                <w:sz w:val="22"/>
              </w:rPr>
              <w:t>488</w:t>
            </w:r>
          </w:p>
        </w:tc>
        <w:tc>
          <w:tcPr>
            <w:tcW w:w="449" w:type="pct"/>
            <w:tcBorders>
              <w:top w:val="nil"/>
              <w:left w:val="nil"/>
              <w:bottom w:val="nil"/>
              <w:right w:val="nil"/>
            </w:tcBorders>
            <w:shd w:val="clear" w:color="auto" w:fill="auto"/>
            <w:noWrap/>
            <w:vAlign w:val="bottom"/>
          </w:tcPr>
          <w:p w:rsidR="00512993" w:rsidRPr="007D564F" w:rsidRDefault="00512993" w:rsidP="00512993">
            <w:pPr>
              <w:keepNext/>
              <w:keepLines/>
              <w:spacing w:after="0" w:line="240" w:lineRule="auto"/>
              <w:ind w:firstLine="0"/>
              <w:jc w:val="right"/>
              <w:rPr>
                <w:i/>
                <w:iCs/>
                <w:sz w:val="20"/>
                <w:szCs w:val="20"/>
              </w:rPr>
            </w:pPr>
            <w:r w:rsidRPr="007D564F">
              <w:rPr>
                <w:i/>
                <w:iCs/>
                <w:sz w:val="22"/>
              </w:rPr>
              <w:t>100.00</w:t>
            </w:r>
          </w:p>
        </w:tc>
      </w:tr>
      <w:tr w:rsidR="00DA2D4F" w:rsidRPr="007D564F" w:rsidTr="00512993">
        <w:trPr>
          <w:trHeight w:val="20"/>
        </w:trPr>
        <w:tc>
          <w:tcPr>
            <w:tcW w:w="1928" w:type="pct"/>
            <w:tcBorders>
              <w:top w:val="nil"/>
              <w:left w:val="nil"/>
              <w:bottom w:val="double" w:sz="6" w:space="0" w:color="auto"/>
              <w:right w:val="nil"/>
            </w:tcBorders>
            <w:shd w:val="clear" w:color="auto" w:fill="auto"/>
            <w:noWrap/>
            <w:vAlign w:val="bottom"/>
          </w:tcPr>
          <w:p w:rsidR="00512993" w:rsidRPr="007D564F" w:rsidRDefault="00512993" w:rsidP="00512993">
            <w:pPr>
              <w:keepNext/>
              <w:keepLines/>
              <w:spacing w:after="0" w:line="240" w:lineRule="auto"/>
              <w:ind w:left="284" w:firstLine="0"/>
              <w:jc w:val="left"/>
              <w:rPr>
                <w:rFonts w:eastAsia="Times New Roman" w:cs="Times New Roman"/>
                <w:i/>
                <w:iCs/>
                <w:color w:val="000000"/>
                <w:sz w:val="20"/>
                <w:szCs w:val="20"/>
                <w:lang w:eastAsia="en-US"/>
              </w:rPr>
            </w:pPr>
            <w:r w:rsidRPr="007D564F">
              <w:rPr>
                <w:rFonts w:eastAsia="Times New Roman" w:cs="Times New Roman"/>
                <w:i/>
                <w:iCs/>
                <w:color w:val="000000"/>
                <w:sz w:val="20"/>
                <w:szCs w:val="20"/>
                <w:lang w:eastAsia="en-US"/>
              </w:rPr>
              <w:t>Total</w:t>
            </w:r>
          </w:p>
        </w:tc>
        <w:tc>
          <w:tcPr>
            <w:tcW w:w="377" w:type="pct"/>
            <w:tcBorders>
              <w:top w:val="nil"/>
              <w:left w:val="nil"/>
              <w:bottom w:val="double" w:sz="6" w:space="0" w:color="auto"/>
              <w:right w:val="nil"/>
            </w:tcBorders>
            <w:shd w:val="clear" w:color="auto" w:fill="auto"/>
            <w:noWrap/>
            <w:vAlign w:val="bottom"/>
          </w:tcPr>
          <w:p w:rsidR="00512993" w:rsidRPr="007D564F" w:rsidRDefault="00512993" w:rsidP="00512993">
            <w:pPr>
              <w:keepNext/>
              <w:keepLines/>
              <w:spacing w:after="0" w:line="240" w:lineRule="auto"/>
              <w:ind w:hanging="51"/>
              <w:jc w:val="right"/>
              <w:rPr>
                <w:rFonts w:eastAsia="Times New Roman" w:cs="Times New Roman"/>
                <w:i/>
                <w:iCs/>
                <w:sz w:val="20"/>
                <w:szCs w:val="20"/>
                <w:lang w:eastAsia="en-US"/>
              </w:rPr>
            </w:pPr>
            <w:r w:rsidRPr="007D564F">
              <w:rPr>
                <w:i/>
                <w:iCs/>
                <w:sz w:val="22"/>
              </w:rPr>
              <w:t>488</w:t>
            </w:r>
          </w:p>
        </w:tc>
        <w:tc>
          <w:tcPr>
            <w:tcW w:w="449" w:type="pct"/>
            <w:tcBorders>
              <w:top w:val="nil"/>
              <w:left w:val="nil"/>
              <w:bottom w:val="double" w:sz="6" w:space="0" w:color="auto"/>
              <w:right w:val="nil"/>
            </w:tcBorders>
            <w:shd w:val="clear" w:color="auto" w:fill="auto"/>
            <w:noWrap/>
            <w:vAlign w:val="bottom"/>
          </w:tcPr>
          <w:p w:rsidR="00512993" w:rsidRPr="007D564F" w:rsidRDefault="00512993" w:rsidP="00512993">
            <w:pPr>
              <w:keepNext/>
              <w:keepLines/>
              <w:spacing w:after="0" w:line="240" w:lineRule="auto"/>
              <w:ind w:firstLine="0"/>
              <w:jc w:val="right"/>
              <w:rPr>
                <w:rFonts w:eastAsia="Times New Roman" w:cs="Times New Roman"/>
                <w:i/>
                <w:iCs/>
                <w:sz w:val="20"/>
                <w:szCs w:val="20"/>
                <w:lang w:eastAsia="en-US"/>
              </w:rPr>
            </w:pPr>
            <w:r w:rsidRPr="007D564F">
              <w:rPr>
                <w:i/>
                <w:iCs/>
                <w:sz w:val="22"/>
              </w:rPr>
              <w:t>100.00</w:t>
            </w:r>
          </w:p>
        </w:tc>
        <w:tc>
          <w:tcPr>
            <w:tcW w:w="1348" w:type="pct"/>
            <w:tcBorders>
              <w:top w:val="nil"/>
              <w:left w:val="nil"/>
              <w:bottom w:val="double" w:sz="6" w:space="0" w:color="auto"/>
              <w:right w:val="nil"/>
            </w:tcBorders>
            <w:shd w:val="clear" w:color="auto" w:fill="auto"/>
            <w:noWrap/>
            <w:vAlign w:val="bottom"/>
          </w:tcPr>
          <w:p w:rsidR="00512993" w:rsidRPr="007D564F" w:rsidRDefault="00512993" w:rsidP="00512993">
            <w:pPr>
              <w:keepNext/>
              <w:keepLines/>
              <w:spacing w:after="0" w:line="240" w:lineRule="auto"/>
              <w:ind w:left="297" w:firstLine="0"/>
              <w:jc w:val="left"/>
              <w:rPr>
                <w:rFonts w:eastAsia="Times New Roman" w:cs="Times New Roman"/>
                <w:i/>
                <w:iCs/>
                <w:color w:val="000000"/>
                <w:sz w:val="20"/>
                <w:szCs w:val="20"/>
                <w:lang w:eastAsia="en-US"/>
              </w:rPr>
            </w:pPr>
          </w:p>
        </w:tc>
        <w:tc>
          <w:tcPr>
            <w:tcW w:w="449" w:type="pct"/>
            <w:tcBorders>
              <w:top w:val="nil"/>
              <w:left w:val="nil"/>
              <w:bottom w:val="double" w:sz="6" w:space="0" w:color="auto"/>
              <w:right w:val="nil"/>
            </w:tcBorders>
            <w:shd w:val="clear" w:color="auto" w:fill="auto"/>
            <w:noWrap/>
            <w:vAlign w:val="bottom"/>
          </w:tcPr>
          <w:p w:rsidR="00512993" w:rsidRPr="007D564F" w:rsidRDefault="00512993" w:rsidP="00512993">
            <w:pPr>
              <w:keepNext/>
              <w:keepLines/>
              <w:spacing w:after="0" w:line="240" w:lineRule="auto"/>
              <w:ind w:firstLine="0"/>
              <w:jc w:val="center"/>
              <w:rPr>
                <w:i/>
                <w:iCs/>
                <w:sz w:val="20"/>
                <w:szCs w:val="20"/>
              </w:rPr>
            </w:pPr>
          </w:p>
        </w:tc>
        <w:tc>
          <w:tcPr>
            <w:tcW w:w="449" w:type="pct"/>
            <w:tcBorders>
              <w:top w:val="nil"/>
              <w:left w:val="nil"/>
              <w:bottom w:val="double" w:sz="6" w:space="0" w:color="auto"/>
              <w:right w:val="nil"/>
            </w:tcBorders>
            <w:shd w:val="clear" w:color="auto" w:fill="auto"/>
            <w:noWrap/>
            <w:vAlign w:val="bottom"/>
          </w:tcPr>
          <w:p w:rsidR="00512993" w:rsidRPr="007D564F" w:rsidRDefault="00512993" w:rsidP="00512993">
            <w:pPr>
              <w:keepNext/>
              <w:keepLines/>
              <w:spacing w:after="0" w:line="240" w:lineRule="auto"/>
              <w:ind w:firstLine="0"/>
              <w:jc w:val="center"/>
              <w:rPr>
                <w:i/>
                <w:iCs/>
                <w:sz w:val="20"/>
                <w:szCs w:val="20"/>
              </w:rPr>
            </w:pPr>
          </w:p>
        </w:tc>
      </w:tr>
    </w:tbl>
    <w:p w:rsidR="00512993" w:rsidRPr="007D564F" w:rsidRDefault="00512993" w:rsidP="00512993">
      <w:pPr>
        <w:autoSpaceDE w:val="0"/>
        <w:autoSpaceDN w:val="0"/>
        <w:adjustRightInd w:val="0"/>
        <w:spacing w:after="120"/>
        <w:rPr>
          <w:rFonts w:eastAsia="Times New Roman" w:cs="Times New Roman"/>
          <w:sz w:val="20"/>
          <w:szCs w:val="20"/>
        </w:rPr>
      </w:pPr>
      <w:r w:rsidRPr="007D564F">
        <w:rPr>
          <w:rFonts w:eastAsia="Times New Roman" w:cs="Times New Roman"/>
          <w:sz w:val="20"/>
          <w:szCs w:val="20"/>
        </w:rPr>
        <w:t>Source: Based on data extracted from Orbis.</w:t>
      </w:r>
    </w:p>
    <w:p w:rsidR="00512993" w:rsidRPr="007D564F" w:rsidRDefault="00512993">
      <w:pPr>
        <w:spacing w:line="276" w:lineRule="auto"/>
        <w:ind w:firstLine="0"/>
        <w:jc w:val="left"/>
        <w:rPr>
          <w:b/>
          <w:bCs/>
          <w:sz w:val="20"/>
          <w:szCs w:val="20"/>
          <w:lang w:eastAsia="en-US" w:bidi="en-US"/>
        </w:rPr>
      </w:pPr>
      <w:bookmarkStart w:id="2" w:name="_Ref404093870"/>
      <w:bookmarkStart w:id="3" w:name="_Ref404095180"/>
      <w:r w:rsidRPr="007D564F">
        <w:rPr>
          <w:szCs w:val="20"/>
        </w:rPr>
        <w:br w:type="page"/>
      </w:r>
    </w:p>
    <w:p w:rsidR="00512993" w:rsidRPr="007D564F" w:rsidRDefault="00512993" w:rsidP="00512993">
      <w:pPr>
        <w:pStyle w:val="Descripcin"/>
        <w:spacing w:after="0"/>
        <w:rPr>
          <w:szCs w:val="20"/>
        </w:rPr>
      </w:pPr>
      <w:r w:rsidRPr="007D564F">
        <w:rPr>
          <w:szCs w:val="20"/>
        </w:rPr>
        <w:lastRenderedPageBreak/>
        <w:t xml:space="preserve">Table </w:t>
      </w:r>
      <w:bookmarkEnd w:id="2"/>
      <w:bookmarkEnd w:id="3"/>
      <w:r w:rsidR="007C60DA" w:rsidRPr="007D564F">
        <w:rPr>
          <w:szCs w:val="20"/>
        </w:rPr>
        <w:fldChar w:fldCharType="begin"/>
      </w:r>
      <w:r w:rsidRPr="007D564F">
        <w:rPr>
          <w:szCs w:val="20"/>
        </w:rPr>
        <w:instrText xml:space="preserve"> SEQ Table \* ARABIC </w:instrText>
      </w:r>
      <w:r w:rsidR="007C60DA" w:rsidRPr="007D564F">
        <w:rPr>
          <w:szCs w:val="20"/>
        </w:rPr>
        <w:fldChar w:fldCharType="separate"/>
      </w:r>
      <w:r w:rsidRPr="007D564F">
        <w:rPr>
          <w:noProof/>
          <w:szCs w:val="20"/>
        </w:rPr>
        <w:t>3</w:t>
      </w:r>
      <w:r w:rsidR="007C60DA" w:rsidRPr="007D564F">
        <w:rPr>
          <w:szCs w:val="20"/>
        </w:rPr>
        <w:fldChar w:fldCharType="end"/>
      </w:r>
      <w:r w:rsidRPr="007D564F">
        <w:rPr>
          <w:szCs w:val="20"/>
        </w:rPr>
        <w:t>: Firm characteristics in the year of the receipt of the first participative loan</w:t>
      </w:r>
    </w:p>
    <w:tbl>
      <w:tblPr>
        <w:tblW w:w="5000" w:type="pct"/>
        <w:tblCellMar>
          <w:left w:w="70" w:type="dxa"/>
          <w:right w:w="70" w:type="dxa"/>
        </w:tblCellMar>
        <w:tblLook w:val="04A0" w:firstRow="1" w:lastRow="0" w:firstColumn="1" w:lastColumn="0" w:noHBand="0" w:noVBand="1"/>
      </w:tblPr>
      <w:tblGrid>
        <w:gridCol w:w="2105"/>
        <w:gridCol w:w="931"/>
        <w:gridCol w:w="930"/>
        <w:gridCol w:w="930"/>
        <w:gridCol w:w="930"/>
        <w:gridCol w:w="930"/>
        <w:gridCol w:w="930"/>
        <w:gridCol w:w="930"/>
        <w:gridCol w:w="928"/>
      </w:tblGrid>
      <w:tr w:rsidR="00DA2D4F" w:rsidRPr="007D564F" w:rsidTr="00512993">
        <w:trPr>
          <w:trHeight w:val="283"/>
        </w:trPr>
        <w:tc>
          <w:tcPr>
            <w:tcW w:w="1103" w:type="pct"/>
            <w:tcBorders>
              <w:top w:val="double" w:sz="6" w:space="0" w:color="auto"/>
              <w:left w:val="nil"/>
              <w:bottom w:val="single" w:sz="4" w:space="0" w:color="auto"/>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b/>
                <w:bCs/>
                <w:color w:val="000000"/>
                <w:sz w:val="20"/>
                <w:szCs w:val="20"/>
                <w:lang w:val="it-IT"/>
              </w:rPr>
            </w:pPr>
            <w:r w:rsidRPr="007D564F">
              <w:rPr>
                <w:rFonts w:eastAsia="Times New Roman" w:cs="Times New Roman"/>
                <w:b/>
                <w:bCs/>
                <w:color w:val="000000"/>
                <w:sz w:val="20"/>
                <w:szCs w:val="20"/>
                <w:lang w:val="it-IT"/>
              </w:rPr>
              <w:t>Variable</w:t>
            </w:r>
          </w:p>
        </w:tc>
        <w:tc>
          <w:tcPr>
            <w:tcW w:w="488" w:type="pct"/>
            <w:tcBorders>
              <w:top w:val="double" w:sz="6" w:space="0" w:color="auto"/>
              <w:left w:val="nil"/>
              <w:bottom w:val="single" w:sz="4" w:space="0" w:color="auto"/>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b/>
                <w:bCs/>
                <w:color w:val="000000"/>
                <w:sz w:val="20"/>
                <w:szCs w:val="20"/>
                <w:lang w:val="it-IT"/>
              </w:rPr>
            </w:pPr>
            <w:r w:rsidRPr="007D564F">
              <w:rPr>
                <w:rFonts w:eastAsia="Times New Roman" w:cs="Times New Roman"/>
                <w:b/>
                <w:bCs/>
                <w:color w:val="000000"/>
                <w:sz w:val="20"/>
                <w:szCs w:val="20"/>
                <w:lang w:val="it-IT"/>
              </w:rPr>
              <w:t>n</w:t>
            </w:r>
          </w:p>
        </w:tc>
        <w:tc>
          <w:tcPr>
            <w:tcW w:w="487" w:type="pct"/>
            <w:tcBorders>
              <w:top w:val="double" w:sz="6" w:space="0" w:color="auto"/>
              <w:left w:val="nil"/>
              <w:bottom w:val="single" w:sz="4" w:space="0" w:color="auto"/>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b/>
                <w:bCs/>
                <w:color w:val="000000"/>
                <w:sz w:val="20"/>
                <w:szCs w:val="20"/>
                <w:lang w:val="it-IT"/>
              </w:rPr>
            </w:pPr>
            <w:r w:rsidRPr="007D564F">
              <w:rPr>
                <w:rFonts w:eastAsia="Times New Roman" w:cs="Times New Roman"/>
                <w:b/>
                <w:bCs/>
                <w:color w:val="000000"/>
                <w:sz w:val="20"/>
                <w:szCs w:val="20"/>
                <w:lang w:val="it-IT"/>
              </w:rPr>
              <w:t>Mean</w:t>
            </w:r>
          </w:p>
        </w:tc>
        <w:tc>
          <w:tcPr>
            <w:tcW w:w="487" w:type="pct"/>
            <w:tcBorders>
              <w:top w:val="double" w:sz="6" w:space="0" w:color="auto"/>
              <w:left w:val="nil"/>
              <w:bottom w:val="single" w:sz="4" w:space="0" w:color="auto"/>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b/>
                <w:bCs/>
                <w:color w:val="000000"/>
                <w:sz w:val="20"/>
                <w:szCs w:val="20"/>
                <w:lang w:val="it-IT"/>
              </w:rPr>
            </w:pPr>
            <w:r w:rsidRPr="007D564F">
              <w:rPr>
                <w:rFonts w:eastAsia="Times New Roman" w:cs="Times New Roman"/>
                <w:b/>
                <w:bCs/>
                <w:color w:val="000000"/>
                <w:sz w:val="20"/>
                <w:szCs w:val="20"/>
                <w:lang w:val="it-IT"/>
              </w:rPr>
              <w:t>Std. Dev.</w:t>
            </w:r>
          </w:p>
        </w:tc>
        <w:tc>
          <w:tcPr>
            <w:tcW w:w="487" w:type="pct"/>
            <w:tcBorders>
              <w:top w:val="double" w:sz="6" w:space="0" w:color="auto"/>
              <w:left w:val="nil"/>
              <w:bottom w:val="single" w:sz="4" w:space="0" w:color="auto"/>
              <w:right w:val="nil"/>
            </w:tcBorders>
            <w:vAlign w:val="bottom"/>
          </w:tcPr>
          <w:p w:rsidR="00512993" w:rsidRPr="007D564F" w:rsidRDefault="00512993" w:rsidP="00512993">
            <w:pPr>
              <w:spacing w:after="0" w:line="240" w:lineRule="auto"/>
              <w:ind w:firstLine="0"/>
              <w:jc w:val="left"/>
              <w:rPr>
                <w:rFonts w:eastAsia="Times New Roman" w:cs="Times New Roman"/>
                <w:b/>
                <w:bCs/>
                <w:color w:val="000000"/>
                <w:sz w:val="20"/>
                <w:szCs w:val="20"/>
                <w:lang w:val="it-IT"/>
              </w:rPr>
            </w:pPr>
            <w:r w:rsidRPr="007D564F">
              <w:rPr>
                <w:rFonts w:eastAsia="Times New Roman" w:cs="Times New Roman"/>
                <w:b/>
                <w:bCs/>
                <w:color w:val="000000"/>
                <w:sz w:val="20"/>
                <w:szCs w:val="20"/>
                <w:lang w:val="it-IT"/>
              </w:rPr>
              <w:t>Min</w:t>
            </w:r>
          </w:p>
        </w:tc>
        <w:tc>
          <w:tcPr>
            <w:tcW w:w="487" w:type="pct"/>
            <w:tcBorders>
              <w:top w:val="double" w:sz="6" w:space="0" w:color="auto"/>
              <w:left w:val="nil"/>
              <w:bottom w:val="single" w:sz="4" w:space="0" w:color="auto"/>
              <w:right w:val="nil"/>
            </w:tcBorders>
            <w:vAlign w:val="bottom"/>
          </w:tcPr>
          <w:p w:rsidR="00512993" w:rsidRPr="007D564F" w:rsidRDefault="00512993" w:rsidP="00512993">
            <w:pPr>
              <w:spacing w:after="0" w:line="240" w:lineRule="auto"/>
              <w:ind w:firstLine="0"/>
              <w:jc w:val="left"/>
              <w:rPr>
                <w:rFonts w:eastAsia="Times New Roman" w:cs="Times New Roman"/>
                <w:b/>
                <w:bCs/>
                <w:color w:val="000000"/>
                <w:sz w:val="20"/>
                <w:szCs w:val="20"/>
                <w:lang w:val="it-IT"/>
              </w:rPr>
            </w:pPr>
            <w:r w:rsidRPr="007D564F">
              <w:rPr>
                <w:rFonts w:eastAsia="Times New Roman" w:cs="Times New Roman"/>
                <w:b/>
                <w:bCs/>
                <w:color w:val="000000"/>
                <w:sz w:val="20"/>
                <w:szCs w:val="20"/>
                <w:lang w:val="it-IT"/>
              </w:rPr>
              <w:t>25th pct</w:t>
            </w:r>
          </w:p>
        </w:tc>
        <w:tc>
          <w:tcPr>
            <w:tcW w:w="487" w:type="pct"/>
            <w:tcBorders>
              <w:top w:val="double" w:sz="6" w:space="0" w:color="auto"/>
              <w:left w:val="nil"/>
              <w:bottom w:val="single" w:sz="4" w:space="0" w:color="auto"/>
              <w:right w:val="nil"/>
            </w:tcBorders>
            <w:vAlign w:val="bottom"/>
          </w:tcPr>
          <w:p w:rsidR="00512993" w:rsidRPr="007D564F" w:rsidRDefault="00512993" w:rsidP="00512993">
            <w:pPr>
              <w:spacing w:after="0" w:line="240" w:lineRule="auto"/>
              <w:ind w:firstLine="0"/>
              <w:jc w:val="left"/>
              <w:rPr>
                <w:rFonts w:eastAsia="Times New Roman" w:cs="Times New Roman"/>
                <w:b/>
                <w:bCs/>
                <w:color w:val="000000"/>
                <w:sz w:val="20"/>
                <w:szCs w:val="20"/>
                <w:lang w:val="it-IT"/>
              </w:rPr>
            </w:pPr>
            <w:r w:rsidRPr="007D564F">
              <w:rPr>
                <w:rFonts w:eastAsia="Times New Roman" w:cs="Times New Roman"/>
                <w:b/>
                <w:bCs/>
                <w:color w:val="000000"/>
                <w:sz w:val="20"/>
                <w:szCs w:val="20"/>
                <w:lang w:val="it-IT"/>
              </w:rPr>
              <w:t>Median</w:t>
            </w:r>
          </w:p>
        </w:tc>
        <w:tc>
          <w:tcPr>
            <w:tcW w:w="487" w:type="pct"/>
            <w:tcBorders>
              <w:top w:val="double" w:sz="6" w:space="0" w:color="auto"/>
              <w:left w:val="nil"/>
              <w:bottom w:val="single" w:sz="4" w:space="0" w:color="auto"/>
              <w:right w:val="nil"/>
            </w:tcBorders>
            <w:vAlign w:val="bottom"/>
          </w:tcPr>
          <w:p w:rsidR="00512993" w:rsidRPr="007D564F" w:rsidRDefault="00512993" w:rsidP="00512993">
            <w:pPr>
              <w:spacing w:after="0" w:line="240" w:lineRule="auto"/>
              <w:ind w:firstLine="0"/>
              <w:jc w:val="left"/>
              <w:rPr>
                <w:rFonts w:eastAsia="Times New Roman" w:cs="Times New Roman"/>
                <w:b/>
                <w:bCs/>
                <w:color w:val="000000"/>
                <w:sz w:val="20"/>
                <w:szCs w:val="20"/>
                <w:lang w:val="it-IT"/>
              </w:rPr>
            </w:pPr>
            <w:r w:rsidRPr="007D564F">
              <w:rPr>
                <w:rFonts w:eastAsia="Times New Roman" w:cs="Times New Roman"/>
                <w:b/>
                <w:bCs/>
                <w:color w:val="000000"/>
                <w:sz w:val="20"/>
                <w:szCs w:val="20"/>
                <w:lang w:val="it-IT"/>
              </w:rPr>
              <w:t>75th pct</w:t>
            </w:r>
          </w:p>
        </w:tc>
        <w:tc>
          <w:tcPr>
            <w:tcW w:w="486" w:type="pct"/>
            <w:tcBorders>
              <w:top w:val="double" w:sz="6" w:space="0" w:color="auto"/>
              <w:left w:val="nil"/>
              <w:bottom w:val="single" w:sz="4" w:space="0" w:color="auto"/>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b/>
                <w:bCs/>
                <w:color w:val="000000"/>
                <w:sz w:val="20"/>
                <w:szCs w:val="20"/>
                <w:lang w:val="it-IT"/>
              </w:rPr>
            </w:pPr>
            <w:r w:rsidRPr="007D564F">
              <w:rPr>
                <w:rFonts w:eastAsia="Times New Roman" w:cs="Times New Roman"/>
                <w:b/>
                <w:bCs/>
                <w:color w:val="000000"/>
                <w:sz w:val="20"/>
                <w:szCs w:val="20"/>
                <w:lang w:val="it-IT"/>
              </w:rPr>
              <w:t>Max</w:t>
            </w:r>
          </w:p>
        </w:tc>
      </w:tr>
      <w:tr w:rsidR="00DA2D4F" w:rsidRPr="007D564F" w:rsidTr="00512993">
        <w:trPr>
          <w:trHeight w:val="283"/>
        </w:trPr>
        <w:tc>
          <w:tcPr>
            <w:tcW w:w="1103"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i/>
                <w:iCs/>
                <w:color w:val="000000"/>
                <w:sz w:val="20"/>
                <w:szCs w:val="20"/>
                <w:lang w:val="it-IT"/>
              </w:rPr>
            </w:pPr>
            <w:r w:rsidRPr="007D564F">
              <w:rPr>
                <w:i/>
                <w:iCs/>
                <w:color w:val="000000"/>
                <w:sz w:val="20"/>
                <w:szCs w:val="20"/>
              </w:rPr>
              <w:t>logTotalAssets</w:t>
            </w:r>
            <w:r w:rsidRPr="007D564F">
              <w:rPr>
                <w:i/>
                <w:iCs/>
                <w:color w:val="000000"/>
                <w:sz w:val="20"/>
                <w:szCs w:val="20"/>
                <w:vertAlign w:val="superscript"/>
              </w:rPr>
              <w:t>timeofPL</w:t>
            </w:r>
            <w:r w:rsidRPr="007D564F">
              <w:rPr>
                <w:rFonts w:eastAsia="Times New Roman" w:cs="Times New Roman"/>
                <w:i/>
                <w:iCs/>
                <w:color w:val="000000"/>
                <w:sz w:val="20"/>
                <w:szCs w:val="20"/>
                <w:vertAlign w:val="subscript"/>
                <w:lang w:val="it-IT"/>
              </w:rPr>
              <w:t>i</w:t>
            </w:r>
          </w:p>
        </w:tc>
        <w:tc>
          <w:tcPr>
            <w:tcW w:w="488"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488</w:t>
            </w:r>
          </w:p>
        </w:tc>
        <w:tc>
          <w:tcPr>
            <w:tcW w:w="487"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6.722</w:t>
            </w:r>
          </w:p>
        </w:tc>
        <w:tc>
          <w:tcPr>
            <w:tcW w:w="487"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2.251</w:t>
            </w:r>
          </w:p>
        </w:tc>
        <w:tc>
          <w:tcPr>
            <w:tcW w:w="487"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0.000</w:t>
            </w:r>
          </w:p>
        </w:tc>
        <w:tc>
          <w:tcPr>
            <w:tcW w:w="487"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5.872</w:t>
            </w:r>
          </w:p>
        </w:tc>
        <w:tc>
          <w:tcPr>
            <w:tcW w:w="487"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6.977</w:t>
            </w:r>
          </w:p>
        </w:tc>
        <w:tc>
          <w:tcPr>
            <w:tcW w:w="487"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8.048</w:t>
            </w:r>
          </w:p>
        </w:tc>
        <w:tc>
          <w:tcPr>
            <w:tcW w:w="486"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12.206</w:t>
            </w:r>
          </w:p>
        </w:tc>
      </w:tr>
      <w:tr w:rsidR="00DA2D4F" w:rsidRPr="007D564F" w:rsidTr="00512993">
        <w:trPr>
          <w:trHeight w:val="283"/>
        </w:trPr>
        <w:tc>
          <w:tcPr>
            <w:tcW w:w="1103"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i/>
                <w:iCs/>
                <w:color w:val="000000"/>
                <w:sz w:val="20"/>
                <w:szCs w:val="20"/>
                <w:lang w:val="it-IT"/>
              </w:rPr>
            </w:pPr>
            <w:r w:rsidRPr="007D564F">
              <w:rPr>
                <w:rFonts w:eastAsia="Times New Roman" w:cs="Times New Roman"/>
                <w:i/>
                <w:iCs/>
                <w:color w:val="000000"/>
                <w:sz w:val="20"/>
                <w:szCs w:val="20"/>
                <w:lang w:val="it-IT"/>
              </w:rPr>
              <w:t>Age</w:t>
            </w:r>
            <w:r w:rsidRPr="007D564F">
              <w:rPr>
                <w:i/>
                <w:iCs/>
                <w:color w:val="000000"/>
                <w:sz w:val="20"/>
                <w:szCs w:val="20"/>
                <w:vertAlign w:val="superscript"/>
              </w:rPr>
              <w:t>timeofPL</w:t>
            </w:r>
            <w:r w:rsidRPr="007D564F">
              <w:rPr>
                <w:rFonts w:eastAsia="Times New Roman" w:cs="Times New Roman"/>
                <w:i/>
                <w:iCs/>
                <w:color w:val="000000"/>
                <w:sz w:val="20"/>
                <w:szCs w:val="20"/>
                <w:vertAlign w:val="subscript"/>
                <w:lang w:val="it-IT"/>
              </w:rPr>
              <w:t>i</w:t>
            </w:r>
          </w:p>
        </w:tc>
        <w:tc>
          <w:tcPr>
            <w:tcW w:w="488"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488</w:t>
            </w:r>
          </w:p>
        </w:tc>
        <w:tc>
          <w:tcPr>
            <w:tcW w:w="487"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6.975</w:t>
            </w:r>
          </w:p>
        </w:tc>
        <w:tc>
          <w:tcPr>
            <w:tcW w:w="487"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8.906</w:t>
            </w:r>
          </w:p>
        </w:tc>
        <w:tc>
          <w:tcPr>
            <w:tcW w:w="487"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0.000</w:t>
            </w:r>
          </w:p>
        </w:tc>
        <w:tc>
          <w:tcPr>
            <w:tcW w:w="487"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2.000</w:t>
            </w:r>
          </w:p>
        </w:tc>
        <w:tc>
          <w:tcPr>
            <w:tcW w:w="487"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4.000</w:t>
            </w:r>
          </w:p>
        </w:tc>
        <w:tc>
          <w:tcPr>
            <w:tcW w:w="487"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9.000</w:t>
            </w:r>
          </w:p>
        </w:tc>
        <w:tc>
          <w:tcPr>
            <w:tcW w:w="486"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57.000</w:t>
            </w:r>
          </w:p>
        </w:tc>
      </w:tr>
      <w:tr w:rsidR="00DA2D4F" w:rsidRPr="007D564F" w:rsidTr="00512993">
        <w:trPr>
          <w:trHeight w:val="283"/>
        </w:trPr>
        <w:tc>
          <w:tcPr>
            <w:tcW w:w="1103"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i/>
                <w:iCs/>
                <w:color w:val="000000"/>
                <w:sz w:val="20"/>
                <w:szCs w:val="20"/>
                <w:lang w:val="it-IT"/>
              </w:rPr>
            </w:pPr>
            <w:r w:rsidRPr="007D564F">
              <w:rPr>
                <w:rFonts w:eastAsia="Times New Roman" w:cs="Times New Roman"/>
                <w:i/>
                <w:iCs/>
                <w:color w:val="000000"/>
                <w:sz w:val="20"/>
                <w:szCs w:val="20"/>
                <w:lang w:val="it-IT"/>
              </w:rPr>
              <w:t>HighTech</w:t>
            </w:r>
            <w:r w:rsidRPr="007D564F">
              <w:rPr>
                <w:rFonts w:eastAsia="Times New Roman" w:cs="Times New Roman"/>
                <w:i/>
                <w:iCs/>
                <w:color w:val="000000"/>
                <w:sz w:val="20"/>
                <w:szCs w:val="20"/>
                <w:vertAlign w:val="subscript"/>
                <w:lang w:val="it-IT"/>
              </w:rPr>
              <w:t>i</w:t>
            </w:r>
          </w:p>
        </w:tc>
        <w:tc>
          <w:tcPr>
            <w:tcW w:w="488"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488</w:t>
            </w:r>
          </w:p>
        </w:tc>
        <w:tc>
          <w:tcPr>
            <w:tcW w:w="487"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0.377</w:t>
            </w:r>
          </w:p>
        </w:tc>
        <w:tc>
          <w:tcPr>
            <w:tcW w:w="487"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0.485</w:t>
            </w:r>
          </w:p>
        </w:tc>
        <w:tc>
          <w:tcPr>
            <w:tcW w:w="487"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0.000</w:t>
            </w:r>
          </w:p>
        </w:tc>
        <w:tc>
          <w:tcPr>
            <w:tcW w:w="487"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0.000</w:t>
            </w:r>
          </w:p>
        </w:tc>
        <w:tc>
          <w:tcPr>
            <w:tcW w:w="487"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0.000</w:t>
            </w:r>
          </w:p>
        </w:tc>
        <w:tc>
          <w:tcPr>
            <w:tcW w:w="487"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1.000</w:t>
            </w:r>
          </w:p>
        </w:tc>
        <w:tc>
          <w:tcPr>
            <w:tcW w:w="486"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1.000</w:t>
            </w:r>
          </w:p>
        </w:tc>
      </w:tr>
      <w:tr w:rsidR="00DA2D4F" w:rsidRPr="007D564F" w:rsidTr="00512993">
        <w:trPr>
          <w:trHeight w:val="283"/>
        </w:trPr>
        <w:tc>
          <w:tcPr>
            <w:tcW w:w="1103"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i/>
                <w:iCs/>
                <w:color w:val="000000"/>
                <w:sz w:val="20"/>
                <w:szCs w:val="20"/>
                <w:lang w:val="it-IT"/>
              </w:rPr>
            </w:pPr>
            <w:r w:rsidRPr="007D564F">
              <w:rPr>
                <w:rFonts w:eastAsia="Times New Roman" w:cs="Times New Roman"/>
                <w:i/>
                <w:iCs/>
                <w:color w:val="000000"/>
                <w:sz w:val="20"/>
                <w:szCs w:val="20"/>
                <w:lang w:val="it-IT"/>
              </w:rPr>
              <w:t>PublicSupport</w:t>
            </w:r>
            <w:r w:rsidRPr="007D564F">
              <w:rPr>
                <w:i/>
                <w:iCs/>
                <w:color w:val="000000"/>
                <w:sz w:val="20"/>
                <w:szCs w:val="20"/>
                <w:vertAlign w:val="superscript"/>
              </w:rPr>
              <w:t>timeofPL</w:t>
            </w:r>
            <w:r w:rsidRPr="007D564F">
              <w:rPr>
                <w:rFonts w:eastAsia="Times New Roman" w:cs="Times New Roman"/>
                <w:i/>
                <w:iCs/>
                <w:color w:val="000000"/>
                <w:sz w:val="20"/>
                <w:szCs w:val="20"/>
                <w:vertAlign w:val="subscript"/>
                <w:lang w:val="it-IT"/>
              </w:rPr>
              <w:t>i</w:t>
            </w:r>
          </w:p>
        </w:tc>
        <w:tc>
          <w:tcPr>
            <w:tcW w:w="488"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488</w:t>
            </w:r>
          </w:p>
        </w:tc>
        <w:tc>
          <w:tcPr>
            <w:tcW w:w="487"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0.061</w:t>
            </w:r>
          </w:p>
        </w:tc>
        <w:tc>
          <w:tcPr>
            <w:tcW w:w="487"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0.240</w:t>
            </w:r>
          </w:p>
        </w:tc>
        <w:tc>
          <w:tcPr>
            <w:tcW w:w="487"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0.000</w:t>
            </w:r>
          </w:p>
        </w:tc>
        <w:tc>
          <w:tcPr>
            <w:tcW w:w="487"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0.000</w:t>
            </w:r>
          </w:p>
        </w:tc>
        <w:tc>
          <w:tcPr>
            <w:tcW w:w="487"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0.000</w:t>
            </w:r>
          </w:p>
        </w:tc>
        <w:tc>
          <w:tcPr>
            <w:tcW w:w="487"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0.000</w:t>
            </w:r>
          </w:p>
        </w:tc>
        <w:tc>
          <w:tcPr>
            <w:tcW w:w="486"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1.000</w:t>
            </w:r>
          </w:p>
        </w:tc>
      </w:tr>
      <w:tr w:rsidR="00DA2D4F" w:rsidRPr="007D564F" w:rsidTr="00512993">
        <w:trPr>
          <w:trHeight w:val="283"/>
        </w:trPr>
        <w:tc>
          <w:tcPr>
            <w:tcW w:w="1103" w:type="pct"/>
            <w:tcBorders>
              <w:top w:val="nil"/>
              <w:left w:val="nil"/>
              <w:bottom w:val="double" w:sz="6" w:space="0" w:color="auto"/>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i/>
                <w:iCs/>
                <w:color w:val="000000"/>
                <w:sz w:val="20"/>
                <w:szCs w:val="20"/>
                <w:lang w:val="it-IT"/>
              </w:rPr>
            </w:pPr>
            <w:r w:rsidRPr="007D564F">
              <w:rPr>
                <w:rFonts w:eastAsia="Times New Roman" w:cs="Times New Roman"/>
                <w:i/>
                <w:iCs/>
                <w:color w:val="000000"/>
                <w:sz w:val="20"/>
                <w:szCs w:val="20"/>
                <w:lang w:val="it-IT"/>
              </w:rPr>
              <w:t>VC</w:t>
            </w:r>
            <w:r w:rsidRPr="007D564F">
              <w:rPr>
                <w:i/>
                <w:iCs/>
                <w:color w:val="000000"/>
                <w:sz w:val="20"/>
                <w:szCs w:val="20"/>
                <w:vertAlign w:val="superscript"/>
              </w:rPr>
              <w:t>timeofPL</w:t>
            </w:r>
            <w:r w:rsidRPr="007D564F">
              <w:rPr>
                <w:rFonts w:eastAsia="Times New Roman" w:cs="Times New Roman"/>
                <w:i/>
                <w:iCs/>
                <w:color w:val="000000"/>
                <w:sz w:val="20"/>
                <w:szCs w:val="20"/>
                <w:vertAlign w:val="subscript"/>
                <w:lang w:val="it-IT"/>
              </w:rPr>
              <w:t>i</w:t>
            </w:r>
          </w:p>
        </w:tc>
        <w:tc>
          <w:tcPr>
            <w:tcW w:w="488" w:type="pct"/>
            <w:tcBorders>
              <w:top w:val="nil"/>
              <w:left w:val="nil"/>
              <w:bottom w:val="double" w:sz="6" w:space="0" w:color="auto"/>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488</w:t>
            </w:r>
          </w:p>
        </w:tc>
        <w:tc>
          <w:tcPr>
            <w:tcW w:w="487" w:type="pct"/>
            <w:tcBorders>
              <w:top w:val="nil"/>
              <w:left w:val="nil"/>
              <w:bottom w:val="double" w:sz="6" w:space="0" w:color="auto"/>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0.260</w:t>
            </w:r>
          </w:p>
        </w:tc>
        <w:tc>
          <w:tcPr>
            <w:tcW w:w="487" w:type="pct"/>
            <w:tcBorders>
              <w:top w:val="nil"/>
              <w:left w:val="nil"/>
              <w:bottom w:val="double" w:sz="6" w:space="0" w:color="auto"/>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0.439</w:t>
            </w:r>
          </w:p>
        </w:tc>
        <w:tc>
          <w:tcPr>
            <w:tcW w:w="487" w:type="pct"/>
            <w:tcBorders>
              <w:top w:val="nil"/>
              <w:left w:val="nil"/>
              <w:bottom w:val="double" w:sz="6" w:space="0" w:color="auto"/>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0.000</w:t>
            </w:r>
          </w:p>
        </w:tc>
        <w:tc>
          <w:tcPr>
            <w:tcW w:w="487" w:type="pct"/>
            <w:tcBorders>
              <w:top w:val="nil"/>
              <w:left w:val="nil"/>
              <w:bottom w:val="double" w:sz="6" w:space="0" w:color="auto"/>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0.000</w:t>
            </w:r>
          </w:p>
        </w:tc>
        <w:tc>
          <w:tcPr>
            <w:tcW w:w="487" w:type="pct"/>
            <w:tcBorders>
              <w:top w:val="nil"/>
              <w:left w:val="nil"/>
              <w:bottom w:val="double" w:sz="6" w:space="0" w:color="auto"/>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0.000</w:t>
            </w:r>
          </w:p>
        </w:tc>
        <w:tc>
          <w:tcPr>
            <w:tcW w:w="487" w:type="pct"/>
            <w:tcBorders>
              <w:top w:val="nil"/>
              <w:left w:val="nil"/>
              <w:bottom w:val="double" w:sz="6" w:space="0" w:color="auto"/>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1.000</w:t>
            </w:r>
          </w:p>
        </w:tc>
        <w:tc>
          <w:tcPr>
            <w:tcW w:w="486" w:type="pct"/>
            <w:tcBorders>
              <w:top w:val="nil"/>
              <w:left w:val="nil"/>
              <w:bottom w:val="double" w:sz="6" w:space="0" w:color="auto"/>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color w:val="000000"/>
                <w:sz w:val="20"/>
                <w:szCs w:val="20"/>
                <w:lang w:val="it-IT"/>
              </w:rPr>
            </w:pPr>
            <w:r w:rsidRPr="007D564F">
              <w:rPr>
                <w:rFonts w:eastAsia="Times New Roman" w:cs="Times New Roman"/>
                <w:color w:val="000000"/>
                <w:sz w:val="20"/>
                <w:szCs w:val="20"/>
                <w:lang w:val="it-IT"/>
              </w:rPr>
              <w:t>1.000</w:t>
            </w:r>
          </w:p>
        </w:tc>
      </w:tr>
    </w:tbl>
    <w:p w:rsidR="00512993" w:rsidRPr="007D564F" w:rsidRDefault="00512993" w:rsidP="00512993">
      <w:pPr>
        <w:spacing w:line="240" w:lineRule="auto"/>
        <w:ind w:firstLine="0"/>
        <w:rPr>
          <w:szCs w:val="20"/>
        </w:rPr>
      </w:pPr>
      <w:r w:rsidRPr="007D564F">
        <w:rPr>
          <w:i/>
          <w:iCs/>
          <w:color w:val="000000"/>
          <w:sz w:val="20"/>
          <w:szCs w:val="20"/>
        </w:rPr>
        <w:t>logTotalAssets</w:t>
      </w:r>
      <w:r w:rsidRPr="007D564F">
        <w:rPr>
          <w:i/>
          <w:iCs/>
          <w:color w:val="000000"/>
          <w:sz w:val="20"/>
          <w:szCs w:val="20"/>
          <w:vertAlign w:val="superscript"/>
        </w:rPr>
        <w:t>timeofPL</w:t>
      </w:r>
      <w:r w:rsidRPr="007D564F">
        <w:rPr>
          <w:i/>
          <w:iCs/>
          <w:color w:val="000000"/>
          <w:sz w:val="20"/>
          <w:szCs w:val="20"/>
          <w:vertAlign w:val="subscript"/>
        </w:rPr>
        <w:t>i</w:t>
      </w:r>
      <w:r w:rsidRPr="007D564F">
        <w:rPr>
          <w:sz w:val="20"/>
          <w:szCs w:val="20"/>
        </w:rPr>
        <w:t xml:space="preserve">: Logarithm of the book value of total assets in th EUR one year before the receipt of the first PL. </w:t>
      </w:r>
      <w:r w:rsidRPr="007D564F">
        <w:rPr>
          <w:i/>
          <w:sz w:val="20"/>
          <w:szCs w:val="20"/>
        </w:rPr>
        <w:t>Age</w:t>
      </w:r>
      <w:r w:rsidRPr="007D564F">
        <w:rPr>
          <w:i/>
          <w:iCs/>
          <w:color w:val="000000"/>
          <w:sz w:val="20"/>
          <w:szCs w:val="20"/>
          <w:vertAlign w:val="superscript"/>
        </w:rPr>
        <w:t>timeofPL</w:t>
      </w:r>
      <w:r w:rsidRPr="007D564F">
        <w:rPr>
          <w:i/>
          <w:iCs/>
          <w:color w:val="000000"/>
          <w:sz w:val="20"/>
          <w:szCs w:val="20"/>
          <w:vertAlign w:val="subscript"/>
        </w:rPr>
        <w:t>i</w:t>
      </w:r>
      <w:r w:rsidRPr="007D564F">
        <w:rPr>
          <w:sz w:val="20"/>
          <w:szCs w:val="20"/>
        </w:rPr>
        <w:t xml:space="preserve">: Years since the firm was established at the time of the receipt of the first PL. </w:t>
      </w:r>
      <w:r w:rsidRPr="007D564F">
        <w:rPr>
          <w:i/>
          <w:sz w:val="20"/>
          <w:szCs w:val="20"/>
        </w:rPr>
        <w:t>VC</w:t>
      </w:r>
      <w:r w:rsidRPr="007D564F">
        <w:rPr>
          <w:i/>
          <w:iCs/>
          <w:color w:val="000000"/>
          <w:sz w:val="20"/>
          <w:szCs w:val="20"/>
          <w:vertAlign w:val="superscript"/>
        </w:rPr>
        <w:t>timeofPL</w:t>
      </w:r>
      <w:r w:rsidRPr="007D564F">
        <w:rPr>
          <w:i/>
          <w:iCs/>
          <w:color w:val="000000"/>
          <w:sz w:val="20"/>
          <w:szCs w:val="20"/>
          <w:vertAlign w:val="subscript"/>
        </w:rPr>
        <w:t>i</w:t>
      </w:r>
      <w:r w:rsidRPr="007D564F">
        <w:rPr>
          <w:sz w:val="20"/>
          <w:szCs w:val="20"/>
        </w:rPr>
        <w:t xml:space="preserve">: Dummy equal to 1 if a company received its first VC round before the receipt of the first PL. </w:t>
      </w:r>
      <w:r w:rsidRPr="007D564F">
        <w:rPr>
          <w:i/>
          <w:sz w:val="20"/>
          <w:szCs w:val="20"/>
        </w:rPr>
        <w:t>PublicSupport</w:t>
      </w:r>
      <w:r w:rsidRPr="007D564F">
        <w:rPr>
          <w:i/>
          <w:iCs/>
          <w:color w:val="000000"/>
          <w:sz w:val="20"/>
          <w:szCs w:val="20"/>
          <w:vertAlign w:val="superscript"/>
        </w:rPr>
        <w:t>timeofPL</w:t>
      </w:r>
      <w:r w:rsidRPr="007D564F">
        <w:rPr>
          <w:i/>
          <w:iCs/>
          <w:color w:val="000000"/>
          <w:sz w:val="20"/>
          <w:szCs w:val="20"/>
          <w:vertAlign w:val="subscript"/>
        </w:rPr>
        <w:t>i</w:t>
      </w:r>
      <w:r w:rsidRPr="007D564F">
        <w:rPr>
          <w:sz w:val="20"/>
          <w:szCs w:val="20"/>
        </w:rPr>
        <w:t>: Dummy equal to 1 if a company received its first subsidized loan from either CDTI or ACCIO before the receipt of the first PL.</w:t>
      </w:r>
    </w:p>
    <w:p w:rsidR="00512993" w:rsidRPr="007D564F" w:rsidRDefault="00512993">
      <w:pPr>
        <w:spacing w:line="276" w:lineRule="auto"/>
        <w:ind w:firstLine="0"/>
        <w:jc w:val="left"/>
        <w:rPr>
          <w:b/>
          <w:bCs/>
          <w:sz w:val="20"/>
          <w:szCs w:val="20"/>
          <w:lang w:eastAsia="en-US" w:bidi="en-US"/>
        </w:rPr>
      </w:pPr>
      <w:r w:rsidRPr="007D564F">
        <w:rPr>
          <w:szCs w:val="20"/>
        </w:rPr>
        <w:br w:type="page"/>
      </w:r>
    </w:p>
    <w:p w:rsidR="00512993" w:rsidRPr="007D564F" w:rsidRDefault="00512993" w:rsidP="00512993">
      <w:pPr>
        <w:pStyle w:val="Descripcin"/>
        <w:keepLines/>
        <w:spacing w:before="240" w:after="0"/>
        <w:rPr>
          <w:szCs w:val="20"/>
        </w:rPr>
      </w:pPr>
      <w:r w:rsidRPr="007D564F">
        <w:rPr>
          <w:szCs w:val="20"/>
        </w:rPr>
        <w:lastRenderedPageBreak/>
        <w:t xml:space="preserve">Table </w:t>
      </w:r>
      <w:r w:rsidR="007C60DA" w:rsidRPr="007D564F">
        <w:rPr>
          <w:szCs w:val="20"/>
        </w:rPr>
        <w:fldChar w:fldCharType="begin"/>
      </w:r>
      <w:r w:rsidRPr="007D564F">
        <w:rPr>
          <w:szCs w:val="20"/>
        </w:rPr>
        <w:instrText xml:space="preserve"> SEQ Table \* ARABIC </w:instrText>
      </w:r>
      <w:r w:rsidR="007C60DA" w:rsidRPr="007D564F">
        <w:rPr>
          <w:szCs w:val="20"/>
        </w:rPr>
        <w:fldChar w:fldCharType="separate"/>
      </w:r>
      <w:r w:rsidRPr="007D564F">
        <w:rPr>
          <w:noProof/>
          <w:szCs w:val="20"/>
        </w:rPr>
        <w:t>4</w:t>
      </w:r>
      <w:r w:rsidR="007C60DA" w:rsidRPr="007D564F">
        <w:rPr>
          <w:noProof/>
          <w:szCs w:val="20"/>
        </w:rPr>
        <w:fldChar w:fldCharType="end"/>
      </w:r>
      <w:r w:rsidRPr="007D564F">
        <w:rPr>
          <w:szCs w:val="20"/>
        </w:rPr>
        <w:t>: Variable description</w:t>
      </w:r>
    </w:p>
    <w:tbl>
      <w:tblPr>
        <w:tblW w:w="5000" w:type="pct"/>
        <w:tblLook w:val="04A0" w:firstRow="1" w:lastRow="0" w:firstColumn="1" w:lastColumn="0" w:noHBand="0" w:noVBand="1"/>
      </w:tblPr>
      <w:tblGrid>
        <w:gridCol w:w="2978"/>
        <w:gridCol w:w="949"/>
        <w:gridCol w:w="949"/>
        <w:gridCol w:w="949"/>
        <w:gridCol w:w="949"/>
        <w:gridCol w:w="989"/>
        <w:gridCol w:w="908"/>
        <w:gridCol w:w="949"/>
      </w:tblGrid>
      <w:tr w:rsidR="00DA2D4F" w:rsidRPr="007D564F" w:rsidTr="00512993">
        <w:trPr>
          <w:trHeight w:val="283"/>
        </w:trPr>
        <w:tc>
          <w:tcPr>
            <w:tcW w:w="1547" w:type="pct"/>
            <w:tcBorders>
              <w:top w:val="double" w:sz="6" w:space="0" w:color="auto"/>
              <w:left w:val="nil"/>
              <w:bottom w:val="single" w:sz="4" w:space="0" w:color="auto"/>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b/>
                <w:bCs/>
                <w:color w:val="000000"/>
                <w:sz w:val="20"/>
                <w:szCs w:val="20"/>
                <w:lang w:eastAsia="en-US"/>
              </w:rPr>
            </w:pPr>
            <w:r w:rsidRPr="007D564F">
              <w:rPr>
                <w:rFonts w:eastAsia="Times New Roman" w:cs="Times New Roman"/>
                <w:b/>
                <w:bCs/>
                <w:color w:val="000000"/>
                <w:sz w:val="20"/>
                <w:szCs w:val="20"/>
                <w:lang w:eastAsia="en-US"/>
              </w:rPr>
              <w:t>Variable</w:t>
            </w:r>
          </w:p>
        </w:tc>
        <w:tc>
          <w:tcPr>
            <w:tcW w:w="493" w:type="pct"/>
            <w:tcBorders>
              <w:top w:val="double" w:sz="6" w:space="0" w:color="auto"/>
              <w:left w:val="nil"/>
              <w:bottom w:val="single" w:sz="4" w:space="0" w:color="auto"/>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b/>
                <w:bCs/>
                <w:color w:val="000000"/>
                <w:sz w:val="20"/>
                <w:szCs w:val="20"/>
                <w:lang w:eastAsia="en-US"/>
              </w:rPr>
            </w:pPr>
            <w:r w:rsidRPr="007D564F">
              <w:rPr>
                <w:rFonts w:eastAsia="Times New Roman" w:cs="Times New Roman"/>
                <w:b/>
                <w:bCs/>
                <w:color w:val="000000"/>
                <w:sz w:val="20"/>
                <w:szCs w:val="20"/>
                <w:lang w:eastAsia="en-US"/>
              </w:rPr>
              <w:t>N</w:t>
            </w:r>
          </w:p>
        </w:tc>
        <w:tc>
          <w:tcPr>
            <w:tcW w:w="493" w:type="pct"/>
            <w:tcBorders>
              <w:top w:val="double" w:sz="6" w:space="0" w:color="auto"/>
              <w:left w:val="nil"/>
              <w:bottom w:val="single" w:sz="4" w:space="0" w:color="auto"/>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b/>
                <w:bCs/>
                <w:color w:val="000000"/>
                <w:sz w:val="20"/>
                <w:szCs w:val="20"/>
                <w:lang w:eastAsia="en-US"/>
              </w:rPr>
            </w:pPr>
            <w:r w:rsidRPr="007D564F">
              <w:rPr>
                <w:rFonts w:eastAsia="Times New Roman" w:cs="Times New Roman"/>
                <w:b/>
                <w:bCs/>
                <w:color w:val="000000"/>
                <w:sz w:val="20"/>
                <w:szCs w:val="20"/>
                <w:lang w:eastAsia="en-US"/>
              </w:rPr>
              <w:t>n</w:t>
            </w:r>
          </w:p>
        </w:tc>
        <w:tc>
          <w:tcPr>
            <w:tcW w:w="493" w:type="pct"/>
            <w:tcBorders>
              <w:top w:val="double" w:sz="6" w:space="0" w:color="auto"/>
              <w:left w:val="nil"/>
              <w:bottom w:val="single" w:sz="4" w:space="0" w:color="auto"/>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b/>
                <w:bCs/>
                <w:color w:val="000000"/>
                <w:sz w:val="20"/>
                <w:szCs w:val="20"/>
                <w:lang w:eastAsia="en-US"/>
              </w:rPr>
            </w:pPr>
            <w:r w:rsidRPr="007D564F">
              <w:rPr>
                <w:rFonts w:eastAsia="Times New Roman" w:cs="Times New Roman"/>
                <w:b/>
                <w:bCs/>
                <w:color w:val="000000"/>
                <w:sz w:val="20"/>
                <w:szCs w:val="20"/>
                <w:lang w:eastAsia="en-US"/>
              </w:rPr>
              <w:t>Mean</w:t>
            </w:r>
          </w:p>
        </w:tc>
        <w:tc>
          <w:tcPr>
            <w:tcW w:w="493" w:type="pct"/>
            <w:tcBorders>
              <w:top w:val="double" w:sz="6" w:space="0" w:color="auto"/>
              <w:left w:val="nil"/>
              <w:bottom w:val="single" w:sz="4" w:space="0" w:color="auto"/>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b/>
                <w:bCs/>
                <w:color w:val="000000"/>
                <w:sz w:val="20"/>
                <w:szCs w:val="20"/>
                <w:lang w:eastAsia="en-US"/>
              </w:rPr>
            </w:pPr>
            <w:r w:rsidRPr="007D564F">
              <w:rPr>
                <w:rFonts w:eastAsia="Times New Roman" w:cs="Times New Roman"/>
                <w:b/>
                <w:bCs/>
                <w:color w:val="000000"/>
                <w:sz w:val="20"/>
                <w:szCs w:val="20"/>
                <w:lang w:eastAsia="en-US"/>
              </w:rPr>
              <w:t>Median</w:t>
            </w:r>
          </w:p>
        </w:tc>
        <w:tc>
          <w:tcPr>
            <w:tcW w:w="514" w:type="pct"/>
            <w:tcBorders>
              <w:top w:val="double" w:sz="6" w:space="0" w:color="auto"/>
              <w:left w:val="nil"/>
              <w:bottom w:val="single" w:sz="4" w:space="0" w:color="auto"/>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b/>
                <w:bCs/>
                <w:color w:val="000000"/>
                <w:sz w:val="20"/>
                <w:szCs w:val="20"/>
                <w:lang w:eastAsia="en-US"/>
              </w:rPr>
            </w:pPr>
            <w:r w:rsidRPr="007D564F">
              <w:rPr>
                <w:rFonts w:eastAsia="Times New Roman" w:cs="Times New Roman"/>
                <w:b/>
                <w:bCs/>
                <w:color w:val="000000"/>
                <w:sz w:val="20"/>
                <w:szCs w:val="20"/>
                <w:lang w:eastAsia="en-US"/>
              </w:rPr>
              <w:t>Std. Dev.</w:t>
            </w:r>
          </w:p>
        </w:tc>
        <w:tc>
          <w:tcPr>
            <w:tcW w:w="472" w:type="pct"/>
            <w:tcBorders>
              <w:top w:val="double" w:sz="6" w:space="0" w:color="auto"/>
              <w:left w:val="nil"/>
              <w:bottom w:val="single" w:sz="4" w:space="0" w:color="auto"/>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b/>
                <w:bCs/>
                <w:color w:val="000000"/>
                <w:sz w:val="20"/>
                <w:szCs w:val="20"/>
                <w:lang w:eastAsia="en-US"/>
              </w:rPr>
            </w:pPr>
            <w:r w:rsidRPr="007D564F">
              <w:rPr>
                <w:rFonts w:eastAsia="Times New Roman" w:cs="Times New Roman"/>
                <w:b/>
                <w:bCs/>
                <w:color w:val="000000"/>
                <w:sz w:val="20"/>
                <w:szCs w:val="20"/>
                <w:lang w:eastAsia="en-US"/>
              </w:rPr>
              <w:t>Min</w:t>
            </w:r>
          </w:p>
        </w:tc>
        <w:tc>
          <w:tcPr>
            <w:tcW w:w="493" w:type="pct"/>
            <w:tcBorders>
              <w:top w:val="double" w:sz="6" w:space="0" w:color="auto"/>
              <w:left w:val="nil"/>
              <w:bottom w:val="single" w:sz="4" w:space="0" w:color="auto"/>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b/>
                <w:bCs/>
                <w:color w:val="000000"/>
                <w:sz w:val="20"/>
                <w:szCs w:val="20"/>
                <w:lang w:eastAsia="en-US"/>
              </w:rPr>
            </w:pPr>
            <w:r w:rsidRPr="007D564F">
              <w:rPr>
                <w:rFonts w:eastAsia="Times New Roman" w:cs="Times New Roman"/>
                <w:b/>
                <w:bCs/>
                <w:color w:val="000000"/>
                <w:sz w:val="20"/>
                <w:szCs w:val="20"/>
                <w:lang w:eastAsia="en-US"/>
              </w:rPr>
              <w:t>Max</w:t>
            </w:r>
          </w:p>
        </w:tc>
      </w:tr>
      <w:tr w:rsidR="00DA2D4F" w:rsidRPr="007D564F" w:rsidTr="00512993">
        <w:trPr>
          <w:trHeight w:val="283"/>
        </w:trPr>
        <w:tc>
          <w:tcPr>
            <w:tcW w:w="1547"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i/>
                <w:iCs/>
                <w:color w:val="000000"/>
                <w:sz w:val="20"/>
                <w:szCs w:val="20"/>
                <w:lang w:eastAsia="en-US"/>
              </w:rPr>
            </w:pPr>
            <w:r w:rsidRPr="007D564F">
              <w:rPr>
                <w:i/>
                <w:iCs/>
                <w:color w:val="000000"/>
                <w:sz w:val="20"/>
                <w:szCs w:val="20"/>
              </w:rPr>
              <w:t>logDebt</w:t>
            </w:r>
            <w:r w:rsidRPr="007D564F">
              <w:rPr>
                <w:i/>
                <w:iCs/>
                <w:color w:val="000000"/>
                <w:sz w:val="20"/>
                <w:szCs w:val="20"/>
                <w:vertAlign w:val="subscript"/>
              </w:rPr>
              <w:t>i,t</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1,207</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6,919</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6.317</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6.395</w:t>
            </w:r>
          </w:p>
        </w:tc>
        <w:tc>
          <w:tcPr>
            <w:tcW w:w="514"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2.345</w:t>
            </w:r>
          </w:p>
        </w:tc>
        <w:tc>
          <w:tcPr>
            <w:tcW w:w="472"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0.000</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16.811</w:t>
            </w:r>
          </w:p>
        </w:tc>
      </w:tr>
      <w:tr w:rsidR="00DA2D4F" w:rsidRPr="007D564F" w:rsidTr="00512993">
        <w:trPr>
          <w:trHeight w:val="283"/>
        </w:trPr>
        <w:tc>
          <w:tcPr>
            <w:tcW w:w="1547"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i/>
                <w:iCs/>
                <w:color w:val="000000"/>
                <w:sz w:val="20"/>
                <w:szCs w:val="20"/>
                <w:lang w:eastAsia="en-US"/>
              </w:rPr>
            </w:pPr>
            <w:r w:rsidRPr="007D564F">
              <w:rPr>
                <w:i/>
                <w:iCs/>
                <w:color w:val="000000"/>
                <w:sz w:val="20"/>
                <w:szCs w:val="20"/>
              </w:rPr>
              <w:t>PL</w:t>
            </w:r>
            <w:r w:rsidRPr="007D564F">
              <w:rPr>
                <w:color w:val="000000"/>
                <w:sz w:val="20"/>
                <w:szCs w:val="20"/>
                <w:vertAlign w:val="subscript"/>
              </w:rPr>
              <w:t>i,t</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1,207</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6,919</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0.248</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0.000</w:t>
            </w:r>
          </w:p>
        </w:tc>
        <w:tc>
          <w:tcPr>
            <w:tcW w:w="514"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0.432</w:t>
            </w:r>
          </w:p>
        </w:tc>
        <w:tc>
          <w:tcPr>
            <w:tcW w:w="472"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0.000</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1.000</w:t>
            </w:r>
          </w:p>
        </w:tc>
      </w:tr>
      <w:tr w:rsidR="00DA2D4F" w:rsidRPr="007D564F" w:rsidTr="00512993">
        <w:trPr>
          <w:trHeight w:val="283"/>
        </w:trPr>
        <w:tc>
          <w:tcPr>
            <w:tcW w:w="1547"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i/>
                <w:iCs/>
                <w:color w:val="000000"/>
                <w:sz w:val="20"/>
                <w:szCs w:val="20"/>
                <w:lang w:eastAsia="en-US"/>
              </w:rPr>
            </w:pPr>
            <w:r w:rsidRPr="007D564F">
              <w:rPr>
                <w:i/>
                <w:iCs/>
                <w:color w:val="000000"/>
                <w:sz w:val="20"/>
                <w:szCs w:val="20"/>
              </w:rPr>
              <w:t>logTotalAssets</w:t>
            </w:r>
            <w:r w:rsidRPr="007D564F">
              <w:rPr>
                <w:i/>
                <w:iCs/>
                <w:color w:val="000000"/>
                <w:sz w:val="20"/>
                <w:szCs w:val="20"/>
                <w:vertAlign w:val="subscript"/>
              </w:rPr>
              <w:t>i,t-1</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1,207</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6,919</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7.626</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7.513</w:t>
            </w:r>
          </w:p>
        </w:tc>
        <w:tc>
          <w:tcPr>
            <w:tcW w:w="514"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1.769</w:t>
            </w:r>
          </w:p>
        </w:tc>
        <w:tc>
          <w:tcPr>
            <w:tcW w:w="472"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0.000</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17.526</w:t>
            </w:r>
          </w:p>
        </w:tc>
      </w:tr>
      <w:tr w:rsidR="00DA2D4F" w:rsidRPr="007D564F" w:rsidTr="00512993">
        <w:trPr>
          <w:trHeight w:val="283"/>
        </w:trPr>
        <w:tc>
          <w:tcPr>
            <w:tcW w:w="1547" w:type="pct"/>
            <w:tcBorders>
              <w:top w:val="nil"/>
              <w:left w:val="nil"/>
              <w:bottom w:val="nil"/>
              <w:right w:val="nil"/>
            </w:tcBorders>
            <w:shd w:val="clear" w:color="auto" w:fill="auto"/>
            <w:noWrap/>
            <w:vAlign w:val="bottom"/>
            <w:hideMark/>
          </w:tcPr>
          <w:p w:rsidR="00512993" w:rsidRPr="007D564F" w:rsidRDefault="00512993" w:rsidP="001162C9">
            <w:pPr>
              <w:spacing w:after="0" w:line="240" w:lineRule="auto"/>
              <w:ind w:firstLine="0"/>
              <w:jc w:val="left"/>
              <w:rPr>
                <w:rFonts w:eastAsia="Times New Roman" w:cs="Times New Roman"/>
                <w:i/>
                <w:iCs/>
                <w:color w:val="000000"/>
                <w:sz w:val="20"/>
                <w:szCs w:val="20"/>
                <w:lang w:eastAsia="en-US"/>
              </w:rPr>
            </w:pPr>
            <w:r w:rsidRPr="007D564F">
              <w:rPr>
                <w:i/>
                <w:iCs/>
                <w:color w:val="000000"/>
                <w:sz w:val="20"/>
                <w:szCs w:val="20"/>
              </w:rPr>
              <w:t>TotalAssetGrowth</w:t>
            </w:r>
            <w:r w:rsidRPr="007D564F">
              <w:rPr>
                <w:i/>
                <w:iCs/>
                <w:color w:val="000000"/>
                <w:sz w:val="20"/>
                <w:szCs w:val="20"/>
                <w:vertAlign w:val="subscript"/>
              </w:rPr>
              <w:t>i,t-1</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1,207</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6,919</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0.607</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0.148</w:t>
            </w:r>
          </w:p>
        </w:tc>
        <w:tc>
          <w:tcPr>
            <w:tcW w:w="514"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1.484</w:t>
            </w:r>
          </w:p>
        </w:tc>
        <w:tc>
          <w:tcPr>
            <w:tcW w:w="472"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-6.631</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11.641</w:t>
            </w:r>
          </w:p>
        </w:tc>
      </w:tr>
      <w:tr w:rsidR="00DA2D4F" w:rsidRPr="007D564F" w:rsidTr="00512993">
        <w:trPr>
          <w:trHeight w:val="283"/>
        </w:trPr>
        <w:tc>
          <w:tcPr>
            <w:tcW w:w="1547"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i/>
                <w:iCs/>
                <w:color w:val="000000"/>
                <w:sz w:val="20"/>
                <w:szCs w:val="20"/>
                <w:lang w:eastAsia="en-US"/>
              </w:rPr>
            </w:pPr>
            <w:r w:rsidRPr="007D564F">
              <w:rPr>
                <w:i/>
                <w:iCs/>
                <w:color w:val="000000"/>
                <w:sz w:val="20"/>
                <w:szCs w:val="20"/>
              </w:rPr>
              <w:t>Tangibles</w:t>
            </w:r>
            <w:r w:rsidRPr="007D564F">
              <w:rPr>
                <w:i/>
                <w:iCs/>
                <w:color w:val="000000"/>
                <w:sz w:val="20"/>
                <w:szCs w:val="20"/>
                <w:vertAlign w:val="subscript"/>
              </w:rPr>
              <w:t>i,t</w:t>
            </w:r>
            <w:r w:rsidRPr="007D564F">
              <w:rPr>
                <w:i/>
                <w:iCs/>
                <w:color w:val="000000"/>
                <w:sz w:val="20"/>
                <w:szCs w:val="20"/>
              </w:rPr>
              <w:t xml:space="preserve"> </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1,207</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6,919</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0.217</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0.115</w:t>
            </w:r>
          </w:p>
        </w:tc>
        <w:tc>
          <w:tcPr>
            <w:tcW w:w="514"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0.242</w:t>
            </w:r>
          </w:p>
        </w:tc>
        <w:tc>
          <w:tcPr>
            <w:tcW w:w="472"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0.000</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0.930</w:t>
            </w:r>
          </w:p>
        </w:tc>
      </w:tr>
      <w:tr w:rsidR="00DA2D4F" w:rsidRPr="007D564F" w:rsidTr="00512993">
        <w:trPr>
          <w:trHeight w:val="283"/>
        </w:trPr>
        <w:tc>
          <w:tcPr>
            <w:tcW w:w="1547"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i/>
                <w:iCs/>
                <w:color w:val="000000"/>
                <w:sz w:val="20"/>
                <w:szCs w:val="20"/>
                <w:lang w:eastAsia="en-US"/>
              </w:rPr>
            </w:pPr>
            <w:r w:rsidRPr="007D564F">
              <w:rPr>
                <w:i/>
                <w:iCs/>
                <w:color w:val="000000"/>
                <w:sz w:val="20"/>
                <w:szCs w:val="20"/>
              </w:rPr>
              <w:t>Profitability</w:t>
            </w:r>
            <w:r w:rsidRPr="007D564F">
              <w:rPr>
                <w:i/>
                <w:iCs/>
                <w:color w:val="000000"/>
                <w:sz w:val="20"/>
                <w:szCs w:val="20"/>
                <w:vertAlign w:val="subscript"/>
              </w:rPr>
              <w:t>i,t-1</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1,207</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6,919</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3.790</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0.060</w:t>
            </w:r>
          </w:p>
        </w:tc>
        <w:tc>
          <w:tcPr>
            <w:tcW w:w="514"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18.684</w:t>
            </w:r>
          </w:p>
        </w:tc>
        <w:tc>
          <w:tcPr>
            <w:tcW w:w="472"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-17.528</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353.681</w:t>
            </w:r>
          </w:p>
        </w:tc>
      </w:tr>
      <w:tr w:rsidR="00DA2D4F" w:rsidRPr="007D564F" w:rsidTr="00512993">
        <w:trPr>
          <w:trHeight w:val="283"/>
        </w:trPr>
        <w:tc>
          <w:tcPr>
            <w:tcW w:w="154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i/>
                <w:iCs/>
                <w:color w:val="000000"/>
                <w:sz w:val="20"/>
                <w:szCs w:val="20"/>
                <w:lang w:eastAsia="en-US"/>
              </w:rPr>
            </w:pPr>
            <w:r w:rsidRPr="007D564F">
              <w:rPr>
                <w:i/>
                <w:iCs/>
                <w:color w:val="000000"/>
                <w:sz w:val="20"/>
                <w:szCs w:val="20"/>
              </w:rPr>
              <w:t>Liquidity</w:t>
            </w:r>
            <w:r w:rsidRPr="007D564F">
              <w:rPr>
                <w:i/>
                <w:iCs/>
                <w:color w:val="000000"/>
                <w:sz w:val="20"/>
                <w:szCs w:val="20"/>
                <w:vertAlign w:val="subscript"/>
              </w:rPr>
              <w:t>i,t-1</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1,207</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6,919</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0.155</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0.078</w:t>
            </w:r>
          </w:p>
        </w:tc>
        <w:tc>
          <w:tcPr>
            <w:tcW w:w="514"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0.189</w:t>
            </w:r>
          </w:p>
        </w:tc>
        <w:tc>
          <w:tcPr>
            <w:tcW w:w="472"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0.000</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0.931</w:t>
            </w:r>
          </w:p>
        </w:tc>
      </w:tr>
      <w:tr w:rsidR="00DA2D4F" w:rsidRPr="007D564F" w:rsidTr="00512993">
        <w:trPr>
          <w:trHeight w:val="283"/>
        </w:trPr>
        <w:tc>
          <w:tcPr>
            <w:tcW w:w="154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i/>
                <w:iCs/>
                <w:color w:val="000000"/>
                <w:sz w:val="20"/>
                <w:szCs w:val="20"/>
                <w:lang w:eastAsia="en-US"/>
              </w:rPr>
            </w:pPr>
            <w:r w:rsidRPr="007D564F">
              <w:rPr>
                <w:i/>
                <w:iCs/>
                <w:color w:val="000000"/>
                <w:sz w:val="20"/>
                <w:szCs w:val="20"/>
              </w:rPr>
              <w:t>logEquity</w:t>
            </w:r>
            <w:r w:rsidRPr="007D564F">
              <w:rPr>
                <w:i/>
                <w:iCs/>
                <w:color w:val="000000"/>
                <w:sz w:val="20"/>
                <w:szCs w:val="20"/>
                <w:vertAlign w:val="subscript"/>
              </w:rPr>
              <w:t>i,t-1</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1,207</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6,919</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4.982</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5.091</w:t>
            </w:r>
          </w:p>
        </w:tc>
        <w:tc>
          <w:tcPr>
            <w:tcW w:w="514"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2.341</w:t>
            </w:r>
          </w:p>
        </w:tc>
        <w:tc>
          <w:tcPr>
            <w:tcW w:w="472"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0.000</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16.141</w:t>
            </w:r>
          </w:p>
        </w:tc>
      </w:tr>
      <w:tr w:rsidR="00DA2D4F" w:rsidRPr="007D564F" w:rsidTr="00512993">
        <w:trPr>
          <w:trHeight w:val="283"/>
        </w:trPr>
        <w:tc>
          <w:tcPr>
            <w:tcW w:w="154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i/>
                <w:iCs/>
                <w:color w:val="000000"/>
                <w:sz w:val="20"/>
                <w:szCs w:val="20"/>
                <w:lang w:eastAsia="en-US"/>
              </w:rPr>
            </w:pPr>
            <w:r w:rsidRPr="007D564F">
              <w:rPr>
                <w:i/>
                <w:iCs/>
                <w:color w:val="000000"/>
                <w:sz w:val="20"/>
                <w:szCs w:val="20"/>
              </w:rPr>
              <w:t>Age</w:t>
            </w:r>
            <w:r w:rsidRPr="007D564F">
              <w:rPr>
                <w:i/>
                <w:iCs/>
                <w:color w:val="000000"/>
                <w:sz w:val="20"/>
                <w:szCs w:val="20"/>
                <w:vertAlign w:val="subscript"/>
              </w:rPr>
              <w:t>i,t</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1,207</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6,919</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9.875</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7.000</w:t>
            </w:r>
          </w:p>
        </w:tc>
        <w:tc>
          <w:tcPr>
            <w:tcW w:w="514"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9.348</w:t>
            </w:r>
          </w:p>
        </w:tc>
        <w:tc>
          <w:tcPr>
            <w:tcW w:w="472"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1.000</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59.000</w:t>
            </w:r>
          </w:p>
        </w:tc>
      </w:tr>
      <w:tr w:rsidR="00DA2D4F" w:rsidRPr="007D564F" w:rsidTr="00512993">
        <w:trPr>
          <w:trHeight w:val="283"/>
        </w:trPr>
        <w:tc>
          <w:tcPr>
            <w:tcW w:w="154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i/>
                <w:iCs/>
                <w:color w:val="000000"/>
                <w:sz w:val="20"/>
                <w:szCs w:val="20"/>
                <w:lang w:eastAsia="en-US"/>
              </w:rPr>
            </w:pPr>
            <w:r w:rsidRPr="007D564F">
              <w:rPr>
                <w:i/>
                <w:iCs/>
                <w:color w:val="000000"/>
                <w:sz w:val="20"/>
                <w:szCs w:val="20"/>
              </w:rPr>
              <w:t>PublicSupport</w:t>
            </w:r>
            <w:r w:rsidRPr="007D564F">
              <w:rPr>
                <w:i/>
                <w:iCs/>
                <w:color w:val="000000"/>
                <w:sz w:val="20"/>
                <w:szCs w:val="20"/>
                <w:vertAlign w:val="subscript"/>
              </w:rPr>
              <w:t>i,t-1</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1,207</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6,919</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0.053</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0.000</w:t>
            </w:r>
          </w:p>
        </w:tc>
        <w:tc>
          <w:tcPr>
            <w:tcW w:w="514"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0.225</w:t>
            </w:r>
          </w:p>
        </w:tc>
        <w:tc>
          <w:tcPr>
            <w:tcW w:w="472"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0.000</w:t>
            </w:r>
          </w:p>
        </w:tc>
        <w:tc>
          <w:tcPr>
            <w:tcW w:w="493"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1.000</w:t>
            </w:r>
          </w:p>
        </w:tc>
      </w:tr>
      <w:tr w:rsidR="00DA2D4F" w:rsidRPr="007D564F" w:rsidTr="00512993">
        <w:trPr>
          <w:trHeight w:val="283"/>
        </w:trPr>
        <w:tc>
          <w:tcPr>
            <w:tcW w:w="1547" w:type="pct"/>
            <w:tcBorders>
              <w:top w:val="nil"/>
              <w:left w:val="nil"/>
              <w:bottom w:val="double" w:sz="6" w:space="0" w:color="auto"/>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i/>
                <w:iCs/>
                <w:color w:val="000000"/>
                <w:sz w:val="20"/>
                <w:szCs w:val="20"/>
                <w:lang w:eastAsia="en-US"/>
              </w:rPr>
            </w:pPr>
            <w:r w:rsidRPr="007D564F">
              <w:rPr>
                <w:i/>
                <w:iCs/>
                <w:color w:val="000000"/>
                <w:sz w:val="20"/>
                <w:szCs w:val="20"/>
              </w:rPr>
              <w:t>VC</w:t>
            </w:r>
            <w:r w:rsidRPr="007D564F">
              <w:rPr>
                <w:i/>
                <w:iCs/>
                <w:color w:val="000000"/>
                <w:sz w:val="20"/>
                <w:szCs w:val="20"/>
                <w:vertAlign w:val="subscript"/>
              </w:rPr>
              <w:t>i,t-1</w:t>
            </w:r>
          </w:p>
        </w:tc>
        <w:tc>
          <w:tcPr>
            <w:tcW w:w="493" w:type="pct"/>
            <w:tcBorders>
              <w:top w:val="nil"/>
              <w:left w:val="nil"/>
              <w:bottom w:val="double" w:sz="6" w:space="0" w:color="auto"/>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1,207</w:t>
            </w:r>
          </w:p>
        </w:tc>
        <w:tc>
          <w:tcPr>
            <w:tcW w:w="493" w:type="pct"/>
            <w:tcBorders>
              <w:top w:val="nil"/>
              <w:left w:val="nil"/>
              <w:bottom w:val="double" w:sz="6" w:space="0" w:color="auto"/>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6,919</w:t>
            </w:r>
          </w:p>
        </w:tc>
        <w:tc>
          <w:tcPr>
            <w:tcW w:w="493" w:type="pct"/>
            <w:tcBorders>
              <w:top w:val="nil"/>
              <w:left w:val="nil"/>
              <w:bottom w:val="double" w:sz="6" w:space="0" w:color="auto"/>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0.267</w:t>
            </w:r>
          </w:p>
        </w:tc>
        <w:tc>
          <w:tcPr>
            <w:tcW w:w="493" w:type="pct"/>
            <w:tcBorders>
              <w:top w:val="nil"/>
              <w:left w:val="nil"/>
              <w:bottom w:val="double" w:sz="6" w:space="0" w:color="auto"/>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0.000</w:t>
            </w:r>
          </w:p>
        </w:tc>
        <w:tc>
          <w:tcPr>
            <w:tcW w:w="514" w:type="pct"/>
            <w:tcBorders>
              <w:top w:val="nil"/>
              <w:left w:val="nil"/>
              <w:bottom w:val="double" w:sz="6" w:space="0" w:color="auto"/>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0.443</w:t>
            </w:r>
          </w:p>
        </w:tc>
        <w:tc>
          <w:tcPr>
            <w:tcW w:w="472" w:type="pct"/>
            <w:tcBorders>
              <w:top w:val="nil"/>
              <w:left w:val="nil"/>
              <w:bottom w:val="double" w:sz="6" w:space="0" w:color="auto"/>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0.000</w:t>
            </w:r>
          </w:p>
        </w:tc>
        <w:tc>
          <w:tcPr>
            <w:tcW w:w="493" w:type="pct"/>
            <w:tcBorders>
              <w:top w:val="nil"/>
              <w:left w:val="nil"/>
              <w:bottom w:val="double" w:sz="6" w:space="0" w:color="auto"/>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1.000</w:t>
            </w:r>
          </w:p>
        </w:tc>
      </w:tr>
    </w:tbl>
    <w:p w:rsidR="00512993" w:rsidRPr="007D564F" w:rsidRDefault="00512993" w:rsidP="00512993">
      <w:pPr>
        <w:spacing w:line="240" w:lineRule="auto"/>
        <w:ind w:firstLine="0"/>
        <w:rPr>
          <w:szCs w:val="20"/>
        </w:rPr>
      </w:pPr>
      <w:r w:rsidRPr="007D564F">
        <w:rPr>
          <w:i/>
          <w:iCs/>
          <w:color w:val="000000"/>
          <w:sz w:val="20"/>
          <w:szCs w:val="20"/>
        </w:rPr>
        <w:t>logDebt</w:t>
      </w:r>
      <w:r w:rsidRPr="007D564F">
        <w:rPr>
          <w:i/>
          <w:iCs/>
          <w:color w:val="000000"/>
          <w:sz w:val="20"/>
          <w:szCs w:val="20"/>
          <w:vertAlign w:val="subscript"/>
        </w:rPr>
        <w:t>i,t</w:t>
      </w:r>
      <w:r w:rsidRPr="007D564F">
        <w:rPr>
          <w:sz w:val="20"/>
          <w:szCs w:val="20"/>
        </w:rPr>
        <w:t xml:space="preserve">: Logarithm of the amount of financial debt in th EUR, reduced by the amount of the PL the company owes to the government. </w:t>
      </w:r>
      <w:r w:rsidRPr="007D564F">
        <w:rPr>
          <w:i/>
          <w:iCs/>
          <w:color w:val="000000"/>
          <w:sz w:val="20"/>
          <w:szCs w:val="20"/>
        </w:rPr>
        <w:t>PL</w:t>
      </w:r>
      <w:r w:rsidRPr="007D564F">
        <w:rPr>
          <w:i/>
          <w:iCs/>
          <w:color w:val="000000"/>
          <w:sz w:val="20"/>
          <w:szCs w:val="20"/>
          <w:vertAlign w:val="subscript"/>
        </w:rPr>
        <w:t>i</w:t>
      </w:r>
      <w:r w:rsidRPr="007D564F">
        <w:rPr>
          <w:i/>
          <w:sz w:val="20"/>
          <w:szCs w:val="20"/>
          <w:vertAlign w:val="subscript"/>
        </w:rPr>
        <w:t>,t</w:t>
      </w:r>
      <w:r w:rsidRPr="007D564F">
        <w:rPr>
          <w:sz w:val="20"/>
          <w:szCs w:val="20"/>
        </w:rPr>
        <w:t xml:space="preserve">: Dummy variable equal to 1 in the year in which a company received its first PL and in all the following years, and 0 otherwise. </w:t>
      </w:r>
      <w:r w:rsidRPr="007D564F">
        <w:rPr>
          <w:i/>
          <w:iCs/>
          <w:color w:val="000000"/>
          <w:sz w:val="20"/>
          <w:szCs w:val="20"/>
        </w:rPr>
        <w:t>logTotalAssets</w:t>
      </w:r>
      <w:r w:rsidRPr="007D564F">
        <w:rPr>
          <w:i/>
          <w:iCs/>
          <w:color w:val="000000"/>
          <w:sz w:val="20"/>
          <w:szCs w:val="20"/>
          <w:vertAlign w:val="subscript"/>
        </w:rPr>
        <w:t>i</w:t>
      </w:r>
      <w:r w:rsidRPr="007D564F">
        <w:rPr>
          <w:i/>
          <w:sz w:val="20"/>
          <w:szCs w:val="20"/>
          <w:vertAlign w:val="subscript"/>
        </w:rPr>
        <w:t>,t-1</w:t>
      </w:r>
      <w:r w:rsidRPr="007D564F">
        <w:rPr>
          <w:sz w:val="20"/>
          <w:szCs w:val="20"/>
        </w:rPr>
        <w:t xml:space="preserve">: Logarithm of the book value of total assets in t in th EUR, lagged by one year. </w:t>
      </w:r>
      <w:r w:rsidRPr="007D564F">
        <w:rPr>
          <w:i/>
          <w:sz w:val="20"/>
          <w:szCs w:val="20"/>
        </w:rPr>
        <w:t>TotalAssetGrowth</w:t>
      </w:r>
      <w:r w:rsidRPr="007D564F">
        <w:rPr>
          <w:i/>
          <w:sz w:val="20"/>
          <w:szCs w:val="20"/>
          <w:vertAlign w:val="subscript"/>
        </w:rPr>
        <w:t>i,t-1</w:t>
      </w:r>
      <w:r w:rsidRPr="007D564F">
        <w:rPr>
          <w:sz w:val="20"/>
          <w:szCs w:val="20"/>
        </w:rPr>
        <w:t xml:space="preserve">: Difference between the logarithm of the book value of total assets in t in th EUR, and the logarithm of the book value of total assets in t-1 in th EUR, lagged by one year. </w:t>
      </w:r>
      <w:r w:rsidRPr="007D564F">
        <w:rPr>
          <w:i/>
          <w:sz w:val="20"/>
          <w:szCs w:val="20"/>
        </w:rPr>
        <w:t>Tangibles</w:t>
      </w:r>
      <w:r w:rsidRPr="007D564F">
        <w:rPr>
          <w:i/>
          <w:sz w:val="20"/>
          <w:szCs w:val="20"/>
          <w:vertAlign w:val="subscript"/>
        </w:rPr>
        <w:t>i,t-1</w:t>
      </w:r>
      <w:r w:rsidRPr="007D564F">
        <w:rPr>
          <w:sz w:val="20"/>
          <w:szCs w:val="20"/>
        </w:rPr>
        <w:t xml:space="preserve">: book value of tangible fixed assets divided by total assets, lagged by one year. </w:t>
      </w:r>
      <w:r w:rsidRPr="007D564F">
        <w:rPr>
          <w:i/>
          <w:sz w:val="20"/>
          <w:szCs w:val="20"/>
        </w:rPr>
        <w:t>Profitability</w:t>
      </w:r>
      <w:r w:rsidRPr="007D564F">
        <w:rPr>
          <w:i/>
          <w:sz w:val="20"/>
          <w:szCs w:val="20"/>
          <w:vertAlign w:val="subscript"/>
        </w:rPr>
        <w:t>i,t-1</w:t>
      </w:r>
      <w:r w:rsidRPr="007D564F">
        <w:rPr>
          <w:sz w:val="20"/>
          <w:szCs w:val="20"/>
        </w:rPr>
        <w:t xml:space="preserve">: Earnings before interest, taxes, depreciation and amortization over total assets, lagged by one year. </w:t>
      </w:r>
      <w:r w:rsidRPr="007D564F">
        <w:rPr>
          <w:i/>
          <w:iCs/>
          <w:sz w:val="20"/>
          <w:szCs w:val="20"/>
        </w:rPr>
        <w:t>logEquity</w:t>
      </w:r>
      <w:r w:rsidRPr="007D564F">
        <w:rPr>
          <w:i/>
          <w:iCs/>
          <w:sz w:val="20"/>
          <w:szCs w:val="20"/>
          <w:vertAlign w:val="subscript"/>
        </w:rPr>
        <w:t>i,t-1</w:t>
      </w:r>
      <w:r w:rsidRPr="007D564F">
        <w:rPr>
          <w:iCs/>
          <w:sz w:val="20"/>
          <w:szCs w:val="20"/>
        </w:rPr>
        <w:t xml:space="preserve"> is the logarithm of the book value of equity in the previous year. </w:t>
      </w:r>
      <w:r w:rsidRPr="007D564F">
        <w:rPr>
          <w:rFonts w:eastAsia="Times New Roman" w:cs="Times New Roman"/>
          <w:i/>
          <w:iCs/>
          <w:color w:val="000000"/>
          <w:sz w:val="20"/>
          <w:szCs w:val="20"/>
          <w:lang w:eastAsia="en-US"/>
        </w:rPr>
        <w:t>Liquidity</w:t>
      </w:r>
      <w:r w:rsidRPr="007D564F">
        <w:rPr>
          <w:rFonts w:eastAsia="Times New Roman" w:cs="Times New Roman"/>
          <w:i/>
          <w:iCs/>
          <w:color w:val="000000"/>
          <w:sz w:val="20"/>
          <w:szCs w:val="20"/>
          <w:vertAlign w:val="subscript"/>
          <w:lang w:eastAsia="en-US"/>
        </w:rPr>
        <w:t>i,t-</w:t>
      </w:r>
      <w:r w:rsidRPr="007D564F">
        <w:rPr>
          <w:rFonts w:eastAsia="Times New Roman" w:cs="Times New Roman"/>
          <w:iCs/>
          <w:color w:val="000000"/>
          <w:sz w:val="20"/>
          <w:szCs w:val="20"/>
          <w:vertAlign w:val="subscript"/>
          <w:lang w:eastAsia="en-US"/>
        </w:rPr>
        <w:t>1</w:t>
      </w:r>
      <w:r w:rsidRPr="007D564F">
        <w:rPr>
          <w:rFonts w:eastAsia="Times New Roman" w:cs="Times New Roman"/>
          <w:iCs/>
          <w:color w:val="000000"/>
          <w:sz w:val="20"/>
          <w:szCs w:val="20"/>
          <w:lang w:eastAsia="en-US"/>
        </w:rPr>
        <w:t xml:space="preserve">: book value of the cash divided by total assets, lagged by one year. </w:t>
      </w:r>
      <w:r w:rsidRPr="007D564F">
        <w:rPr>
          <w:i/>
          <w:sz w:val="20"/>
          <w:szCs w:val="20"/>
        </w:rPr>
        <w:t>Age</w:t>
      </w:r>
      <w:r w:rsidRPr="007D564F">
        <w:rPr>
          <w:i/>
          <w:sz w:val="20"/>
          <w:szCs w:val="20"/>
          <w:vertAlign w:val="subscript"/>
        </w:rPr>
        <w:t>i,t</w:t>
      </w:r>
      <w:r w:rsidRPr="007D564F">
        <w:rPr>
          <w:sz w:val="20"/>
          <w:szCs w:val="20"/>
        </w:rPr>
        <w:t xml:space="preserve">: Years since the firm was established. </w:t>
      </w:r>
      <w:r w:rsidRPr="007D564F">
        <w:rPr>
          <w:i/>
          <w:sz w:val="20"/>
          <w:szCs w:val="20"/>
        </w:rPr>
        <w:t>VC</w:t>
      </w:r>
      <w:r w:rsidRPr="007D564F">
        <w:rPr>
          <w:i/>
          <w:sz w:val="20"/>
          <w:szCs w:val="20"/>
          <w:vertAlign w:val="subscript"/>
        </w:rPr>
        <w:t>i,t</w:t>
      </w:r>
      <w:r w:rsidRPr="007D564F">
        <w:rPr>
          <w:sz w:val="20"/>
          <w:szCs w:val="20"/>
        </w:rPr>
        <w:t xml:space="preserve">: Dummy equal to 1 in the year in which a company received its first VC round and in all the following years, and 0 otherwise. </w:t>
      </w:r>
      <w:r w:rsidRPr="007D564F">
        <w:rPr>
          <w:i/>
          <w:sz w:val="20"/>
          <w:szCs w:val="20"/>
        </w:rPr>
        <w:t>PublicSupport</w:t>
      </w:r>
      <w:r w:rsidRPr="007D564F">
        <w:rPr>
          <w:i/>
          <w:sz w:val="20"/>
          <w:szCs w:val="20"/>
          <w:vertAlign w:val="subscript"/>
        </w:rPr>
        <w:t>i,t</w:t>
      </w:r>
      <w:r w:rsidRPr="007D564F">
        <w:rPr>
          <w:sz w:val="20"/>
          <w:szCs w:val="20"/>
        </w:rPr>
        <w:t>: Dummy equal to 1 in the year in which a firm received its first subsidized loan from either CDTI or ACCIO and in all the following years, and 0 otherwise.</w:t>
      </w:r>
    </w:p>
    <w:p w:rsidR="00512993" w:rsidRPr="007D564F" w:rsidRDefault="00512993">
      <w:pPr>
        <w:spacing w:line="276" w:lineRule="auto"/>
        <w:ind w:firstLine="0"/>
        <w:jc w:val="left"/>
        <w:rPr>
          <w:b/>
          <w:bCs/>
          <w:sz w:val="20"/>
          <w:szCs w:val="20"/>
          <w:lang w:eastAsia="en-US" w:bidi="en-US"/>
        </w:rPr>
      </w:pPr>
      <w:r w:rsidRPr="007D564F">
        <w:rPr>
          <w:szCs w:val="20"/>
        </w:rPr>
        <w:br w:type="page"/>
      </w:r>
    </w:p>
    <w:p w:rsidR="00512993" w:rsidRPr="007D564F" w:rsidRDefault="00512993" w:rsidP="00512993">
      <w:pPr>
        <w:pStyle w:val="Descripcin"/>
        <w:spacing w:line="240" w:lineRule="auto"/>
        <w:rPr>
          <w:szCs w:val="20"/>
        </w:rPr>
      </w:pPr>
      <w:r w:rsidRPr="007D564F">
        <w:rPr>
          <w:szCs w:val="20"/>
        </w:rPr>
        <w:lastRenderedPageBreak/>
        <w:t xml:space="preserve">Table </w:t>
      </w:r>
      <w:r w:rsidR="007C60DA" w:rsidRPr="007D564F">
        <w:rPr>
          <w:szCs w:val="20"/>
        </w:rPr>
        <w:fldChar w:fldCharType="begin"/>
      </w:r>
      <w:r w:rsidRPr="007D564F">
        <w:rPr>
          <w:szCs w:val="20"/>
        </w:rPr>
        <w:instrText xml:space="preserve"> SEQ Table \* ARABIC </w:instrText>
      </w:r>
      <w:r w:rsidR="007C60DA" w:rsidRPr="007D564F">
        <w:rPr>
          <w:szCs w:val="20"/>
        </w:rPr>
        <w:fldChar w:fldCharType="separate"/>
      </w:r>
      <w:r w:rsidRPr="007D564F">
        <w:rPr>
          <w:noProof/>
          <w:szCs w:val="20"/>
        </w:rPr>
        <w:t>5</w:t>
      </w:r>
      <w:r w:rsidR="007C60DA" w:rsidRPr="007D564F">
        <w:rPr>
          <w:noProof/>
          <w:szCs w:val="20"/>
        </w:rPr>
        <w:fldChar w:fldCharType="end"/>
      </w:r>
      <w:r w:rsidRPr="007D564F">
        <w:rPr>
          <w:szCs w:val="20"/>
        </w:rPr>
        <w:t>: Pairwise correlation matrix of variables</w:t>
      </w:r>
    </w:p>
    <w:tbl>
      <w:tblPr>
        <w:tblW w:w="5000" w:type="pct"/>
        <w:tblCellMar>
          <w:left w:w="57" w:type="dxa"/>
          <w:right w:w="57" w:type="dxa"/>
        </w:tblCellMar>
        <w:tblLook w:val="04A0" w:firstRow="1" w:lastRow="0" w:firstColumn="1" w:lastColumn="0" w:noHBand="0" w:noVBand="1"/>
      </w:tblPr>
      <w:tblGrid>
        <w:gridCol w:w="406"/>
        <w:gridCol w:w="2984"/>
        <w:gridCol w:w="566"/>
        <w:gridCol w:w="566"/>
        <w:gridCol w:w="565"/>
        <w:gridCol w:w="565"/>
        <w:gridCol w:w="565"/>
        <w:gridCol w:w="565"/>
        <w:gridCol w:w="565"/>
        <w:gridCol w:w="565"/>
        <w:gridCol w:w="565"/>
        <w:gridCol w:w="565"/>
        <w:gridCol w:w="476"/>
      </w:tblGrid>
      <w:tr w:rsidR="00DA2D4F" w:rsidRPr="007D564F" w:rsidTr="00512993">
        <w:trPr>
          <w:trHeight w:val="283"/>
        </w:trPr>
        <w:tc>
          <w:tcPr>
            <w:tcW w:w="213" w:type="pct"/>
            <w:tcBorders>
              <w:top w:val="double" w:sz="6" w:space="0" w:color="auto"/>
              <w:left w:val="nil"/>
              <w:bottom w:val="single" w:sz="4" w:space="0" w:color="auto"/>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b/>
                <w:color w:val="000000"/>
                <w:sz w:val="20"/>
                <w:szCs w:val="20"/>
                <w:lang w:eastAsia="en-US"/>
              </w:rPr>
            </w:pPr>
            <w:r w:rsidRPr="007D564F">
              <w:rPr>
                <w:rFonts w:cs="Times New Roman"/>
                <w:color w:val="000000"/>
                <w:sz w:val="20"/>
                <w:szCs w:val="20"/>
              </w:rPr>
              <w:t> </w:t>
            </w:r>
          </w:p>
        </w:tc>
        <w:tc>
          <w:tcPr>
            <w:tcW w:w="1567" w:type="pct"/>
            <w:tcBorders>
              <w:top w:val="double" w:sz="6" w:space="0" w:color="auto"/>
              <w:left w:val="nil"/>
              <w:bottom w:val="single" w:sz="4" w:space="0" w:color="auto"/>
              <w:right w:val="nil"/>
            </w:tcBorders>
            <w:shd w:val="clear" w:color="auto" w:fill="auto"/>
            <w:noWrap/>
            <w:vAlign w:val="bottom"/>
            <w:hideMark/>
          </w:tcPr>
          <w:p w:rsidR="00512993" w:rsidRPr="007D564F" w:rsidRDefault="00512993" w:rsidP="00512993">
            <w:pPr>
              <w:spacing w:after="0" w:line="240" w:lineRule="auto"/>
              <w:ind w:right="-59" w:firstLine="0"/>
              <w:jc w:val="left"/>
              <w:rPr>
                <w:rFonts w:eastAsia="Times New Roman" w:cs="Times New Roman"/>
                <w:b/>
                <w:bCs/>
                <w:color w:val="000000"/>
                <w:sz w:val="20"/>
                <w:szCs w:val="20"/>
                <w:lang w:eastAsia="en-US"/>
              </w:rPr>
            </w:pPr>
            <w:r w:rsidRPr="007D564F">
              <w:rPr>
                <w:rFonts w:cs="Times New Roman"/>
                <w:b/>
                <w:bCs/>
                <w:color w:val="000000"/>
                <w:sz w:val="20"/>
                <w:szCs w:val="20"/>
              </w:rPr>
              <w:t>Variable</w:t>
            </w:r>
          </w:p>
        </w:tc>
        <w:tc>
          <w:tcPr>
            <w:tcW w:w="297" w:type="pct"/>
            <w:tcBorders>
              <w:top w:val="double" w:sz="6" w:space="0" w:color="auto"/>
              <w:left w:val="nil"/>
              <w:bottom w:val="single" w:sz="4" w:space="0" w:color="auto"/>
              <w:right w:val="nil"/>
            </w:tcBorders>
            <w:shd w:val="clear" w:color="auto" w:fill="auto"/>
            <w:noWrap/>
            <w:vAlign w:val="bottom"/>
            <w:hideMark/>
          </w:tcPr>
          <w:p w:rsidR="00512993" w:rsidRPr="007D564F" w:rsidRDefault="00512993" w:rsidP="00512993">
            <w:pPr>
              <w:spacing w:after="0" w:line="240" w:lineRule="auto"/>
              <w:ind w:left="-52" w:firstLine="0"/>
              <w:jc w:val="right"/>
              <w:rPr>
                <w:rFonts w:eastAsia="Times New Roman" w:cs="Times New Roman"/>
                <w:b/>
                <w:bCs/>
                <w:color w:val="000000"/>
                <w:sz w:val="20"/>
                <w:szCs w:val="20"/>
                <w:lang w:eastAsia="en-US"/>
              </w:rPr>
            </w:pPr>
            <w:r w:rsidRPr="007D564F">
              <w:rPr>
                <w:rFonts w:cs="Times New Roman"/>
                <w:b/>
                <w:bCs/>
                <w:color w:val="000000"/>
                <w:sz w:val="20"/>
                <w:szCs w:val="20"/>
              </w:rPr>
              <w:t>1</w:t>
            </w:r>
          </w:p>
        </w:tc>
        <w:tc>
          <w:tcPr>
            <w:tcW w:w="297" w:type="pct"/>
            <w:tcBorders>
              <w:top w:val="double" w:sz="6" w:space="0" w:color="auto"/>
              <w:left w:val="nil"/>
              <w:bottom w:val="single" w:sz="4" w:space="0" w:color="auto"/>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b/>
                <w:bCs/>
                <w:color w:val="000000"/>
                <w:sz w:val="20"/>
                <w:szCs w:val="20"/>
                <w:lang w:eastAsia="en-US"/>
              </w:rPr>
            </w:pPr>
            <w:r w:rsidRPr="007D564F">
              <w:rPr>
                <w:rFonts w:cs="Times New Roman"/>
                <w:b/>
                <w:bCs/>
                <w:color w:val="000000"/>
                <w:sz w:val="20"/>
                <w:szCs w:val="20"/>
              </w:rPr>
              <w:t>2</w:t>
            </w:r>
          </w:p>
        </w:tc>
        <w:tc>
          <w:tcPr>
            <w:tcW w:w="297" w:type="pct"/>
            <w:tcBorders>
              <w:top w:val="double" w:sz="6" w:space="0" w:color="auto"/>
              <w:left w:val="nil"/>
              <w:bottom w:val="single" w:sz="4" w:space="0" w:color="auto"/>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b/>
                <w:bCs/>
                <w:color w:val="000000"/>
                <w:sz w:val="20"/>
                <w:szCs w:val="20"/>
                <w:lang w:eastAsia="en-US"/>
              </w:rPr>
            </w:pPr>
            <w:r w:rsidRPr="007D564F">
              <w:rPr>
                <w:rFonts w:cs="Times New Roman"/>
                <w:b/>
                <w:bCs/>
                <w:color w:val="000000"/>
                <w:sz w:val="20"/>
                <w:szCs w:val="20"/>
              </w:rPr>
              <w:t>3</w:t>
            </w:r>
          </w:p>
        </w:tc>
        <w:tc>
          <w:tcPr>
            <w:tcW w:w="297" w:type="pct"/>
            <w:tcBorders>
              <w:top w:val="double" w:sz="6" w:space="0" w:color="auto"/>
              <w:left w:val="nil"/>
              <w:bottom w:val="single" w:sz="4" w:space="0" w:color="auto"/>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b/>
                <w:bCs/>
                <w:color w:val="000000"/>
                <w:sz w:val="20"/>
                <w:szCs w:val="20"/>
                <w:lang w:eastAsia="en-US"/>
              </w:rPr>
            </w:pPr>
            <w:r w:rsidRPr="007D564F">
              <w:rPr>
                <w:rFonts w:cs="Times New Roman"/>
                <w:b/>
                <w:bCs/>
                <w:color w:val="000000"/>
                <w:sz w:val="20"/>
                <w:szCs w:val="20"/>
              </w:rPr>
              <w:t>4</w:t>
            </w:r>
          </w:p>
        </w:tc>
        <w:tc>
          <w:tcPr>
            <w:tcW w:w="297" w:type="pct"/>
            <w:tcBorders>
              <w:top w:val="double" w:sz="6" w:space="0" w:color="auto"/>
              <w:left w:val="nil"/>
              <w:bottom w:val="single" w:sz="4" w:space="0" w:color="auto"/>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b/>
                <w:bCs/>
                <w:color w:val="000000"/>
                <w:sz w:val="20"/>
                <w:szCs w:val="20"/>
                <w:lang w:eastAsia="en-US"/>
              </w:rPr>
            </w:pPr>
            <w:r w:rsidRPr="007D564F">
              <w:rPr>
                <w:rFonts w:cs="Times New Roman"/>
                <w:b/>
                <w:bCs/>
                <w:color w:val="000000"/>
                <w:sz w:val="20"/>
                <w:szCs w:val="20"/>
              </w:rPr>
              <w:t>5</w:t>
            </w:r>
          </w:p>
        </w:tc>
        <w:tc>
          <w:tcPr>
            <w:tcW w:w="297" w:type="pct"/>
            <w:tcBorders>
              <w:top w:val="double" w:sz="6" w:space="0" w:color="auto"/>
              <w:left w:val="nil"/>
              <w:bottom w:val="single" w:sz="4" w:space="0" w:color="auto"/>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b/>
                <w:bCs/>
                <w:color w:val="000000"/>
                <w:sz w:val="20"/>
                <w:szCs w:val="20"/>
                <w:lang w:eastAsia="en-US"/>
              </w:rPr>
            </w:pPr>
            <w:r w:rsidRPr="007D564F">
              <w:rPr>
                <w:rFonts w:cs="Times New Roman"/>
                <w:b/>
                <w:bCs/>
                <w:color w:val="000000"/>
                <w:sz w:val="20"/>
                <w:szCs w:val="20"/>
              </w:rPr>
              <w:t>6</w:t>
            </w:r>
          </w:p>
        </w:tc>
        <w:tc>
          <w:tcPr>
            <w:tcW w:w="297" w:type="pct"/>
            <w:tcBorders>
              <w:top w:val="double" w:sz="6" w:space="0" w:color="auto"/>
              <w:left w:val="nil"/>
              <w:bottom w:val="single" w:sz="4" w:space="0" w:color="auto"/>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b/>
                <w:bCs/>
                <w:color w:val="000000"/>
                <w:sz w:val="20"/>
                <w:szCs w:val="20"/>
                <w:lang w:eastAsia="en-US"/>
              </w:rPr>
            </w:pPr>
            <w:r w:rsidRPr="007D564F">
              <w:rPr>
                <w:rFonts w:cs="Times New Roman"/>
                <w:b/>
                <w:bCs/>
                <w:color w:val="000000"/>
                <w:sz w:val="20"/>
                <w:szCs w:val="20"/>
              </w:rPr>
              <w:t>7</w:t>
            </w:r>
          </w:p>
        </w:tc>
        <w:tc>
          <w:tcPr>
            <w:tcW w:w="297" w:type="pct"/>
            <w:tcBorders>
              <w:top w:val="double" w:sz="6" w:space="0" w:color="auto"/>
              <w:left w:val="nil"/>
              <w:bottom w:val="single" w:sz="4" w:space="0" w:color="auto"/>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b/>
                <w:bCs/>
                <w:color w:val="000000"/>
                <w:sz w:val="20"/>
                <w:szCs w:val="20"/>
                <w:lang w:eastAsia="en-US"/>
              </w:rPr>
            </w:pPr>
            <w:r w:rsidRPr="007D564F">
              <w:rPr>
                <w:rFonts w:cs="Times New Roman"/>
                <w:b/>
                <w:bCs/>
                <w:color w:val="000000"/>
                <w:sz w:val="20"/>
                <w:szCs w:val="20"/>
              </w:rPr>
              <w:t>8</w:t>
            </w:r>
          </w:p>
        </w:tc>
        <w:tc>
          <w:tcPr>
            <w:tcW w:w="297" w:type="pct"/>
            <w:tcBorders>
              <w:top w:val="double" w:sz="6" w:space="0" w:color="auto"/>
              <w:left w:val="nil"/>
              <w:bottom w:val="single" w:sz="4" w:space="0" w:color="auto"/>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b/>
                <w:bCs/>
                <w:color w:val="000000"/>
                <w:sz w:val="20"/>
                <w:szCs w:val="20"/>
                <w:lang w:eastAsia="en-US"/>
              </w:rPr>
            </w:pPr>
            <w:r w:rsidRPr="007D564F">
              <w:rPr>
                <w:rFonts w:cs="Times New Roman"/>
                <w:b/>
                <w:bCs/>
                <w:color w:val="000000"/>
                <w:sz w:val="20"/>
                <w:szCs w:val="20"/>
              </w:rPr>
              <w:t>9</w:t>
            </w:r>
          </w:p>
        </w:tc>
        <w:tc>
          <w:tcPr>
            <w:tcW w:w="297" w:type="pct"/>
            <w:tcBorders>
              <w:top w:val="double" w:sz="6" w:space="0" w:color="auto"/>
              <w:left w:val="nil"/>
              <w:bottom w:val="single" w:sz="4" w:space="0" w:color="auto"/>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b/>
                <w:bCs/>
                <w:color w:val="000000"/>
                <w:sz w:val="20"/>
                <w:szCs w:val="20"/>
                <w:lang w:eastAsia="en-US"/>
              </w:rPr>
            </w:pPr>
            <w:r w:rsidRPr="007D564F">
              <w:rPr>
                <w:rFonts w:cs="Times New Roman"/>
                <w:b/>
                <w:bCs/>
                <w:color w:val="000000"/>
                <w:sz w:val="20"/>
                <w:szCs w:val="20"/>
              </w:rPr>
              <w:t>10</w:t>
            </w:r>
          </w:p>
        </w:tc>
        <w:tc>
          <w:tcPr>
            <w:tcW w:w="251" w:type="pct"/>
            <w:tcBorders>
              <w:top w:val="double" w:sz="6" w:space="0" w:color="auto"/>
              <w:left w:val="nil"/>
              <w:bottom w:val="single" w:sz="4" w:space="0" w:color="auto"/>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b/>
                <w:bCs/>
                <w:color w:val="000000"/>
                <w:sz w:val="20"/>
                <w:szCs w:val="20"/>
                <w:lang w:eastAsia="en-US"/>
              </w:rPr>
            </w:pPr>
            <w:r w:rsidRPr="007D564F">
              <w:rPr>
                <w:rFonts w:cs="Times New Roman"/>
                <w:b/>
                <w:bCs/>
                <w:color w:val="000000"/>
                <w:sz w:val="20"/>
                <w:szCs w:val="20"/>
              </w:rPr>
              <w:t>11</w:t>
            </w:r>
          </w:p>
        </w:tc>
      </w:tr>
      <w:tr w:rsidR="00DA2D4F" w:rsidRPr="007D564F" w:rsidTr="00512993">
        <w:trPr>
          <w:trHeight w:val="283"/>
        </w:trPr>
        <w:tc>
          <w:tcPr>
            <w:tcW w:w="213"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b/>
                <w:color w:val="000000"/>
                <w:sz w:val="20"/>
                <w:szCs w:val="20"/>
                <w:lang w:eastAsia="en-US"/>
              </w:rPr>
            </w:pPr>
            <w:r w:rsidRPr="007D564F">
              <w:rPr>
                <w:rFonts w:cs="Times New Roman"/>
                <w:color w:val="000000"/>
                <w:sz w:val="20"/>
                <w:szCs w:val="20"/>
              </w:rPr>
              <w:t>1</w:t>
            </w:r>
          </w:p>
        </w:tc>
        <w:tc>
          <w:tcPr>
            <w:tcW w:w="1567"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right="-59" w:firstLine="0"/>
              <w:jc w:val="left"/>
              <w:rPr>
                <w:rFonts w:eastAsia="Times New Roman" w:cs="Times New Roman"/>
                <w:i/>
                <w:iCs/>
                <w:color w:val="000000"/>
                <w:sz w:val="20"/>
                <w:szCs w:val="20"/>
                <w:lang w:eastAsia="en-US"/>
              </w:rPr>
            </w:pPr>
            <w:r w:rsidRPr="007D564F">
              <w:rPr>
                <w:rFonts w:cs="Times New Roman"/>
                <w:i/>
                <w:iCs/>
                <w:color w:val="000000"/>
                <w:sz w:val="20"/>
                <w:szCs w:val="20"/>
              </w:rPr>
              <w:t>logDebt</w:t>
            </w:r>
            <w:r w:rsidRPr="007D564F">
              <w:rPr>
                <w:rFonts w:cs="Times New Roman"/>
                <w:i/>
                <w:iCs/>
                <w:color w:val="000000"/>
                <w:sz w:val="20"/>
                <w:szCs w:val="20"/>
                <w:vertAlign w:val="subscript"/>
              </w:rPr>
              <w:t>i,t</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1.00</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b/>
                <w:bCs/>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b/>
                <w:bCs/>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b/>
                <w:bCs/>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b/>
                <w:bCs/>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b/>
                <w:bCs/>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b/>
                <w:bCs/>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b/>
                <w:bCs/>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b/>
                <w:bCs/>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b/>
                <w:bCs/>
                <w:color w:val="000000"/>
                <w:sz w:val="20"/>
                <w:szCs w:val="20"/>
                <w:lang w:eastAsia="en-US"/>
              </w:rPr>
            </w:pPr>
          </w:p>
        </w:tc>
        <w:tc>
          <w:tcPr>
            <w:tcW w:w="251"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b/>
                <w:bCs/>
                <w:color w:val="000000"/>
                <w:sz w:val="20"/>
                <w:szCs w:val="20"/>
                <w:lang w:eastAsia="en-US"/>
              </w:rPr>
            </w:pPr>
          </w:p>
        </w:tc>
      </w:tr>
      <w:tr w:rsidR="00DA2D4F" w:rsidRPr="007D564F" w:rsidTr="00512993">
        <w:trPr>
          <w:trHeight w:val="283"/>
        </w:trPr>
        <w:tc>
          <w:tcPr>
            <w:tcW w:w="213"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b/>
                <w:color w:val="000000"/>
                <w:sz w:val="20"/>
                <w:szCs w:val="20"/>
                <w:lang w:eastAsia="en-US"/>
              </w:rPr>
            </w:pPr>
            <w:r w:rsidRPr="007D564F">
              <w:rPr>
                <w:rFonts w:cs="Times New Roman"/>
                <w:color w:val="000000"/>
                <w:sz w:val="20"/>
                <w:szCs w:val="20"/>
              </w:rPr>
              <w:t>2</w:t>
            </w:r>
          </w:p>
        </w:tc>
        <w:tc>
          <w:tcPr>
            <w:tcW w:w="1567"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right="-59" w:firstLine="0"/>
              <w:jc w:val="left"/>
              <w:rPr>
                <w:rFonts w:eastAsia="Times New Roman" w:cs="Times New Roman"/>
                <w:i/>
                <w:iCs/>
                <w:color w:val="000000"/>
                <w:sz w:val="20"/>
                <w:szCs w:val="20"/>
                <w:lang w:eastAsia="en-US"/>
              </w:rPr>
            </w:pPr>
            <w:r w:rsidRPr="007D564F">
              <w:rPr>
                <w:rFonts w:cs="Times New Roman"/>
                <w:i/>
                <w:iCs/>
                <w:color w:val="000000"/>
                <w:sz w:val="20"/>
                <w:szCs w:val="20"/>
              </w:rPr>
              <w:t>PL</w:t>
            </w:r>
            <w:r w:rsidRPr="007D564F">
              <w:rPr>
                <w:rFonts w:cs="Times New Roman"/>
                <w:color w:val="000000"/>
                <w:sz w:val="20"/>
                <w:szCs w:val="20"/>
                <w:vertAlign w:val="subscript"/>
              </w:rPr>
              <w:t>i,t</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0.09</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1.00</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51"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r>
      <w:tr w:rsidR="00DA2D4F" w:rsidRPr="007D564F" w:rsidTr="00512993">
        <w:trPr>
          <w:trHeight w:val="283"/>
        </w:trPr>
        <w:tc>
          <w:tcPr>
            <w:tcW w:w="213"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b/>
                <w:color w:val="000000"/>
                <w:sz w:val="20"/>
                <w:szCs w:val="20"/>
                <w:lang w:eastAsia="en-US"/>
              </w:rPr>
            </w:pPr>
            <w:r w:rsidRPr="007D564F">
              <w:rPr>
                <w:rFonts w:cs="Times New Roman"/>
                <w:color w:val="000000"/>
                <w:sz w:val="20"/>
                <w:szCs w:val="20"/>
              </w:rPr>
              <w:t>3</w:t>
            </w:r>
          </w:p>
        </w:tc>
        <w:tc>
          <w:tcPr>
            <w:tcW w:w="1567"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right="-59" w:firstLine="0"/>
              <w:jc w:val="left"/>
              <w:rPr>
                <w:rFonts w:eastAsia="Times New Roman" w:cs="Times New Roman"/>
                <w:i/>
                <w:iCs/>
                <w:color w:val="000000"/>
                <w:sz w:val="20"/>
                <w:szCs w:val="20"/>
                <w:lang w:eastAsia="en-US"/>
              </w:rPr>
            </w:pPr>
            <w:r w:rsidRPr="007D564F">
              <w:rPr>
                <w:rFonts w:cs="Times New Roman"/>
                <w:i/>
                <w:iCs/>
                <w:color w:val="000000"/>
                <w:sz w:val="20"/>
                <w:szCs w:val="20"/>
              </w:rPr>
              <w:t>logTotalAssets</w:t>
            </w:r>
            <w:r w:rsidRPr="007D564F">
              <w:rPr>
                <w:rFonts w:cs="Times New Roman"/>
                <w:i/>
                <w:iCs/>
                <w:color w:val="000000"/>
                <w:sz w:val="20"/>
                <w:szCs w:val="20"/>
                <w:vertAlign w:val="subscript"/>
              </w:rPr>
              <w:t>i,t-1</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0.76</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0.07</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1.00</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51"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r>
      <w:tr w:rsidR="00DA2D4F" w:rsidRPr="007D564F" w:rsidTr="00512993">
        <w:trPr>
          <w:trHeight w:val="283"/>
        </w:trPr>
        <w:tc>
          <w:tcPr>
            <w:tcW w:w="213"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b/>
                <w:color w:val="000000"/>
                <w:sz w:val="20"/>
                <w:szCs w:val="20"/>
                <w:lang w:eastAsia="en-US"/>
              </w:rPr>
            </w:pPr>
            <w:r w:rsidRPr="007D564F">
              <w:rPr>
                <w:rFonts w:cs="Times New Roman"/>
                <w:color w:val="000000"/>
                <w:sz w:val="20"/>
                <w:szCs w:val="20"/>
              </w:rPr>
              <w:t>4</w:t>
            </w:r>
          </w:p>
        </w:tc>
        <w:tc>
          <w:tcPr>
            <w:tcW w:w="1567" w:type="pct"/>
            <w:tcBorders>
              <w:top w:val="nil"/>
              <w:left w:val="nil"/>
              <w:bottom w:val="nil"/>
              <w:right w:val="nil"/>
            </w:tcBorders>
            <w:shd w:val="clear" w:color="auto" w:fill="auto"/>
            <w:noWrap/>
            <w:vAlign w:val="bottom"/>
            <w:hideMark/>
          </w:tcPr>
          <w:p w:rsidR="00512993" w:rsidRPr="007D564F" w:rsidRDefault="00512993" w:rsidP="001162C9">
            <w:pPr>
              <w:spacing w:after="0" w:line="240" w:lineRule="auto"/>
              <w:ind w:right="-59" w:firstLine="0"/>
              <w:jc w:val="left"/>
              <w:rPr>
                <w:rFonts w:eastAsia="Times New Roman" w:cs="Times New Roman"/>
                <w:i/>
                <w:iCs/>
                <w:color w:val="000000"/>
                <w:sz w:val="20"/>
                <w:szCs w:val="20"/>
                <w:lang w:eastAsia="en-US"/>
              </w:rPr>
            </w:pPr>
            <w:r w:rsidRPr="007D564F">
              <w:rPr>
                <w:rFonts w:cs="Times New Roman"/>
                <w:i/>
                <w:iCs/>
                <w:color w:val="000000"/>
                <w:sz w:val="20"/>
                <w:szCs w:val="20"/>
              </w:rPr>
              <w:t>TotalAssetGrowth</w:t>
            </w:r>
            <w:r w:rsidRPr="007D564F">
              <w:rPr>
                <w:rFonts w:cs="Times New Roman"/>
                <w:i/>
                <w:iCs/>
                <w:color w:val="000000"/>
                <w:sz w:val="20"/>
                <w:szCs w:val="20"/>
                <w:vertAlign w:val="subscript"/>
              </w:rPr>
              <w:t>i,t-1</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-0.15</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color w:val="000000"/>
                <w:sz w:val="20"/>
                <w:szCs w:val="20"/>
              </w:rPr>
              <w:t>-0.01</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-0.22</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1.00</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51"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r>
      <w:tr w:rsidR="00DA2D4F" w:rsidRPr="007D564F" w:rsidTr="00512993">
        <w:trPr>
          <w:trHeight w:val="283"/>
        </w:trPr>
        <w:tc>
          <w:tcPr>
            <w:tcW w:w="213"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b/>
                <w:color w:val="000000"/>
                <w:sz w:val="20"/>
                <w:szCs w:val="20"/>
                <w:lang w:eastAsia="en-US"/>
              </w:rPr>
            </w:pPr>
            <w:r w:rsidRPr="007D564F">
              <w:rPr>
                <w:rFonts w:cs="Times New Roman"/>
                <w:color w:val="000000"/>
                <w:sz w:val="20"/>
                <w:szCs w:val="20"/>
              </w:rPr>
              <w:t>5</w:t>
            </w:r>
          </w:p>
        </w:tc>
        <w:tc>
          <w:tcPr>
            <w:tcW w:w="1567"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right="-59" w:firstLine="0"/>
              <w:jc w:val="left"/>
              <w:rPr>
                <w:rFonts w:eastAsia="Times New Roman" w:cs="Times New Roman"/>
                <w:i/>
                <w:iCs/>
                <w:color w:val="000000"/>
                <w:sz w:val="20"/>
                <w:szCs w:val="20"/>
                <w:lang w:eastAsia="en-US"/>
              </w:rPr>
            </w:pPr>
            <w:r w:rsidRPr="007D564F">
              <w:rPr>
                <w:rFonts w:cs="Times New Roman"/>
                <w:i/>
                <w:iCs/>
                <w:color w:val="000000"/>
                <w:sz w:val="20"/>
                <w:szCs w:val="20"/>
              </w:rPr>
              <w:t>Tangibles</w:t>
            </w:r>
            <w:r w:rsidRPr="007D564F">
              <w:rPr>
                <w:rFonts w:cs="Times New Roman"/>
                <w:i/>
                <w:iCs/>
                <w:color w:val="000000"/>
                <w:sz w:val="20"/>
                <w:szCs w:val="20"/>
                <w:vertAlign w:val="subscript"/>
              </w:rPr>
              <w:t>i,t</w:t>
            </w:r>
            <w:r w:rsidRPr="007D564F">
              <w:rPr>
                <w:rFonts w:cs="Times New Roman"/>
                <w:i/>
                <w:iCs/>
                <w:color w:val="000000"/>
                <w:sz w:val="20"/>
                <w:szCs w:val="20"/>
              </w:rPr>
              <w:t xml:space="preserve"> </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0.22</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-0.08</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0.13</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-0.04</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1.00</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51"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r>
      <w:tr w:rsidR="00DA2D4F" w:rsidRPr="007D564F" w:rsidTr="00512993">
        <w:trPr>
          <w:trHeight w:val="283"/>
        </w:trPr>
        <w:tc>
          <w:tcPr>
            <w:tcW w:w="213"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b/>
                <w:color w:val="000000"/>
                <w:sz w:val="20"/>
                <w:szCs w:val="20"/>
                <w:lang w:eastAsia="en-US"/>
              </w:rPr>
            </w:pPr>
            <w:r w:rsidRPr="007D564F">
              <w:rPr>
                <w:rFonts w:cs="Times New Roman"/>
                <w:color w:val="000000"/>
                <w:sz w:val="20"/>
                <w:szCs w:val="20"/>
              </w:rPr>
              <w:t>6</w:t>
            </w:r>
          </w:p>
        </w:tc>
        <w:tc>
          <w:tcPr>
            <w:tcW w:w="1567"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right="-59" w:firstLine="0"/>
              <w:jc w:val="left"/>
              <w:rPr>
                <w:rFonts w:eastAsia="Times New Roman" w:cs="Times New Roman"/>
                <w:i/>
                <w:iCs/>
                <w:color w:val="000000"/>
                <w:sz w:val="20"/>
                <w:szCs w:val="20"/>
                <w:lang w:eastAsia="en-US"/>
              </w:rPr>
            </w:pPr>
            <w:r w:rsidRPr="007D564F">
              <w:rPr>
                <w:rFonts w:cs="Times New Roman"/>
                <w:i/>
                <w:iCs/>
                <w:color w:val="000000"/>
                <w:sz w:val="20"/>
                <w:szCs w:val="20"/>
              </w:rPr>
              <w:t>Profitability</w:t>
            </w:r>
            <w:r w:rsidRPr="007D564F">
              <w:rPr>
                <w:rFonts w:cs="Times New Roman"/>
                <w:i/>
                <w:iCs/>
                <w:color w:val="000000"/>
                <w:sz w:val="20"/>
                <w:szCs w:val="20"/>
                <w:vertAlign w:val="subscript"/>
              </w:rPr>
              <w:t>i,t-1</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0.05</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0.08</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0.06</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-0.08</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0.02</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1.00</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51"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r>
      <w:tr w:rsidR="00DA2D4F" w:rsidRPr="007D564F" w:rsidTr="00512993">
        <w:trPr>
          <w:trHeight w:val="283"/>
        </w:trPr>
        <w:tc>
          <w:tcPr>
            <w:tcW w:w="213"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b/>
                <w:color w:val="000000"/>
                <w:sz w:val="20"/>
                <w:szCs w:val="20"/>
                <w:lang w:eastAsia="en-US"/>
              </w:rPr>
            </w:pPr>
            <w:r w:rsidRPr="007D564F">
              <w:rPr>
                <w:rFonts w:cs="Times New Roman"/>
                <w:color w:val="000000"/>
                <w:sz w:val="20"/>
                <w:szCs w:val="20"/>
              </w:rPr>
              <w:t>7</w:t>
            </w:r>
          </w:p>
        </w:tc>
        <w:tc>
          <w:tcPr>
            <w:tcW w:w="1567"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right="-59" w:firstLine="0"/>
              <w:jc w:val="left"/>
              <w:rPr>
                <w:rFonts w:eastAsia="Times New Roman" w:cs="Times New Roman"/>
                <w:i/>
                <w:iCs/>
                <w:color w:val="000000"/>
                <w:sz w:val="20"/>
                <w:szCs w:val="20"/>
                <w:lang w:eastAsia="en-US"/>
              </w:rPr>
            </w:pPr>
            <w:r w:rsidRPr="007D564F">
              <w:rPr>
                <w:rFonts w:cs="Times New Roman"/>
                <w:i/>
                <w:iCs/>
                <w:color w:val="000000"/>
                <w:sz w:val="20"/>
                <w:szCs w:val="20"/>
              </w:rPr>
              <w:t>logEquity</w:t>
            </w:r>
            <w:r w:rsidRPr="007D564F">
              <w:rPr>
                <w:rFonts w:cs="Times New Roman"/>
                <w:i/>
                <w:iCs/>
                <w:color w:val="000000"/>
                <w:sz w:val="20"/>
                <w:szCs w:val="20"/>
                <w:vertAlign w:val="subscript"/>
              </w:rPr>
              <w:t>i,t-1</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-0.28</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color w:val="000000"/>
                <w:sz w:val="20"/>
                <w:szCs w:val="20"/>
              </w:rPr>
              <w:t>-0.01</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-0.29</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0.23</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-0.26</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color w:val="000000"/>
                <w:sz w:val="20"/>
                <w:szCs w:val="20"/>
              </w:rPr>
              <w:t>-0.01</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1.00</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51"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r>
      <w:tr w:rsidR="00DA2D4F" w:rsidRPr="007D564F" w:rsidTr="00512993">
        <w:trPr>
          <w:trHeight w:val="283"/>
        </w:trPr>
        <w:tc>
          <w:tcPr>
            <w:tcW w:w="213"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b/>
                <w:color w:val="000000"/>
                <w:sz w:val="20"/>
                <w:szCs w:val="20"/>
                <w:lang w:eastAsia="en-US"/>
              </w:rPr>
            </w:pPr>
            <w:r w:rsidRPr="007D564F">
              <w:rPr>
                <w:rFonts w:cs="Times New Roman"/>
                <w:color w:val="000000"/>
                <w:sz w:val="20"/>
                <w:szCs w:val="20"/>
              </w:rPr>
              <w:t>8</w:t>
            </w:r>
          </w:p>
        </w:tc>
        <w:tc>
          <w:tcPr>
            <w:tcW w:w="1567"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right="-59" w:firstLine="0"/>
              <w:jc w:val="left"/>
              <w:rPr>
                <w:rFonts w:eastAsia="Times New Roman" w:cs="Times New Roman"/>
                <w:i/>
                <w:iCs/>
                <w:color w:val="000000"/>
                <w:sz w:val="20"/>
                <w:szCs w:val="20"/>
                <w:lang w:eastAsia="en-US"/>
              </w:rPr>
            </w:pPr>
            <w:r w:rsidRPr="007D564F">
              <w:rPr>
                <w:rFonts w:cs="Times New Roman"/>
                <w:i/>
                <w:iCs/>
                <w:color w:val="000000"/>
                <w:sz w:val="20"/>
                <w:szCs w:val="20"/>
              </w:rPr>
              <w:t>Liquidity</w:t>
            </w:r>
            <w:r w:rsidRPr="007D564F">
              <w:rPr>
                <w:rFonts w:cs="Times New Roman"/>
                <w:i/>
                <w:iCs/>
                <w:color w:val="000000"/>
                <w:sz w:val="20"/>
                <w:szCs w:val="20"/>
                <w:vertAlign w:val="subscript"/>
              </w:rPr>
              <w:t>i,t-1</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0.54</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0.11</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0.68</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-0.15</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0.17</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0.16</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-0.21</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1.00</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51"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r>
      <w:tr w:rsidR="00DA2D4F" w:rsidRPr="007D564F" w:rsidTr="00512993">
        <w:trPr>
          <w:trHeight w:val="283"/>
        </w:trPr>
        <w:tc>
          <w:tcPr>
            <w:tcW w:w="213"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b/>
                <w:color w:val="000000"/>
                <w:sz w:val="20"/>
                <w:szCs w:val="20"/>
                <w:lang w:eastAsia="en-US"/>
              </w:rPr>
            </w:pPr>
            <w:r w:rsidRPr="007D564F">
              <w:rPr>
                <w:rFonts w:cs="Times New Roman"/>
                <w:color w:val="000000"/>
                <w:sz w:val="20"/>
                <w:szCs w:val="20"/>
              </w:rPr>
              <w:t>9</w:t>
            </w:r>
          </w:p>
        </w:tc>
        <w:tc>
          <w:tcPr>
            <w:tcW w:w="1567"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right="-59" w:firstLine="0"/>
              <w:jc w:val="left"/>
              <w:rPr>
                <w:rFonts w:eastAsia="Times New Roman" w:cs="Times New Roman"/>
                <w:i/>
                <w:iCs/>
                <w:color w:val="000000"/>
                <w:sz w:val="20"/>
                <w:szCs w:val="20"/>
                <w:lang w:eastAsia="en-US"/>
              </w:rPr>
            </w:pPr>
            <w:r w:rsidRPr="007D564F">
              <w:rPr>
                <w:rFonts w:cs="Times New Roman"/>
                <w:i/>
                <w:iCs/>
                <w:color w:val="000000"/>
                <w:sz w:val="20"/>
                <w:szCs w:val="20"/>
              </w:rPr>
              <w:t>Age</w:t>
            </w:r>
            <w:r w:rsidRPr="007D564F">
              <w:rPr>
                <w:rFonts w:cs="Times New Roman"/>
                <w:i/>
                <w:iCs/>
                <w:color w:val="000000"/>
                <w:sz w:val="20"/>
                <w:szCs w:val="20"/>
                <w:vertAlign w:val="subscript"/>
              </w:rPr>
              <w:t>i,t</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0.33</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-0.03</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0.46</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-0.31</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0.08</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0.04</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-0.19</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0.30</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1.00</w:t>
            </w:r>
          </w:p>
        </w:tc>
        <w:tc>
          <w:tcPr>
            <w:tcW w:w="297"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c>
          <w:tcPr>
            <w:tcW w:w="251"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r>
      <w:tr w:rsidR="00DA2D4F" w:rsidRPr="007D564F" w:rsidTr="00512993">
        <w:trPr>
          <w:trHeight w:val="283"/>
        </w:trPr>
        <w:tc>
          <w:tcPr>
            <w:tcW w:w="213"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b/>
                <w:color w:val="000000"/>
                <w:sz w:val="20"/>
                <w:szCs w:val="20"/>
                <w:lang w:eastAsia="en-US"/>
              </w:rPr>
            </w:pPr>
            <w:r w:rsidRPr="007D564F">
              <w:rPr>
                <w:rFonts w:cs="Times New Roman"/>
                <w:color w:val="000000"/>
                <w:sz w:val="20"/>
                <w:szCs w:val="20"/>
              </w:rPr>
              <w:t>10</w:t>
            </w:r>
          </w:p>
        </w:tc>
        <w:tc>
          <w:tcPr>
            <w:tcW w:w="1567"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right="-59" w:firstLine="0"/>
              <w:jc w:val="left"/>
              <w:rPr>
                <w:rFonts w:eastAsia="Times New Roman" w:cs="Times New Roman"/>
                <w:i/>
                <w:iCs/>
                <w:color w:val="000000"/>
                <w:sz w:val="20"/>
                <w:szCs w:val="20"/>
                <w:lang w:eastAsia="en-US"/>
              </w:rPr>
            </w:pPr>
            <w:r w:rsidRPr="007D564F">
              <w:rPr>
                <w:rFonts w:cs="Times New Roman"/>
                <w:i/>
                <w:iCs/>
                <w:color w:val="000000"/>
                <w:sz w:val="20"/>
                <w:szCs w:val="20"/>
              </w:rPr>
              <w:t>PublicSupport</w:t>
            </w:r>
            <w:r w:rsidRPr="007D564F">
              <w:rPr>
                <w:rFonts w:cs="Times New Roman"/>
                <w:i/>
                <w:iCs/>
                <w:color w:val="000000"/>
                <w:sz w:val="20"/>
                <w:szCs w:val="20"/>
                <w:vertAlign w:val="subscript"/>
              </w:rPr>
              <w:t>i,t-1</w:t>
            </w:r>
          </w:p>
        </w:tc>
        <w:tc>
          <w:tcPr>
            <w:tcW w:w="297" w:type="pct"/>
            <w:tcBorders>
              <w:top w:val="nil"/>
              <w:left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color w:val="000000"/>
                <w:sz w:val="20"/>
                <w:szCs w:val="20"/>
              </w:rPr>
              <w:t>-0.01</w:t>
            </w:r>
          </w:p>
        </w:tc>
        <w:tc>
          <w:tcPr>
            <w:tcW w:w="297" w:type="pct"/>
            <w:tcBorders>
              <w:top w:val="nil"/>
              <w:left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0.08</w:t>
            </w:r>
          </w:p>
        </w:tc>
        <w:tc>
          <w:tcPr>
            <w:tcW w:w="297" w:type="pct"/>
            <w:tcBorders>
              <w:top w:val="nil"/>
              <w:left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-0.10</w:t>
            </w:r>
          </w:p>
        </w:tc>
        <w:tc>
          <w:tcPr>
            <w:tcW w:w="297" w:type="pct"/>
            <w:tcBorders>
              <w:top w:val="nil"/>
              <w:left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color w:val="000000"/>
                <w:sz w:val="20"/>
                <w:szCs w:val="20"/>
              </w:rPr>
              <w:t>-0.01</w:t>
            </w:r>
          </w:p>
        </w:tc>
        <w:tc>
          <w:tcPr>
            <w:tcW w:w="297" w:type="pct"/>
            <w:tcBorders>
              <w:top w:val="nil"/>
              <w:left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-0.12</w:t>
            </w:r>
          </w:p>
        </w:tc>
        <w:tc>
          <w:tcPr>
            <w:tcW w:w="297" w:type="pct"/>
            <w:tcBorders>
              <w:top w:val="nil"/>
              <w:left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color w:val="000000"/>
                <w:sz w:val="20"/>
                <w:szCs w:val="20"/>
              </w:rPr>
              <w:t>0.01</w:t>
            </w:r>
          </w:p>
        </w:tc>
        <w:tc>
          <w:tcPr>
            <w:tcW w:w="297" w:type="pct"/>
            <w:tcBorders>
              <w:top w:val="nil"/>
              <w:left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0.07</w:t>
            </w:r>
          </w:p>
        </w:tc>
        <w:tc>
          <w:tcPr>
            <w:tcW w:w="297" w:type="pct"/>
            <w:tcBorders>
              <w:top w:val="nil"/>
              <w:left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-0.02</w:t>
            </w:r>
          </w:p>
        </w:tc>
        <w:tc>
          <w:tcPr>
            <w:tcW w:w="297" w:type="pct"/>
            <w:tcBorders>
              <w:top w:val="nil"/>
              <w:left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-0.12</w:t>
            </w:r>
          </w:p>
        </w:tc>
        <w:tc>
          <w:tcPr>
            <w:tcW w:w="297" w:type="pct"/>
            <w:tcBorders>
              <w:top w:val="nil"/>
              <w:left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1.00</w:t>
            </w:r>
          </w:p>
        </w:tc>
        <w:tc>
          <w:tcPr>
            <w:tcW w:w="251" w:type="pct"/>
            <w:tcBorders>
              <w:top w:val="nil"/>
              <w:left w:val="nil"/>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p>
        </w:tc>
      </w:tr>
      <w:tr w:rsidR="00DA2D4F" w:rsidRPr="007D564F" w:rsidTr="00512993">
        <w:trPr>
          <w:trHeight w:val="283"/>
        </w:trPr>
        <w:tc>
          <w:tcPr>
            <w:tcW w:w="213" w:type="pct"/>
            <w:tcBorders>
              <w:top w:val="nil"/>
              <w:left w:val="nil"/>
              <w:bottom w:val="double" w:sz="6" w:space="0" w:color="auto"/>
              <w:right w:val="nil"/>
            </w:tcBorders>
            <w:shd w:val="clear" w:color="auto" w:fill="auto"/>
            <w:noWrap/>
            <w:vAlign w:val="bottom"/>
            <w:hideMark/>
          </w:tcPr>
          <w:p w:rsidR="00512993" w:rsidRPr="007D564F" w:rsidRDefault="00512993" w:rsidP="00512993">
            <w:pPr>
              <w:spacing w:after="0" w:line="240" w:lineRule="auto"/>
              <w:ind w:firstLine="0"/>
              <w:jc w:val="right"/>
              <w:rPr>
                <w:rFonts w:eastAsia="Times New Roman" w:cs="Times New Roman"/>
                <w:b/>
                <w:color w:val="000000"/>
                <w:sz w:val="20"/>
                <w:szCs w:val="20"/>
                <w:lang w:eastAsia="en-US"/>
              </w:rPr>
            </w:pPr>
            <w:r w:rsidRPr="007D564F">
              <w:rPr>
                <w:rFonts w:cs="Times New Roman"/>
                <w:color w:val="000000"/>
                <w:sz w:val="20"/>
                <w:szCs w:val="20"/>
              </w:rPr>
              <w:t>11</w:t>
            </w:r>
          </w:p>
        </w:tc>
        <w:tc>
          <w:tcPr>
            <w:tcW w:w="1567" w:type="pct"/>
            <w:tcBorders>
              <w:top w:val="nil"/>
              <w:left w:val="nil"/>
              <w:bottom w:val="double" w:sz="6" w:space="0" w:color="auto"/>
              <w:right w:val="nil"/>
            </w:tcBorders>
            <w:shd w:val="clear" w:color="auto" w:fill="auto"/>
            <w:noWrap/>
            <w:vAlign w:val="bottom"/>
            <w:hideMark/>
          </w:tcPr>
          <w:p w:rsidR="00512993" w:rsidRPr="007D564F" w:rsidRDefault="00512993" w:rsidP="00512993">
            <w:pPr>
              <w:spacing w:after="0" w:line="240" w:lineRule="auto"/>
              <w:ind w:right="-59" w:firstLine="0"/>
              <w:jc w:val="left"/>
              <w:rPr>
                <w:rFonts w:eastAsia="Times New Roman" w:cs="Times New Roman"/>
                <w:i/>
                <w:iCs/>
                <w:color w:val="000000"/>
                <w:sz w:val="20"/>
                <w:szCs w:val="20"/>
                <w:lang w:eastAsia="en-US"/>
              </w:rPr>
            </w:pPr>
            <w:r w:rsidRPr="007D564F">
              <w:rPr>
                <w:rFonts w:cs="Times New Roman"/>
                <w:i/>
                <w:iCs/>
                <w:color w:val="000000"/>
                <w:sz w:val="20"/>
                <w:szCs w:val="20"/>
              </w:rPr>
              <w:t>VC</w:t>
            </w:r>
            <w:r w:rsidRPr="007D564F">
              <w:rPr>
                <w:rFonts w:cs="Times New Roman"/>
                <w:i/>
                <w:iCs/>
                <w:color w:val="000000"/>
                <w:sz w:val="20"/>
                <w:szCs w:val="20"/>
                <w:vertAlign w:val="subscript"/>
              </w:rPr>
              <w:t>i,t-1</w:t>
            </w:r>
          </w:p>
        </w:tc>
        <w:tc>
          <w:tcPr>
            <w:tcW w:w="297" w:type="pct"/>
            <w:tcBorders>
              <w:top w:val="nil"/>
              <w:left w:val="nil"/>
              <w:bottom w:val="double" w:sz="4" w:space="0" w:color="auto"/>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0.26</w:t>
            </w:r>
          </w:p>
        </w:tc>
        <w:tc>
          <w:tcPr>
            <w:tcW w:w="297" w:type="pct"/>
            <w:tcBorders>
              <w:top w:val="nil"/>
              <w:left w:val="nil"/>
              <w:bottom w:val="double" w:sz="4" w:space="0" w:color="auto"/>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0.15</w:t>
            </w:r>
          </w:p>
        </w:tc>
        <w:tc>
          <w:tcPr>
            <w:tcW w:w="297" w:type="pct"/>
            <w:tcBorders>
              <w:top w:val="nil"/>
              <w:left w:val="nil"/>
              <w:bottom w:val="double" w:sz="4" w:space="0" w:color="auto"/>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0.29</w:t>
            </w:r>
          </w:p>
        </w:tc>
        <w:tc>
          <w:tcPr>
            <w:tcW w:w="297" w:type="pct"/>
            <w:tcBorders>
              <w:top w:val="nil"/>
              <w:left w:val="nil"/>
              <w:bottom w:val="double" w:sz="4" w:space="0" w:color="auto"/>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-0.07</w:t>
            </w:r>
          </w:p>
        </w:tc>
        <w:tc>
          <w:tcPr>
            <w:tcW w:w="297" w:type="pct"/>
            <w:tcBorders>
              <w:top w:val="nil"/>
              <w:left w:val="nil"/>
              <w:bottom w:val="double" w:sz="4" w:space="0" w:color="auto"/>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0.04</w:t>
            </w:r>
          </w:p>
        </w:tc>
        <w:tc>
          <w:tcPr>
            <w:tcW w:w="297" w:type="pct"/>
            <w:tcBorders>
              <w:top w:val="nil"/>
              <w:left w:val="nil"/>
              <w:bottom w:val="double" w:sz="4" w:space="0" w:color="auto"/>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0.06</w:t>
            </w:r>
          </w:p>
        </w:tc>
        <w:tc>
          <w:tcPr>
            <w:tcW w:w="297" w:type="pct"/>
            <w:tcBorders>
              <w:top w:val="nil"/>
              <w:left w:val="nil"/>
              <w:bottom w:val="double" w:sz="4" w:space="0" w:color="auto"/>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-0.06</w:t>
            </w:r>
          </w:p>
        </w:tc>
        <w:tc>
          <w:tcPr>
            <w:tcW w:w="297" w:type="pct"/>
            <w:tcBorders>
              <w:top w:val="nil"/>
              <w:left w:val="nil"/>
              <w:bottom w:val="double" w:sz="4" w:space="0" w:color="auto"/>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0.29</w:t>
            </w:r>
          </w:p>
        </w:tc>
        <w:tc>
          <w:tcPr>
            <w:tcW w:w="297" w:type="pct"/>
            <w:tcBorders>
              <w:top w:val="nil"/>
              <w:left w:val="nil"/>
              <w:bottom w:val="double" w:sz="4" w:space="0" w:color="auto"/>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color w:val="000000"/>
                <w:sz w:val="20"/>
                <w:szCs w:val="20"/>
              </w:rPr>
              <w:t>0.01</w:t>
            </w:r>
          </w:p>
        </w:tc>
        <w:tc>
          <w:tcPr>
            <w:tcW w:w="297" w:type="pct"/>
            <w:tcBorders>
              <w:top w:val="nil"/>
              <w:left w:val="nil"/>
              <w:bottom w:val="double" w:sz="4" w:space="0" w:color="auto"/>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-0.10</w:t>
            </w:r>
          </w:p>
        </w:tc>
        <w:tc>
          <w:tcPr>
            <w:tcW w:w="251" w:type="pct"/>
            <w:tcBorders>
              <w:top w:val="nil"/>
              <w:left w:val="nil"/>
              <w:bottom w:val="double" w:sz="4" w:space="0" w:color="auto"/>
              <w:right w:val="nil"/>
            </w:tcBorders>
            <w:shd w:val="clear" w:color="auto" w:fill="auto"/>
            <w:noWrap/>
            <w:vAlign w:val="bottom"/>
          </w:tcPr>
          <w:p w:rsidR="00512993" w:rsidRPr="007D564F" w:rsidRDefault="00512993" w:rsidP="00512993">
            <w:pPr>
              <w:spacing w:after="0" w:line="240" w:lineRule="auto"/>
              <w:ind w:left="-83" w:right="-10" w:firstLine="0"/>
              <w:jc w:val="center"/>
              <w:rPr>
                <w:rFonts w:eastAsia="Times New Roman" w:cs="Times New Roman"/>
                <w:color w:val="000000"/>
                <w:sz w:val="20"/>
                <w:szCs w:val="20"/>
                <w:lang w:eastAsia="en-US"/>
              </w:rPr>
            </w:pPr>
            <w:r w:rsidRPr="007D564F">
              <w:rPr>
                <w:rFonts w:cs="Times New Roman"/>
                <w:b/>
                <w:bCs/>
                <w:color w:val="000000"/>
                <w:sz w:val="20"/>
                <w:szCs w:val="20"/>
              </w:rPr>
              <w:t>1.00</w:t>
            </w:r>
          </w:p>
        </w:tc>
      </w:tr>
    </w:tbl>
    <w:p w:rsidR="00512993" w:rsidRPr="007D564F" w:rsidRDefault="00512993" w:rsidP="00512993">
      <w:pPr>
        <w:spacing w:after="0" w:line="240" w:lineRule="auto"/>
        <w:ind w:firstLine="0"/>
        <w:rPr>
          <w:sz w:val="20"/>
          <w:szCs w:val="20"/>
        </w:rPr>
      </w:pPr>
      <w:r w:rsidRPr="007D564F">
        <w:rPr>
          <w:sz w:val="20"/>
          <w:szCs w:val="20"/>
          <w:lang w:eastAsia="en-US" w:bidi="en-US"/>
        </w:rPr>
        <w:t xml:space="preserve">The correlation matrix is based on </w:t>
      </w:r>
      <w:r w:rsidRPr="007D564F">
        <w:rPr>
          <w:color w:val="000000"/>
          <w:sz w:val="20"/>
          <w:szCs w:val="20"/>
        </w:rPr>
        <w:t xml:space="preserve">6,919 </w:t>
      </w:r>
      <w:r w:rsidRPr="007D564F">
        <w:rPr>
          <w:sz w:val="20"/>
          <w:szCs w:val="20"/>
          <w:lang w:eastAsia="en-US" w:bidi="en-US"/>
        </w:rPr>
        <w:t xml:space="preserve">observations. The description of variables is available in Table 4. Bold correlation coefficients are significant at least with </w:t>
      </w:r>
      <w:r w:rsidRPr="007D564F">
        <w:rPr>
          <w:rFonts w:cs="Times New Roman"/>
          <w:sz w:val="20"/>
          <w:szCs w:val="20"/>
          <w:lang w:eastAsia="en-US" w:bidi="en-US"/>
        </w:rPr>
        <w:t>p &lt; 0.10</w:t>
      </w:r>
      <w:r w:rsidRPr="007D564F">
        <w:rPr>
          <w:sz w:val="20"/>
          <w:szCs w:val="20"/>
          <w:lang w:eastAsia="en-US" w:bidi="en-US"/>
        </w:rPr>
        <w:t>.</w:t>
      </w:r>
    </w:p>
    <w:p w:rsidR="00512993" w:rsidRPr="007D564F" w:rsidRDefault="00512993" w:rsidP="00512993"/>
    <w:p w:rsidR="00512993" w:rsidRPr="007D564F" w:rsidRDefault="00512993">
      <w:pPr>
        <w:spacing w:line="276" w:lineRule="auto"/>
        <w:ind w:firstLine="0"/>
        <w:jc w:val="left"/>
        <w:rPr>
          <w:szCs w:val="20"/>
        </w:rPr>
        <w:sectPr w:rsidR="00512993" w:rsidRPr="007D564F" w:rsidSect="00512993">
          <w:footerReference w:type="default" r:id="rId8"/>
          <w:pgSz w:w="12240" w:h="15840"/>
          <w:pgMar w:top="1418" w:right="1418" w:bottom="1418" w:left="1418" w:header="709" w:footer="709" w:gutter="0"/>
          <w:cols w:space="708"/>
          <w:docGrid w:linePitch="360"/>
        </w:sectPr>
      </w:pPr>
      <w:r w:rsidRPr="007D564F">
        <w:rPr>
          <w:szCs w:val="20"/>
        </w:rPr>
        <w:br w:type="page"/>
      </w:r>
    </w:p>
    <w:p w:rsidR="00512993" w:rsidRPr="007D564F" w:rsidRDefault="00512993" w:rsidP="00512993">
      <w:pPr>
        <w:pStyle w:val="Descripcin"/>
        <w:keepLines/>
        <w:tabs>
          <w:tab w:val="center" w:pos="4702"/>
        </w:tabs>
        <w:spacing w:after="0" w:line="240" w:lineRule="auto"/>
        <w:rPr>
          <w:szCs w:val="20"/>
        </w:rPr>
      </w:pPr>
      <w:r w:rsidRPr="007D564F">
        <w:rPr>
          <w:szCs w:val="20"/>
        </w:rPr>
        <w:lastRenderedPageBreak/>
        <w:t xml:space="preserve">Table </w:t>
      </w:r>
      <w:r w:rsidR="007C60DA" w:rsidRPr="007D564F">
        <w:rPr>
          <w:szCs w:val="20"/>
        </w:rPr>
        <w:fldChar w:fldCharType="begin"/>
      </w:r>
      <w:r w:rsidRPr="007D564F">
        <w:rPr>
          <w:szCs w:val="20"/>
        </w:rPr>
        <w:instrText xml:space="preserve"> SEQ Table \* ARABIC </w:instrText>
      </w:r>
      <w:r w:rsidR="007C60DA" w:rsidRPr="007D564F">
        <w:rPr>
          <w:szCs w:val="20"/>
        </w:rPr>
        <w:fldChar w:fldCharType="separate"/>
      </w:r>
      <w:r w:rsidRPr="007D564F">
        <w:rPr>
          <w:noProof/>
          <w:szCs w:val="20"/>
        </w:rPr>
        <w:t>6</w:t>
      </w:r>
      <w:r w:rsidR="007C60DA" w:rsidRPr="007D564F">
        <w:rPr>
          <w:noProof/>
          <w:szCs w:val="20"/>
        </w:rPr>
        <w:fldChar w:fldCharType="end"/>
      </w:r>
      <w:r w:rsidRPr="007D564F">
        <w:rPr>
          <w:szCs w:val="20"/>
        </w:rPr>
        <w:t>: Analysis of firms’ financial debt: hypotheses testing</w:t>
      </w:r>
    </w:p>
    <w:tbl>
      <w:tblPr>
        <w:tblW w:w="5000" w:type="pct"/>
        <w:tblCellMar>
          <w:left w:w="57" w:type="dxa"/>
          <w:right w:w="57" w:type="dxa"/>
        </w:tblCellMar>
        <w:tblLook w:val="04A0" w:firstRow="1" w:lastRow="0" w:firstColumn="1" w:lastColumn="0" w:noHBand="0" w:noVBand="1"/>
      </w:tblPr>
      <w:tblGrid>
        <w:gridCol w:w="518"/>
        <w:gridCol w:w="2588"/>
        <w:gridCol w:w="785"/>
        <w:gridCol w:w="468"/>
        <w:gridCol w:w="785"/>
        <w:gridCol w:w="468"/>
        <w:gridCol w:w="784"/>
        <w:gridCol w:w="467"/>
        <w:gridCol w:w="784"/>
        <w:gridCol w:w="467"/>
        <w:gridCol w:w="784"/>
        <w:gridCol w:w="467"/>
        <w:gridCol w:w="784"/>
        <w:gridCol w:w="467"/>
        <w:gridCol w:w="784"/>
        <w:gridCol w:w="467"/>
        <w:gridCol w:w="784"/>
        <w:gridCol w:w="467"/>
      </w:tblGrid>
      <w:tr w:rsidR="00DA2D4F" w:rsidRPr="007D564F" w:rsidTr="00512993">
        <w:trPr>
          <w:trHeight w:val="170"/>
        </w:trPr>
        <w:tc>
          <w:tcPr>
            <w:tcW w:w="197" w:type="pct"/>
            <w:tcBorders>
              <w:top w:val="double" w:sz="6" w:space="0" w:color="auto"/>
              <w:left w:val="nil"/>
              <w:bottom w:val="single" w:sz="4" w:space="0" w:color="auto"/>
              <w:right w:val="nil"/>
            </w:tcBorders>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986" w:type="pct"/>
            <w:tcBorders>
              <w:top w:val="double" w:sz="6" w:space="0" w:color="auto"/>
              <w:left w:val="nil"/>
              <w:bottom w:val="single" w:sz="4" w:space="0" w:color="auto"/>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rFonts w:eastAsia="Times New Roman" w:cs="Times New Roman"/>
                <w:color w:val="000000"/>
                <w:sz w:val="19"/>
                <w:szCs w:val="19"/>
                <w:lang w:eastAsia="en-US"/>
              </w:rPr>
              <w:t> </w:t>
            </w:r>
          </w:p>
        </w:tc>
        <w:tc>
          <w:tcPr>
            <w:tcW w:w="299" w:type="pct"/>
            <w:tcBorders>
              <w:top w:val="double" w:sz="6" w:space="0" w:color="auto"/>
              <w:left w:val="nil"/>
              <w:bottom w:val="single" w:sz="4" w:space="0" w:color="auto"/>
              <w:right w:val="nil"/>
            </w:tcBorders>
            <w:shd w:val="clear" w:color="auto" w:fill="auto"/>
            <w:vAlign w:val="bottom"/>
            <w:hideMark/>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rFonts w:eastAsia="Times New Roman" w:cs="Times New Roman"/>
                <w:color w:val="000000"/>
                <w:sz w:val="19"/>
                <w:szCs w:val="19"/>
                <w:lang w:eastAsia="en-US"/>
              </w:rPr>
              <w:t>I</w:t>
            </w:r>
          </w:p>
        </w:tc>
        <w:tc>
          <w:tcPr>
            <w:tcW w:w="178" w:type="pct"/>
            <w:tcBorders>
              <w:top w:val="double" w:sz="6" w:space="0" w:color="auto"/>
              <w:left w:val="nil"/>
              <w:bottom w:val="single" w:sz="4" w:space="0" w:color="auto"/>
              <w:right w:val="nil"/>
            </w:tcBorders>
            <w:shd w:val="clear" w:color="auto" w:fill="auto"/>
            <w:vAlign w:val="bottom"/>
            <w:hideMark/>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rFonts w:eastAsia="Times New Roman" w:cs="Times New Roman"/>
                <w:color w:val="000000"/>
                <w:sz w:val="19"/>
                <w:szCs w:val="19"/>
                <w:lang w:eastAsia="en-US"/>
              </w:rPr>
              <w:t> </w:t>
            </w:r>
          </w:p>
        </w:tc>
        <w:tc>
          <w:tcPr>
            <w:tcW w:w="299" w:type="pct"/>
            <w:tcBorders>
              <w:top w:val="double" w:sz="6" w:space="0" w:color="auto"/>
              <w:left w:val="nil"/>
              <w:bottom w:val="single" w:sz="4" w:space="0" w:color="auto"/>
              <w:right w:val="nil"/>
            </w:tcBorders>
            <w:shd w:val="clear" w:color="auto" w:fill="auto"/>
            <w:vAlign w:val="bottom"/>
            <w:hideMark/>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rFonts w:eastAsia="Times New Roman" w:cs="Times New Roman"/>
                <w:color w:val="000000"/>
                <w:sz w:val="19"/>
                <w:szCs w:val="19"/>
                <w:lang w:eastAsia="en-US"/>
              </w:rPr>
              <w:t>II</w:t>
            </w:r>
          </w:p>
        </w:tc>
        <w:tc>
          <w:tcPr>
            <w:tcW w:w="178" w:type="pct"/>
            <w:tcBorders>
              <w:top w:val="double" w:sz="6" w:space="0" w:color="auto"/>
              <w:left w:val="nil"/>
              <w:bottom w:val="single" w:sz="4" w:space="0" w:color="auto"/>
              <w:right w:val="nil"/>
            </w:tcBorders>
            <w:shd w:val="clear" w:color="auto" w:fill="auto"/>
            <w:vAlign w:val="bottom"/>
            <w:hideMark/>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rFonts w:eastAsia="Times New Roman" w:cs="Times New Roman"/>
                <w:color w:val="000000"/>
                <w:sz w:val="19"/>
                <w:szCs w:val="19"/>
                <w:lang w:eastAsia="en-US"/>
              </w:rPr>
              <w:t> </w:t>
            </w:r>
          </w:p>
        </w:tc>
        <w:tc>
          <w:tcPr>
            <w:tcW w:w="299" w:type="pct"/>
            <w:tcBorders>
              <w:top w:val="double" w:sz="6" w:space="0" w:color="auto"/>
              <w:left w:val="nil"/>
              <w:bottom w:val="single" w:sz="4" w:space="0" w:color="auto"/>
              <w:right w:val="nil"/>
            </w:tcBorders>
            <w:shd w:val="clear" w:color="auto" w:fill="auto"/>
            <w:vAlign w:val="bottom"/>
            <w:hideMark/>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rFonts w:eastAsia="Times New Roman" w:cs="Times New Roman"/>
                <w:color w:val="000000"/>
                <w:sz w:val="19"/>
                <w:szCs w:val="19"/>
                <w:lang w:eastAsia="en-US"/>
              </w:rPr>
              <w:t>III</w:t>
            </w:r>
          </w:p>
        </w:tc>
        <w:tc>
          <w:tcPr>
            <w:tcW w:w="178" w:type="pct"/>
            <w:tcBorders>
              <w:top w:val="double" w:sz="6" w:space="0" w:color="auto"/>
              <w:left w:val="nil"/>
              <w:bottom w:val="single" w:sz="4" w:space="0" w:color="auto"/>
              <w:right w:val="nil"/>
            </w:tcBorders>
            <w:shd w:val="clear" w:color="auto" w:fill="auto"/>
            <w:vAlign w:val="bottom"/>
            <w:hideMark/>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rFonts w:eastAsia="Times New Roman" w:cs="Times New Roman"/>
                <w:color w:val="000000"/>
                <w:sz w:val="19"/>
                <w:szCs w:val="19"/>
                <w:lang w:eastAsia="en-US"/>
              </w:rPr>
              <w:t> </w:t>
            </w:r>
          </w:p>
        </w:tc>
        <w:tc>
          <w:tcPr>
            <w:tcW w:w="299" w:type="pct"/>
            <w:tcBorders>
              <w:top w:val="double" w:sz="6" w:space="0" w:color="auto"/>
              <w:left w:val="nil"/>
              <w:bottom w:val="single" w:sz="4" w:space="0" w:color="auto"/>
              <w:right w:val="nil"/>
            </w:tcBorders>
            <w:shd w:val="clear" w:color="auto" w:fill="auto"/>
            <w:vAlign w:val="bottom"/>
            <w:hideMark/>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rFonts w:eastAsia="Times New Roman" w:cs="Times New Roman"/>
                <w:color w:val="000000"/>
                <w:sz w:val="19"/>
                <w:szCs w:val="19"/>
                <w:lang w:eastAsia="en-US"/>
              </w:rPr>
              <w:t>IV</w:t>
            </w:r>
          </w:p>
        </w:tc>
        <w:tc>
          <w:tcPr>
            <w:tcW w:w="178" w:type="pct"/>
            <w:tcBorders>
              <w:top w:val="double" w:sz="6" w:space="0" w:color="auto"/>
              <w:left w:val="nil"/>
              <w:bottom w:val="single" w:sz="4" w:space="0" w:color="auto"/>
              <w:right w:val="nil"/>
            </w:tcBorders>
            <w:shd w:val="clear" w:color="auto" w:fill="auto"/>
            <w:vAlign w:val="bottom"/>
            <w:hideMark/>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rFonts w:eastAsia="Times New Roman" w:cs="Times New Roman"/>
                <w:color w:val="000000"/>
                <w:sz w:val="19"/>
                <w:szCs w:val="19"/>
                <w:lang w:eastAsia="en-US"/>
              </w:rPr>
              <w:t> </w:t>
            </w:r>
          </w:p>
        </w:tc>
        <w:tc>
          <w:tcPr>
            <w:tcW w:w="299" w:type="pct"/>
            <w:tcBorders>
              <w:top w:val="double" w:sz="6" w:space="0" w:color="auto"/>
              <w:left w:val="nil"/>
              <w:bottom w:val="single" w:sz="4" w:space="0" w:color="auto"/>
              <w:right w:val="nil"/>
            </w:tcBorders>
            <w:shd w:val="clear" w:color="auto" w:fill="auto"/>
            <w:vAlign w:val="bottom"/>
            <w:hideMark/>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rFonts w:eastAsia="Times New Roman" w:cs="Times New Roman"/>
                <w:color w:val="000000"/>
                <w:sz w:val="19"/>
                <w:szCs w:val="19"/>
                <w:lang w:eastAsia="en-US"/>
              </w:rPr>
              <w:t>V</w:t>
            </w:r>
          </w:p>
        </w:tc>
        <w:tc>
          <w:tcPr>
            <w:tcW w:w="178" w:type="pct"/>
            <w:tcBorders>
              <w:top w:val="double" w:sz="6" w:space="0" w:color="auto"/>
              <w:left w:val="nil"/>
              <w:bottom w:val="single" w:sz="4" w:space="0" w:color="auto"/>
              <w:right w:val="nil"/>
            </w:tcBorders>
            <w:shd w:val="clear" w:color="auto" w:fill="auto"/>
            <w:vAlign w:val="bottom"/>
            <w:hideMark/>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rFonts w:eastAsia="Times New Roman" w:cs="Times New Roman"/>
                <w:color w:val="000000"/>
                <w:sz w:val="19"/>
                <w:szCs w:val="19"/>
                <w:lang w:eastAsia="en-US"/>
              </w:rPr>
              <w:t> </w:t>
            </w:r>
          </w:p>
        </w:tc>
        <w:tc>
          <w:tcPr>
            <w:tcW w:w="299" w:type="pct"/>
            <w:tcBorders>
              <w:top w:val="double" w:sz="6" w:space="0" w:color="auto"/>
              <w:left w:val="nil"/>
              <w:bottom w:val="single" w:sz="4" w:space="0" w:color="auto"/>
              <w:right w:val="nil"/>
            </w:tcBorders>
            <w:shd w:val="clear" w:color="auto" w:fill="auto"/>
            <w:vAlign w:val="bottom"/>
            <w:hideMark/>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rFonts w:eastAsia="Times New Roman" w:cs="Times New Roman"/>
                <w:color w:val="000000"/>
                <w:sz w:val="19"/>
                <w:szCs w:val="19"/>
                <w:lang w:eastAsia="en-US"/>
              </w:rPr>
              <w:t>VI</w:t>
            </w:r>
          </w:p>
        </w:tc>
        <w:tc>
          <w:tcPr>
            <w:tcW w:w="178" w:type="pct"/>
            <w:tcBorders>
              <w:top w:val="double" w:sz="6" w:space="0" w:color="auto"/>
              <w:left w:val="nil"/>
              <w:bottom w:val="single" w:sz="4" w:space="0" w:color="auto"/>
              <w:right w:val="nil"/>
            </w:tcBorders>
            <w:shd w:val="clear" w:color="auto" w:fill="auto"/>
            <w:vAlign w:val="bottom"/>
            <w:hideMark/>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rFonts w:eastAsia="Times New Roman" w:cs="Times New Roman"/>
                <w:color w:val="000000"/>
                <w:sz w:val="19"/>
                <w:szCs w:val="19"/>
                <w:lang w:eastAsia="en-US"/>
              </w:rPr>
              <w:t> </w:t>
            </w:r>
          </w:p>
        </w:tc>
        <w:tc>
          <w:tcPr>
            <w:tcW w:w="299" w:type="pct"/>
            <w:tcBorders>
              <w:top w:val="double" w:sz="6" w:space="0" w:color="auto"/>
              <w:left w:val="nil"/>
              <w:bottom w:val="single" w:sz="4" w:space="0" w:color="auto"/>
              <w:right w:val="nil"/>
            </w:tcBorders>
            <w:shd w:val="clear" w:color="auto" w:fill="auto"/>
            <w:vAlign w:val="bottom"/>
            <w:hideMark/>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rFonts w:eastAsia="Times New Roman" w:cs="Times New Roman"/>
                <w:color w:val="000000"/>
                <w:sz w:val="19"/>
                <w:szCs w:val="19"/>
                <w:lang w:eastAsia="en-US"/>
              </w:rPr>
              <w:t>VII</w:t>
            </w:r>
          </w:p>
        </w:tc>
        <w:tc>
          <w:tcPr>
            <w:tcW w:w="178" w:type="pct"/>
            <w:tcBorders>
              <w:top w:val="double" w:sz="6" w:space="0" w:color="auto"/>
              <w:left w:val="nil"/>
              <w:bottom w:val="single" w:sz="4" w:space="0" w:color="auto"/>
              <w:right w:val="nil"/>
            </w:tcBorders>
            <w:shd w:val="clear" w:color="auto" w:fill="auto"/>
            <w:vAlign w:val="bottom"/>
            <w:hideMark/>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rFonts w:eastAsia="Times New Roman" w:cs="Times New Roman"/>
                <w:color w:val="000000"/>
                <w:sz w:val="19"/>
                <w:szCs w:val="19"/>
                <w:lang w:eastAsia="en-US"/>
              </w:rPr>
              <w:t> </w:t>
            </w:r>
          </w:p>
        </w:tc>
        <w:tc>
          <w:tcPr>
            <w:tcW w:w="299" w:type="pct"/>
            <w:tcBorders>
              <w:top w:val="double" w:sz="6" w:space="0" w:color="auto"/>
              <w:left w:val="nil"/>
              <w:bottom w:val="single" w:sz="4" w:space="0" w:color="auto"/>
              <w:right w:val="nil"/>
            </w:tcBorders>
            <w:shd w:val="clear" w:color="auto" w:fill="auto"/>
            <w:vAlign w:val="bottom"/>
            <w:hideMark/>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rFonts w:eastAsia="Times New Roman" w:cs="Times New Roman"/>
                <w:color w:val="000000"/>
                <w:sz w:val="19"/>
                <w:szCs w:val="19"/>
                <w:lang w:eastAsia="en-US"/>
              </w:rPr>
              <w:t>VIII</w:t>
            </w:r>
          </w:p>
        </w:tc>
        <w:tc>
          <w:tcPr>
            <w:tcW w:w="178" w:type="pct"/>
            <w:tcBorders>
              <w:top w:val="double" w:sz="6" w:space="0" w:color="auto"/>
              <w:left w:val="nil"/>
              <w:bottom w:val="single" w:sz="4" w:space="0" w:color="auto"/>
              <w:right w:val="nil"/>
            </w:tcBorders>
            <w:shd w:val="clear" w:color="auto" w:fill="auto"/>
            <w:vAlign w:val="bottom"/>
            <w:hideMark/>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rFonts w:eastAsia="Times New Roman" w:cs="Times New Roman"/>
                <w:color w:val="000000"/>
                <w:sz w:val="19"/>
                <w:szCs w:val="19"/>
                <w:lang w:eastAsia="en-US"/>
              </w:rPr>
              <w:t> </w:t>
            </w:r>
          </w:p>
        </w:tc>
      </w:tr>
      <w:tr w:rsidR="00DA2D4F" w:rsidRPr="007D564F" w:rsidTr="00512993">
        <w:trPr>
          <w:trHeight w:val="170"/>
        </w:trPr>
        <w:tc>
          <w:tcPr>
            <w:tcW w:w="197" w:type="pct"/>
            <w:tcBorders>
              <w:top w:val="nil"/>
              <w:left w:val="nil"/>
              <w:bottom w:val="nil"/>
              <w:right w:val="nil"/>
            </w:tcBorders>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p>
        </w:tc>
        <w:tc>
          <w:tcPr>
            <w:tcW w:w="986"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logTotalAssets</w:t>
            </w:r>
            <w:r w:rsidRPr="007D564F">
              <w:rPr>
                <w:rFonts w:eastAsia="Times New Roman" w:cs="Times New Roman"/>
                <w:i/>
                <w:iCs/>
                <w:color w:val="000000"/>
                <w:sz w:val="19"/>
                <w:szCs w:val="19"/>
                <w:vertAlign w:val="subscript"/>
                <w:lang w:eastAsia="en-US"/>
              </w:rPr>
              <w:t>i,t-1</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0.474</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0.460</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0.447</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0.457</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0.447</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0.461</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0.459</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0.443</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r>
      <w:tr w:rsidR="00DA2D4F" w:rsidRPr="007D564F" w:rsidTr="00512993">
        <w:trPr>
          <w:trHeight w:val="170"/>
        </w:trPr>
        <w:tc>
          <w:tcPr>
            <w:tcW w:w="197" w:type="pct"/>
            <w:tcBorders>
              <w:top w:val="nil"/>
              <w:left w:val="nil"/>
              <w:bottom w:val="nil"/>
              <w:right w:val="nil"/>
            </w:tcBorders>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986"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(0.055)</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(0.055)</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(0.055)</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(0.056)</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(0.055)</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(0.055)</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(0.055)</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(0.056)</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r>
      <w:tr w:rsidR="00DA2D4F" w:rsidRPr="007D564F" w:rsidTr="00512993">
        <w:trPr>
          <w:trHeight w:val="170"/>
        </w:trPr>
        <w:tc>
          <w:tcPr>
            <w:tcW w:w="197" w:type="pct"/>
            <w:tcBorders>
              <w:top w:val="nil"/>
              <w:left w:val="nil"/>
              <w:bottom w:val="nil"/>
              <w:right w:val="nil"/>
            </w:tcBorders>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p>
        </w:tc>
        <w:tc>
          <w:tcPr>
            <w:tcW w:w="986"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TotalAssetGrowth</w:t>
            </w:r>
            <w:r w:rsidRPr="007D564F">
              <w:rPr>
                <w:rFonts w:eastAsia="Times New Roman" w:cs="Times New Roman"/>
                <w:i/>
                <w:iCs/>
                <w:color w:val="000000"/>
                <w:sz w:val="19"/>
                <w:szCs w:val="19"/>
                <w:vertAlign w:val="subscript"/>
                <w:lang w:eastAsia="en-US"/>
              </w:rPr>
              <w:t>i,t-1</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0.000</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0.001</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0.003</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0.002</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0.001</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0.000</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0.001</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0.000</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r>
      <w:tr w:rsidR="00DA2D4F" w:rsidRPr="007D564F" w:rsidTr="00512993">
        <w:trPr>
          <w:trHeight w:val="170"/>
        </w:trPr>
        <w:tc>
          <w:tcPr>
            <w:tcW w:w="197" w:type="pct"/>
            <w:tcBorders>
              <w:top w:val="nil"/>
              <w:left w:val="nil"/>
              <w:bottom w:val="nil"/>
              <w:right w:val="nil"/>
            </w:tcBorders>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986"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(0.016)</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(0.016)</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(0.016)</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(0.016)</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(0.016)</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(0.016)</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(0.016)</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(0.016)</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r>
      <w:tr w:rsidR="00DA2D4F" w:rsidRPr="007D564F" w:rsidTr="00512993">
        <w:trPr>
          <w:trHeight w:val="170"/>
        </w:trPr>
        <w:tc>
          <w:tcPr>
            <w:tcW w:w="197" w:type="pct"/>
            <w:tcBorders>
              <w:top w:val="nil"/>
              <w:left w:val="nil"/>
              <w:bottom w:val="nil"/>
              <w:right w:val="nil"/>
            </w:tcBorders>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p>
        </w:tc>
        <w:tc>
          <w:tcPr>
            <w:tcW w:w="986"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Tangibles</w:t>
            </w:r>
            <w:r w:rsidRPr="007D564F">
              <w:rPr>
                <w:rFonts w:eastAsia="Times New Roman" w:cs="Times New Roman"/>
                <w:i/>
                <w:iCs/>
                <w:color w:val="000000"/>
                <w:sz w:val="19"/>
                <w:szCs w:val="19"/>
                <w:vertAlign w:val="subscript"/>
                <w:lang w:eastAsia="en-US"/>
              </w:rPr>
              <w:t>i,t-1</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0.584</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0.581</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0.622</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0.587</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0.615</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0.575</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0.583</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0.633</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r>
      <w:tr w:rsidR="00DA2D4F" w:rsidRPr="007D564F" w:rsidTr="00512993">
        <w:trPr>
          <w:trHeight w:val="170"/>
        </w:trPr>
        <w:tc>
          <w:tcPr>
            <w:tcW w:w="197" w:type="pct"/>
            <w:tcBorders>
              <w:top w:val="nil"/>
              <w:left w:val="nil"/>
              <w:bottom w:val="nil"/>
              <w:right w:val="nil"/>
            </w:tcBorders>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986"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(0.170)</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(0.170)</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(0.172)</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(0.171)</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(0.169)</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(0.170)</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(0.170)</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(0.171)</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r>
      <w:tr w:rsidR="00DA2D4F" w:rsidRPr="007D564F" w:rsidTr="00512993">
        <w:trPr>
          <w:trHeight w:val="170"/>
        </w:trPr>
        <w:tc>
          <w:tcPr>
            <w:tcW w:w="197" w:type="pct"/>
            <w:tcBorders>
              <w:top w:val="nil"/>
              <w:left w:val="nil"/>
              <w:bottom w:val="nil"/>
              <w:right w:val="nil"/>
            </w:tcBorders>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p>
        </w:tc>
        <w:tc>
          <w:tcPr>
            <w:tcW w:w="986"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Profitability</w:t>
            </w:r>
            <w:r w:rsidRPr="007D564F">
              <w:rPr>
                <w:rFonts w:eastAsia="Times New Roman" w:cs="Times New Roman"/>
                <w:i/>
                <w:iCs/>
                <w:color w:val="000000"/>
                <w:sz w:val="19"/>
                <w:szCs w:val="19"/>
                <w:vertAlign w:val="subscript"/>
                <w:lang w:eastAsia="en-US"/>
              </w:rPr>
              <w:t>i,t-1</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-0.001</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-0.001</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-0.001</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-0.001</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-0.002</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-0.001</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-0.001</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-0.002</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r>
      <w:tr w:rsidR="00DA2D4F" w:rsidRPr="007D564F" w:rsidTr="00512993">
        <w:trPr>
          <w:trHeight w:val="170"/>
        </w:trPr>
        <w:tc>
          <w:tcPr>
            <w:tcW w:w="197" w:type="pct"/>
            <w:tcBorders>
              <w:top w:val="nil"/>
              <w:left w:val="nil"/>
              <w:bottom w:val="nil"/>
              <w:right w:val="nil"/>
            </w:tcBorders>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p>
        </w:tc>
        <w:tc>
          <w:tcPr>
            <w:tcW w:w="986" w:type="pct"/>
            <w:tcBorders>
              <w:top w:val="nil"/>
              <w:left w:val="nil"/>
              <w:bottom w:val="nil"/>
              <w:right w:val="nil"/>
            </w:tcBorders>
            <w:shd w:val="clear" w:color="auto" w:fill="auto"/>
            <w:hideMark/>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(0.001)</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(0.001)</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(0.001)</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(0.001)</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(0.001)</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(0.001)</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(0.001)</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(0.001)</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r>
      <w:tr w:rsidR="00DA2D4F" w:rsidRPr="007D564F" w:rsidTr="00512993">
        <w:trPr>
          <w:trHeight w:val="170"/>
        </w:trPr>
        <w:tc>
          <w:tcPr>
            <w:tcW w:w="197" w:type="pct"/>
            <w:tcBorders>
              <w:top w:val="nil"/>
              <w:left w:val="nil"/>
              <w:bottom w:val="nil"/>
              <w:right w:val="nil"/>
            </w:tcBorders>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p>
        </w:tc>
        <w:tc>
          <w:tcPr>
            <w:tcW w:w="986"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Liquidity</w:t>
            </w:r>
            <w:r w:rsidRPr="007D564F">
              <w:rPr>
                <w:rFonts w:eastAsia="Times New Roman" w:cs="Times New Roman"/>
                <w:i/>
                <w:iCs/>
                <w:color w:val="000000"/>
                <w:sz w:val="19"/>
                <w:szCs w:val="19"/>
                <w:vertAlign w:val="subscript"/>
                <w:lang w:eastAsia="en-US"/>
              </w:rPr>
              <w:t>i,t-1</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-0.121</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-0.107</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-0.092</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-0.106</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-0.100</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-0.115</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-0.107</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-0.100</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r>
      <w:tr w:rsidR="00DA2D4F" w:rsidRPr="007D564F" w:rsidTr="00512993">
        <w:trPr>
          <w:trHeight w:val="170"/>
        </w:trPr>
        <w:tc>
          <w:tcPr>
            <w:tcW w:w="197" w:type="pct"/>
            <w:tcBorders>
              <w:top w:val="nil"/>
              <w:left w:val="nil"/>
              <w:bottom w:val="nil"/>
              <w:right w:val="nil"/>
            </w:tcBorders>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986"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(0.175)</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(0.174)</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(0.175)</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(0.174)</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(0.174)</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(0.175)</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(0.174)</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(0.175)</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r>
      <w:tr w:rsidR="00DA2D4F" w:rsidRPr="007D564F" w:rsidTr="00512993">
        <w:trPr>
          <w:trHeight w:val="170"/>
        </w:trPr>
        <w:tc>
          <w:tcPr>
            <w:tcW w:w="197" w:type="pct"/>
            <w:tcBorders>
              <w:top w:val="nil"/>
              <w:left w:val="nil"/>
              <w:bottom w:val="nil"/>
              <w:right w:val="nil"/>
            </w:tcBorders>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p>
        </w:tc>
        <w:tc>
          <w:tcPr>
            <w:tcW w:w="986"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logEquity</w:t>
            </w:r>
            <w:r w:rsidRPr="007D564F">
              <w:rPr>
                <w:rFonts w:eastAsia="Times New Roman" w:cs="Times New Roman"/>
                <w:i/>
                <w:iCs/>
                <w:color w:val="000000"/>
                <w:sz w:val="19"/>
                <w:szCs w:val="19"/>
                <w:vertAlign w:val="subscript"/>
                <w:lang w:eastAsia="en-US"/>
              </w:rPr>
              <w:t>i,t-1</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color w:val="000000"/>
                <w:sz w:val="19"/>
                <w:szCs w:val="19"/>
              </w:rPr>
            </w:pPr>
            <w:r w:rsidRPr="007D564F">
              <w:rPr>
                <w:color w:val="000000"/>
                <w:sz w:val="19"/>
                <w:szCs w:val="19"/>
              </w:rPr>
              <w:t>0.049</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color w:val="000000"/>
                <w:sz w:val="19"/>
                <w:szCs w:val="19"/>
              </w:rPr>
            </w:pPr>
            <w:r w:rsidRPr="007D564F">
              <w:rPr>
                <w:color w:val="000000"/>
                <w:sz w:val="19"/>
                <w:szCs w:val="19"/>
              </w:rPr>
              <w:t>0.043</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color w:val="000000"/>
                <w:sz w:val="19"/>
                <w:szCs w:val="19"/>
              </w:rPr>
            </w:pPr>
            <w:r w:rsidRPr="007D564F">
              <w:rPr>
                <w:color w:val="000000"/>
                <w:sz w:val="19"/>
                <w:szCs w:val="19"/>
              </w:rPr>
              <w:t>0.045</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color w:val="000000"/>
                <w:sz w:val="19"/>
                <w:szCs w:val="19"/>
              </w:rPr>
            </w:pPr>
            <w:r w:rsidRPr="007D564F">
              <w:rPr>
                <w:color w:val="000000"/>
                <w:sz w:val="19"/>
                <w:szCs w:val="19"/>
              </w:rPr>
              <w:t>0.044</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color w:val="000000"/>
                <w:sz w:val="19"/>
                <w:szCs w:val="19"/>
              </w:rPr>
            </w:pPr>
            <w:r w:rsidRPr="007D564F">
              <w:rPr>
                <w:color w:val="000000"/>
                <w:sz w:val="19"/>
                <w:szCs w:val="19"/>
              </w:rPr>
              <w:t>0.047</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color w:val="000000"/>
                <w:sz w:val="19"/>
                <w:szCs w:val="19"/>
              </w:rPr>
            </w:pPr>
            <w:r w:rsidRPr="007D564F">
              <w:rPr>
                <w:color w:val="000000"/>
                <w:sz w:val="19"/>
                <w:szCs w:val="19"/>
              </w:rPr>
              <w:t>0.043</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color w:val="000000"/>
                <w:sz w:val="19"/>
                <w:szCs w:val="19"/>
              </w:rPr>
            </w:pPr>
            <w:r w:rsidRPr="007D564F">
              <w:rPr>
                <w:color w:val="000000"/>
                <w:sz w:val="19"/>
                <w:szCs w:val="19"/>
              </w:rPr>
              <w:t>0.044</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color w:val="000000"/>
                <w:sz w:val="19"/>
                <w:szCs w:val="19"/>
              </w:rPr>
            </w:pPr>
            <w:r w:rsidRPr="007D564F">
              <w:rPr>
                <w:color w:val="000000"/>
                <w:sz w:val="19"/>
                <w:szCs w:val="19"/>
              </w:rPr>
              <w:t>0.047</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r>
      <w:tr w:rsidR="00DA2D4F" w:rsidRPr="007D564F" w:rsidTr="00512993">
        <w:trPr>
          <w:trHeight w:val="170"/>
        </w:trPr>
        <w:tc>
          <w:tcPr>
            <w:tcW w:w="197" w:type="pct"/>
            <w:tcBorders>
              <w:top w:val="nil"/>
              <w:left w:val="nil"/>
              <w:bottom w:val="nil"/>
              <w:right w:val="nil"/>
            </w:tcBorders>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p>
        </w:tc>
        <w:tc>
          <w:tcPr>
            <w:tcW w:w="986"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color w:val="000000"/>
                <w:sz w:val="19"/>
                <w:szCs w:val="19"/>
              </w:rPr>
            </w:pPr>
            <w:r w:rsidRPr="007D564F">
              <w:rPr>
                <w:color w:val="000000"/>
                <w:sz w:val="19"/>
                <w:szCs w:val="19"/>
              </w:rPr>
              <w:t>(0.027)</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color w:val="000000"/>
                <w:sz w:val="19"/>
                <w:szCs w:val="19"/>
              </w:rPr>
            </w:pPr>
            <w:r w:rsidRPr="007D564F">
              <w:rPr>
                <w:color w:val="000000"/>
                <w:sz w:val="19"/>
                <w:szCs w:val="19"/>
              </w:rPr>
              <w:t>(0.026)</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color w:val="000000"/>
                <w:sz w:val="19"/>
                <w:szCs w:val="19"/>
              </w:rPr>
            </w:pPr>
            <w:r w:rsidRPr="007D564F">
              <w:rPr>
                <w:color w:val="000000"/>
                <w:sz w:val="19"/>
                <w:szCs w:val="19"/>
              </w:rPr>
              <w:t>(0.026)</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color w:val="000000"/>
                <w:sz w:val="19"/>
                <w:szCs w:val="19"/>
              </w:rPr>
            </w:pPr>
            <w:r w:rsidRPr="007D564F">
              <w:rPr>
                <w:color w:val="000000"/>
                <w:sz w:val="19"/>
                <w:szCs w:val="19"/>
              </w:rPr>
              <w:t>(0.026)</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color w:val="000000"/>
                <w:sz w:val="19"/>
                <w:szCs w:val="19"/>
              </w:rPr>
            </w:pPr>
            <w:r w:rsidRPr="007D564F">
              <w:rPr>
                <w:color w:val="000000"/>
                <w:sz w:val="19"/>
                <w:szCs w:val="19"/>
              </w:rPr>
              <w:t>(0.026)</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color w:val="000000"/>
                <w:sz w:val="19"/>
                <w:szCs w:val="19"/>
              </w:rPr>
            </w:pPr>
            <w:r w:rsidRPr="007D564F">
              <w:rPr>
                <w:color w:val="000000"/>
                <w:sz w:val="19"/>
                <w:szCs w:val="19"/>
              </w:rPr>
              <w:t>(0.026)</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color w:val="000000"/>
                <w:sz w:val="19"/>
                <w:szCs w:val="19"/>
              </w:rPr>
            </w:pPr>
            <w:r w:rsidRPr="007D564F">
              <w:rPr>
                <w:color w:val="000000"/>
                <w:sz w:val="19"/>
                <w:szCs w:val="19"/>
              </w:rPr>
              <w:t>(0.027)</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color w:val="000000"/>
                <w:sz w:val="19"/>
                <w:szCs w:val="19"/>
              </w:rPr>
            </w:pPr>
            <w:r w:rsidRPr="007D564F">
              <w:rPr>
                <w:color w:val="000000"/>
                <w:sz w:val="19"/>
                <w:szCs w:val="19"/>
              </w:rPr>
              <w:t>(0.026)</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r>
      <w:tr w:rsidR="00DA2D4F" w:rsidRPr="007D564F" w:rsidTr="00512993">
        <w:trPr>
          <w:trHeight w:val="170"/>
        </w:trPr>
        <w:tc>
          <w:tcPr>
            <w:tcW w:w="197" w:type="pct"/>
            <w:tcBorders>
              <w:top w:val="nil"/>
              <w:left w:val="nil"/>
              <w:bottom w:val="nil"/>
              <w:right w:val="nil"/>
            </w:tcBorders>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p>
        </w:tc>
        <w:tc>
          <w:tcPr>
            <w:tcW w:w="986"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Age</w:t>
            </w:r>
            <w:r w:rsidRPr="007D564F">
              <w:rPr>
                <w:rFonts w:eastAsia="Times New Roman" w:cs="Times New Roman"/>
                <w:i/>
                <w:iCs/>
                <w:color w:val="000000"/>
                <w:sz w:val="19"/>
                <w:szCs w:val="19"/>
                <w:vertAlign w:val="subscript"/>
                <w:lang w:eastAsia="en-US"/>
              </w:rPr>
              <w:t>i,t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0.146</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0.138</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0.141</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0.139</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0.136</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0.137</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0.138</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0.135</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r>
      <w:tr w:rsidR="00DA2D4F" w:rsidRPr="007D564F" w:rsidTr="00512993">
        <w:trPr>
          <w:trHeight w:val="170"/>
        </w:trPr>
        <w:tc>
          <w:tcPr>
            <w:tcW w:w="197" w:type="pct"/>
            <w:tcBorders>
              <w:top w:val="nil"/>
              <w:left w:val="nil"/>
              <w:bottom w:val="nil"/>
              <w:right w:val="nil"/>
            </w:tcBorders>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p>
        </w:tc>
        <w:tc>
          <w:tcPr>
            <w:tcW w:w="986" w:type="pct"/>
            <w:tcBorders>
              <w:top w:val="nil"/>
              <w:left w:val="nil"/>
              <w:bottom w:val="nil"/>
              <w:right w:val="nil"/>
            </w:tcBorders>
            <w:shd w:val="clear" w:color="auto" w:fill="auto"/>
            <w:hideMark/>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(0.044)</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(0.044)</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(0.044)</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(0.044)</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(0.043)</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(0.044)</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(0.044)</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(0.043)</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r>
      <w:tr w:rsidR="00DA2D4F" w:rsidRPr="007D564F" w:rsidTr="00512993">
        <w:trPr>
          <w:trHeight w:val="170"/>
        </w:trPr>
        <w:tc>
          <w:tcPr>
            <w:tcW w:w="197" w:type="pct"/>
            <w:tcBorders>
              <w:top w:val="nil"/>
              <w:left w:val="nil"/>
              <w:bottom w:val="nil"/>
              <w:right w:val="nil"/>
            </w:tcBorders>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p>
        </w:tc>
        <w:tc>
          <w:tcPr>
            <w:tcW w:w="986"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PublicSupport</w:t>
            </w:r>
            <w:r w:rsidRPr="007D564F">
              <w:rPr>
                <w:rFonts w:eastAsia="Times New Roman" w:cs="Times New Roman"/>
                <w:i/>
                <w:iCs/>
                <w:color w:val="000000"/>
                <w:sz w:val="19"/>
                <w:szCs w:val="19"/>
                <w:vertAlign w:val="subscript"/>
                <w:lang w:eastAsia="en-US"/>
              </w:rPr>
              <w:t>i,t-1</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0.171</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0.163</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0.134</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0.159</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0.186</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0.267</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0.168</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0.299</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r>
      <w:tr w:rsidR="00DA2D4F" w:rsidRPr="007D564F" w:rsidTr="00512993">
        <w:trPr>
          <w:trHeight w:val="170"/>
        </w:trPr>
        <w:tc>
          <w:tcPr>
            <w:tcW w:w="197" w:type="pct"/>
            <w:tcBorders>
              <w:top w:val="nil"/>
              <w:left w:val="nil"/>
              <w:bottom w:val="nil"/>
              <w:right w:val="nil"/>
            </w:tcBorders>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986"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(0.169)</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(0.170)</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(0.171)</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(0.170)</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(0.168)</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(0.165)</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(0.169)</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(0.164)</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r>
      <w:tr w:rsidR="00DA2D4F" w:rsidRPr="007D564F" w:rsidTr="00512993">
        <w:trPr>
          <w:trHeight w:val="170"/>
        </w:trPr>
        <w:tc>
          <w:tcPr>
            <w:tcW w:w="197" w:type="pct"/>
            <w:tcBorders>
              <w:top w:val="nil"/>
              <w:left w:val="nil"/>
              <w:bottom w:val="nil"/>
              <w:right w:val="nil"/>
            </w:tcBorders>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p>
        </w:tc>
        <w:tc>
          <w:tcPr>
            <w:tcW w:w="986" w:type="pct"/>
            <w:tcBorders>
              <w:top w:val="nil"/>
              <w:left w:val="nil"/>
              <w:bottom w:val="nil"/>
              <w:right w:val="nil"/>
            </w:tcBorders>
            <w:shd w:val="clear" w:color="auto" w:fill="auto"/>
            <w:hideMark/>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VC</w:t>
            </w:r>
            <w:r w:rsidRPr="007D564F">
              <w:rPr>
                <w:rFonts w:eastAsia="Times New Roman" w:cs="Times New Roman"/>
                <w:i/>
                <w:iCs/>
                <w:color w:val="000000"/>
                <w:sz w:val="19"/>
                <w:szCs w:val="19"/>
                <w:vertAlign w:val="subscript"/>
                <w:lang w:eastAsia="en-US"/>
              </w:rPr>
              <w:t>i,t-1</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0.132</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0.108</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0.104</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0.104</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0.106</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0.106</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0.098</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0.111</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r>
      <w:tr w:rsidR="00DA2D4F" w:rsidRPr="007D564F" w:rsidTr="00512993">
        <w:trPr>
          <w:trHeight w:val="170"/>
        </w:trPr>
        <w:tc>
          <w:tcPr>
            <w:tcW w:w="197" w:type="pct"/>
            <w:tcBorders>
              <w:top w:val="nil"/>
              <w:left w:val="nil"/>
              <w:bottom w:val="nil"/>
              <w:right w:val="nil"/>
            </w:tcBorders>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986"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(0.104)</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(0.103)</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(0.102)</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(0.102)</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(0.102)</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(0.103)</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(0.104)</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(0.103)</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r>
      <w:tr w:rsidR="00DA2D4F" w:rsidRPr="007D564F" w:rsidTr="00512993">
        <w:trPr>
          <w:trHeight w:val="170"/>
        </w:trPr>
        <w:tc>
          <w:tcPr>
            <w:tcW w:w="197" w:type="pct"/>
            <w:tcBorders>
              <w:top w:val="nil"/>
              <w:left w:val="nil"/>
              <w:bottom w:val="nil"/>
              <w:right w:val="nil"/>
            </w:tcBorders>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Hp1</w:t>
            </w:r>
          </w:p>
        </w:tc>
        <w:tc>
          <w:tcPr>
            <w:tcW w:w="986"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PL</w:t>
            </w:r>
            <w:r w:rsidRPr="007D564F">
              <w:rPr>
                <w:rFonts w:eastAsia="Times New Roman" w:cs="Times New Roman"/>
                <w:i/>
                <w:iCs/>
                <w:color w:val="000000"/>
                <w:sz w:val="19"/>
                <w:szCs w:val="19"/>
                <w:vertAlign w:val="subscript"/>
                <w:lang w:eastAsia="en-US"/>
              </w:rPr>
              <w:t>i</w:t>
            </w:r>
            <w:r w:rsidRPr="007D564F">
              <w:rPr>
                <w:rFonts w:eastAsia="Times New Roman" w:cs="Times New Roman"/>
                <w:i/>
                <w:color w:val="000000"/>
                <w:sz w:val="19"/>
                <w:szCs w:val="19"/>
                <w:vertAlign w:val="subscript"/>
                <w:lang w:eastAsia="en-US"/>
              </w:rPr>
              <w:t>,t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0.274</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1.381</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0.315</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0.078</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0.299</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0.256</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1.197</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r>
      <w:tr w:rsidR="00DA2D4F" w:rsidRPr="007D564F" w:rsidTr="00512993">
        <w:trPr>
          <w:trHeight w:val="170"/>
        </w:trPr>
        <w:tc>
          <w:tcPr>
            <w:tcW w:w="197" w:type="pct"/>
            <w:tcBorders>
              <w:top w:val="nil"/>
              <w:left w:val="nil"/>
              <w:bottom w:val="nil"/>
              <w:right w:val="nil"/>
            </w:tcBorders>
          </w:tcPr>
          <w:p w:rsidR="00512993" w:rsidRPr="007D564F" w:rsidRDefault="00512993" w:rsidP="00512993">
            <w:pPr>
              <w:spacing w:after="0" w:line="240" w:lineRule="auto"/>
              <w:ind w:firstLine="0"/>
              <w:jc w:val="left"/>
              <w:rPr>
                <w:rFonts w:eastAsia="Times New Roman" w:cs="Times New Roman"/>
                <w:i/>
                <w:color w:val="000000"/>
                <w:sz w:val="19"/>
                <w:szCs w:val="19"/>
                <w:lang w:eastAsia="en-US"/>
              </w:rPr>
            </w:pPr>
          </w:p>
        </w:tc>
        <w:tc>
          <w:tcPr>
            <w:tcW w:w="986"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i/>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(0.087)</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(0.431)</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(0.118)</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(0.095)</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(0.090)</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(0.097)</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(0.491)</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r>
      <w:tr w:rsidR="00DA2D4F" w:rsidRPr="007D564F" w:rsidTr="00512993">
        <w:trPr>
          <w:trHeight w:val="170"/>
        </w:trPr>
        <w:tc>
          <w:tcPr>
            <w:tcW w:w="197" w:type="pct"/>
            <w:tcBorders>
              <w:top w:val="nil"/>
              <w:left w:val="nil"/>
              <w:right w:val="nil"/>
            </w:tcBorders>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Hp2</w:t>
            </w:r>
          </w:p>
        </w:tc>
        <w:tc>
          <w:tcPr>
            <w:tcW w:w="986" w:type="pct"/>
            <w:tcBorders>
              <w:top w:val="nil"/>
              <w:left w:val="nil"/>
              <w:right w:val="nil"/>
            </w:tcBorders>
            <w:shd w:val="clear" w:color="auto" w:fill="auto"/>
            <w:noWrap/>
            <w:vAlign w:val="center"/>
            <w:hideMark/>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PL</w:t>
            </w:r>
            <w:r w:rsidRPr="007D564F">
              <w:rPr>
                <w:rFonts w:eastAsia="Times New Roman" w:cs="Times New Roman"/>
                <w:i/>
                <w:color w:val="000000"/>
                <w:sz w:val="19"/>
                <w:szCs w:val="19"/>
                <w:vertAlign w:val="subscript"/>
                <w:lang w:eastAsia="en-US"/>
              </w:rPr>
              <w:t>i,t</w:t>
            </w:r>
            <w:r w:rsidRPr="007D564F">
              <w:rPr>
                <w:rFonts w:eastAsia="Times New Roman" w:cs="Times New Roman"/>
                <w:i/>
                <w:color w:val="000000"/>
                <w:sz w:val="19"/>
                <w:szCs w:val="19"/>
                <w:lang w:eastAsia="en-US"/>
              </w:rPr>
              <w:t>*</w:t>
            </w:r>
            <w:r w:rsidRPr="007D564F">
              <w:rPr>
                <w:i/>
                <w:iCs/>
                <w:color w:val="000000"/>
                <w:sz w:val="19"/>
                <w:szCs w:val="19"/>
              </w:rPr>
              <w:t>logTotalAssets</w:t>
            </w:r>
            <w:r w:rsidRPr="007D564F">
              <w:rPr>
                <w:i/>
                <w:iCs/>
                <w:color w:val="000000"/>
                <w:sz w:val="19"/>
                <w:szCs w:val="19"/>
                <w:vertAlign w:val="superscript"/>
              </w:rPr>
              <w:t>timeofPL</w:t>
            </w:r>
            <w:r w:rsidRPr="007D564F">
              <w:rPr>
                <w:rFonts w:eastAsia="Times New Roman" w:cs="Times New Roman"/>
                <w:i/>
                <w:iCs/>
                <w:color w:val="000000"/>
                <w:sz w:val="19"/>
                <w:szCs w:val="19"/>
                <w:vertAlign w:val="subscript"/>
                <w:lang w:val="it-IT"/>
              </w:rPr>
              <w:t>i</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-0.141</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-0.150</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r>
      <w:tr w:rsidR="00DA2D4F" w:rsidRPr="007D564F" w:rsidTr="00512993">
        <w:trPr>
          <w:trHeight w:val="170"/>
        </w:trPr>
        <w:tc>
          <w:tcPr>
            <w:tcW w:w="197" w:type="pct"/>
            <w:tcBorders>
              <w:left w:val="nil"/>
              <w:bottom w:val="nil"/>
              <w:right w:val="nil"/>
            </w:tcBorders>
          </w:tcPr>
          <w:p w:rsidR="00512993" w:rsidRPr="007D564F" w:rsidRDefault="00512993" w:rsidP="00512993">
            <w:pPr>
              <w:spacing w:after="0" w:line="240" w:lineRule="auto"/>
              <w:ind w:firstLine="0"/>
              <w:jc w:val="left"/>
              <w:rPr>
                <w:rFonts w:ascii="Calibri" w:eastAsia="Times New Roman" w:hAnsi="Calibri" w:cs="Times New Roman"/>
                <w:i/>
                <w:color w:val="000000"/>
                <w:sz w:val="19"/>
                <w:szCs w:val="19"/>
                <w:lang w:eastAsia="en-US"/>
              </w:rPr>
            </w:pPr>
          </w:p>
        </w:tc>
        <w:tc>
          <w:tcPr>
            <w:tcW w:w="986" w:type="pct"/>
            <w:tcBorders>
              <w:left w:val="nil"/>
              <w:bottom w:val="nil"/>
              <w:right w:val="nil"/>
            </w:tcBorders>
            <w:shd w:val="clear" w:color="auto" w:fill="auto"/>
            <w:hideMark/>
          </w:tcPr>
          <w:p w:rsidR="00512993" w:rsidRPr="007D564F" w:rsidRDefault="00512993" w:rsidP="00512993">
            <w:pPr>
              <w:spacing w:after="0" w:line="240" w:lineRule="auto"/>
              <w:ind w:firstLine="0"/>
              <w:jc w:val="left"/>
              <w:rPr>
                <w:rFonts w:ascii="Calibri" w:eastAsia="Times New Roman" w:hAnsi="Calibri" w:cs="Times New Roman"/>
                <w:i/>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(0.051)</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(0.059)</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r>
      <w:tr w:rsidR="00DA2D4F" w:rsidRPr="007D564F" w:rsidTr="00512993">
        <w:trPr>
          <w:trHeight w:val="170"/>
        </w:trPr>
        <w:tc>
          <w:tcPr>
            <w:tcW w:w="197" w:type="pct"/>
            <w:tcBorders>
              <w:top w:val="nil"/>
              <w:left w:val="nil"/>
              <w:right w:val="nil"/>
            </w:tcBorders>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Hp3</w:t>
            </w:r>
          </w:p>
        </w:tc>
        <w:tc>
          <w:tcPr>
            <w:tcW w:w="986" w:type="pct"/>
            <w:tcBorders>
              <w:top w:val="nil"/>
              <w:left w:val="nil"/>
              <w:right w:val="nil"/>
            </w:tcBorders>
            <w:shd w:val="clear" w:color="auto" w:fill="auto"/>
            <w:noWrap/>
            <w:vAlign w:val="center"/>
            <w:hideMark/>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PL</w:t>
            </w:r>
            <w:r w:rsidRPr="007D564F">
              <w:rPr>
                <w:rFonts w:eastAsia="Times New Roman" w:cs="Times New Roman"/>
                <w:i/>
                <w:color w:val="000000"/>
                <w:sz w:val="19"/>
                <w:szCs w:val="19"/>
                <w:vertAlign w:val="subscript"/>
                <w:lang w:eastAsia="en-US"/>
              </w:rPr>
              <w:t>i,t</w:t>
            </w:r>
            <w:r w:rsidRPr="007D564F">
              <w:rPr>
                <w:rFonts w:eastAsia="Times New Roman" w:cs="Times New Roman"/>
                <w:i/>
                <w:color w:val="000000"/>
                <w:sz w:val="19"/>
                <w:szCs w:val="19"/>
                <w:lang w:eastAsia="en-US"/>
              </w:rPr>
              <w:t>*</w:t>
            </w:r>
            <w:r w:rsidRPr="007D564F">
              <w:rPr>
                <w:i/>
                <w:iCs/>
                <w:color w:val="000000"/>
                <w:sz w:val="19"/>
                <w:szCs w:val="19"/>
              </w:rPr>
              <w:t>Age</w:t>
            </w:r>
            <w:r w:rsidRPr="007D564F">
              <w:rPr>
                <w:i/>
                <w:iCs/>
                <w:color w:val="000000"/>
                <w:sz w:val="19"/>
                <w:szCs w:val="19"/>
                <w:vertAlign w:val="superscript"/>
              </w:rPr>
              <w:t>timeofPL</w:t>
            </w:r>
            <w:r w:rsidRPr="007D564F">
              <w:rPr>
                <w:rFonts w:eastAsia="Times New Roman" w:cs="Times New Roman"/>
                <w:i/>
                <w:iCs/>
                <w:color w:val="000000"/>
                <w:sz w:val="19"/>
                <w:szCs w:val="19"/>
                <w:vertAlign w:val="subscript"/>
                <w:lang w:val="it-IT"/>
              </w:rPr>
              <w:t>i</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-0.004</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0.009</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r>
      <w:tr w:rsidR="00DA2D4F" w:rsidRPr="007D564F" w:rsidTr="00512993">
        <w:trPr>
          <w:trHeight w:val="170"/>
        </w:trPr>
        <w:tc>
          <w:tcPr>
            <w:tcW w:w="197" w:type="pct"/>
            <w:tcBorders>
              <w:left w:val="nil"/>
              <w:bottom w:val="nil"/>
              <w:right w:val="nil"/>
            </w:tcBorders>
          </w:tcPr>
          <w:p w:rsidR="00512993" w:rsidRPr="007D564F" w:rsidRDefault="00512993" w:rsidP="00512993">
            <w:pPr>
              <w:spacing w:after="0" w:line="240" w:lineRule="auto"/>
              <w:ind w:firstLine="0"/>
              <w:jc w:val="left"/>
              <w:rPr>
                <w:rFonts w:eastAsia="Times New Roman" w:cs="Times New Roman"/>
                <w:i/>
                <w:color w:val="000000"/>
                <w:sz w:val="19"/>
                <w:szCs w:val="19"/>
                <w:lang w:eastAsia="en-US"/>
              </w:rPr>
            </w:pPr>
          </w:p>
        </w:tc>
        <w:tc>
          <w:tcPr>
            <w:tcW w:w="986" w:type="pct"/>
            <w:tcBorders>
              <w:left w:val="nil"/>
              <w:bottom w:val="nil"/>
              <w:right w:val="nil"/>
            </w:tcBorders>
            <w:shd w:val="clear" w:color="auto" w:fill="auto"/>
            <w:vAlign w:val="bottom"/>
            <w:hideMark/>
          </w:tcPr>
          <w:p w:rsidR="00512993" w:rsidRPr="007D564F" w:rsidRDefault="00512993" w:rsidP="00512993">
            <w:pPr>
              <w:spacing w:after="0" w:line="240" w:lineRule="auto"/>
              <w:ind w:firstLine="0"/>
              <w:jc w:val="left"/>
              <w:rPr>
                <w:rFonts w:eastAsia="Times New Roman" w:cs="Times New Roman"/>
                <w:i/>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(0.007)</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(0.007)</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r>
      <w:tr w:rsidR="00DA2D4F" w:rsidRPr="007D564F" w:rsidTr="00512993">
        <w:trPr>
          <w:trHeight w:val="170"/>
        </w:trPr>
        <w:tc>
          <w:tcPr>
            <w:tcW w:w="197" w:type="pct"/>
            <w:tcBorders>
              <w:top w:val="nil"/>
              <w:left w:val="nil"/>
              <w:right w:val="nil"/>
            </w:tcBorders>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Hp4</w:t>
            </w:r>
          </w:p>
        </w:tc>
        <w:tc>
          <w:tcPr>
            <w:tcW w:w="986" w:type="pct"/>
            <w:tcBorders>
              <w:top w:val="nil"/>
              <w:left w:val="nil"/>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PL</w:t>
            </w:r>
            <w:r w:rsidRPr="007D564F">
              <w:rPr>
                <w:rFonts w:eastAsia="Times New Roman" w:cs="Times New Roman"/>
                <w:i/>
                <w:color w:val="000000"/>
                <w:sz w:val="19"/>
                <w:szCs w:val="19"/>
                <w:vertAlign w:val="subscript"/>
                <w:lang w:eastAsia="en-US"/>
              </w:rPr>
              <w:t>i,t</w:t>
            </w:r>
            <w:r w:rsidRPr="007D564F">
              <w:rPr>
                <w:rFonts w:eastAsia="Times New Roman" w:cs="Times New Roman"/>
                <w:i/>
                <w:color w:val="000000"/>
                <w:sz w:val="19"/>
                <w:szCs w:val="19"/>
                <w:lang w:eastAsia="en-US"/>
              </w:rPr>
              <w:t>*</w:t>
            </w:r>
            <w:r w:rsidRPr="007D564F">
              <w:rPr>
                <w:rFonts w:eastAsia="Times New Roman" w:cs="Times New Roman"/>
                <w:i/>
                <w:iCs/>
                <w:color w:val="000000"/>
                <w:sz w:val="19"/>
                <w:szCs w:val="19"/>
                <w:lang w:eastAsia="en-US"/>
              </w:rPr>
              <w:t>HighTech</w:t>
            </w:r>
            <w:r w:rsidRPr="007D564F">
              <w:rPr>
                <w:rFonts w:eastAsia="Times New Roman" w:cs="Times New Roman"/>
                <w:i/>
                <w:iCs/>
                <w:color w:val="000000"/>
                <w:sz w:val="19"/>
                <w:szCs w:val="19"/>
                <w:vertAlign w:val="subscript"/>
                <w:lang w:val="it-IT"/>
              </w:rPr>
              <w:t>i</w:t>
            </w:r>
            <w:r w:rsidRPr="007D564F">
              <w:rPr>
                <w:rFonts w:eastAsia="Times New Roman" w:cs="Times New Roman"/>
                <w:i/>
                <w:iCs/>
                <w:color w:val="000000"/>
                <w:sz w:val="19"/>
                <w:szCs w:val="19"/>
                <w:lang w:eastAsia="en-US"/>
              </w:rPr>
              <w:t xml:space="preserve"> </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0.536</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0.505</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r>
      <w:tr w:rsidR="00DA2D4F" w:rsidRPr="007D564F" w:rsidTr="00512993">
        <w:trPr>
          <w:trHeight w:val="170"/>
        </w:trPr>
        <w:tc>
          <w:tcPr>
            <w:tcW w:w="197" w:type="pct"/>
            <w:tcBorders>
              <w:left w:val="nil"/>
              <w:bottom w:val="nil"/>
              <w:right w:val="nil"/>
            </w:tcBorders>
          </w:tcPr>
          <w:p w:rsidR="00512993" w:rsidRPr="007D564F" w:rsidRDefault="00512993" w:rsidP="00512993">
            <w:pPr>
              <w:spacing w:after="0" w:line="240" w:lineRule="auto"/>
              <w:ind w:firstLine="0"/>
              <w:jc w:val="left"/>
              <w:rPr>
                <w:rFonts w:eastAsia="Times New Roman" w:cs="Times New Roman"/>
                <w:i/>
                <w:color w:val="000000"/>
                <w:sz w:val="19"/>
                <w:szCs w:val="19"/>
                <w:lang w:eastAsia="en-US"/>
              </w:rPr>
            </w:pPr>
          </w:p>
        </w:tc>
        <w:tc>
          <w:tcPr>
            <w:tcW w:w="986" w:type="pct"/>
            <w:tcBorders>
              <w:left w:val="nil"/>
              <w:bottom w:val="nil"/>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i/>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(0.158)</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(0.163)</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r>
      <w:tr w:rsidR="00DA2D4F" w:rsidRPr="007D564F" w:rsidTr="00512993">
        <w:trPr>
          <w:trHeight w:val="170"/>
        </w:trPr>
        <w:tc>
          <w:tcPr>
            <w:tcW w:w="197" w:type="pct"/>
            <w:tcBorders>
              <w:top w:val="nil"/>
              <w:left w:val="nil"/>
              <w:right w:val="nil"/>
            </w:tcBorders>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Hp5</w:t>
            </w:r>
          </w:p>
        </w:tc>
        <w:tc>
          <w:tcPr>
            <w:tcW w:w="986" w:type="pct"/>
            <w:tcBorders>
              <w:top w:val="nil"/>
              <w:left w:val="nil"/>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PL</w:t>
            </w:r>
            <w:r w:rsidRPr="007D564F">
              <w:rPr>
                <w:rFonts w:eastAsia="Times New Roman" w:cs="Times New Roman"/>
                <w:i/>
                <w:color w:val="000000"/>
                <w:sz w:val="19"/>
                <w:szCs w:val="19"/>
                <w:vertAlign w:val="subscript"/>
                <w:lang w:eastAsia="en-US"/>
              </w:rPr>
              <w:t>i,t</w:t>
            </w:r>
            <w:r w:rsidRPr="007D564F">
              <w:rPr>
                <w:rFonts w:eastAsia="Times New Roman" w:cs="Times New Roman"/>
                <w:i/>
                <w:color w:val="000000"/>
                <w:sz w:val="19"/>
                <w:szCs w:val="19"/>
                <w:lang w:eastAsia="en-US"/>
              </w:rPr>
              <w:t>*</w:t>
            </w:r>
            <w:r w:rsidRPr="007D564F">
              <w:rPr>
                <w:rFonts w:eastAsia="Times New Roman" w:cs="Times New Roman"/>
                <w:i/>
                <w:iCs/>
                <w:color w:val="000000"/>
                <w:sz w:val="19"/>
                <w:szCs w:val="19"/>
                <w:lang w:eastAsia="en-US"/>
              </w:rPr>
              <w:t>PublicSupport</w:t>
            </w:r>
            <w:r w:rsidRPr="007D564F">
              <w:rPr>
                <w:i/>
                <w:iCs/>
                <w:color w:val="000000"/>
                <w:sz w:val="19"/>
                <w:szCs w:val="19"/>
                <w:vertAlign w:val="superscript"/>
              </w:rPr>
              <w:t>timeofPL</w:t>
            </w:r>
            <w:r w:rsidRPr="007D564F">
              <w:rPr>
                <w:rFonts w:eastAsia="Times New Roman" w:cs="Times New Roman"/>
                <w:i/>
                <w:iCs/>
                <w:color w:val="000000"/>
                <w:sz w:val="19"/>
                <w:szCs w:val="19"/>
                <w:vertAlign w:val="subscript"/>
                <w:lang w:val="it-IT"/>
              </w:rPr>
              <w:t>i</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-0.388</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-0.513</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r>
      <w:tr w:rsidR="00DA2D4F" w:rsidRPr="007D564F" w:rsidTr="00512993">
        <w:trPr>
          <w:trHeight w:val="170"/>
        </w:trPr>
        <w:tc>
          <w:tcPr>
            <w:tcW w:w="197" w:type="pct"/>
            <w:tcBorders>
              <w:left w:val="nil"/>
              <w:bottom w:val="nil"/>
              <w:right w:val="nil"/>
            </w:tcBorders>
          </w:tcPr>
          <w:p w:rsidR="00512993" w:rsidRPr="007D564F" w:rsidRDefault="00512993" w:rsidP="00512993">
            <w:pPr>
              <w:spacing w:after="0" w:line="240" w:lineRule="auto"/>
              <w:ind w:firstLine="0"/>
              <w:jc w:val="left"/>
              <w:rPr>
                <w:rFonts w:ascii="Calibri" w:eastAsia="Times New Roman" w:hAnsi="Calibri" w:cs="Times New Roman"/>
                <w:i/>
                <w:color w:val="000000"/>
                <w:sz w:val="19"/>
                <w:szCs w:val="19"/>
                <w:lang w:eastAsia="en-US"/>
              </w:rPr>
            </w:pPr>
          </w:p>
        </w:tc>
        <w:tc>
          <w:tcPr>
            <w:tcW w:w="986" w:type="pct"/>
            <w:tcBorders>
              <w:left w:val="nil"/>
              <w:bottom w:val="nil"/>
              <w:right w:val="nil"/>
            </w:tcBorders>
            <w:shd w:val="clear" w:color="auto" w:fill="auto"/>
            <w:noWrap/>
            <w:vAlign w:val="bottom"/>
            <w:hideMark/>
          </w:tcPr>
          <w:p w:rsidR="00512993" w:rsidRPr="007D564F" w:rsidRDefault="00512993" w:rsidP="00512993">
            <w:pPr>
              <w:spacing w:after="0" w:line="240" w:lineRule="auto"/>
              <w:ind w:firstLine="0"/>
              <w:jc w:val="left"/>
              <w:rPr>
                <w:rFonts w:ascii="Calibri" w:eastAsia="Times New Roman" w:hAnsi="Calibri" w:cs="Times New Roman"/>
                <w:i/>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(0.230)</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(0.226)</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r>
      <w:tr w:rsidR="00DA2D4F" w:rsidRPr="007D564F" w:rsidTr="00512993">
        <w:trPr>
          <w:trHeight w:val="170"/>
        </w:trPr>
        <w:tc>
          <w:tcPr>
            <w:tcW w:w="197" w:type="pct"/>
            <w:tcBorders>
              <w:top w:val="nil"/>
              <w:left w:val="nil"/>
              <w:right w:val="nil"/>
            </w:tcBorders>
          </w:tcPr>
          <w:p w:rsidR="00512993" w:rsidRPr="007D564F" w:rsidRDefault="00512993" w:rsidP="00512993">
            <w:pPr>
              <w:spacing w:after="0" w:line="240" w:lineRule="auto"/>
              <w:ind w:firstLine="0"/>
              <w:jc w:val="left"/>
              <w:rPr>
                <w:rFonts w:eastAsia="Times New Roman" w:cs="Times New Roman"/>
                <w:i/>
                <w:iCs/>
                <w:color w:val="000000"/>
                <w:sz w:val="19"/>
                <w:szCs w:val="19"/>
                <w:lang w:val="it-IT" w:eastAsia="en-US"/>
              </w:rPr>
            </w:pPr>
            <w:r w:rsidRPr="007D564F">
              <w:rPr>
                <w:rFonts w:eastAsia="Times New Roman" w:cs="Times New Roman"/>
                <w:i/>
                <w:iCs/>
                <w:color w:val="000000"/>
                <w:sz w:val="19"/>
                <w:szCs w:val="19"/>
                <w:lang w:eastAsia="en-US"/>
              </w:rPr>
              <w:t>Hp6</w:t>
            </w:r>
          </w:p>
        </w:tc>
        <w:tc>
          <w:tcPr>
            <w:tcW w:w="986" w:type="pct"/>
            <w:tcBorders>
              <w:top w:val="nil"/>
              <w:left w:val="nil"/>
              <w:right w:val="nil"/>
            </w:tcBorders>
            <w:shd w:val="clear" w:color="auto" w:fill="auto"/>
            <w:vAlign w:val="center"/>
            <w:hideMark/>
          </w:tcPr>
          <w:p w:rsidR="00512993" w:rsidRPr="007D564F" w:rsidRDefault="00512993" w:rsidP="00512993">
            <w:pPr>
              <w:spacing w:after="0" w:line="240" w:lineRule="auto"/>
              <w:ind w:firstLine="0"/>
              <w:jc w:val="left"/>
              <w:rPr>
                <w:rFonts w:eastAsia="Times New Roman" w:cs="Times New Roman"/>
                <w:i/>
                <w:iCs/>
                <w:color w:val="000000"/>
                <w:sz w:val="19"/>
                <w:szCs w:val="19"/>
                <w:lang w:val="it-IT" w:eastAsia="en-US"/>
              </w:rPr>
            </w:pPr>
            <w:r w:rsidRPr="007D564F">
              <w:rPr>
                <w:rFonts w:eastAsia="Times New Roman" w:cs="Times New Roman"/>
                <w:i/>
                <w:iCs/>
                <w:color w:val="000000"/>
                <w:sz w:val="19"/>
                <w:szCs w:val="19"/>
                <w:lang w:val="it-IT" w:eastAsia="en-US"/>
              </w:rPr>
              <w:t>PL</w:t>
            </w:r>
            <w:r w:rsidRPr="007D564F">
              <w:rPr>
                <w:rFonts w:eastAsia="Times New Roman" w:cs="Times New Roman"/>
                <w:i/>
                <w:color w:val="000000"/>
                <w:sz w:val="19"/>
                <w:szCs w:val="19"/>
                <w:vertAlign w:val="subscript"/>
                <w:lang w:val="it-IT" w:eastAsia="en-US"/>
              </w:rPr>
              <w:t>i,t</w:t>
            </w:r>
            <w:r w:rsidRPr="007D564F">
              <w:rPr>
                <w:rFonts w:eastAsia="Times New Roman" w:cs="Times New Roman"/>
                <w:i/>
                <w:color w:val="000000"/>
                <w:sz w:val="19"/>
                <w:szCs w:val="19"/>
                <w:lang w:val="it-IT" w:eastAsia="en-US"/>
              </w:rPr>
              <w:t>*</w:t>
            </w:r>
            <w:r w:rsidRPr="007D564F">
              <w:rPr>
                <w:rFonts w:eastAsia="Times New Roman" w:cs="Times New Roman"/>
                <w:i/>
                <w:iCs/>
                <w:color w:val="000000"/>
                <w:sz w:val="19"/>
                <w:szCs w:val="19"/>
                <w:lang w:val="it-IT" w:eastAsia="en-US"/>
              </w:rPr>
              <w:t>VC</w:t>
            </w:r>
            <w:r w:rsidRPr="007D564F">
              <w:rPr>
                <w:i/>
                <w:iCs/>
                <w:color w:val="000000"/>
                <w:sz w:val="19"/>
                <w:szCs w:val="19"/>
                <w:vertAlign w:val="superscript"/>
                <w:lang w:val="it-IT"/>
              </w:rPr>
              <w:t>timeofPL</w:t>
            </w:r>
            <w:r w:rsidRPr="007D564F">
              <w:rPr>
                <w:rFonts w:eastAsia="Times New Roman" w:cs="Times New Roman"/>
                <w:i/>
                <w:iCs/>
                <w:color w:val="000000"/>
                <w:sz w:val="19"/>
                <w:szCs w:val="19"/>
                <w:vertAlign w:val="subscript"/>
                <w:lang w:val="it-IT"/>
              </w:rPr>
              <w:t>i</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val="it-IT" w:eastAsia="en-US"/>
              </w:rPr>
            </w:pPr>
            <w:r w:rsidRPr="007D564F">
              <w:rPr>
                <w:color w:val="000000"/>
                <w:sz w:val="19"/>
                <w:szCs w:val="19"/>
                <w:lang w:val="it-IT"/>
              </w:rPr>
              <w:t>0.058</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val="it-IT" w:eastAsia="en-US"/>
              </w:rPr>
            </w:pPr>
            <w:r w:rsidRPr="007D564F">
              <w:rPr>
                <w:color w:val="000000"/>
                <w:sz w:val="19"/>
                <w:szCs w:val="19"/>
                <w:lang w:val="it-IT"/>
              </w:rPr>
              <w:t>-0.018</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r>
      <w:tr w:rsidR="00DA2D4F" w:rsidRPr="007D564F" w:rsidTr="00512993">
        <w:trPr>
          <w:trHeight w:val="170"/>
        </w:trPr>
        <w:tc>
          <w:tcPr>
            <w:tcW w:w="197" w:type="pct"/>
            <w:tcBorders>
              <w:left w:val="nil"/>
              <w:bottom w:val="nil"/>
              <w:right w:val="nil"/>
            </w:tcBorders>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986" w:type="pct"/>
            <w:tcBorders>
              <w:left w:val="nil"/>
              <w:bottom w:val="nil"/>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val="it-IT" w:eastAsia="en-US"/>
              </w:rPr>
            </w:pPr>
            <w:r w:rsidRPr="007D564F">
              <w:rPr>
                <w:color w:val="000000"/>
                <w:sz w:val="19"/>
                <w:szCs w:val="19"/>
                <w:lang w:val="it-IT"/>
              </w:rPr>
              <w:t>(0.177)</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val="it-IT" w:eastAsia="en-US"/>
              </w:rPr>
            </w:pPr>
            <w:r w:rsidRPr="007D564F">
              <w:rPr>
                <w:color w:val="000000"/>
                <w:sz w:val="19"/>
                <w:szCs w:val="19"/>
                <w:lang w:val="it-IT"/>
              </w:rPr>
              <w:t>(0.169)</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r>
      <w:tr w:rsidR="00DA2D4F" w:rsidRPr="007D564F" w:rsidTr="00512993">
        <w:trPr>
          <w:trHeight w:val="170"/>
        </w:trPr>
        <w:tc>
          <w:tcPr>
            <w:tcW w:w="197" w:type="pct"/>
            <w:tcBorders>
              <w:top w:val="nil"/>
              <w:left w:val="nil"/>
              <w:bottom w:val="nil"/>
              <w:right w:val="nil"/>
            </w:tcBorders>
          </w:tcPr>
          <w:p w:rsidR="00512993" w:rsidRPr="007D564F" w:rsidRDefault="00512993" w:rsidP="00512993">
            <w:pPr>
              <w:spacing w:after="0" w:line="240" w:lineRule="auto"/>
              <w:ind w:firstLine="0"/>
              <w:jc w:val="left"/>
              <w:rPr>
                <w:rFonts w:eastAsia="Times New Roman" w:cs="Times New Roman"/>
                <w:i/>
                <w:iCs/>
                <w:color w:val="000000"/>
                <w:sz w:val="19"/>
                <w:szCs w:val="19"/>
                <w:lang w:val="it-IT" w:eastAsia="en-US"/>
              </w:rPr>
            </w:pPr>
          </w:p>
        </w:tc>
        <w:tc>
          <w:tcPr>
            <w:tcW w:w="986" w:type="pct"/>
            <w:tcBorders>
              <w:top w:val="nil"/>
              <w:left w:val="nil"/>
              <w:bottom w:val="nil"/>
              <w:right w:val="nil"/>
            </w:tcBorders>
            <w:shd w:val="clear" w:color="auto" w:fill="auto"/>
            <w:hideMark/>
          </w:tcPr>
          <w:p w:rsidR="00512993" w:rsidRPr="007D564F" w:rsidRDefault="00512993" w:rsidP="00512993">
            <w:pPr>
              <w:spacing w:after="0" w:line="240" w:lineRule="auto"/>
              <w:ind w:firstLine="0"/>
              <w:jc w:val="left"/>
              <w:rPr>
                <w:rFonts w:eastAsia="Times New Roman" w:cs="Times New Roman"/>
                <w:i/>
                <w:iCs/>
                <w:color w:val="000000"/>
                <w:sz w:val="19"/>
                <w:szCs w:val="19"/>
                <w:lang w:val="it-IT" w:eastAsia="en-US"/>
              </w:rPr>
            </w:pPr>
            <w:r w:rsidRPr="007D564F">
              <w:rPr>
                <w:rFonts w:eastAsia="Times New Roman" w:cs="Times New Roman"/>
                <w:i/>
                <w:iCs/>
                <w:color w:val="000000"/>
                <w:sz w:val="19"/>
                <w:szCs w:val="19"/>
                <w:lang w:val="it-IT" w:eastAsia="en-US"/>
              </w:rPr>
              <w:t>Constant</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val="it-IT" w:eastAsia="en-US"/>
              </w:rPr>
            </w:pPr>
            <w:r w:rsidRPr="007D564F">
              <w:rPr>
                <w:color w:val="000000"/>
                <w:sz w:val="19"/>
                <w:szCs w:val="19"/>
                <w:lang w:val="it-IT"/>
              </w:rPr>
              <w:t>0.556</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val="it-IT" w:eastAsia="en-US"/>
              </w:rPr>
            </w:pPr>
            <w:r w:rsidRPr="007D564F">
              <w:rPr>
                <w:color w:val="000000"/>
                <w:sz w:val="19"/>
                <w:szCs w:val="19"/>
                <w:lang w:val="it-IT"/>
              </w:rPr>
              <w:t>0.730</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val="it-IT" w:eastAsia="en-US"/>
              </w:rPr>
            </w:pPr>
            <w:r w:rsidRPr="007D564F">
              <w:rPr>
                <w:color w:val="000000"/>
                <w:sz w:val="19"/>
                <w:szCs w:val="19"/>
                <w:lang w:val="it-IT"/>
              </w:rPr>
              <w:t>0.759</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val="it-IT" w:eastAsia="en-US"/>
              </w:rPr>
            </w:pPr>
            <w:r w:rsidRPr="007D564F">
              <w:rPr>
                <w:color w:val="000000"/>
                <w:sz w:val="19"/>
                <w:szCs w:val="19"/>
                <w:lang w:val="it-IT"/>
              </w:rPr>
              <w:t>0.734</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val="it-IT" w:eastAsia="en-US"/>
              </w:rPr>
            </w:pPr>
            <w:r w:rsidRPr="007D564F">
              <w:rPr>
                <w:color w:val="000000"/>
                <w:sz w:val="19"/>
                <w:szCs w:val="19"/>
                <w:lang w:val="it-IT"/>
              </w:rPr>
              <w:t>0.832</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val="it-IT" w:eastAsia="en-US"/>
              </w:rPr>
            </w:pPr>
            <w:r w:rsidRPr="007D564F">
              <w:rPr>
                <w:color w:val="000000"/>
                <w:sz w:val="19"/>
                <w:szCs w:val="19"/>
                <w:lang w:val="it-IT"/>
              </w:rPr>
              <w:t>0.739</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val="it-IT" w:eastAsia="en-US"/>
              </w:rPr>
            </w:pPr>
            <w:r w:rsidRPr="007D564F">
              <w:rPr>
                <w:color w:val="000000"/>
                <w:sz w:val="19"/>
                <w:szCs w:val="19"/>
                <w:lang w:val="it-IT"/>
              </w:rPr>
              <w:t>0.731</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val="it-IT" w:eastAsia="en-US"/>
              </w:rPr>
            </w:pPr>
            <w:r w:rsidRPr="007D564F">
              <w:rPr>
                <w:color w:val="000000"/>
                <w:sz w:val="19"/>
                <w:szCs w:val="19"/>
                <w:lang w:val="it-IT"/>
              </w:rPr>
              <w:t>0.857</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r>
      <w:tr w:rsidR="00DA2D4F" w:rsidRPr="007D564F" w:rsidTr="00512993">
        <w:trPr>
          <w:trHeight w:val="170"/>
        </w:trPr>
        <w:tc>
          <w:tcPr>
            <w:tcW w:w="197" w:type="pct"/>
            <w:tcBorders>
              <w:top w:val="nil"/>
              <w:left w:val="nil"/>
              <w:bottom w:val="single" w:sz="4" w:space="0" w:color="auto"/>
              <w:right w:val="nil"/>
            </w:tcBorders>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p>
        </w:tc>
        <w:tc>
          <w:tcPr>
            <w:tcW w:w="986" w:type="pct"/>
            <w:tcBorders>
              <w:top w:val="nil"/>
              <w:left w:val="nil"/>
              <w:bottom w:val="single" w:sz="4" w:space="0" w:color="auto"/>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color w:val="000000"/>
                <w:sz w:val="19"/>
                <w:szCs w:val="19"/>
                <w:lang w:val="it-IT" w:eastAsia="en-US"/>
              </w:rPr>
            </w:pPr>
            <w:r w:rsidRPr="007D564F">
              <w:rPr>
                <w:rFonts w:eastAsia="Times New Roman" w:cs="Times New Roman"/>
                <w:color w:val="000000"/>
                <w:sz w:val="19"/>
                <w:szCs w:val="19"/>
                <w:lang w:val="it-IT" w:eastAsia="en-US"/>
              </w:rPr>
              <w:t> </w:t>
            </w:r>
          </w:p>
        </w:tc>
        <w:tc>
          <w:tcPr>
            <w:tcW w:w="299" w:type="pct"/>
            <w:tcBorders>
              <w:top w:val="nil"/>
              <w:left w:val="nil"/>
              <w:bottom w:val="single" w:sz="4" w:space="0" w:color="auto"/>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(0.647)</w:t>
            </w:r>
          </w:p>
        </w:tc>
        <w:tc>
          <w:tcPr>
            <w:tcW w:w="178" w:type="pct"/>
            <w:tcBorders>
              <w:top w:val="nil"/>
              <w:left w:val="nil"/>
              <w:bottom w:val="single" w:sz="4" w:space="0" w:color="auto"/>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 </w:t>
            </w:r>
          </w:p>
        </w:tc>
        <w:tc>
          <w:tcPr>
            <w:tcW w:w="299" w:type="pct"/>
            <w:tcBorders>
              <w:top w:val="nil"/>
              <w:left w:val="nil"/>
              <w:bottom w:val="single" w:sz="4" w:space="0" w:color="auto"/>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(0.646)</w:t>
            </w:r>
          </w:p>
        </w:tc>
        <w:tc>
          <w:tcPr>
            <w:tcW w:w="178" w:type="pct"/>
            <w:tcBorders>
              <w:top w:val="nil"/>
              <w:left w:val="nil"/>
              <w:bottom w:val="single" w:sz="4" w:space="0" w:color="auto"/>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 </w:t>
            </w:r>
          </w:p>
        </w:tc>
        <w:tc>
          <w:tcPr>
            <w:tcW w:w="299" w:type="pct"/>
            <w:tcBorders>
              <w:top w:val="nil"/>
              <w:left w:val="nil"/>
              <w:bottom w:val="single" w:sz="4" w:space="0" w:color="auto"/>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(0.646)</w:t>
            </w:r>
          </w:p>
        </w:tc>
        <w:tc>
          <w:tcPr>
            <w:tcW w:w="178" w:type="pct"/>
            <w:tcBorders>
              <w:top w:val="nil"/>
              <w:left w:val="nil"/>
              <w:bottom w:val="single" w:sz="4" w:space="0" w:color="auto"/>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 </w:t>
            </w:r>
          </w:p>
        </w:tc>
        <w:tc>
          <w:tcPr>
            <w:tcW w:w="299" w:type="pct"/>
            <w:tcBorders>
              <w:top w:val="nil"/>
              <w:left w:val="nil"/>
              <w:bottom w:val="single" w:sz="4" w:space="0" w:color="auto"/>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(0.647)</w:t>
            </w:r>
          </w:p>
        </w:tc>
        <w:tc>
          <w:tcPr>
            <w:tcW w:w="178" w:type="pct"/>
            <w:tcBorders>
              <w:top w:val="nil"/>
              <w:left w:val="nil"/>
              <w:bottom w:val="single" w:sz="4" w:space="0" w:color="auto"/>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 </w:t>
            </w:r>
          </w:p>
        </w:tc>
        <w:tc>
          <w:tcPr>
            <w:tcW w:w="299" w:type="pct"/>
            <w:tcBorders>
              <w:top w:val="nil"/>
              <w:left w:val="nil"/>
              <w:bottom w:val="single" w:sz="4" w:space="0" w:color="auto"/>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(0.639)</w:t>
            </w:r>
          </w:p>
        </w:tc>
        <w:tc>
          <w:tcPr>
            <w:tcW w:w="178" w:type="pct"/>
            <w:tcBorders>
              <w:top w:val="nil"/>
              <w:left w:val="nil"/>
              <w:bottom w:val="single" w:sz="4" w:space="0" w:color="auto"/>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 </w:t>
            </w:r>
          </w:p>
        </w:tc>
        <w:tc>
          <w:tcPr>
            <w:tcW w:w="299" w:type="pct"/>
            <w:tcBorders>
              <w:top w:val="nil"/>
              <w:left w:val="nil"/>
              <w:bottom w:val="single" w:sz="4" w:space="0" w:color="auto"/>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(0.646)</w:t>
            </w:r>
          </w:p>
        </w:tc>
        <w:tc>
          <w:tcPr>
            <w:tcW w:w="178" w:type="pct"/>
            <w:tcBorders>
              <w:top w:val="nil"/>
              <w:left w:val="nil"/>
              <w:bottom w:val="single" w:sz="4" w:space="0" w:color="auto"/>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 </w:t>
            </w:r>
          </w:p>
        </w:tc>
        <w:tc>
          <w:tcPr>
            <w:tcW w:w="299" w:type="pct"/>
            <w:tcBorders>
              <w:top w:val="nil"/>
              <w:left w:val="nil"/>
              <w:bottom w:val="single" w:sz="4" w:space="0" w:color="auto"/>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(0.646)</w:t>
            </w:r>
          </w:p>
        </w:tc>
        <w:tc>
          <w:tcPr>
            <w:tcW w:w="178" w:type="pct"/>
            <w:tcBorders>
              <w:top w:val="nil"/>
              <w:left w:val="nil"/>
              <w:bottom w:val="single" w:sz="4" w:space="0" w:color="auto"/>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 </w:t>
            </w:r>
          </w:p>
        </w:tc>
        <w:tc>
          <w:tcPr>
            <w:tcW w:w="299" w:type="pct"/>
            <w:tcBorders>
              <w:top w:val="nil"/>
              <w:left w:val="nil"/>
              <w:bottom w:val="single" w:sz="4" w:space="0" w:color="auto"/>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(0.639)</w:t>
            </w:r>
          </w:p>
        </w:tc>
        <w:tc>
          <w:tcPr>
            <w:tcW w:w="178" w:type="pct"/>
            <w:tcBorders>
              <w:top w:val="nil"/>
              <w:left w:val="nil"/>
              <w:bottom w:val="single" w:sz="4" w:space="0" w:color="auto"/>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 </w:t>
            </w:r>
          </w:p>
        </w:tc>
      </w:tr>
      <w:tr w:rsidR="00DA2D4F" w:rsidRPr="007D564F" w:rsidTr="00512993">
        <w:trPr>
          <w:trHeight w:val="170"/>
        </w:trPr>
        <w:tc>
          <w:tcPr>
            <w:tcW w:w="197" w:type="pct"/>
            <w:tcBorders>
              <w:top w:val="nil"/>
              <w:left w:val="nil"/>
              <w:bottom w:val="nil"/>
              <w:right w:val="nil"/>
            </w:tcBorders>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986" w:type="pct"/>
            <w:tcBorders>
              <w:top w:val="nil"/>
              <w:left w:val="nil"/>
              <w:bottom w:val="nil"/>
              <w:right w:val="nil"/>
            </w:tcBorders>
            <w:shd w:val="clear" w:color="auto" w:fill="auto"/>
            <w:noWrap/>
            <w:vAlign w:val="bottom"/>
            <w:hideMark/>
          </w:tcPr>
          <w:p w:rsidR="00512993" w:rsidRPr="007D564F" w:rsidRDefault="009820B0" w:rsidP="00512993">
            <w:pPr>
              <w:spacing w:after="0" w:line="240" w:lineRule="auto"/>
              <w:ind w:firstLine="0"/>
              <w:jc w:val="left"/>
              <w:rPr>
                <w:rFonts w:eastAsia="Times New Roman" w:cs="Times New Roman"/>
                <w:color w:val="000000"/>
                <w:sz w:val="19"/>
                <w:szCs w:val="19"/>
                <w:lang w:eastAsia="en-US"/>
              </w:rPr>
            </w:pPr>
            <w:r w:rsidRPr="007D564F">
              <w:rPr>
                <w:rFonts w:eastAsia="Times New Roman" w:cs="Times New Roman"/>
                <w:color w:val="000000"/>
                <w:sz w:val="19"/>
                <w:szCs w:val="19"/>
                <w:lang w:eastAsia="en-US"/>
              </w:rPr>
              <w:t>N</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6,919</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6,919</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6,919</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6,919</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6,919</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6,919</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6,919</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6,919</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r>
      <w:tr w:rsidR="00DA2D4F" w:rsidRPr="007D564F" w:rsidTr="00512993">
        <w:trPr>
          <w:trHeight w:val="170"/>
        </w:trPr>
        <w:tc>
          <w:tcPr>
            <w:tcW w:w="197" w:type="pct"/>
            <w:tcBorders>
              <w:top w:val="nil"/>
              <w:left w:val="nil"/>
              <w:bottom w:val="nil"/>
              <w:right w:val="nil"/>
            </w:tcBorders>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986" w:type="pct"/>
            <w:tcBorders>
              <w:top w:val="nil"/>
              <w:left w:val="nil"/>
              <w:bottom w:val="nil"/>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rFonts w:eastAsia="Times New Roman" w:cs="Times New Roman"/>
                <w:color w:val="000000"/>
                <w:sz w:val="19"/>
                <w:szCs w:val="19"/>
                <w:lang w:eastAsia="en-US"/>
              </w:rPr>
              <w:t>N</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1,207</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1,207</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1,207</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1,207</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1,207</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1,207</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1,207</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1,207</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r>
      <w:tr w:rsidR="00DA2D4F" w:rsidRPr="007D564F" w:rsidTr="00512993">
        <w:trPr>
          <w:trHeight w:val="170"/>
        </w:trPr>
        <w:tc>
          <w:tcPr>
            <w:tcW w:w="197" w:type="pct"/>
            <w:tcBorders>
              <w:top w:val="nil"/>
              <w:left w:val="nil"/>
              <w:bottom w:val="nil"/>
              <w:right w:val="nil"/>
            </w:tcBorders>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p>
        </w:tc>
        <w:tc>
          <w:tcPr>
            <w:tcW w:w="986" w:type="pct"/>
            <w:tcBorders>
              <w:top w:val="nil"/>
              <w:left w:val="nil"/>
              <w:bottom w:val="nil"/>
              <w:right w:val="nil"/>
            </w:tcBorders>
            <w:shd w:val="clear" w:color="auto" w:fill="auto"/>
            <w:hideMark/>
          </w:tcPr>
          <w:p w:rsidR="00512993" w:rsidRPr="007D564F" w:rsidRDefault="00512993" w:rsidP="00512993">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R</w:t>
            </w:r>
            <w:r w:rsidRPr="007D564F">
              <w:rPr>
                <w:rFonts w:eastAsia="Times New Roman" w:cs="Times New Roman"/>
                <w:i/>
                <w:iCs/>
                <w:color w:val="000000"/>
                <w:sz w:val="19"/>
                <w:szCs w:val="19"/>
                <w:vertAlign w:val="superscript"/>
                <w:lang w:eastAsia="en-US"/>
              </w:rPr>
              <w:t>2</w:t>
            </w: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0.362</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0.369</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0.356</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0.368</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0.37</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0.37</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0.368</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299"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0.36</w:t>
            </w:r>
          </w:p>
        </w:tc>
        <w:tc>
          <w:tcPr>
            <w:tcW w:w="178"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r>
      <w:tr w:rsidR="00DA2D4F" w:rsidRPr="007D564F" w:rsidTr="00512993">
        <w:trPr>
          <w:trHeight w:val="170"/>
        </w:trPr>
        <w:tc>
          <w:tcPr>
            <w:tcW w:w="197" w:type="pct"/>
            <w:tcBorders>
              <w:top w:val="nil"/>
              <w:left w:val="nil"/>
              <w:bottom w:val="double" w:sz="6" w:space="0" w:color="auto"/>
              <w:right w:val="nil"/>
            </w:tcBorders>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p>
        </w:tc>
        <w:tc>
          <w:tcPr>
            <w:tcW w:w="986" w:type="pct"/>
            <w:tcBorders>
              <w:top w:val="nil"/>
              <w:left w:val="nil"/>
              <w:bottom w:val="double" w:sz="6" w:space="0" w:color="auto"/>
              <w:right w:val="nil"/>
            </w:tcBorders>
            <w:shd w:val="clear" w:color="auto" w:fill="auto"/>
            <w:vAlign w:val="bottom"/>
            <w:hideMark/>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rFonts w:eastAsia="Times New Roman" w:cs="Times New Roman"/>
                <w:color w:val="000000"/>
                <w:sz w:val="19"/>
                <w:szCs w:val="19"/>
                <w:lang w:eastAsia="en-US"/>
              </w:rPr>
              <w:t>F</w:t>
            </w:r>
          </w:p>
        </w:tc>
        <w:tc>
          <w:tcPr>
            <w:tcW w:w="299" w:type="pct"/>
            <w:tcBorders>
              <w:top w:val="nil"/>
              <w:left w:val="nil"/>
              <w:bottom w:val="double" w:sz="6" w:space="0" w:color="auto"/>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28.948</w:t>
            </w:r>
          </w:p>
        </w:tc>
        <w:tc>
          <w:tcPr>
            <w:tcW w:w="178" w:type="pct"/>
            <w:tcBorders>
              <w:top w:val="nil"/>
              <w:left w:val="nil"/>
              <w:bottom w:val="double" w:sz="6" w:space="0" w:color="auto"/>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double" w:sz="6" w:space="0" w:color="auto"/>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29.008</w:t>
            </w:r>
          </w:p>
        </w:tc>
        <w:tc>
          <w:tcPr>
            <w:tcW w:w="178" w:type="pct"/>
            <w:tcBorders>
              <w:top w:val="nil"/>
              <w:left w:val="nil"/>
              <w:bottom w:val="double" w:sz="6" w:space="0" w:color="auto"/>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double" w:sz="6" w:space="0" w:color="auto"/>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27.928</w:t>
            </w:r>
          </w:p>
        </w:tc>
        <w:tc>
          <w:tcPr>
            <w:tcW w:w="178" w:type="pct"/>
            <w:tcBorders>
              <w:top w:val="nil"/>
              <w:left w:val="nil"/>
              <w:bottom w:val="double" w:sz="6" w:space="0" w:color="auto"/>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double" w:sz="6" w:space="0" w:color="auto"/>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27.752</w:t>
            </w:r>
          </w:p>
        </w:tc>
        <w:tc>
          <w:tcPr>
            <w:tcW w:w="178" w:type="pct"/>
            <w:tcBorders>
              <w:top w:val="nil"/>
              <w:left w:val="nil"/>
              <w:bottom w:val="double" w:sz="6" w:space="0" w:color="auto"/>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double" w:sz="6" w:space="0" w:color="auto"/>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28.867</w:t>
            </w:r>
          </w:p>
        </w:tc>
        <w:tc>
          <w:tcPr>
            <w:tcW w:w="178" w:type="pct"/>
            <w:tcBorders>
              <w:top w:val="nil"/>
              <w:left w:val="nil"/>
              <w:bottom w:val="double" w:sz="6" w:space="0" w:color="auto"/>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double" w:sz="6" w:space="0" w:color="auto"/>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27.96</w:t>
            </w:r>
          </w:p>
        </w:tc>
        <w:tc>
          <w:tcPr>
            <w:tcW w:w="178" w:type="pct"/>
            <w:tcBorders>
              <w:top w:val="nil"/>
              <w:left w:val="nil"/>
              <w:bottom w:val="double" w:sz="6" w:space="0" w:color="auto"/>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double" w:sz="6" w:space="0" w:color="auto"/>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27.891</w:t>
            </w:r>
          </w:p>
        </w:tc>
        <w:tc>
          <w:tcPr>
            <w:tcW w:w="178" w:type="pct"/>
            <w:tcBorders>
              <w:top w:val="nil"/>
              <w:left w:val="nil"/>
              <w:bottom w:val="double" w:sz="6" w:space="0" w:color="auto"/>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c>
          <w:tcPr>
            <w:tcW w:w="299" w:type="pct"/>
            <w:tcBorders>
              <w:top w:val="nil"/>
              <w:left w:val="nil"/>
              <w:bottom w:val="double" w:sz="6" w:space="0" w:color="auto"/>
              <w:right w:val="nil"/>
            </w:tcBorders>
            <w:shd w:val="clear" w:color="auto" w:fill="auto"/>
            <w:noWrap/>
            <w:vAlign w:val="bottom"/>
          </w:tcPr>
          <w:p w:rsidR="00512993" w:rsidRPr="007D564F" w:rsidRDefault="00512993" w:rsidP="00512993">
            <w:pPr>
              <w:spacing w:after="0" w:line="240" w:lineRule="auto"/>
              <w:ind w:firstLine="0"/>
              <w:jc w:val="right"/>
              <w:rPr>
                <w:rFonts w:eastAsia="Times New Roman" w:cs="Times New Roman"/>
                <w:color w:val="000000"/>
                <w:sz w:val="19"/>
                <w:szCs w:val="19"/>
                <w:lang w:eastAsia="en-US"/>
              </w:rPr>
            </w:pPr>
            <w:r w:rsidRPr="007D564F">
              <w:rPr>
                <w:color w:val="000000"/>
                <w:sz w:val="19"/>
                <w:szCs w:val="19"/>
              </w:rPr>
              <w:t>25.117</w:t>
            </w:r>
          </w:p>
        </w:tc>
        <w:tc>
          <w:tcPr>
            <w:tcW w:w="178" w:type="pct"/>
            <w:tcBorders>
              <w:top w:val="nil"/>
              <w:left w:val="nil"/>
              <w:bottom w:val="double" w:sz="6" w:space="0" w:color="auto"/>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19"/>
                <w:szCs w:val="19"/>
                <w:lang w:eastAsia="en-US"/>
              </w:rPr>
            </w:pPr>
            <w:r w:rsidRPr="007D564F">
              <w:rPr>
                <w:color w:val="000000"/>
                <w:sz w:val="19"/>
                <w:szCs w:val="19"/>
              </w:rPr>
              <w:t>***</w:t>
            </w:r>
          </w:p>
        </w:tc>
      </w:tr>
    </w:tbl>
    <w:p w:rsidR="00512993" w:rsidRPr="007D564F" w:rsidRDefault="00512993" w:rsidP="00512993">
      <w:pPr>
        <w:spacing w:after="0" w:line="240" w:lineRule="auto"/>
        <w:ind w:firstLine="0"/>
        <w:rPr>
          <w:sz w:val="20"/>
          <w:szCs w:val="20"/>
          <w:lang w:eastAsia="en-US" w:bidi="en-US"/>
        </w:rPr>
        <w:sectPr w:rsidR="00512993" w:rsidRPr="007D564F" w:rsidSect="00512993">
          <w:pgSz w:w="15840" w:h="12240" w:orient="landscape"/>
          <w:pgMar w:top="1418" w:right="1418" w:bottom="1418" w:left="1418" w:header="709" w:footer="709" w:gutter="0"/>
          <w:cols w:space="708"/>
          <w:docGrid w:linePitch="360"/>
        </w:sectPr>
      </w:pPr>
      <w:r w:rsidRPr="007D564F">
        <w:rPr>
          <w:rFonts w:eastAsia="Times New Roman" w:cs="Times New Roman"/>
          <w:color w:val="000000"/>
          <w:sz w:val="20"/>
          <w:szCs w:val="20"/>
          <w:lang w:bidi="en-US"/>
        </w:rPr>
        <w:t xml:space="preserve">The table reports the estimated coefficients and, in brackets, the robust standard errors of the coefficients of a Fixed effects panel data model, whose dependent variable is </w:t>
      </w:r>
      <w:r w:rsidRPr="007D564F">
        <w:rPr>
          <w:i/>
          <w:iCs/>
          <w:color w:val="000000"/>
          <w:sz w:val="20"/>
          <w:szCs w:val="20"/>
        </w:rPr>
        <w:t>logDebt</w:t>
      </w:r>
      <w:r w:rsidRPr="007D564F">
        <w:rPr>
          <w:i/>
          <w:iCs/>
          <w:color w:val="000000"/>
          <w:sz w:val="20"/>
          <w:szCs w:val="20"/>
          <w:vertAlign w:val="subscript"/>
        </w:rPr>
        <w:t>i,t</w:t>
      </w:r>
      <w:r w:rsidRPr="007D564F">
        <w:rPr>
          <w:rFonts w:eastAsia="Times New Roman" w:cs="Times New Roman"/>
          <w:color w:val="000000"/>
          <w:sz w:val="20"/>
          <w:szCs w:val="20"/>
          <w:lang w:bidi="en-US"/>
        </w:rPr>
        <w:t xml:space="preserve">. The Hausman test for the appropriateness of the Random-Effects estimator was rejected with </w:t>
      </w:r>
      <w:r w:rsidRPr="007D564F">
        <w:rPr>
          <w:rFonts w:ascii="Symbol" w:eastAsia="Times New Roman" w:hAnsi="Symbol" w:cs="Times New Roman"/>
          <w:color w:val="000000"/>
          <w:sz w:val="20"/>
          <w:szCs w:val="20"/>
          <w:lang w:bidi="en-US"/>
        </w:rPr>
        <w:sym w:font="Symbol" w:char="F020"/>
      </w:r>
      <w:r w:rsidRPr="007D564F">
        <w:rPr>
          <w:rFonts w:ascii="Symbol" w:eastAsia="Times New Roman" w:hAnsi="Symbol" w:cs="Times New Roman"/>
          <w:color w:val="000000"/>
          <w:sz w:val="20"/>
          <w:szCs w:val="20"/>
          <w:lang w:bidi="en-US"/>
        </w:rPr>
        <w:sym w:font="Symbol" w:char="F063"/>
      </w:r>
      <w:r w:rsidRPr="007D564F">
        <w:rPr>
          <w:rFonts w:eastAsia="Times New Roman" w:cs="Times New Roman"/>
          <w:color w:val="000000"/>
          <w:sz w:val="20"/>
          <w:szCs w:val="20"/>
          <w:vertAlign w:val="superscript"/>
          <w:lang w:bidi="en-US"/>
        </w:rPr>
        <w:t>2</w:t>
      </w:r>
      <w:r w:rsidRPr="007D564F">
        <w:rPr>
          <w:rFonts w:eastAsia="Times New Roman" w:cs="Times New Roman"/>
          <w:color w:val="000000"/>
          <w:sz w:val="20"/>
          <w:szCs w:val="20"/>
          <w:lang w:bidi="en-US"/>
        </w:rPr>
        <w:t xml:space="preserve">(20)= 296.99, significant at 1% </w:t>
      </w:r>
      <w:r w:rsidRPr="007D564F">
        <w:rPr>
          <w:sz w:val="20"/>
          <w:szCs w:val="20"/>
          <w:lang w:eastAsia="en-US" w:bidi="en-US"/>
        </w:rPr>
        <w:t xml:space="preserve">The description of variables is available in Table 4. Year dummies are included in the model but omitted in the table. Significance: * p &lt; 0.10; ** p&lt; 0.05; *** p&lt;0.01. </w:t>
      </w:r>
    </w:p>
    <w:p w:rsidR="00512993" w:rsidRPr="007D564F" w:rsidRDefault="00512993" w:rsidP="00512993">
      <w:pPr>
        <w:pStyle w:val="Descripcin"/>
        <w:keepLines/>
        <w:spacing w:after="0" w:line="240" w:lineRule="auto"/>
        <w:rPr>
          <w:szCs w:val="20"/>
        </w:rPr>
      </w:pPr>
      <w:r w:rsidRPr="007D564F">
        <w:rPr>
          <w:szCs w:val="20"/>
        </w:rPr>
        <w:lastRenderedPageBreak/>
        <w:t xml:space="preserve">Table </w:t>
      </w:r>
      <w:r w:rsidR="007C60DA" w:rsidRPr="007D564F">
        <w:rPr>
          <w:szCs w:val="20"/>
        </w:rPr>
        <w:fldChar w:fldCharType="begin"/>
      </w:r>
      <w:r w:rsidRPr="007D564F">
        <w:rPr>
          <w:szCs w:val="20"/>
        </w:rPr>
        <w:instrText xml:space="preserve"> SEQ Table \* ARABIC </w:instrText>
      </w:r>
      <w:r w:rsidR="007C60DA" w:rsidRPr="007D564F">
        <w:rPr>
          <w:szCs w:val="20"/>
        </w:rPr>
        <w:fldChar w:fldCharType="separate"/>
      </w:r>
      <w:r w:rsidRPr="007D564F">
        <w:rPr>
          <w:noProof/>
          <w:szCs w:val="20"/>
        </w:rPr>
        <w:t>7</w:t>
      </w:r>
      <w:r w:rsidR="007C60DA" w:rsidRPr="007D564F">
        <w:rPr>
          <w:noProof/>
          <w:szCs w:val="20"/>
        </w:rPr>
        <w:fldChar w:fldCharType="end"/>
      </w:r>
      <w:r w:rsidRPr="007D564F">
        <w:rPr>
          <w:szCs w:val="20"/>
        </w:rPr>
        <w:t>: Analysis of firms’ financial debt: robustness checks</w:t>
      </w:r>
    </w:p>
    <w:tbl>
      <w:tblPr>
        <w:tblW w:w="5000" w:type="pct"/>
        <w:tblLook w:val="04A0" w:firstRow="1" w:lastRow="0" w:firstColumn="1" w:lastColumn="0" w:noHBand="0" w:noVBand="1"/>
      </w:tblPr>
      <w:tblGrid>
        <w:gridCol w:w="871"/>
        <w:gridCol w:w="3600"/>
        <w:gridCol w:w="1068"/>
        <w:gridCol w:w="587"/>
        <w:gridCol w:w="1160"/>
        <w:gridCol w:w="587"/>
        <w:gridCol w:w="1160"/>
        <w:gridCol w:w="587"/>
      </w:tblGrid>
      <w:tr w:rsidR="00F22E2C" w:rsidRPr="007D564F" w:rsidTr="000D4AA4">
        <w:trPr>
          <w:trHeight w:val="20"/>
        </w:trPr>
        <w:tc>
          <w:tcPr>
            <w:tcW w:w="453" w:type="pct"/>
            <w:tcBorders>
              <w:top w:val="double" w:sz="6" w:space="0" w:color="auto"/>
              <w:left w:val="nil"/>
              <w:bottom w:val="nil"/>
              <w:right w:val="nil"/>
            </w:tcBorders>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1871" w:type="pct"/>
            <w:tcBorders>
              <w:top w:val="double" w:sz="6" w:space="0" w:color="auto"/>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rFonts w:eastAsia="Times New Roman" w:cs="Times New Roman"/>
                <w:color w:val="000000"/>
                <w:sz w:val="19"/>
                <w:szCs w:val="19"/>
                <w:lang w:eastAsia="en-US"/>
              </w:rPr>
              <w:t> </w:t>
            </w:r>
          </w:p>
        </w:tc>
        <w:tc>
          <w:tcPr>
            <w:tcW w:w="555" w:type="pct"/>
            <w:tcBorders>
              <w:top w:val="double" w:sz="6" w:space="0" w:color="auto"/>
              <w:left w:val="nil"/>
              <w:bottom w:val="nil"/>
              <w:right w:val="nil"/>
            </w:tcBorders>
            <w:shd w:val="clear" w:color="auto" w:fill="auto"/>
            <w:vAlign w:val="bottom"/>
            <w:hideMark/>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rFonts w:eastAsia="Times New Roman" w:cs="Times New Roman"/>
                <w:color w:val="000000"/>
                <w:sz w:val="19"/>
                <w:szCs w:val="19"/>
                <w:lang w:eastAsia="en-US"/>
              </w:rPr>
              <w:t>I</w:t>
            </w:r>
          </w:p>
        </w:tc>
        <w:tc>
          <w:tcPr>
            <w:tcW w:w="305" w:type="pct"/>
            <w:tcBorders>
              <w:top w:val="double" w:sz="6" w:space="0" w:color="auto"/>
              <w:left w:val="nil"/>
              <w:bottom w:val="nil"/>
              <w:right w:val="nil"/>
            </w:tcBorders>
            <w:shd w:val="clear" w:color="auto" w:fill="auto"/>
            <w:vAlign w:val="bottom"/>
            <w:hideMark/>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rFonts w:eastAsia="Times New Roman" w:cs="Times New Roman"/>
                <w:color w:val="000000"/>
                <w:sz w:val="19"/>
                <w:szCs w:val="19"/>
                <w:lang w:eastAsia="en-US"/>
              </w:rPr>
              <w:t> </w:t>
            </w:r>
          </w:p>
        </w:tc>
        <w:tc>
          <w:tcPr>
            <w:tcW w:w="603" w:type="pct"/>
            <w:tcBorders>
              <w:top w:val="double" w:sz="6" w:space="0" w:color="auto"/>
              <w:left w:val="nil"/>
              <w:bottom w:val="nil"/>
              <w:right w:val="nil"/>
            </w:tcBorders>
            <w:shd w:val="clear" w:color="auto" w:fill="auto"/>
            <w:vAlign w:val="bottom"/>
            <w:hideMark/>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rFonts w:eastAsia="Times New Roman" w:cs="Times New Roman"/>
                <w:color w:val="000000"/>
                <w:sz w:val="19"/>
                <w:szCs w:val="19"/>
                <w:lang w:eastAsia="en-US"/>
              </w:rPr>
              <w:t>II</w:t>
            </w:r>
          </w:p>
        </w:tc>
        <w:tc>
          <w:tcPr>
            <w:tcW w:w="305" w:type="pct"/>
            <w:tcBorders>
              <w:top w:val="double" w:sz="6" w:space="0" w:color="auto"/>
              <w:left w:val="nil"/>
              <w:bottom w:val="nil"/>
              <w:right w:val="nil"/>
            </w:tcBorders>
            <w:shd w:val="clear" w:color="auto" w:fill="auto"/>
            <w:vAlign w:val="bottom"/>
            <w:hideMark/>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rFonts w:eastAsia="Times New Roman" w:cs="Times New Roman"/>
                <w:color w:val="000000"/>
                <w:sz w:val="19"/>
                <w:szCs w:val="19"/>
                <w:lang w:eastAsia="en-US"/>
              </w:rPr>
              <w:t> </w:t>
            </w:r>
          </w:p>
        </w:tc>
        <w:tc>
          <w:tcPr>
            <w:tcW w:w="603" w:type="pct"/>
            <w:tcBorders>
              <w:top w:val="double" w:sz="6" w:space="0" w:color="auto"/>
              <w:left w:val="nil"/>
              <w:bottom w:val="nil"/>
              <w:right w:val="nil"/>
            </w:tcBorders>
            <w:shd w:val="clear" w:color="auto" w:fill="auto"/>
            <w:vAlign w:val="bottom"/>
            <w:hideMark/>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rFonts w:eastAsia="Times New Roman" w:cs="Times New Roman"/>
                <w:color w:val="000000"/>
                <w:sz w:val="19"/>
                <w:szCs w:val="19"/>
                <w:lang w:eastAsia="en-US"/>
              </w:rPr>
              <w:t>III</w:t>
            </w:r>
          </w:p>
        </w:tc>
        <w:tc>
          <w:tcPr>
            <w:tcW w:w="305" w:type="pct"/>
            <w:tcBorders>
              <w:top w:val="double" w:sz="6" w:space="0" w:color="auto"/>
              <w:left w:val="nil"/>
              <w:bottom w:val="nil"/>
              <w:right w:val="nil"/>
            </w:tcBorders>
            <w:shd w:val="clear" w:color="auto" w:fill="auto"/>
            <w:vAlign w:val="bottom"/>
            <w:hideMark/>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rFonts w:eastAsia="Times New Roman" w:cs="Times New Roman"/>
                <w:color w:val="000000"/>
                <w:sz w:val="19"/>
                <w:szCs w:val="19"/>
                <w:lang w:eastAsia="en-US"/>
              </w:rPr>
              <w:t> </w:t>
            </w:r>
          </w:p>
        </w:tc>
      </w:tr>
      <w:tr w:rsidR="00F22E2C" w:rsidRPr="007D564F" w:rsidTr="000D4AA4">
        <w:trPr>
          <w:trHeight w:val="20"/>
        </w:trPr>
        <w:tc>
          <w:tcPr>
            <w:tcW w:w="453" w:type="pct"/>
            <w:tcBorders>
              <w:top w:val="nil"/>
              <w:left w:val="nil"/>
              <w:bottom w:val="single" w:sz="4" w:space="0" w:color="auto"/>
              <w:right w:val="nil"/>
            </w:tcBorders>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1871" w:type="pct"/>
            <w:tcBorders>
              <w:top w:val="nil"/>
              <w:left w:val="nil"/>
              <w:bottom w:val="single" w:sz="4" w:space="0" w:color="auto"/>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rFonts w:eastAsia="Times New Roman" w:cs="Times New Roman"/>
                <w:color w:val="000000"/>
                <w:sz w:val="19"/>
                <w:szCs w:val="19"/>
                <w:lang w:eastAsia="en-US"/>
              </w:rPr>
              <w:t>Model</w:t>
            </w:r>
          </w:p>
        </w:tc>
        <w:tc>
          <w:tcPr>
            <w:tcW w:w="860" w:type="pct"/>
            <w:gridSpan w:val="2"/>
            <w:tcBorders>
              <w:top w:val="nil"/>
              <w:left w:val="nil"/>
              <w:bottom w:val="single" w:sz="4" w:space="0" w:color="auto"/>
              <w:right w:val="nil"/>
            </w:tcBorders>
            <w:shd w:val="clear" w:color="auto" w:fill="auto"/>
            <w:vAlign w:val="bottom"/>
            <w:hideMark/>
          </w:tcPr>
          <w:p w:rsidR="00F22E2C" w:rsidRPr="007D564F" w:rsidRDefault="00F22E2C" w:rsidP="000D4AA4">
            <w:pPr>
              <w:spacing w:after="0" w:line="240" w:lineRule="auto"/>
              <w:ind w:firstLine="0"/>
              <w:jc w:val="center"/>
              <w:rPr>
                <w:rFonts w:eastAsia="Times New Roman" w:cs="Times New Roman"/>
                <w:color w:val="000000"/>
                <w:sz w:val="19"/>
                <w:szCs w:val="19"/>
                <w:lang w:eastAsia="en-US"/>
              </w:rPr>
            </w:pPr>
            <w:r w:rsidRPr="007D564F">
              <w:rPr>
                <w:rFonts w:eastAsia="Times New Roman" w:cs="Times New Roman"/>
                <w:color w:val="000000"/>
                <w:sz w:val="19"/>
                <w:szCs w:val="19"/>
                <w:lang w:eastAsia="en-US"/>
              </w:rPr>
              <w:t>Probit model on the receipt of PLs</w:t>
            </w:r>
          </w:p>
        </w:tc>
        <w:tc>
          <w:tcPr>
            <w:tcW w:w="908" w:type="pct"/>
            <w:gridSpan w:val="2"/>
            <w:tcBorders>
              <w:top w:val="nil"/>
              <w:left w:val="nil"/>
              <w:bottom w:val="single" w:sz="4" w:space="0" w:color="auto"/>
              <w:right w:val="nil"/>
            </w:tcBorders>
            <w:shd w:val="clear" w:color="auto" w:fill="auto"/>
            <w:vAlign w:val="bottom"/>
            <w:hideMark/>
          </w:tcPr>
          <w:p w:rsidR="00F22E2C" w:rsidRPr="007D564F" w:rsidRDefault="00F22E2C" w:rsidP="000D4AA4">
            <w:pPr>
              <w:spacing w:after="0" w:line="240" w:lineRule="auto"/>
              <w:ind w:firstLine="0"/>
              <w:jc w:val="center"/>
              <w:rPr>
                <w:rFonts w:eastAsia="Times New Roman" w:cs="Times New Roman"/>
                <w:color w:val="000000"/>
                <w:sz w:val="19"/>
                <w:szCs w:val="19"/>
                <w:lang w:eastAsia="en-US"/>
              </w:rPr>
            </w:pPr>
            <w:r w:rsidRPr="007D564F">
              <w:rPr>
                <w:rFonts w:eastAsia="Times New Roman" w:cs="Times New Roman"/>
                <w:color w:val="000000"/>
                <w:sz w:val="19"/>
                <w:szCs w:val="19"/>
                <w:lang w:eastAsia="en-US"/>
              </w:rPr>
              <w:t>RC: PLs' endogeneity</w:t>
            </w:r>
          </w:p>
        </w:tc>
        <w:tc>
          <w:tcPr>
            <w:tcW w:w="908" w:type="pct"/>
            <w:gridSpan w:val="2"/>
            <w:tcBorders>
              <w:top w:val="nil"/>
              <w:left w:val="nil"/>
              <w:bottom w:val="single" w:sz="4" w:space="0" w:color="auto"/>
              <w:right w:val="nil"/>
            </w:tcBorders>
            <w:shd w:val="clear" w:color="auto" w:fill="auto"/>
            <w:vAlign w:val="bottom"/>
            <w:hideMark/>
          </w:tcPr>
          <w:p w:rsidR="00F22E2C" w:rsidRPr="007D564F" w:rsidRDefault="00F22E2C" w:rsidP="000D4AA4">
            <w:pPr>
              <w:spacing w:after="0" w:line="240" w:lineRule="auto"/>
              <w:ind w:firstLine="0"/>
              <w:jc w:val="center"/>
              <w:rPr>
                <w:rFonts w:eastAsia="Times New Roman" w:cs="Times New Roman"/>
                <w:color w:val="000000"/>
                <w:sz w:val="19"/>
                <w:szCs w:val="19"/>
                <w:lang w:eastAsia="en-US"/>
              </w:rPr>
            </w:pPr>
            <w:r w:rsidRPr="007D564F">
              <w:rPr>
                <w:rFonts w:eastAsia="Times New Roman" w:cs="Times New Roman"/>
                <w:color w:val="000000"/>
                <w:sz w:val="19"/>
                <w:szCs w:val="19"/>
                <w:lang w:eastAsia="en-US"/>
              </w:rPr>
              <w:t>RC: effect of collateral</w:t>
            </w: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p>
        </w:tc>
        <w:tc>
          <w:tcPr>
            <w:tcW w:w="1871"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logTotalAssets</w:t>
            </w:r>
            <w:r w:rsidRPr="007D564F">
              <w:rPr>
                <w:rFonts w:eastAsia="Times New Roman" w:cs="Times New Roman"/>
                <w:i/>
                <w:iCs/>
                <w:color w:val="000000"/>
                <w:sz w:val="19"/>
                <w:szCs w:val="19"/>
                <w:vertAlign w:val="subscript"/>
                <w:lang w:eastAsia="en-US"/>
              </w:rPr>
              <w:t>i,t-1</w:t>
            </w: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-0.091</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rPr>
              <w:t>***</w:t>
            </w: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0.442</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rPr>
              <w:t>***</w:t>
            </w: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0.445</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lang w:eastAsia="en-US"/>
              </w:rPr>
              <w:t>***</w:t>
            </w: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1871"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(0.032)</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(0.049)</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(0.055)</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p>
        </w:tc>
        <w:tc>
          <w:tcPr>
            <w:tcW w:w="1871" w:type="pct"/>
            <w:tcBorders>
              <w:top w:val="nil"/>
              <w:left w:val="nil"/>
              <w:bottom w:val="nil"/>
              <w:right w:val="nil"/>
            </w:tcBorders>
            <w:shd w:val="clear" w:color="auto" w:fill="auto"/>
            <w:noWrap/>
            <w:vAlign w:val="bottom"/>
            <w:hideMark/>
          </w:tcPr>
          <w:p w:rsidR="00F22E2C" w:rsidRPr="007D564F" w:rsidRDefault="00F22E2C" w:rsidP="00B46055">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TotalAssetGrowth</w:t>
            </w:r>
            <w:r w:rsidRPr="007D564F">
              <w:rPr>
                <w:rFonts w:eastAsia="Times New Roman" w:cs="Times New Roman"/>
                <w:i/>
                <w:iCs/>
                <w:color w:val="000000"/>
                <w:sz w:val="19"/>
                <w:szCs w:val="19"/>
                <w:vertAlign w:val="subscript"/>
                <w:lang w:eastAsia="en-US"/>
              </w:rPr>
              <w:t>i,t-1</w:t>
            </w: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0.064</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rPr>
              <w:t>***</w:t>
            </w: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0.001</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0.000</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1871"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(0.020)</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(0.017)</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(0.016)</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p>
        </w:tc>
        <w:tc>
          <w:tcPr>
            <w:tcW w:w="1871"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Tangibles</w:t>
            </w:r>
            <w:r w:rsidRPr="007D564F">
              <w:rPr>
                <w:rFonts w:eastAsia="Times New Roman" w:cs="Times New Roman"/>
                <w:i/>
                <w:iCs/>
                <w:color w:val="000000"/>
                <w:sz w:val="19"/>
                <w:szCs w:val="19"/>
                <w:vertAlign w:val="subscript"/>
                <w:lang w:eastAsia="en-US"/>
              </w:rPr>
              <w:t>i,t-1</w:t>
            </w: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-0.556</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rPr>
              <w:t>***</w:t>
            </w: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0.631</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rPr>
              <w:t>***</w:t>
            </w: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0.761</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lang w:eastAsia="en-US"/>
              </w:rPr>
              <w:t>***</w:t>
            </w: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1871"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(0.189)</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(0.192)</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(0.175)</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p>
        </w:tc>
        <w:tc>
          <w:tcPr>
            <w:tcW w:w="1871"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Profitability</w:t>
            </w:r>
            <w:r w:rsidRPr="007D564F">
              <w:rPr>
                <w:rFonts w:eastAsia="Times New Roman" w:cs="Times New Roman"/>
                <w:i/>
                <w:iCs/>
                <w:color w:val="000000"/>
                <w:sz w:val="19"/>
                <w:szCs w:val="19"/>
                <w:vertAlign w:val="subscript"/>
                <w:lang w:eastAsia="en-US"/>
              </w:rPr>
              <w:t>i,t-1</w:t>
            </w: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-0.079</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rPr>
              <w:t>*</w:t>
            </w: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-0.002</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rPr>
              <w:t>*</w:t>
            </w: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-0.002</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p>
        </w:tc>
        <w:tc>
          <w:tcPr>
            <w:tcW w:w="1871" w:type="pct"/>
            <w:tcBorders>
              <w:top w:val="nil"/>
              <w:left w:val="nil"/>
              <w:bottom w:val="nil"/>
              <w:right w:val="nil"/>
            </w:tcBorders>
            <w:shd w:val="clear" w:color="auto" w:fill="auto"/>
            <w:hideMark/>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(0.040)</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(0.001)</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(0.001)</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p>
        </w:tc>
        <w:tc>
          <w:tcPr>
            <w:tcW w:w="1871"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Liquidity</w:t>
            </w:r>
            <w:r w:rsidRPr="007D564F">
              <w:rPr>
                <w:rFonts w:eastAsia="Times New Roman" w:cs="Times New Roman"/>
                <w:i/>
                <w:iCs/>
                <w:color w:val="000000"/>
                <w:sz w:val="19"/>
                <w:szCs w:val="19"/>
                <w:vertAlign w:val="subscript"/>
                <w:lang w:eastAsia="en-US"/>
              </w:rPr>
              <w:t>i,t-1</w:t>
            </w: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-0.262</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-0.100</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-0.106</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p>
        </w:tc>
        <w:tc>
          <w:tcPr>
            <w:tcW w:w="1871"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(0.193)</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(0.164)</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(0.174)</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p>
        </w:tc>
        <w:tc>
          <w:tcPr>
            <w:tcW w:w="1871"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logEquity</w:t>
            </w:r>
            <w:r w:rsidRPr="007D564F">
              <w:rPr>
                <w:rFonts w:eastAsia="Times New Roman" w:cs="Times New Roman"/>
                <w:i/>
                <w:iCs/>
                <w:color w:val="000000"/>
                <w:sz w:val="19"/>
                <w:szCs w:val="19"/>
                <w:vertAlign w:val="subscript"/>
                <w:lang w:eastAsia="en-US"/>
              </w:rPr>
              <w:t>i,t-1</w:t>
            </w: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0.115</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rPr>
              <w:t>***</w:t>
            </w: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0.047</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0.047</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lang w:eastAsia="en-US"/>
              </w:rPr>
              <w:t>*</w:t>
            </w: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1871"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(0.028)</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(0.032)</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(0.026)</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p>
        </w:tc>
        <w:tc>
          <w:tcPr>
            <w:tcW w:w="1871"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Age</w:t>
            </w:r>
            <w:r w:rsidRPr="007D564F">
              <w:rPr>
                <w:rFonts w:eastAsia="Times New Roman" w:cs="Times New Roman"/>
                <w:i/>
                <w:iCs/>
                <w:color w:val="000000"/>
                <w:sz w:val="19"/>
                <w:szCs w:val="19"/>
                <w:vertAlign w:val="subscript"/>
                <w:lang w:eastAsia="en-US"/>
              </w:rPr>
              <w:t>i,t</w:t>
            </w: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-0.001</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0.135</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rPr>
              <w:t>***</w:t>
            </w: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0.134</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lang w:eastAsia="en-US"/>
              </w:rPr>
              <w:t>***</w:t>
            </w: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p>
        </w:tc>
        <w:tc>
          <w:tcPr>
            <w:tcW w:w="1871" w:type="pct"/>
            <w:tcBorders>
              <w:top w:val="nil"/>
              <w:left w:val="nil"/>
              <w:bottom w:val="nil"/>
              <w:right w:val="nil"/>
            </w:tcBorders>
            <w:shd w:val="clear" w:color="auto" w:fill="auto"/>
            <w:hideMark/>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(0.005)</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(0.047)</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(0.043)</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p>
        </w:tc>
        <w:tc>
          <w:tcPr>
            <w:tcW w:w="1871" w:type="pct"/>
            <w:tcBorders>
              <w:top w:val="nil"/>
              <w:left w:val="nil"/>
              <w:bottom w:val="nil"/>
              <w:right w:val="nil"/>
            </w:tcBorders>
            <w:shd w:val="clear" w:color="auto" w:fill="auto"/>
            <w:hideMark/>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PublicSupport</w:t>
            </w:r>
            <w:r w:rsidRPr="007D564F">
              <w:rPr>
                <w:rFonts w:eastAsia="Times New Roman" w:cs="Times New Roman"/>
                <w:i/>
                <w:iCs/>
                <w:color w:val="000000"/>
                <w:sz w:val="19"/>
                <w:szCs w:val="19"/>
                <w:vertAlign w:val="subscript"/>
                <w:lang w:eastAsia="en-US"/>
              </w:rPr>
              <w:t>i,t-1</w:t>
            </w: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0.118</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0.300</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rPr>
              <w:t>*</w:t>
            </w: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0.283</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lang w:eastAsia="en-US"/>
              </w:rPr>
              <w:t>*</w:t>
            </w: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1871"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(0.166)</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(0.156)</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(0.165)</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p>
        </w:tc>
        <w:tc>
          <w:tcPr>
            <w:tcW w:w="1871"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VC</w:t>
            </w:r>
            <w:r w:rsidRPr="007D564F">
              <w:rPr>
                <w:rFonts w:eastAsia="Times New Roman" w:cs="Times New Roman"/>
                <w:i/>
                <w:iCs/>
                <w:color w:val="000000"/>
                <w:sz w:val="19"/>
                <w:szCs w:val="19"/>
                <w:vertAlign w:val="subscript"/>
                <w:lang w:eastAsia="en-US"/>
              </w:rPr>
              <w:t>i,t-1</w:t>
            </w: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0.253</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rPr>
              <w:t>**</w:t>
            </w: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0.111</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0.104</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1871"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(0.100)</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(0.101)</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(0.103)</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p>
        </w:tc>
        <w:tc>
          <w:tcPr>
            <w:tcW w:w="1871"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ENISAavailability</w:t>
            </w:r>
            <w:r w:rsidRPr="007D564F">
              <w:rPr>
                <w:rFonts w:eastAsia="Times New Roman" w:cs="Times New Roman"/>
                <w:i/>
                <w:iCs/>
                <w:color w:val="000000"/>
                <w:sz w:val="19"/>
                <w:szCs w:val="19"/>
                <w:vertAlign w:val="subscript"/>
                <w:lang w:eastAsia="en-US"/>
              </w:rPr>
              <w:t>i,t</w:t>
            </w: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0.013</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rPr>
              <w:t>*</w:t>
            </w: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color w:val="000000"/>
                <w:sz w:val="19"/>
                <w:szCs w:val="19"/>
              </w:rPr>
            </w:pP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color w:val="000000"/>
                <w:sz w:val="19"/>
                <w:szCs w:val="19"/>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p>
        </w:tc>
        <w:tc>
          <w:tcPr>
            <w:tcW w:w="1871"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(0.007)</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color w:val="000000"/>
                <w:sz w:val="19"/>
                <w:szCs w:val="19"/>
              </w:rPr>
            </w:pP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color w:val="000000"/>
                <w:sz w:val="19"/>
                <w:szCs w:val="19"/>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p>
        </w:tc>
        <w:tc>
          <w:tcPr>
            <w:tcW w:w="1871"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r w:rsidRPr="007D564F">
              <w:rPr>
                <w:rFonts w:ascii="Symbol" w:eastAsia="Times New Roman" w:hAnsi="Symbol" w:cs="Times New Roman"/>
                <w:color w:val="000000"/>
                <w:sz w:val="19"/>
                <w:szCs w:val="19"/>
                <w:lang w:eastAsia="en-US"/>
              </w:rPr>
              <w:t></w:t>
            </w:r>
            <w:r w:rsidRPr="007D564F">
              <w:rPr>
                <w:rFonts w:eastAsia="Times New Roman" w:cs="Times New Roman"/>
                <w:color w:val="000000"/>
                <w:sz w:val="19"/>
                <w:szCs w:val="19"/>
                <w:vertAlign w:val="subscript"/>
                <w:lang w:eastAsia="en-US"/>
              </w:rPr>
              <w:t>PL</w:t>
            </w: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0.009</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1871" w:type="pct"/>
            <w:tcBorders>
              <w:top w:val="nil"/>
              <w:left w:val="nil"/>
              <w:bottom w:val="nil"/>
              <w:right w:val="nil"/>
            </w:tcBorders>
            <w:shd w:val="clear" w:color="auto" w:fill="auto"/>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(0.018)</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p>
        </w:tc>
        <w:tc>
          <w:tcPr>
            <w:tcW w:w="1871"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r w:rsidRPr="007D564F">
              <w:rPr>
                <w:i/>
                <w:iCs/>
                <w:color w:val="000000"/>
                <w:sz w:val="20"/>
                <w:szCs w:val="20"/>
                <w:lang w:eastAsia="en-US"/>
              </w:rPr>
              <w:t>PL</w:t>
            </w:r>
            <w:r w:rsidRPr="007D564F">
              <w:rPr>
                <w:i/>
                <w:iCs/>
                <w:color w:val="000000"/>
                <w:sz w:val="20"/>
                <w:szCs w:val="20"/>
                <w:vertAlign w:val="subscript"/>
                <w:lang w:eastAsia="en-US"/>
              </w:rPr>
              <w:t>i,t</w:t>
            </w:r>
            <w:r w:rsidRPr="007D564F">
              <w:rPr>
                <w:i/>
                <w:iCs/>
                <w:color w:val="000000"/>
                <w:sz w:val="20"/>
                <w:szCs w:val="20"/>
                <w:lang w:eastAsia="en-US"/>
              </w:rPr>
              <w:t>*Tangibles</w:t>
            </w:r>
            <w:r w:rsidRPr="007D564F">
              <w:rPr>
                <w:i/>
                <w:iCs/>
                <w:color w:val="000000"/>
                <w:sz w:val="20"/>
                <w:szCs w:val="20"/>
                <w:vertAlign w:val="subscript"/>
                <w:lang w:eastAsia="en-US"/>
              </w:rPr>
              <w:t>i,t-1</w:t>
            </w: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-0.725</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lang w:eastAsia="en-US"/>
              </w:rPr>
              <w:t>**</w:t>
            </w: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1871"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(0.305)</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ascii="Symbol" w:eastAsia="Times New Roman" w:hAnsi="Symbol" w:cs="Times New Roman"/>
                <w:color w:val="000000"/>
                <w:sz w:val="19"/>
                <w:szCs w:val="19"/>
                <w:lang w:eastAsia="en-US"/>
              </w:rPr>
            </w:pPr>
            <w:r w:rsidRPr="007D564F">
              <w:rPr>
                <w:rFonts w:eastAsia="Times New Roman" w:cs="Times New Roman"/>
                <w:i/>
                <w:iCs/>
                <w:color w:val="000000"/>
                <w:sz w:val="19"/>
                <w:szCs w:val="19"/>
                <w:lang w:eastAsia="en-US"/>
              </w:rPr>
              <w:t>Hp1</w:t>
            </w:r>
          </w:p>
        </w:tc>
        <w:tc>
          <w:tcPr>
            <w:tcW w:w="1871"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rFonts w:eastAsia="Times New Roman" w:cs="Times New Roman"/>
                <w:i/>
                <w:iCs/>
                <w:color w:val="000000"/>
                <w:sz w:val="19"/>
                <w:szCs w:val="19"/>
                <w:lang w:eastAsia="en-US"/>
              </w:rPr>
              <w:t>PL</w:t>
            </w:r>
            <w:r w:rsidRPr="007D564F">
              <w:rPr>
                <w:rFonts w:eastAsia="Times New Roman" w:cs="Times New Roman"/>
                <w:i/>
                <w:iCs/>
                <w:color w:val="000000"/>
                <w:sz w:val="19"/>
                <w:szCs w:val="19"/>
                <w:vertAlign w:val="subscript"/>
                <w:lang w:eastAsia="en-US"/>
              </w:rPr>
              <w:t>i,t</w:t>
            </w: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1.181</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rPr>
              <w:t>**</w:t>
            </w: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1.219</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lang w:eastAsia="en-US"/>
              </w:rPr>
              <w:t>**</w:t>
            </w: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1871"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(0.463)</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(0.490)</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Hp2</w:t>
            </w:r>
          </w:p>
        </w:tc>
        <w:tc>
          <w:tcPr>
            <w:tcW w:w="1871" w:type="pct"/>
            <w:tcBorders>
              <w:top w:val="nil"/>
              <w:left w:val="nil"/>
              <w:bottom w:val="nil"/>
              <w:right w:val="nil"/>
            </w:tcBorders>
            <w:shd w:val="clear" w:color="auto" w:fill="auto"/>
            <w:noWrap/>
            <w:vAlign w:val="center"/>
            <w:hideMark/>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PL</w:t>
            </w:r>
            <w:r w:rsidRPr="007D564F">
              <w:rPr>
                <w:rFonts w:eastAsia="Times New Roman" w:cs="Times New Roman"/>
                <w:i/>
                <w:iCs/>
                <w:color w:val="000000"/>
                <w:sz w:val="19"/>
                <w:szCs w:val="19"/>
                <w:vertAlign w:val="subscript"/>
                <w:lang w:eastAsia="en-US"/>
              </w:rPr>
              <w:t>i,t</w:t>
            </w:r>
            <w:r w:rsidRPr="007D564F">
              <w:rPr>
                <w:rFonts w:eastAsia="Times New Roman" w:cs="Times New Roman"/>
                <w:i/>
                <w:iCs/>
                <w:color w:val="000000"/>
                <w:sz w:val="19"/>
                <w:szCs w:val="19"/>
                <w:lang w:eastAsia="en-US"/>
              </w:rPr>
              <w:t>*logTotalAssets</w:t>
            </w:r>
            <w:r w:rsidRPr="007D564F">
              <w:rPr>
                <w:rFonts w:eastAsia="Times New Roman" w:cs="Times New Roman"/>
                <w:i/>
                <w:iCs/>
                <w:color w:val="000000"/>
                <w:sz w:val="19"/>
                <w:szCs w:val="19"/>
                <w:vertAlign w:val="superscript"/>
                <w:lang w:eastAsia="en-US"/>
              </w:rPr>
              <w:t>timeofPL</w:t>
            </w:r>
            <w:r w:rsidRPr="007D564F">
              <w:rPr>
                <w:rFonts w:eastAsia="Times New Roman" w:cs="Times New Roman"/>
                <w:i/>
                <w:iCs/>
                <w:color w:val="000000"/>
                <w:sz w:val="19"/>
                <w:szCs w:val="19"/>
                <w:vertAlign w:val="subscript"/>
                <w:lang w:eastAsia="en-US"/>
              </w:rPr>
              <w:t>i</w:t>
            </w: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-0.150</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rPr>
              <w:t>***</w:t>
            </w: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-0.132</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lang w:eastAsia="en-US"/>
              </w:rPr>
              <w:t>**</w:t>
            </w: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ascii="Calibri" w:eastAsia="Times New Roman" w:hAnsi="Calibri" w:cs="Times New Roman"/>
                <w:color w:val="000000"/>
                <w:sz w:val="19"/>
                <w:szCs w:val="19"/>
                <w:lang w:eastAsia="en-US"/>
              </w:rPr>
            </w:pPr>
          </w:p>
        </w:tc>
        <w:tc>
          <w:tcPr>
            <w:tcW w:w="1871" w:type="pct"/>
            <w:tcBorders>
              <w:top w:val="nil"/>
              <w:left w:val="nil"/>
              <w:bottom w:val="nil"/>
              <w:right w:val="nil"/>
            </w:tcBorders>
            <w:shd w:val="clear" w:color="auto" w:fill="auto"/>
            <w:hideMark/>
          </w:tcPr>
          <w:p w:rsidR="00F22E2C" w:rsidRPr="007D564F" w:rsidRDefault="00F22E2C" w:rsidP="000D4AA4">
            <w:pPr>
              <w:spacing w:after="0" w:line="240" w:lineRule="auto"/>
              <w:ind w:firstLine="0"/>
              <w:jc w:val="left"/>
              <w:rPr>
                <w:rFonts w:ascii="Calibri" w:eastAsia="Times New Roman" w:hAnsi="Calibri" w:cs="Times New Roman"/>
                <w:color w:val="000000"/>
                <w:sz w:val="19"/>
                <w:szCs w:val="19"/>
                <w:lang w:eastAsia="en-US"/>
              </w:rPr>
            </w:pP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(0.057)</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(0.060)</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Hp3</w:t>
            </w:r>
          </w:p>
        </w:tc>
        <w:tc>
          <w:tcPr>
            <w:tcW w:w="1871" w:type="pct"/>
            <w:tcBorders>
              <w:top w:val="nil"/>
              <w:left w:val="nil"/>
              <w:bottom w:val="nil"/>
              <w:right w:val="nil"/>
            </w:tcBorders>
            <w:shd w:val="clear" w:color="auto" w:fill="auto"/>
            <w:noWrap/>
            <w:vAlign w:val="center"/>
            <w:hideMark/>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PL</w:t>
            </w:r>
            <w:r w:rsidRPr="007D564F">
              <w:rPr>
                <w:rFonts w:eastAsia="Times New Roman" w:cs="Times New Roman"/>
                <w:i/>
                <w:iCs/>
                <w:color w:val="000000"/>
                <w:sz w:val="19"/>
                <w:szCs w:val="19"/>
                <w:vertAlign w:val="subscript"/>
                <w:lang w:eastAsia="en-US"/>
              </w:rPr>
              <w:t>i,t</w:t>
            </w:r>
            <w:r w:rsidRPr="007D564F">
              <w:rPr>
                <w:rFonts w:eastAsia="Times New Roman" w:cs="Times New Roman"/>
                <w:i/>
                <w:iCs/>
                <w:color w:val="000000"/>
                <w:sz w:val="19"/>
                <w:szCs w:val="19"/>
                <w:lang w:eastAsia="en-US"/>
              </w:rPr>
              <w:t>*Age</w:t>
            </w:r>
            <w:r w:rsidRPr="007D564F">
              <w:rPr>
                <w:rFonts w:eastAsia="Times New Roman" w:cs="Times New Roman"/>
                <w:i/>
                <w:iCs/>
                <w:color w:val="000000"/>
                <w:sz w:val="19"/>
                <w:szCs w:val="19"/>
                <w:vertAlign w:val="superscript"/>
                <w:lang w:eastAsia="en-US"/>
              </w:rPr>
              <w:t>timeofPL</w:t>
            </w:r>
            <w:r w:rsidRPr="007D564F">
              <w:rPr>
                <w:rFonts w:eastAsia="Times New Roman" w:cs="Times New Roman"/>
                <w:i/>
                <w:iCs/>
                <w:color w:val="000000"/>
                <w:sz w:val="19"/>
                <w:szCs w:val="19"/>
                <w:vertAlign w:val="subscript"/>
                <w:lang w:eastAsia="en-US"/>
              </w:rPr>
              <w:t>i</w:t>
            </w: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0.009</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0.010</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ascii="Calibri" w:eastAsia="Times New Roman" w:hAnsi="Calibri" w:cs="Times New Roman"/>
                <w:color w:val="000000"/>
                <w:sz w:val="19"/>
                <w:szCs w:val="19"/>
                <w:lang w:eastAsia="en-US"/>
              </w:rPr>
            </w:pPr>
          </w:p>
        </w:tc>
        <w:tc>
          <w:tcPr>
            <w:tcW w:w="1871" w:type="pct"/>
            <w:tcBorders>
              <w:top w:val="nil"/>
              <w:left w:val="nil"/>
              <w:bottom w:val="nil"/>
              <w:right w:val="nil"/>
            </w:tcBorders>
            <w:shd w:val="clear" w:color="auto" w:fill="auto"/>
            <w:vAlign w:val="bottom"/>
            <w:hideMark/>
          </w:tcPr>
          <w:p w:rsidR="00F22E2C" w:rsidRPr="007D564F" w:rsidRDefault="00F22E2C" w:rsidP="000D4AA4">
            <w:pPr>
              <w:spacing w:after="0" w:line="240" w:lineRule="auto"/>
              <w:ind w:firstLine="0"/>
              <w:jc w:val="left"/>
              <w:rPr>
                <w:rFonts w:ascii="Calibri" w:eastAsia="Times New Roman" w:hAnsi="Calibri" w:cs="Times New Roman"/>
                <w:color w:val="000000"/>
                <w:sz w:val="19"/>
                <w:szCs w:val="19"/>
                <w:lang w:eastAsia="en-US"/>
              </w:rPr>
            </w:pP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(0.006)</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(0.007)</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Hp4</w:t>
            </w:r>
          </w:p>
        </w:tc>
        <w:tc>
          <w:tcPr>
            <w:tcW w:w="1871" w:type="pct"/>
            <w:tcBorders>
              <w:top w:val="nil"/>
              <w:left w:val="nil"/>
              <w:bottom w:val="nil"/>
              <w:right w:val="nil"/>
            </w:tcBorders>
            <w:shd w:val="clear" w:color="auto" w:fill="auto"/>
            <w:noWrap/>
            <w:vAlign w:val="center"/>
            <w:hideMark/>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PL</w:t>
            </w:r>
            <w:r w:rsidRPr="007D564F">
              <w:rPr>
                <w:rFonts w:eastAsia="Times New Roman" w:cs="Times New Roman"/>
                <w:i/>
                <w:iCs/>
                <w:color w:val="000000"/>
                <w:sz w:val="19"/>
                <w:szCs w:val="19"/>
                <w:vertAlign w:val="subscript"/>
                <w:lang w:eastAsia="en-US"/>
              </w:rPr>
              <w:t>i,t</w:t>
            </w:r>
            <w:r w:rsidRPr="007D564F">
              <w:rPr>
                <w:rFonts w:eastAsia="Times New Roman" w:cs="Times New Roman"/>
                <w:i/>
                <w:iCs/>
                <w:color w:val="000000"/>
                <w:sz w:val="19"/>
                <w:szCs w:val="19"/>
                <w:lang w:eastAsia="en-US"/>
              </w:rPr>
              <w:t>*HighTech</w:t>
            </w:r>
            <w:r w:rsidRPr="007D564F">
              <w:rPr>
                <w:rFonts w:eastAsia="Times New Roman" w:cs="Times New Roman"/>
                <w:i/>
                <w:iCs/>
                <w:color w:val="000000"/>
                <w:sz w:val="19"/>
                <w:szCs w:val="19"/>
                <w:vertAlign w:val="subscript"/>
                <w:lang w:eastAsia="en-US"/>
              </w:rPr>
              <w:t>i</w:t>
            </w:r>
            <w:r w:rsidRPr="007D564F">
              <w:rPr>
                <w:rFonts w:eastAsia="Times New Roman" w:cs="Times New Roman"/>
                <w:i/>
                <w:iCs/>
                <w:color w:val="000000"/>
                <w:sz w:val="19"/>
                <w:szCs w:val="19"/>
                <w:lang w:eastAsia="en-US"/>
              </w:rPr>
              <w:t xml:space="preserve"> </w:t>
            </w: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0.504</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rPr>
              <w:t>***</w:t>
            </w: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0.414</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lang w:eastAsia="en-US"/>
              </w:rPr>
              <w:t>***</w:t>
            </w: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ascii="Calibri" w:eastAsia="Times New Roman" w:hAnsi="Calibri" w:cs="Times New Roman"/>
                <w:color w:val="000000"/>
                <w:sz w:val="19"/>
                <w:szCs w:val="19"/>
                <w:lang w:eastAsia="en-US"/>
              </w:rPr>
            </w:pPr>
          </w:p>
        </w:tc>
        <w:tc>
          <w:tcPr>
            <w:tcW w:w="1871"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ascii="Calibri" w:eastAsia="Times New Roman" w:hAnsi="Calibri" w:cs="Times New Roman"/>
                <w:color w:val="000000"/>
                <w:sz w:val="19"/>
                <w:szCs w:val="19"/>
                <w:lang w:eastAsia="en-US"/>
              </w:rPr>
            </w:pP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(0.168)</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(0.158)</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Hp5</w:t>
            </w:r>
          </w:p>
        </w:tc>
        <w:tc>
          <w:tcPr>
            <w:tcW w:w="1871" w:type="pct"/>
            <w:tcBorders>
              <w:top w:val="nil"/>
              <w:left w:val="nil"/>
              <w:bottom w:val="nil"/>
              <w:right w:val="nil"/>
            </w:tcBorders>
            <w:shd w:val="clear" w:color="auto" w:fill="auto"/>
            <w:noWrap/>
            <w:vAlign w:val="center"/>
            <w:hideMark/>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PL</w:t>
            </w:r>
            <w:r w:rsidRPr="007D564F">
              <w:rPr>
                <w:rFonts w:eastAsia="Times New Roman" w:cs="Times New Roman"/>
                <w:i/>
                <w:iCs/>
                <w:color w:val="000000"/>
                <w:sz w:val="19"/>
                <w:szCs w:val="19"/>
                <w:vertAlign w:val="subscript"/>
                <w:lang w:eastAsia="en-US"/>
              </w:rPr>
              <w:t>i,t</w:t>
            </w:r>
            <w:r w:rsidRPr="007D564F">
              <w:rPr>
                <w:rFonts w:eastAsia="Times New Roman" w:cs="Times New Roman"/>
                <w:i/>
                <w:iCs/>
                <w:color w:val="000000"/>
                <w:sz w:val="19"/>
                <w:szCs w:val="19"/>
                <w:lang w:eastAsia="en-US"/>
              </w:rPr>
              <w:t>*PublicSupport</w:t>
            </w:r>
            <w:r w:rsidRPr="007D564F">
              <w:rPr>
                <w:rFonts w:eastAsia="Times New Roman" w:cs="Times New Roman"/>
                <w:i/>
                <w:iCs/>
                <w:color w:val="000000"/>
                <w:sz w:val="19"/>
                <w:szCs w:val="19"/>
                <w:vertAlign w:val="superscript"/>
                <w:lang w:eastAsia="en-US"/>
              </w:rPr>
              <w:t>timeofPL</w:t>
            </w:r>
            <w:r w:rsidRPr="007D564F">
              <w:rPr>
                <w:rFonts w:eastAsia="Times New Roman" w:cs="Times New Roman"/>
                <w:i/>
                <w:iCs/>
                <w:color w:val="000000"/>
                <w:sz w:val="19"/>
                <w:szCs w:val="19"/>
                <w:vertAlign w:val="subscript"/>
                <w:lang w:eastAsia="en-US"/>
              </w:rPr>
              <w:t>i</w:t>
            </w: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-0.513</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rPr>
              <w:t>***</w:t>
            </w: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-0.555</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lang w:eastAsia="en-US"/>
              </w:rPr>
              <w:t>**</w:t>
            </w: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ascii="Calibri" w:eastAsia="Times New Roman" w:hAnsi="Calibri" w:cs="Times New Roman"/>
                <w:color w:val="000000"/>
                <w:sz w:val="19"/>
                <w:szCs w:val="19"/>
                <w:lang w:eastAsia="en-US"/>
              </w:rPr>
            </w:pPr>
          </w:p>
        </w:tc>
        <w:tc>
          <w:tcPr>
            <w:tcW w:w="1871"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ascii="Calibri" w:eastAsia="Times New Roman" w:hAnsi="Calibri" w:cs="Times New Roman"/>
                <w:color w:val="000000"/>
                <w:sz w:val="19"/>
                <w:szCs w:val="19"/>
                <w:lang w:eastAsia="en-US"/>
              </w:rPr>
            </w:pP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(0.188)</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(0.222)</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Hp6</w:t>
            </w:r>
          </w:p>
        </w:tc>
        <w:tc>
          <w:tcPr>
            <w:tcW w:w="1871" w:type="pct"/>
            <w:tcBorders>
              <w:top w:val="nil"/>
              <w:left w:val="nil"/>
              <w:bottom w:val="nil"/>
              <w:right w:val="nil"/>
            </w:tcBorders>
            <w:shd w:val="clear" w:color="auto" w:fill="auto"/>
            <w:vAlign w:val="center"/>
            <w:hideMark/>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PL</w:t>
            </w:r>
            <w:r w:rsidRPr="007D564F">
              <w:rPr>
                <w:rFonts w:eastAsia="Times New Roman" w:cs="Times New Roman"/>
                <w:i/>
                <w:iCs/>
                <w:color w:val="000000"/>
                <w:sz w:val="19"/>
                <w:szCs w:val="19"/>
                <w:vertAlign w:val="subscript"/>
                <w:lang w:eastAsia="en-US"/>
              </w:rPr>
              <w:t>i,t</w:t>
            </w:r>
            <w:r w:rsidRPr="007D564F">
              <w:rPr>
                <w:rFonts w:eastAsia="Times New Roman" w:cs="Times New Roman"/>
                <w:i/>
                <w:iCs/>
                <w:color w:val="000000"/>
                <w:sz w:val="19"/>
                <w:szCs w:val="19"/>
                <w:lang w:eastAsia="en-US"/>
              </w:rPr>
              <w:t>*VC</w:t>
            </w:r>
            <w:r w:rsidRPr="007D564F">
              <w:rPr>
                <w:rFonts w:eastAsia="Times New Roman" w:cs="Times New Roman"/>
                <w:i/>
                <w:iCs/>
                <w:color w:val="000000"/>
                <w:sz w:val="19"/>
                <w:szCs w:val="19"/>
                <w:vertAlign w:val="superscript"/>
                <w:lang w:eastAsia="en-US"/>
              </w:rPr>
              <w:t>timeofPL</w:t>
            </w:r>
            <w:r w:rsidRPr="007D564F">
              <w:rPr>
                <w:rFonts w:eastAsia="Times New Roman" w:cs="Times New Roman"/>
                <w:i/>
                <w:iCs/>
                <w:color w:val="000000"/>
                <w:sz w:val="19"/>
                <w:szCs w:val="19"/>
                <w:vertAlign w:val="subscript"/>
                <w:lang w:eastAsia="en-US"/>
              </w:rPr>
              <w:t>i</w:t>
            </w: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-0.018</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-0.012</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1871"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(0.176)</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(0.168)</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p>
        </w:tc>
        <w:tc>
          <w:tcPr>
            <w:tcW w:w="1871" w:type="pct"/>
            <w:tcBorders>
              <w:top w:val="nil"/>
              <w:left w:val="nil"/>
              <w:bottom w:val="nil"/>
              <w:right w:val="nil"/>
            </w:tcBorders>
            <w:shd w:val="clear" w:color="auto" w:fill="auto"/>
            <w:hideMark/>
          </w:tcPr>
          <w:p w:rsidR="00F22E2C" w:rsidRPr="007D564F" w:rsidRDefault="00F22E2C" w:rsidP="000D4AA4">
            <w:pPr>
              <w:spacing w:after="0" w:line="240" w:lineRule="auto"/>
              <w:ind w:firstLine="0"/>
              <w:jc w:val="left"/>
              <w:rPr>
                <w:rFonts w:eastAsia="Times New Roman" w:cs="Times New Roman"/>
                <w:i/>
                <w:iCs/>
                <w:color w:val="000000"/>
                <w:sz w:val="19"/>
                <w:szCs w:val="19"/>
                <w:lang w:eastAsia="en-US"/>
              </w:rPr>
            </w:pPr>
            <w:r w:rsidRPr="007D564F">
              <w:rPr>
                <w:rFonts w:eastAsia="Times New Roman" w:cs="Times New Roman"/>
                <w:i/>
                <w:iCs/>
                <w:color w:val="000000"/>
                <w:sz w:val="19"/>
                <w:szCs w:val="19"/>
                <w:lang w:eastAsia="en-US"/>
              </w:rPr>
              <w:t>Constant</w:t>
            </w:r>
          </w:p>
        </w:tc>
        <w:tc>
          <w:tcPr>
            <w:tcW w:w="55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-0.622</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rPr>
              <w:t>**</w:t>
            </w: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0.856</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0.832</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r>
      <w:tr w:rsidR="00F22E2C" w:rsidRPr="007D564F" w:rsidTr="000D4AA4">
        <w:trPr>
          <w:trHeight w:val="20"/>
        </w:trPr>
        <w:tc>
          <w:tcPr>
            <w:tcW w:w="453" w:type="pct"/>
            <w:tcBorders>
              <w:top w:val="nil"/>
              <w:left w:val="nil"/>
              <w:bottom w:val="single" w:sz="4" w:space="0" w:color="auto"/>
              <w:right w:val="nil"/>
            </w:tcBorders>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1871" w:type="pct"/>
            <w:tcBorders>
              <w:top w:val="nil"/>
              <w:left w:val="nil"/>
              <w:bottom w:val="single" w:sz="4" w:space="0" w:color="auto"/>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rFonts w:eastAsia="Times New Roman" w:cs="Times New Roman"/>
                <w:color w:val="000000"/>
                <w:sz w:val="19"/>
                <w:szCs w:val="19"/>
                <w:lang w:eastAsia="en-US"/>
              </w:rPr>
              <w:t> </w:t>
            </w:r>
          </w:p>
        </w:tc>
        <w:tc>
          <w:tcPr>
            <w:tcW w:w="555" w:type="pct"/>
            <w:tcBorders>
              <w:top w:val="nil"/>
              <w:left w:val="nil"/>
              <w:bottom w:val="single" w:sz="4" w:space="0" w:color="auto"/>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(0.312)</w:t>
            </w:r>
          </w:p>
        </w:tc>
        <w:tc>
          <w:tcPr>
            <w:tcW w:w="305" w:type="pct"/>
            <w:tcBorders>
              <w:top w:val="nil"/>
              <w:left w:val="nil"/>
              <w:bottom w:val="single" w:sz="4" w:space="0" w:color="auto"/>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rPr>
              <w:t> </w:t>
            </w:r>
          </w:p>
        </w:tc>
        <w:tc>
          <w:tcPr>
            <w:tcW w:w="603" w:type="pct"/>
            <w:tcBorders>
              <w:top w:val="nil"/>
              <w:left w:val="nil"/>
              <w:bottom w:val="single" w:sz="4" w:space="0" w:color="auto"/>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(0.623)</w:t>
            </w:r>
          </w:p>
        </w:tc>
        <w:tc>
          <w:tcPr>
            <w:tcW w:w="305" w:type="pct"/>
            <w:tcBorders>
              <w:top w:val="nil"/>
              <w:left w:val="nil"/>
              <w:bottom w:val="single" w:sz="4" w:space="0" w:color="auto"/>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rPr>
              <w:t> </w:t>
            </w:r>
          </w:p>
        </w:tc>
        <w:tc>
          <w:tcPr>
            <w:tcW w:w="603" w:type="pct"/>
            <w:tcBorders>
              <w:top w:val="nil"/>
              <w:left w:val="nil"/>
              <w:bottom w:val="single" w:sz="4" w:space="0" w:color="auto"/>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(0.637)</w:t>
            </w:r>
          </w:p>
        </w:tc>
        <w:tc>
          <w:tcPr>
            <w:tcW w:w="305" w:type="pct"/>
            <w:tcBorders>
              <w:top w:val="nil"/>
              <w:left w:val="nil"/>
              <w:bottom w:val="single" w:sz="4" w:space="0" w:color="auto"/>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lang w:eastAsia="en-US"/>
              </w:rPr>
              <w:t> </w:t>
            </w: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1871"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rFonts w:eastAsia="Times New Roman" w:cs="Times New Roman"/>
                <w:color w:val="000000"/>
                <w:sz w:val="19"/>
                <w:szCs w:val="19"/>
                <w:lang w:eastAsia="en-US"/>
              </w:rPr>
              <w:t>N</w:t>
            </w:r>
          </w:p>
        </w:tc>
        <w:tc>
          <w:tcPr>
            <w:tcW w:w="555"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3,942</w:t>
            </w:r>
          </w:p>
        </w:tc>
        <w:tc>
          <w:tcPr>
            <w:tcW w:w="305"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6,919</w:t>
            </w:r>
          </w:p>
        </w:tc>
        <w:tc>
          <w:tcPr>
            <w:tcW w:w="305"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6,919</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1871"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rFonts w:eastAsia="Times New Roman" w:cs="Times New Roman"/>
                <w:color w:val="000000"/>
                <w:sz w:val="19"/>
                <w:szCs w:val="19"/>
                <w:lang w:eastAsia="en-US"/>
              </w:rPr>
              <w:t>N</w:t>
            </w:r>
          </w:p>
        </w:tc>
        <w:tc>
          <w:tcPr>
            <w:tcW w:w="555"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1,096</w:t>
            </w:r>
          </w:p>
        </w:tc>
        <w:tc>
          <w:tcPr>
            <w:tcW w:w="305"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1,207</w:t>
            </w:r>
          </w:p>
        </w:tc>
        <w:tc>
          <w:tcPr>
            <w:tcW w:w="305"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1,207</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1871" w:type="pct"/>
            <w:tcBorders>
              <w:top w:val="nil"/>
              <w:left w:val="nil"/>
              <w:bottom w:val="nil"/>
              <w:right w:val="nil"/>
            </w:tcBorders>
            <w:shd w:val="clear" w:color="auto" w:fill="auto"/>
            <w:hideMark/>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rFonts w:eastAsia="Times New Roman" w:cs="Times New Roman"/>
                <w:color w:val="000000"/>
                <w:sz w:val="19"/>
                <w:szCs w:val="19"/>
                <w:lang w:eastAsia="en-US"/>
              </w:rPr>
              <w:t>R</w:t>
            </w:r>
            <w:r w:rsidRPr="007D564F">
              <w:rPr>
                <w:rFonts w:eastAsia="Times New Roman" w:cs="Times New Roman"/>
                <w:color w:val="000000"/>
                <w:sz w:val="19"/>
                <w:szCs w:val="19"/>
                <w:vertAlign w:val="superscript"/>
                <w:lang w:eastAsia="en-US"/>
              </w:rPr>
              <w:t>2</w:t>
            </w:r>
          </w:p>
        </w:tc>
        <w:tc>
          <w:tcPr>
            <w:tcW w:w="555"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305"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0.359</w:t>
            </w:r>
          </w:p>
        </w:tc>
        <w:tc>
          <w:tcPr>
            <w:tcW w:w="305"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0.362</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ascii="Symbol" w:eastAsia="Times New Roman" w:hAnsi="Symbol" w:cs="Times New Roman"/>
                <w:color w:val="000000"/>
                <w:sz w:val="19"/>
                <w:szCs w:val="19"/>
                <w:lang w:eastAsia="en-US"/>
              </w:rPr>
            </w:pPr>
          </w:p>
        </w:tc>
        <w:tc>
          <w:tcPr>
            <w:tcW w:w="1871" w:type="pct"/>
            <w:tcBorders>
              <w:top w:val="nil"/>
              <w:left w:val="nil"/>
              <w:bottom w:val="nil"/>
              <w:right w:val="nil"/>
            </w:tcBorders>
            <w:shd w:val="clear" w:color="auto" w:fill="auto"/>
            <w:hideMark/>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rFonts w:ascii="Symbol" w:eastAsia="Times New Roman" w:hAnsi="Symbol" w:cs="Times New Roman"/>
                <w:color w:val="000000"/>
                <w:sz w:val="19"/>
                <w:szCs w:val="19"/>
                <w:lang w:eastAsia="en-US"/>
              </w:rPr>
              <w:t></w:t>
            </w:r>
            <w:r w:rsidRPr="007D564F">
              <w:rPr>
                <w:rFonts w:eastAsia="Times New Roman" w:cs="Times New Roman"/>
                <w:color w:val="000000"/>
                <w:sz w:val="19"/>
                <w:szCs w:val="19"/>
                <w:vertAlign w:val="superscript"/>
                <w:lang w:eastAsia="en-US"/>
              </w:rPr>
              <w:t>2</w:t>
            </w:r>
          </w:p>
        </w:tc>
        <w:tc>
          <w:tcPr>
            <w:tcW w:w="555"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101.058</w:t>
            </w:r>
          </w:p>
        </w:tc>
        <w:tc>
          <w:tcPr>
            <w:tcW w:w="305"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rPr>
              <w:t>***</w:t>
            </w:r>
          </w:p>
        </w:tc>
        <w:tc>
          <w:tcPr>
            <w:tcW w:w="603"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1166.41</w:t>
            </w:r>
          </w:p>
        </w:tc>
        <w:tc>
          <w:tcPr>
            <w:tcW w:w="305"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rPr>
              <w:t>***</w:t>
            </w: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24.386</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lang w:eastAsia="en-US"/>
              </w:rPr>
              <w:t>***</w:t>
            </w:r>
          </w:p>
        </w:tc>
      </w:tr>
      <w:tr w:rsidR="00F22E2C" w:rsidRPr="007D564F" w:rsidTr="000D4AA4">
        <w:trPr>
          <w:trHeight w:val="20"/>
        </w:trPr>
        <w:tc>
          <w:tcPr>
            <w:tcW w:w="453" w:type="pct"/>
            <w:tcBorders>
              <w:top w:val="nil"/>
              <w:left w:val="nil"/>
              <w:bottom w:val="nil"/>
              <w:right w:val="nil"/>
            </w:tcBorders>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1871" w:type="pct"/>
            <w:tcBorders>
              <w:top w:val="nil"/>
              <w:left w:val="nil"/>
              <w:bottom w:val="nil"/>
              <w:right w:val="nil"/>
            </w:tcBorders>
            <w:shd w:val="clear" w:color="auto" w:fill="auto"/>
            <w:hideMark/>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rFonts w:eastAsia="Times New Roman" w:cs="Times New Roman"/>
                <w:color w:val="000000"/>
                <w:sz w:val="19"/>
                <w:szCs w:val="19"/>
                <w:lang w:eastAsia="en-US"/>
              </w:rPr>
              <w:t>F</w:t>
            </w:r>
          </w:p>
        </w:tc>
        <w:tc>
          <w:tcPr>
            <w:tcW w:w="555"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305"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305" w:type="pct"/>
            <w:tcBorders>
              <w:top w:val="nil"/>
              <w:left w:val="nil"/>
              <w:bottom w:val="nil"/>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603"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-9872.25</w:t>
            </w:r>
          </w:p>
        </w:tc>
        <w:tc>
          <w:tcPr>
            <w:tcW w:w="305" w:type="pct"/>
            <w:tcBorders>
              <w:top w:val="nil"/>
              <w:left w:val="nil"/>
              <w:bottom w:val="nil"/>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lang w:eastAsia="en-US"/>
              </w:rPr>
              <w:t> </w:t>
            </w:r>
          </w:p>
        </w:tc>
      </w:tr>
      <w:tr w:rsidR="00F22E2C" w:rsidRPr="007D564F" w:rsidTr="000D4AA4">
        <w:trPr>
          <w:trHeight w:val="20"/>
        </w:trPr>
        <w:tc>
          <w:tcPr>
            <w:tcW w:w="453" w:type="pct"/>
            <w:tcBorders>
              <w:top w:val="nil"/>
              <w:left w:val="nil"/>
              <w:bottom w:val="double" w:sz="6" w:space="0" w:color="auto"/>
              <w:right w:val="nil"/>
            </w:tcBorders>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c>
          <w:tcPr>
            <w:tcW w:w="1871" w:type="pct"/>
            <w:tcBorders>
              <w:top w:val="nil"/>
              <w:left w:val="nil"/>
              <w:bottom w:val="double" w:sz="6" w:space="0" w:color="auto"/>
              <w:right w:val="nil"/>
            </w:tcBorders>
            <w:shd w:val="clear" w:color="auto" w:fill="auto"/>
            <w:vAlign w:val="bottom"/>
            <w:hideMark/>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rFonts w:eastAsia="Times New Roman" w:cs="Times New Roman"/>
                <w:color w:val="000000"/>
                <w:sz w:val="19"/>
                <w:szCs w:val="19"/>
                <w:lang w:eastAsia="en-US"/>
              </w:rPr>
              <w:t>Ll</w:t>
            </w:r>
          </w:p>
        </w:tc>
        <w:tc>
          <w:tcPr>
            <w:tcW w:w="555" w:type="pct"/>
            <w:tcBorders>
              <w:top w:val="nil"/>
              <w:left w:val="nil"/>
              <w:bottom w:val="double" w:sz="6" w:space="0" w:color="auto"/>
              <w:right w:val="nil"/>
            </w:tcBorders>
            <w:shd w:val="clear" w:color="auto" w:fill="auto"/>
            <w:noWrap/>
            <w:vAlign w:val="bottom"/>
            <w:hideMark/>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-1214.4</w:t>
            </w:r>
          </w:p>
        </w:tc>
        <w:tc>
          <w:tcPr>
            <w:tcW w:w="305" w:type="pct"/>
            <w:tcBorders>
              <w:top w:val="nil"/>
              <w:left w:val="nil"/>
              <w:bottom w:val="double" w:sz="6" w:space="0" w:color="auto"/>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rPr>
              <w:t> </w:t>
            </w:r>
          </w:p>
        </w:tc>
        <w:tc>
          <w:tcPr>
            <w:tcW w:w="603" w:type="pct"/>
            <w:tcBorders>
              <w:top w:val="nil"/>
              <w:left w:val="nil"/>
              <w:bottom w:val="double" w:sz="6" w:space="0" w:color="auto"/>
              <w:right w:val="nil"/>
            </w:tcBorders>
            <w:shd w:val="clear" w:color="auto" w:fill="auto"/>
            <w:noWrap/>
            <w:vAlign w:val="bottom"/>
            <w:hideMark/>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rPr>
              <w:t>-9877.83</w:t>
            </w:r>
          </w:p>
        </w:tc>
        <w:tc>
          <w:tcPr>
            <w:tcW w:w="305" w:type="pct"/>
            <w:tcBorders>
              <w:top w:val="nil"/>
              <w:left w:val="nil"/>
              <w:bottom w:val="double" w:sz="6" w:space="0" w:color="auto"/>
              <w:right w:val="nil"/>
            </w:tcBorders>
            <w:shd w:val="clear" w:color="auto" w:fill="auto"/>
            <w:noWrap/>
            <w:vAlign w:val="bottom"/>
            <w:hideMark/>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r w:rsidRPr="007D564F">
              <w:rPr>
                <w:color w:val="000000"/>
                <w:sz w:val="20"/>
                <w:szCs w:val="20"/>
              </w:rPr>
              <w:t> </w:t>
            </w:r>
          </w:p>
        </w:tc>
        <w:tc>
          <w:tcPr>
            <w:tcW w:w="603" w:type="pct"/>
            <w:tcBorders>
              <w:top w:val="nil"/>
              <w:left w:val="nil"/>
              <w:bottom w:val="double" w:sz="6" w:space="0" w:color="auto"/>
              <w:right w:val="nil"/>
            </w:tcBorders>
            <w:shd w:val="clear" w:color="auto" w:fill="auto"/>
            <w:noWrap/>
            <w:vAlign w:val="bottom"/>
          </w:tcPr>
          <w:p w:rsidR="00F22E2C" w:rsidRPr="007D564F" w:rsidRDefault="00F22E2C" w:rsidP="000D4AA4">
            <w:pPr>
              <w:spacing w:after="0" w:line="240" w:lineRule="auto"/>
              <w:ind w:firstLine="0"/>
              <w:jc w:val="right"/>
              <w:rPr>
                <w:rFonts w:eastAsia="Times New Roman" w:cs="Times New Roman"/>
                <w:color w:val="000000"/>
                <w:sz w:val="19"/>
                <w:szCs w:val="19"/>
                <w:lang w:eastAsia="en-US"/>
              </w:rPr>
            </w:pPr>
            <w:r w:rsidRPr="007D564F">
              <w:rPr>
                <w:color w:val="000000"/>
                <w:sz w:val="20"/>
                <w:szCs w:val="20"/>
                <w:lang w:eastAsia="en-US"/>
              </w:rPr>
              <w:t>6,919</w:t>
            </w:r>
          </w:p>
        </w:tc>
        <w:tc>
          <w:tcPr>
            <w:tcW w:w="305" w:type="pct"/>
            <w:tcBorders>
              <w:top w:val="nil"/>
              <w:left w:val="nil"/>
              <w:bottom w:val="double" w:sz="6" w:space="0" w:color="auto"/>
              <w:right w:val="nil"/>
            </w:tcBorders>
            <w:shd w:val="clear" w:color="auto" w:fill="auto"/>
            <w:noWrap/>
            <w:vAlign w:val="bottom"/>
          </w:tcPr>
          <w:p w:rsidR="00F22E2C" w:rsidRPr="007D564F" w:rsidRDefault="00F22E2C" w:rsidP="000D4AA4">
            <w:pPr>
              <w:spacing w:after="0" w:line="240" w:lineRule="auto"/>
              <w:ind w:firstLine="0"/>
              <w:jc w:val="left"/>
              <w:rPr>
                <w:rFonts w:eastAsia="Times New Roman" w:cs="Times New Roman"/>
                <w:color w:val="000000"/>
                <w:sz w:val="19"/>
                <w:szCs w:val="19"/>
                <w:lang w:eastAsia="en-US"/>
              </w:rPr>
            </w:pPr>
          </w:p>
        </w:tc>
      </w:tr>
    </w:tbl>
    <w:p w:rsidR="00512993" w:rsidRPr="007D564F" w:rsidRDefault="00512993" w:rsidP="00512993">
      <w:pPr>
        <w:spacing w:line="240" w:lineRule="auto"/>
        <w:ind w:right="-94" w:firstLine="0"/>
        <w:rPr>
          <w:rFonts w:eastAsia="Times New Roman" w:cs="Times New Roman"/>
          <w:color w:val="000000"/>
          <w:sz w:val="20"/>
          <w:szCs w:val="20"/>
          <w:lang w:eastAsia="en-US"/>
        </w:rPr>
      </w:pPr>
      <w:r w:rsidRPr="007D564F">
        <w:rPr>
          <w:rFonts w:eastAsia="Times New Roman" w:cs="Times New Roman"/>
          <w:color w:val="000000"/>
          <w:sz w:val="20"/>
          <w:szCs w:val="20"/>
          <w:lang w:bidi="en-US"/>
        </w:rPr>
        <w:t>The table reports the estimated coefficients and, in brackets, the standard errors o</w:t>
      </w:r>
      <w:r w:rsidR="00113C59" w:rsidRPr="007D564F">
        <w:rPr>
          <w:rFonts w:eastAsia="Times New Roman" w:cs="Times New Roman"/>
          <w:color w:val="000000"/>
          <w:sz w:val="20"/>
          <w:szCs w:val="20"/>
          <w:lang w:bidi="en-US"/>
        </w:rPr>
        <w:t>f several models. Column</w:t>
      </w:r>
      <w:r w:rsidRPr="007D564F">
        <w:rPr>
          <w:rFonts w:eastAsia="Times New Roman" w:cs="Times New Roman"/>
          <w:color w:val="000000"/>
          <w:sz w:val="20"/>
          <w:szCs w:val="20"/>
          <w:lang w:bidi="en-US"/>
        </w:rPr>
        <w:t xml:space="preserve"> I shows a Probit model with random effects modeling the receipt of the first PL. Observations after the first receipt of the PL are excluded. </w:t>
      </w:r>
      <w:r w:rsidRPr="007D564F">
        <w:rPr>
          <w:sz w:val="20"/>
          <w:szCs w:val="20"/>
          <w:lang w:eastAsia="en-US" w:bidi="en-US"/>
        </w:rPr>
        <w:t xml:space="preserve">Columns II and III show </w:t>
      </w:r>
      <w:r w:rsidRPr="007D564F">
        <w:rPr>
          <w:rFonts w:eastAsia="Times New Roman" w:cs="Times New Roman"/>
          <w:color w:val="000000"/>
          <w:sz w:val="20"/>
          <w:szCs w:val="20"/>
          <w:lang w:bidi="en-US"/>
        </w:rPr>
        <w:t>fixed effects estimators for panel data</w:t>
      </w:r>
      <w:r w:rsidRPr="007D564F">
        <w:rPr>
          <w:sz w:val="20"/>
          <w:szCs w:val="20"/>
          <w:lang w:eastAsia="en-US" w:bidi="en-US"/>
        </w:rPr>
        <w:t xml:space="preserve">. </w:t>
      </w:r>
      <w:r w:rsidRPr="007D564F">
        <w:rPr>
          <w:rFonts w:eastAsia="Times New Roman" w:cs="Times New Roman"/>
          <w:color w:val="000000"/>
          <w:sz w:val="20"/>
          <w:szCs w:val="20"/>
          <w:lang w:bidi="en-US"/>
        </w:rPr>
        <w:t xml:space="preserve">The dependent variable is </w:t>
      </w:r>
      <w:r w:rsidRPr="007D564F">
        <w:rPr>
          <w:i/>
          <w:iCs/>
          <w:color w:val="000000"/>
          <w:sz w:val="20"/>
          <w:szCs w:val="20"/>
        </w:rPr>
        <w:t>logDebt</w:t>
      </w:r>
      <w:r w:rsidRPr="007D564F">
        <w:rPr>
          <w:i/>
          <w:iCs/>
          <w:color w:val="000000"/>
          <w:sz w:val="20"/>
          <w:szCs w:val="20"/>
          <w:vertAlign w:val="subscript"/>
        </w:rPr>
        <w:t>i,t</w:t>
      </w:r>
      <w:r w:rsidRPr="007D564F">
        <w:rPr>
          <w:rFonts w:eastAsia="Times New Roman" w:cs="Times New Roman"/>
          <w:i/>
          <w:color w:val="000000"/>
          <w:sz w:val="20"/>
          <w:szCs w:val="20"/>
          <w:vertAlign w:val="subscript"/>
          <w:lang w:bidi="en-US"/>
        </w:rPr>
        <w:t>,</w:t>
      </w:r>
      <w:r w:rsidR="00F22E2C" w:rsidRPr="007D564F">
        <w:rPr>
          <w:rFonts w:eastAsia="Times New Roman" w:cs="Times New Roman"/>
          <w:color w:val="000000"/>
          <w:sz w:val="20"/>
          <w:szCs w:val="20"/>
          <w:lang w:bidi="en-US"/>
        </w:rPr>
        <w:t>. In Column</w:t>
      </w:r>
      <w:r w:rsidRPr="007D564F">
        <w:rPr>
          <w:rFonts w:eastAsia="Times New Roman" w:cs="Times New Roman"/>
          <w:color w:val="000000"/>
          <w:sz w:val="20"/>
          <w:szCs w:val="20"/>
          <w:lang w:bidi="en-US"/>
        </w:rPr>
        <w:t xml:space="preserve"> II, standard errors are bootstrapped. Industry, region and year dummies are included.</w:t>
      </w:r>
      <w:r w:rsidRPr="007D564F">
        <w:rPr>
          <w:sz w:val="20"/>
          <w:szCs w:val="20"/>
          <w:lang w:eastAsia="en-US" w:bidi="en-US"/>
        </w:rPr>
        <w:t xml:space="preserve"> </w:t>
      </w:r>
      <w:r w:rsidR="00F22E2C" w:rsidRPr="007D564F">
        <w:rPr>
          <w:rFonts w:eastAsia="Times New Roman" w:cs="Times New Roman"/>
          <w:i/>
          <w:iCs/>
          <w:color w:val="000000"/>
          <w:sz w:val="20"/>
          <w:szCs w:val="20"/>
          <w:lang w:eastAsia="en-US"/>
        </w:rPr>
        <w:t>ENISAavailability</w:t>
      </w:r>
      <w:r w:rsidR="00F22E2C" w:rsidRPr="007D564F">
        <w:rPr>
          <w:rFonts w:eastAsia="Times New Roman" w:cs="Times New Roman"/>
          <w:i/>
          <w:iCs/>
          <w:color w:val="000000"/>
          <w:sz w:val="20"/>
          <w:szCs w:val="20"/>
          <w:vertAlign w:val="subscript"/>
          <w:lang w:eastAsia="en-US"/>
        </w:rPr>
        <w:t>i,t</w:t>
      </w:r>
      <w:r w:rsidR="00F22E2C" w:rsidRPr="007D564F">
        <w:rPr>
          <w:sz w:val="20"/>
          <w:szCs w:val="20"/>
          <w:lang w:eastAsia="en-US" w:bidi="en-US"/>
        </w:rPr>
        <w:t xml:space="preserve"> </w:t>
      </w:r>
      <w:r w:rsidR="00F22E2C" w:rsidRPr="007D564F">
        <w:rPr>
          <w:rFonts w:cs="Times New Roman"/>
          <w:sz w:val="20"/>
          <w:szCs w:val="20"/>
        </w:rPr>
        <w:t xml:space="preserve">represents the total amount of PLs granted by ENISA by year and province, expressed in million Euros. </w:t>
      </w:r>
      <w:r w:rsidR="00F22E2C" w:rsidRPr="007D564F">
        <w:rPr>
          <w:rFonts w:ascii="Symbol" w:eastAsia="Times New Roman" w:hAnsi="Symbol" w:cs="Times New Roman"/>
          <w:color w:val="000000"/>
          <w:sz w:val="19"/>
          <w:szCs w:val="19"/>
          <w:lang w:eastAsia="en-US"/>
        </w:rPr>
        <w:t></w:t>
      </w:r>
      <w:r w:rsidR="00F22E2C" w:rsidRPr="007D564F">
        <w:rPr>
          <w:rFonts w:eastAsia="Times New Roman" w:cs="Times New Roman"/>
          <w:color w:val="000000"/>
          <w:sz w:val="19"/>
          <w:szCs w:val="19"/>
          <w:vertAlign w:val="subscript"/>
          <w:lang w:eastAsia="en-US"/>
        </w:rPr>
        <w:t>PL</w:t>
      </w:r>
      <w:r w:rsidR="00F22E2C" w:rsidRPr="007D564F">
        <w:rPr>
          <w:rFonts w:cs="Times New Roman"/>
          <w:sz w:val="20"/>
          <w:szCs w:val="20"/>
        </w:rPr>
        <w:t xml:space="preserve"> is an endogeneity correction term based on the Inverse Mills Ratio. </w:t>
      </w:r>
      <w:r w:rsidR="00F22E2C" w:rsidRPr="007D564F">
        <w:rPr>
          <w:sz w:val="20"/>
          <w:szCs w:val="20"/>
          <w:lang w:eastAsia="en-US" w:bidi="en-US"/>
        </w:rPr>
        <w:t>The description of the remaining variables</w:t>
      </w:r>
      <w:r w:rsidRPr="007D564F">
        <w:rPr>
          <w:sz w:val="20"/>
          <w:szCs w:val="20"/>
          <w:lang w:eastAsia="en-US" w:bidi="en-US"/>
        </w:rPr>
        <w:t xml:space="preserve"> is available in Table 4. Significance: * p &lt; 0.10; ** p&lt; 0.05; *** p&lt;0.01.</w:t>
      </w:r>
    </w:p>
    <w:p w:rsidR="00512993" w:rsidRPr="007D564F" w:rsidRDefault="00512993">
      <w:pPr>
        <w:pStyle w:val="Ttulo1"/>
        <w:numPr>
          <w:ilvl w:val="0"/>
          <w:numId w:val="0"/>
        </w:numPr>
        <w:ind w:left="432"/>
        <w:rPr>
          <w:rFonts w:eastAsia="Times New Roman"/>
        </w:rPr>
      </w:pPr>
      <w:r w:rsidRPr="007D564F">
        <w:rPr>
          <w:rFonts w:eastAsia="Times New Roman"/>
        </w:rPr>
        <w:lastRenderedPageBreak/>
        <w:t>Appendix</w:t>
      </w:r>
    </w:p>
    <w:p w:rsidR="00512993" w:rsidRPr="007D564F" w:rsidRDefault="00512993" w:rsidP="00512993">
      <w:pPr>
        <w:pStyle w:val="Descripcin"/>
        <w:keepLines/>
        <w:tabs>
          <w:tab w:val="center" w:pos="4702"/>
        </w:tabs>
        <w:spacing w:after="0"/>
        <w:rPr>
          <w:szCs w:val="20"/>
        </w:rPr>
      </w:pPr>
      <w:r w:rsidRPr="007D564F">
        <w:rPr>
          <w:szCs w:val="20"/>
        </w:rPr>
        <w:t>Table A1: Analysis of firms’ financial debt: placebo test</w:t>
      </w:r>
    </w:p>
    <w:tbl>
      <w:tblPr>
        <w:tblW w:w="5000" w:type="pct"/>
        <w:tblLook w:val="04A0" w:firstRow="1" w:lastRow="0" w:firstColumn="1" w:lastColumn="0" w:noHBand="0" w:noVBand="1"/>
      </w:tblPr>
      <w:tblGrid>
        <w:gridCol w:w="5495"/>
        <w:gridCol w:w="2551"/>
        <w:gridCol w:w="1574"/>
      </w:tblGrid>
      <w:tr w:rsidR="00DA2D4F" w:rsidRPr="007D564F" w:rsidTr="00512993">
        <w:trPr>
          <w:trHeight w:val="227"/>
        </w:trPr>
        <w:tc>
          <w:tcPr>
            <w:tcW w:w="2856" w:type="pct"/>
            <w:tcBorders>
              <w:top w:val="double" w:sz="4" w:space="0" w:color="auto"/>
              <w:left w:val="nil"/>
              <w:bottom w:val="single" w:sz="4" w:space="0" w:color="auto"/>
              <w:right w:val="nil"/>
            </w:tcBorders>
            <w:shd w:val="clear" w:color="auto" w:fill="auto"/>
            <w:noWrap/>
            <w:vAlign w:val="bottom"/>
            <w:hideMark/>
          </w:tcPr>
          <w:p w:rsidR="00512993" w:rsidRPr="007D564F" w:rsidRDefault="00512993" w:rsidP="00512993">
            <w:pPr>
              <w:spacing w:after="0" w:line="240" w:lineRule="auto"/>
              <w:ind w:firstLine="0"/>
              <w:jc w:val="left"/>
              <w:rPr>
                <w:rFonts w:eastAsia="Times New Roman" w:cs="Times New Roman"/>
                <w:color w:val="000000"/>
                <w:sz w:val="20"/>
                <w:szCs w:val="20"/>
                <w:lang w:eastAsia="en-US"/>
              </w:rPr>
            </w:pPr>
          </w:p>
        </w:tc>
        <w:tc>
          <w:tcPr>
            <w:tcW w:w="2144" w:type="pct"/>
            <w:gridSpan w:val="2"/>
            <w:tcBorders>
              <w:top w:val="double" w:sz="4" w:space="0" w:color="auto"/>
              <w:left w:val="nil"/>
              <w:bottom w:val="single" w:sz="4" w:space="0" w:color="auto"/>
              <w:right w:val="nil"/>
            </w:tcBorders>
          </w:tcPr>
          <w:p w:rsidR="00512993" w:rsidRPr="007D564F" w:rsidRDefault="00512993" w:rsidP="00512993">
            <w:pPr>
              <w:spacing w:after="0" w:line="240" w:lineRule="auto"/>
              <w:ind w:firstLine="0"/>
              <w:jc w:val="center"/>
              <w:rPr>
                <w:rFonts w:eastAsia="Times New Roman" w:cs="Times New Roman"/>
                <w:color w:val="000000"/>
                <w:sz w:val="20"/>
                <w:szCs w:val="20"/>
                <w:lang w:eastAsia="en-US"/>
              </w:rPr>
            </w:pPr>
            <w:r w:rsidRPr="007D564F">
              <w:rPr>
                <w:rFonts w:eastAsia="Times New Roman" w:cs="Times New Roman"/>
                <w:color w:val="000000"/>
                <w:sz w:val="20"/>
                <w:szCs w:val="20"/>
                <w:lang w:eastAsia="en-US"/>
              </w:rPr>
              <w:t>I</w:t>
            </w:r>
          </w:p>
        </w:tc>
      </w:tr>
      <w:tr w:rsidR="00DA2D4F" w:rsidRPr="007D564F" w:rsidTr="00512993">
        <w:trPr>
          <w:trHeight w:val="227"/>
        </w:trPr>
        <w:tc>
          <w:tcPr>
            <w:tcW w:w="2856" w:type="pct"/>
            <w:tcBorders>
              <w:top w:val="single" w:sz="4" w:space="0" w:color="auto"/>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i/>
                <w:iCs/>
                <w:color w:val="000000"/>
                <w:sz w:val="20"/>
                <w:szCs w:val="20"/>
                <w:lang w:eastAsia="en-US"/>
              </w:rPr>
            </w:pPr>
            <w:r w:rsidRPr="007D564F">
              <w:rPr>
                <w:i/>
                <w:iCs/>
                <w:color w:val="000000"/>
                <w:sz w:val="20"/>
                <w:szCs w:val="20"/>
              </w:rPr>
              <w:t>logTotalAssets</w:t>
            </w:r>
            <w:r w:rsidRPr="007D564F">
              <w:rPr>
                <w:i/>
                <w:iCs/>
                <w:color w:val="000000"/>
                <w:sz w:val="20"/>
                <w:szCs w:val="20"/>
                <w:vertAlign w:val="subscript"/>
              </w:rPr>
              <w:t>i,t-1</w:t>
            </w:r>
          </w:p>
        </w:tc>
        <w:tc>
          <w:tcPr>
            <w:tcW w:w="1326"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1.025</w:t>
            </w:r>
          </w:p>
        </w:tc>
        <w:tc>
          <w:tcPr>
            <w:tcW w:w="818" w:type="pct"/>
            <w:tcBorders>
              <w:top w:val="nil"/>
              <w:left w:val="nil"/>
              <w:bottom w:val="nil"/>
              <w:right w:val="nil"/>
            </w:tcBorders>
            <w:vAlign w:val="bottom"/>
          </w:tcPr>
          <w:p w:rsidR="00512993" w:rsidRPr="007D564F" w:rsidRDefault="00512993" w:rsidP="00512993">
            <w:pPr>
              <w:spacing w:after="0" w:line="240" w:lineRule="auto"/>
              <w:ind w:firstLine="0"/>
              <w:jc w:val="left"/>
              <w:rPr>
                <w:rFonts w:eastAsia="Times New Roman" w:cs="Times New Roman"/>
                <w:color w:val="000000"/>
                <w:sz w:val="20"/>
                <w:szCs w:val="20"/>
                <w:lang w:eastAsia="en-US"/>
              </w:rPr>
            </w:pPr>
            <w:r w:rsidRPr="007D564F">
              <w:rPr>
                <w:color w:val="000000"/>
                <w:sz w:val="20"/>
                <w:szCs w:val="20"/>
              </w:rPr>
              <w:t>***</w:t>
            </w:r>
          </w:p>
        </w:tc>
      </w:tr>
      <w:tr w:rsidR="00DA2D4F" w:rsidRPr="007D564F" w:rsidTr="00512993">
        <w:trPr>
          <w:trHeight w:val="227"/>
        </w:trPr>
        <w:tc>
          <w:tcPr>
            <w:tcW w:w="2856"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color w:val="000000"/>
                <w:sz w:val="20"/>
                <w:szCs w:val="20"/>
                <w:lang w:eastAsia="en-US"/>
              </w:rPr>
            </w:pPr>
          </w:p>
        </w:tc>
        <w:tc>
          <w:tcPr>
            <w:tcW w:w="1326"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(0.040)</w:t>
            </w:r>
          </w:p>
        </w:tc>
        <w:tc>
          <w:tcPr>
            <w:tcW w:w="818" w:type="pct"/>
            <w:tcBorders>
              <w:top w:val="nil"/>
              <w:left w:val="nil"/>
              <w:bottom w:val="nil"/>
              <w:right w:val="nil"/>
            </w:tcBorders>
            <w:vAlign w:val="bottom"/>
          </w:tcPr>
          <w:p w:rsidR="00512993" w:rsidRPr="007D564F" w:rsidRDefault="00512993" w:rsidP="00512993">
            <w:pPr>
              <w:spacing w:after="0" w:line="240" w:lineRule="auto"/>
              <w:ind w:firstLine="0"/>
              <w:jc w:val="left"/>
              <w:rPr>
                <w:rFonts w:eastAsia="Times New Roman" w:cs="Times New Roman"/>
                <w:color w:val="000000"/>
                <w:sz w:val="20"/>
                <w:szCs w:val="20"/>
                <w:lang w:eastAsia="en-US"/>
              </w:rPr>
            </w:pPr>
          </w:p>
        </w:tc>
      </w:tr>
      <w:tr w:rsidR="00DA2D4F" w:rsidRPr="007D564F" w:rsidTr="00512993">
        <w:trPr>
          <w:trHeight w:val="227"/>
        </w:trPr>
        <w:tc>
          <w:tcPr>
            <w:tcW w:w="2856"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i/>
                <w:iCs/>
                <w:color w:val="000000"/>
                <w:sz w:val="20"/>
                <w:szCs w:val="20"/>
                <w:lang w:eastAsia="en-US"/>
              </w:rPr>
            </w:pPr>
            <w:r w:rsidRPr="007D564F">
              <w:rPr>
                <w:i/>
                <w:iCs/>
                <w:color w:val="000000"/>
                <w:sz w:val="20"/>
                <w:szCs w:val="20"/>
              </w:rPr>
              <w:t>TotalAssetGrowth</w:t>
            </w:r>
            <w:r w:rsidRPr="007D564F">
              <w:rPr>
                <w:i/>
                <w:iCs/>
                <w:color w:val="000000"/>
                <w:sz w:val="20"/>
                <w:szCs w:val="20"/>
                <w:vertAlign w:val="subscript"/>
              </w:rPr>
              <w:t>i,t-1</w:t>
            </w:r>
          </w:p>
        </w:tc>
        <w:tc>
          <w:tcPr>
            <w:tcW w:w="1326"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0.070</w:t>
            </w:r>
          </w:p>
        </w:tc>
        <w:tc>
          <w:tcPr>
            <w:tcW w:w="818" w:type="pct"/>
            <w:tcBorders>
              <w:top w:val="nil"/>
              <w:left w:val="nil"/>
              <w:bottom w:val="nil"/>
              <w:right w:val="nil"/>
            </w:tcBorders>
            <w:vAlign w:val="bottom"/>
          </w:tcPr>
          <w:p w:rsidR="00512993" w:rsidRPr="007D564F" w:rsidRDefault="00512993" w:rsidP="00512993">
            <w:pPr>
              <w:spacing w:after="0" w:line="240" w:lineRule="auto"/>
              <w:ind w:firstLine="0"/>
              <w:jc w:val="left"/>
              <w:rPr>
                <w:rFonts w:eastAsia="Times New Roman" w:cs="Times New Roman"/>
                <w:color w:val="000000"/>
                <w:sz w:val="20"/>
                <w:szCs w:val="20"/>
                <w:lang w:eastAsia="en-US"/>
              </w:rPr>
            </w:pPr>
            <w:r w:rsidRPr="007D564F">
              <w:rPr>
                <w:color w:val="000000"/>
                <w:sz w:val="20"/>
                <w:szCs w:val="20"/>
              </w:rPr>
              <w:t>*</w:t>
            </w:r>
          </w:p>
        </w:tc>
      </w:tr>
      <w:tr w:rsidR="00DA2D4F" w:rsidRPr="007D564F" w:rsidTr="00512993">
        <w:trPr>
          <w:trHeight w:val="227"/>
        </w:trPr>
        <w:tc>
          <w:tcPr>
            <w:tcW w:w="2856" w:type="pct"/>
            <w:tcBorders>
              <w:top w:val="nil"/>
              <w:left w:val="nil"/>
              <w:bottom w:val="nil"/>
              <w:right w:val="nil"/>
            </w:tcBorders>
            <w:shd w:val="clear" w:color="auto" w:fill="auto"/>
            <w:vAlign w:val="bottom"/>
          </w:tcPr>
          <w:p w:rsidR="00512993" w:rsidRPr="007D564F" w:rsidRDefault="00512993" w:rsidP="00512993">
            <w:pPr>
              <w:spacing w:after="0" w:line="240" w:lineRule="auto"/>
              <w:ind w:firstLine="0"/>
              <w:jc w:val="left"/>
              <w:rPr>
                <w:rFonts w:eastAsia="Times New Roman" w:cs="Times New Roman"/>
                <w:i/>
                <w:iCs/>
                <w:color w:val="000000"/>
                <w:sz w:val="20"/>
                <w:szCs w:val="20"/>
                <w:lang w:eastAsia="en-US"/>
              </w:rPr>
            </w:pPr>
          </w:p>
        </w:tc>
        <w:tc>
          <w:tcPr>
            <w:tcW w:w="1326"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(0.037)</w:t>
            </w:r>
          </w:p>
        </w:tc>
        <w:tc>
          <w:tcPr>
            <w:tcW w:w="818" w:type="pct"/>
            <w:tcBorders>
              <w:top w:val="nil"/>
              <w:left w:val="nil"/>
              <w:bottom w:val="nil"/>
              <w:right w:val="nil"/>
            </w:tcBorders>
            <w:vAlign w:val="bottom"/>
          </w:tcPr>
          <w:p w:rsidR="00512993" w:rsidRPr="007D564F" w:rsidRDefault="00512993" w:rsidP="00512993">
            <w:pPr>
              <w:spacing w:after="0" w:line="240" w:lineRule="auto"/>
              <w:ind w:firstLine="0"/>
              <w:jc w:val="left"/>
              <w:rPr>
                <w:rFonts w:eastAsia="Times New Roman" w:cs="Times New Roman"/>
                <w:color w:val="000000"/>
                <w:sz w:val="20"/>
                <w:szCs w:val="20"/>
                <w:lang w:eastAsia="en-US"/>
              </w:rPr>
            </w:pPr>
          </w:p>
        </w:tc>
      </w:tr>
      <w:tr w:rsidR="00DA2D4F" w:rsidRPr="007D564F" w:rsidTr="00512993">
        <w:trPr>
          <w:trHeight w:val="227"/>
        </w:trPr>
        <w:tc>
          <w:tcPr>
            <w:tcW w:w="2856"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i/>
                <w:iCs/>
                <w:color w:val="000000"/>
                <w:sz w:val="20"/>
                <w:szCs w:val="20"/>
                <w:lang w:eastAsia="en-US"/>
              </w:rPr>
            </w:pPr>
            <w:r w:rsidRPr="007D564F">
              <w:rPr>
                <w:i/>
                <w:iCs/>
                <w:color w:val="000000"/>
                <w:sz w:val="20"/>
                <w:szCs w:val="20"/>
              </w:rPr>
              <w:t>Tangibles</w:t>
            </w:r>
            <w:r w:rsidRPr="007D564F">
              <w:rPr>
                <w:i/>
                <w:iCs/>
                <w:color w:val="000000"/>
                <w:sz w:val="20"/>
                <w:szCs w:val="20"/>
                <w:vertAlign w:val="subscript"/>
              </w:rPr>
              <w:t>i,t-1</w:t>
            </w:r>
          </w:p>
        </w:tc>
        <w:tc>
          <w:tcPr>
            <w:tcW w:w="1326"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1.410</w:t>
            </w:r>
          </w:p>
        </w:tc>
        <w:tc>
          <w:tcPr>
            <w:tcW w:w="818" w:type="pct"/>
            <w:tcBorders>
              <w:top w:val="nil"/>
              <w:left w:val="nil"/>
              <w:bottom w:val="nil"/>
              <w:right w:val="nil"/>
            </w:tcBorders>
            <w:vAlign w:val="bottom"/>
          </w:tcPr>
          <w:p w:rsidR="00512993" w:rsidRPr="007D564F" w:rsidRDefault="00512993" w:rsidP="00512993">
            <w:pPr>
              <w:spacing w:after="0" w:line="240" w:lineRule="auto"/>
              <w:ind w:firstLine="0"/>
              <w:jc w:val="left"/>
              <w:rPr>
                <w:rFonts w:eastAsia="Times New Roman" w:cs="Times New Roman"/>
                <w:color w:val="000000"/>
                <w:sz w:val="20"/>
                <w:szCs w:val="20"/>
                <w:lang w:eastAsia="en-US"/>
              </w:rPr>
            </w:pPr>
            <w:r w:rsidRPr="007D564F">
              <w:rPr>
                <w:color w:val="000000"/>
                <w:sz w:val="20"/>
                <w:szCs w:val="20"/>
              </w:rPr>
              <w:t>***</w:t>
            </w:r>
          </w:p>
        </w:tc>
      </w:tr>
      <w:tr w:rsidR="00DA2D4F" w:rsidRPr="007D564F" w:rsidTr="00512993">
        <w:trPr>
          <w:trHeight w:val="227"/>
        </w:trPr>
        <w:tc>
          <w:tcPr>
            <w:tcW w:w="2856" w:type="pct"/>
            <w:tcBorders>
              <w:top w:val="nil"/>
              <w:left w:val="nil"/>
              <w:bottom w:val="nil"/>
              <w:right w:val="nil"/>
            </w:tcBorders>
            <w:shd w:val="clear" w:color="auto" w:fill="auto"/>
            <w:vAlign w:val="bottom"/>
          </w:tcPr>
          <w:p w:rsidR="00512993" w:rsidRPr="007D564F" w:rsidRDefault="00512993" w:rsidP="00512993">
            <w:pPr>
              <w:spacing w:after="0" w:line="240" w:lineRule="auto"/>
              <w:ind w:firstLine="0"/>
              <w:jc w:val="left"/>
              <w:rPr>
                <w:rFonts w:eastAsia="Times New Roman" w:cs="Times New Roman"/>
                <w:i/>
                <w:iCs/>
                <w:color w:val="000000"/>
                <w:sz w:val="20"/>
                <w:szCs w:val="20"/>
                <w:lang w:eastAsia="en-US"/>
              </w:rPr>
            </w:pPr>
          </w:p>
        </w:tc>
        <w:tc>
          <w:tcPr>
            <w:tcW w:w="1326"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(0.225)</w:t>
            </w:r>
          </w:p>
        </w:tc>
        <w:tc>
          <w:tcPr>
            <w:tcW w:w="818" w:type="pct"/>
            <w:tcBorders>
              <w:top w:val="nil"/>
              <w:left w:val="nil"/>
              <w:bottom w:val="nil"/>
              <w:right w:val="nil"/>
            </w:tcBorders>
            <w:vAlign w:val="bottom"/>
          </w:tcPr>
          <w:p w:rsidR="00512993" w:rsidRPr="007D564F" w:rsidRDefault="00512993" w:rsidP="00512993">
            <w:pPr>
              <w:spacing w:after="0" w:line="240" w:lineRule="auto"/>
              <w:ind w:firstLine="0"/>
              <w:jc w:val="left"/>
              <w:rPr>
                <w:rFonts w:eastAsia="Times New Roman" w:cs="Times New Roman"/>
                <w:color w:val="000000"/>
                <w:sz w:val="20"/>
                <w:szCs w:val="20"/>
                <w:lang w:eastAsia="en-US"/>
              </w:rPr>
            </w:pPr>
          </w:p>
        </w:tc>
      </w:tr>
      <w:tr w:rsidR="00DA2D4F" w:rsidRPr="007D564F" w:rsidTr="00512993">
        <w:trPr>
          <w:trHeight w:val="227"/>
        </w:trPr>
        <w:tc>
          <w:tcPr>
            <w:tcW w:w="2856"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i/>
                <w:iCs/>
                <w:color w:val="000000"/>
                <w:sz w:val="20"/>
                <w:szCs w:val="20"/>
                <w:lang w:eastAsia="en-US"/>
              </w:rPr>
            </w:pPr>
            <w:r w:rsidRPr="007D564F">
              <w:rPr>
                <w:i/>
                <w:iCs/>
                <w:color w:val="000000"/>
                <w:sz w:val="20"/>
                <w:szCs w:val="20"/>
              </w:rPr>
              <w:t>Profitability</w:t>
            </w:r>
            <w:r w:rsidRPr="007D564F">
              <w:rPr>
                <w:i/>
                <w:iCs/>
                <w:color w:val="000000"/>
                <w:sz w:val="20"/>
                <w:szCs w:val="20"/>
                <w:vertAlign w:val="subscript"/>
              </w:rPr>
              <w:t>i,t-1</w:t>
            </w:r>
          </w:p>
        </w:tc>
        <w:tc>
          <w:tcPr>
            <w:tcW w:w="1326"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0.001</w:t>
            </w:r>
          </w:p>
        </w:tc>
        <w:tc>
          <w:tcPr>
            <w:tcW w:w="818" w:type="pct"/>
            <w:tcBorders>
              <w:top w:val="nil"/>
              <w:left w:val="nil"/>
              <w:bottom w:val="nil"/>
              <w:right w:val="nil"/>
            </w:tcBorders>
            <w:vAlign w:val="bottom"/>
          </w:tcPr>
          <w:p w:rsidR="00512993" w:rsidRPr="007D564F" w:rsidRDefault="00512993" w:rsidP="00512993">
            <w:pPr>
              <w:spacing w:after="0" w:line="240" w:lineRule="auto"/>
              <w:ind w:firstLine="0"/>
              <w:jc w:val="left"/>
              <w:rPr>
                <w:rFonts w:eastAsia="Times New Roman" w:cs="Times New Roman"/>
                <w:color w:val="000000"/>
                <w:sz w:val="20"/>
                <w:szCs w:val="20"/>
                <w:lang w:eastAsia="en-US"/>
              </w:rPr>
            </w:pPr>
          </w:p>
        </w:tc>
      </w:tr>
      <w:tr w:rsidR="00DA2D4F" w:rsidRPr="007D564F" w:rsidTr="00512993">
        <w:trPr>
          <w:trHeight w:val="227"/>
        </w:trPr>
        <w:tc>
          <w:tcPr>
            <w:tcW w:w="2856" w:type="pct"/>
            <w:tcBorders>
              <w:top w:val="nil"/>
              <w:left w:val="nil"/>
              <w:bottom w:val="nil"/>
              <w:right w:val="nil"/>
            </w:tcBorders>
            <w:shd w:val="clear" w:color="auto" w:fill="auto"/>
          </w:tcPr>
          <w:p w:rsidR="00512993" w:rsidRPr="007D564F" w:rsidRDefault="00512993" w:rsidP="00512993">
            <w:pPr>
              <w:spacing w:after="0" w:line="240" w:lineRule="auto"/>
              <w:ind w:firstLine="0"/>
              <w:jc w:val="left"/>
              <w:rPr>
                <w:rFonts w:eastAsia="Times New Roman" w:cs="Times New Roman"/>
                <w:i/>
                <w:iCs/>
                <w:color w:val="000000"/>
                <w:sz w:val="20"/>
                <w:szCs w:val="20"/>
                <w:lang w:eastAsia="en-US"/>
              </w:rPr>
            </w:pPr>
          </w:p>
        </w:tc>
        <w:tc>
          <w:tcPr>
            <w:tcW w:w="1326"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(0.007)</w:t>
            </w:r>
          </w:p>
        </w:tc>
        <w:tc>
          <w:tcPr>
            <w:tcW w:w="818" w:type="pct"/>
            <w:tcBorders>
              <w:top w:val="nil"/>
              <w:left w:val="nil"/>
              <w:bottom w:val="nil"/>
              <w:right w:val="nil"/>
            </w:tcBorders>
            <w:vAlign w:val="bottom"/>
          </w:tcPr>
          <w:p w:rsidR="00512993" w:rsidRPr="007D564F" w:rsidRDefault="00512993" w:rsidP="00512993">
            <w:pPr>
              <w:spacing w:after="0" w:line="240" w:lineRule="auto"/>
              <w:ind w:firstLine="0"/>
              <w:jc w:val="left"/>
              <w:rPr>
                <w:rFonts w:eastAsia="Times New Roman" w:cs="Times New Roman"/>
                <w:color w:val="000000"/>
                <w:sz w:val="20"/>
                <w:szCs w:val="20"/>
                <w:lang w:eastAsia="en-US"/>
              </w:rPr>
            </w:pPr>
          </w:p>
        </w:tc>
      </w:tr>
      <w:tr w:rsidR="00DA2D4F" w:rsidRPr="007D564F" w:rsidTr="00512993">
        <w:trPr>
          <w:trHeight w:val="227"/>
        </w:trPr>
        <w:tc>
          <w:tcPr>
            <w:tcW w:w="2856"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i/>
                <w:iCs/>
                <w:color w:val="000000"/>
                <w:sz w:val="20"/>
                <w:szCs w:val="20"/>
                <w:lang w:eastAsia="en-US"/>
              </w:rPr>
            </w:pPr>
            <w:r w:rsidRPr="007D564F">
              <w:rPr>
                <w:i/>
                <w:iCs/>
                <w:color w:val="000000"/>
                <w:sz w:val="20"/>
                <w:szCs w:val="20"/>
              </w:rPr>
              <w:t>Liquidity</w:t>
            </w:r>
            <w:r w:rsidRPr="007D564F">
              <w:rPr>
                <w:i/>
                <w:iCs/>
                <w:color w:val="000000"/>
                <w:sz w:val="20"/>
                <w:szCs w:val="20"/>
                <w:vertAlign w:val="subscript"/>
              </w:rPr>
              <w:t>i,t-1</w:t>
            </w:r>
          </w:p>
        </w:tc>
        <w:tc>
          <w:tcPr>
            <w:tcW w:w="1326"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-0.223</w:t>
            </w:r>
          </w:p>
        </w:tc>
        <w:tc>
          <w:tcPr>
            <w:tcW w:w="818" w:type="pct"/>
            <w:tcBorders>
              <w:top w:val="nil"/>
              <w:left w:val="nil"/>
              <w:bottom w:val="nil"/>
              <w:right w:val="nil"/>
            </w:tcBorders>
            <w:vAlign w:val="bottom"/>
          </w:tcPr>
          <w:p w:rsidR="00512993" w:rsidRPr="007D564F" w:rsidRDefault="00512993" w:rsidP="00512993">
            <w:pPr>
              <w:spacing w:after="0" w:line="240" w:lineRule="auto"/>
              <w:ind w:firstLine="0"/>
              <w:jc w:val="left"/>
              <w:rPr>
                <w:rFonts w:eastAsia="Times New Roman" w:cs="Times New Roman"/>
                <w:color w:val="000000"/>
                <w:sz w:val="20"/>
                <w:szCs w:val="20"/>
                <w:lang w:eastAsia="en-US"/>
              </w:rPr>
            </w:pPr>
          </w:p>
        </w:tc>
      </w:tr>
      <w:tr w:rsidR="00DA2D4F" w:rsidRPr="007D564F" w:rsidTr="00512993">
        <w:trPr>
          <w:trHeight w:val="227"/>
        </w:trPr>
        <w:tc>
          <w:tcPr>
            <w:tcW w:w="2856" w:type="pct"/>
            <w:tcBorders>
              <w:top w:val="nil"/>
              <w:left w:val="nil"/>
              <w:bottom w:val="nil"/>
              <w:right w:val="nil"/>
            </w:tcBorders>
            <w:shd w:val="clear" w:color="auto" w:fill="auto"/>
            <w:vAlign w:val="bottom"/>
          </w:tcPr>
          <w:p w:rsidR="00512993" w:rsidRPr="007D564F" w:rsidRDefault="00512993" w:rsidP="00512993">
            <w:pPr>
              <w:spacing w:after="0" w:line="240" w:lineRule="auto"/>
              <w:ind w:firstLine="0"/>
              <w:jc w:val="left"/>
              <w:rPr>
                <w:rFonts w:eastAsia="Times New Roman" w:cs="Times New Roman"/>
                <w:i/>
                <w:iCs/>
                <w:color w:val="000000"/>
                <w:sz w:val="20"/>
                <w:szCs w:val="20"/>
                <w:lang w:eastAsia="en-US"/>
              </w:rPr>
            </w:pPr>
          </w:p>
        </w:tc>
        <w:tc>
          <w:tcPr>
            <w:tcW w:w="1326"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(0.273)</w:t>
            </w:r>
          </w:p>
        </w:tc>
        <w:tc>
          <w:tcPr>
            <w:tcW w:w="818" w:type="pct"/>
            <w:tcBorders>
              <w:top w:val="nil"/>
              <w:left w:val="nil"/>
              <w:bottom w:val="nil"/>
              <w:right w:val="nil"/>
            </w:tcBorders>
            <w:vAlign w:val="bottom"/>
          </w:tcPr>
          <w:p w:rsidR="00512993" w:rsidRPr="007D564F" w:rsidRDefault="00512993" w:rsidP="00512993">
            <w:pPr>
              <w:spacing w:after="0" w:line="240" w:lineRule="auto"/>
              <w:ind w:firstLine="0"/>
              <w:jc w:val="left"/>
              <w:rPr>
                <w:rFonts w:eastAsia="Times New Roman" w:cs="Times New Roman"/>
                <w:color w:val="000000"/>
                <w:sz w:val="20"/>
                <w:szCs w:val="20"/>
                <w:lang w:eastAsia="en-US"/>
              </w:rPr>
            </w:pPr>
          </w:p>
        </w:tc>
      </w:tr>
      <w:tr w:rsidR="00DA2D4F" w:rsidRPr="007D564F" w:rsidTr="00512993">
        <w:trPr>
          <w:trHeight w:val="227"/>
        </w:trPr>
        <w:tc>
          <w:tcPr>
            <w:tcW w:w="2856"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i/>
                <w:iCs/>
                <w:color w:val="000000"/>
                <w:sz w:val="20"/>
                <w:szCs w:val="20"/>
                <w:lang w:eastAsia="en-US"/>
              </w:rPr>
            </w:pPr>
            <w:r w:rsidRPr="007D564F">
              <w:rPr>
                <w:i/>
                <w:iCs/>
                <w:color w:val="000000"/>
                <w:sz w:val="20"/>
                <w:szCs w:val="20"/>
              </w:rPr>
              <w:t>logEquity</w:t>
            </w:r>
            <w:r w:rsidRPr="007D564F">
              <w:rPr>
                <w:i/>
                <w:iCs/>
                <w:color w:val="000000"/>
                <w:sz w:val="20"/>
                <w:szCs w:val="20"/>
                <w:vertAlign w:val="subscript"/>
              </w:rPr>
              <w:t>i,t-1</w:t>
            </w:r>
          </w:p>
        </w:tc>
        <w:tc>
          <w:tcPr>
            <w:tcW w:w="1326"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-0.036</w:t>
            </w:r>
          </w:p>
        </w:tc>
        <w:tc>
          <w:tcPr>
            <w:tcW w:w="818" w:type="pct"/>
            <w:tcBorders>
              <w:top w:val="nil"/>
              <w:left w:val="nil"/>
              <w:bottom w:val="nil"/>
              <w:right w:val="nil"/>
            </w:tcBorders>
            <w:vAlign w:val="bottom"/>
          </w:tcPr>
          <w:p w:rsidR="00512993" w:rsidRPr="007D564F" w:rsidRDefault="00512993" w:rsidP="00512993">
            <w:pPr>
              <w:spacing w:after="0" w:line="240" w:lineRule="auto"/>
              <w:ind w:firstLine="0"/>
              <w:jc w:val="left"/>
              <w:rPr>
                <w:rFonts w:eastAsia="Times New Roman" w:cs="Times New Roman"/>
                <w:color w:val="000000"/>
                <w:sz w:val="20"/>
                <w:szCs w:val="20"/>
                <w:lang w:eastAsia="en-US"/>
              </w:rPr>
            </w:pPr>
          </w:p>
        </w:tc>
      </w:tr>
      <w:tr w:rsidR="00DA2D4F" w:rsidRPr="007D564F" w:rsidTr="00512993">
        <w:trPr>
          <w:trHeight w:val="227"/>
        </w:trPr>
        <w:tc>
          <w:tcPr>
            <w:tcW w:w="2856"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i/>
                <w:iCs/>
                <w:color w:val="000000"/>
                <w:sz w:val="20"/>
                <w:szCs w:val="20"/>
                <w:lang w:eastAsia="en-US"/>
              </w:rPr>
            </w:pPr>
          </w:p>
        </w:tc>
        <w:tc>
          <w:tcPr>
            <w:tcW w:w="1326"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(0.030)</w:t>
            </w:r>
          </w:p>
        </w:tc>
        <w:tc>
          <w:tcPr>
            <w:tcW w:w="818" w:type="pct"/>
            <w:tcBorders>
              <w:top w:val="nil"/>
              <w:left w:val="nil"/>
              <w:bottom w:val="nil"/>
              <w:right w:val="nil"/>
            </w:tcBorders>
            <w:vAlign w:val="bottom"/>
          </w:tcPr>
          <w:p w:rsidR="00512993" w:rsidRPr="007D564F" w:rsidRDefault="00512993" w:rsidP="00512993">
            <w:pPr>
              <w:spacing w:after="0" w:line="240" w:lineRule="auto"/>
              <w:ind w:firstLine="0"/>
              <w:jc w:val="left"/>
              <w:rPr>
                <w:rFonts w:eastAsia="Times New Roman" w:cs="Times New Roman"/>
                <w:color w:val="000000"/>
                <w:sz w:val="20"/>
                <w:szCs w:val="20"/>
                <w:lang w:eastAsia="en-US"/>
              </w:rPr>
            </w:pPr>
          </w:p>
        </w:tc>
      </w:tr>
      <w:tr w:rsidR="00DA2D4F" w:rsidRPr="007D564F" w:rsidTr="00512993">
        <w:trPr>
          <w:trHeight w:val="227"/>
        </w:trPr>
        <w:tc>
          <w:tcPr>
            <w:tcW w:w="2856" w:type="pct"/>
            <w:tcBorders>
              <w:top w:val="nil"/>
              <w:left w:val="nil"/>
              <w:bottom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i/>
                <w:iCs/>
                <w:color w:val="000000"/>
                <w:sz w:val="20"/>
                <w:szCs w:val="20"/>
                <w:lang w:eastAsia="en-US"/>
              </w:rPr>
            </w:pPr>
            <w:r w:rsidRPr="007D564F">
              <w:rPr>
                <w:i/>
                <w:iCs/>
                <w:color w:val="000000"/>
                <w:sz w:val="20"/>
                <w:szCs w:val="20"/>
              </w:rPr>
              <w:t>Age</w:t>
            </w:r>
            <w:r w:rsidRPr="007D564F">
              <w:rPr>
                <w:i/>
                <w:iCs/>
                <w:color w:val="000000"/>
                <w:sz w:val="20"/>
                <w:szCs w:val="20"/>
                <w:vertAlign w:val="subscript"/>
              </w:rPr>
              <w:t>i,t</w:t>
            </w:r>
          </w:p>
        </w:tc>
        <w:tc>
          <w:tcPr>
            <w:tcW w:w="1326"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-0.009</w:t>
            </w:r>
          </w:p>
        </w:tc>
        <w:tc>
          <w:tcPr>
            <w:tcW w:w="818" w:type="pct"/>
            <w:tcBorders>
              <w:top w:val="nil"/>
              <w:left w:val="nil"/>
              <w:bottom w:val="nil"/>
              <w:right w:val="nil"/>
            </w:tcBorders>
            <w:vAlign w:val="bottom"/>
          </w:tcPr>
          <w:p w:rsidR="00512993" w:rsidRPr="007D564F" w:rsidRDefault="00512993" w:rsidP="00512993">
            <w:pPr>
              <w:spacing w:after="0" w:line="240" w:lineRule="auto"/>
              <w:ind w:firstLine="0"/>
              <w:jc w:val="left"/>
              <w:rPr>
                <w:rFonts w:eastAsia="Times New Roman" w:cs="Times New Roman"/>
                <w:color w:val="000000"/>
                <w:sz w:val="20"/>
                <w:szCs w:val="20"/>
                <w:lang w:eastAsia="en-US"/>
              </w:rPr>
            </w:pPr>
          </w:p>
        </w:tc>
      </w:tr>
      <w:tr w:rsidR="00DA2D4F" w:rsidRPr="007D564F" w:rsidTr="00512993">
        <w:trPr>
          <w:trHeight w:val="227"/>
        </w:trPr>
        <w:tc>
          <w:tcPr>
            <w:tcW w:w="2856" w:type="pct"/>
            <w:tcBorders>
              <w:top w:val="nil"/>
              <w:left w:val="nil"/>
              <w:bottom w:val="nil"/>
              <w:right w:val="nil"/>
            </w:tcBorders>
            <w:shd w:val="clear" w:color="auto" w:fill="auto"/>
          </w:tcPr>
          <w:p w:rsidR="00512993" w:rsidRPr="007D564F" w:rsidRDefault="00512993" w:rsidP="00512993">
            <w:pPr>
              <w:spacing w:after="0" w:line="240" w:lineRule="auto"/>
              <w:ind w:firstLine="0"/>
              <w:jc w:val="left"/>
              <w:rPr>
                <w:rFonts w:eastAsia="Times New Roman" w:cs="Times New Roman"/>
                <w:i/>
                <w:iCs/>
                <w:color w:val="000000"/>
                <w:sz w:val="20"/>
                <w:szCs w:val="20"/>
                <w:lang w:eastAsia="en-US"/>
              </w:rPr>
            </w:pPr>
          </w:p>
        </w:tc>
        <w:tc>
          <w:tcPr>
            <w:tcW w:w="1326"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(0.006)</w:t>
            </w:r>
          </w:p>
        </w:tc>
        <w:tc>
          <w:tcPr>
            <w:tcW w:w="818" w:type="pct"/>
            <w:tcBorders>
              <w:top w:val="nil"/>
              <w:left w:val="nil"/>
              <w:bottom w:val="nil"/>
              <w:right w:val="nil"/>
            </w:tcBorders>
            <w:vAlign w:val="bottom"/>
          </w:tcPr>
          <w:p w:rsidR="00512993" w:rsidRPr="007D564F" w:rsidRDefault="00512993" w:rsidP="00512993">
            <w:pPr>
              <w:spacing w:after="0" w:line="240" w:lineRule="auto"/>
              <w:ind w:firstLine="0"/>
              <w:jc w:val="left"/>
              <w:rPr>
                <w:rFonts w:eastAsia="Times New Roman" w:cs="Times New Roman"/>
                <w:color w:val="000000"/>
                <w:sz w:val="20"/>
                <w:szCs w:val="20"/>
                <w:lang w:eastAsia="en-US"/>
              </w:rPr>
            </w:pPr>
          </w:p>
        </w:tc>
      </w:tr>
      <w:tr w:rsidR="00DA2D4F" w:rsidRPr="007D564F" w:rsidTr="00512993">
        <w:trPr>
          <w:trHeight w:val="227"/>
        </w:trPr>
        <w:tc>
          <w:tcPr>
            <w:tcW w:w="2856" w:type="pct"/>
            <w:tcBorders>
              <w:top w:val="nil"/>
              <w:left w:val="nil"/>
              <w:bottom w:val="nil"/>
              <w:right w:val="nil"/>
            </w:tcBorders>
            <w:shd w:val="clear" w:color="auto" w:fill="auto"/>
            <w:noWrap/>
          </w:tcPr>
          <w:p w:rsidR="00512993" w:rsidRPr="007D564F" w:rsidRDefault="00512993" w:rsidP="00512993">
            <w:pPr>
              <w:spacing w:after="0" w:line="240" w:lineRule="auto"/>
              <w:ind w:firstLine="0"/>
              <w:jc w:val="left"/>
              <w:rPr>
                <w:rFonts w:eastAsia="Times New Roman" w:cs="Times New Roman"/>
                <w:i/>
                <w:iCs/>
                <w:color w:val="000000"/>
                <w:sz w:val="20"/>
                <w:szCs w:val="20"/>
                <w:lang w:eastAsia="en-US"/>
              </w:rPr>
            </w:pPr>
            <w:r w:rsidRPr="007D564F">
              <w:rPr>
                <w:i/>
                <w:iCs/>
                <w:color w:val="000000"/>
                <w:sz w:val="20"/>
                <w:szCs w:val="20"/>
              </w:rPr>
              <w:t>PublicSupport</w:t>
            </w:r>
            <w:r w:rsidRPr="007D564F">
              <w:rPr>
                <w:i/>
                <w:iCs/>
                <w:color w:val="000000"/>
                <w:sz w:val="20"/>
                <w:szCs w:val="20"/>
                <w:vertAlign w:val="subscript"/>
              </w:rPr>
              <w:t>i,t</w:t>
            </w:r>
          </w:p>
        </w:tc>
        <w:tc>
          <w:tcPr>
            <w:tcW w:w="1326"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1.753</w:t>
            </w:r>
          </w:p>
        </w:tc>
        <w:tc>
          <w:tcPr>
            <w:tcW w:w="818" w:type="pct"/>
            <w:tcBorders>
              <w:top w:val="nil"/>
              <w:left w:val="nil"/>
              <w:bottom w:val="nil"/>
              <w:right w:val="nil"/>
            </w:tcBorders>
            <w:vAlign w:val="bottom"/>
          </w:tcPr>
          <w:p w:rsidR="00512993" w:rsidRPr="007D564F" w:rsidRDefault="00512993" w:rsidP="00512993">
            <w:pPr>
              <w:spacing w:after="0" w:line="240" w:lineRule="auto"/>
              <w:ind w:firstLine="0"/>
              <w:jc w:val="left"/>
              <w:rPr>
                <w:rFonts w:eastAsia="Times New Roman" w:cs="Times New Roman"/>
                <w:color w:val="000000"/>
                <w:sz w:val="20"/>
                <w:szCs w:val="20"/>
                <w:lang w:eastAsia="en-US"/>
              </w:rPr>
            </w:pPr>
            <w:r w:rsidRPr="007D564F">
              <w:rPr>
                <w:color w:val="000000"/>
                <w:sz w:val="20"/>
                <w:szCs w:val="20"/>
              </w:rPr>
              <w:t>***</w:t>
            </w:r>
          </w:p>
        </w:tc>
      </w:tr>
      <w:tr w:rsidR="00DA2D4F" w:rsidRPr="007D564F" w:rsidTr="00512993">
        <w:trPr>
          <w:trHeight w:val="227"/>
        </w:trPr>
        <w:tc>
          <w:tcPr>
            <w:tcW w:w="2856" w:type="pct"/>
            <w:tcBorders>
              <w:top w:val="nil"/>
              <w:left w:val="nil"/>
              <w:bottom w:val="nil"/>
              <w:right w:val="nil"/>
            </w:tcBorders>
            <w:shd w:val="clear" w:color="auto" w:fill="auto"/>
            <w:noWrap/>
          </w:tcPr>
          <w:p w:rsidR="00512993" w:rsidRPr="007D564F" w:rsidRDefault="00512993" w:rsidP="00512993">
            <w:pPr>
              <w:spacing w:after="0" w:line="240" w:lineRule="auto"/>
              <w:ind w:firstLine="0"/>
              <w:jc w:val="left"/>
              <w:rPr>
                <w:rFonts w:eastAsia="Times New Roman" w:cs="Times New Roman"/>
                <w:color w:val="000000"/>
                <w:sz w:val="20"/>
                <w:szCs w:val="20"/>
                <w:lang w:eastAsia="en-US"/>
              </w:rPr>
            </w:pPr>
          </w:p>
        </w:tc>
        <w:tc>
          <w:tcPr>
            <w:tcW w:w="1326"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(0.239)</w:t>
            </w:r>
          </w:p>
        </w:tc>
        <w:tc>
          <w:tcPr>
            <w:tcW w:w="818" w:type="pct"/>
            <w:tcBorders>
              <w:top w:val="nil"/>
              <w:left w:val="nil"/>
              <w:bottom w:val="nil"/>
              <w:right w:val="nil"/>
            </w:tcBorders>
            <w:vAlign w:val="bottom"/>
          </w:tcPr>
          <w:p w:rsidR="00512993" w:rsidRPr="007D564F" w:rsidRDefault="00512993" w:rsidP="00512993">
            <w:pPr>
              <w:spacing w:after="0" w:line="240" w:lineRule="auto"/>
              <w:ind w:firstLine="0"/>
              <w:jc w:val="left"/>
              <w:rPr>
                <w:rFonts w:eastAsia="Times New Roman" w:cs="Times New Roman"/>
                <w:color w:val="000000"/>
                <w:sz w:val="20"/>
                <w:szCs w:val="20"/>
                <w:lang w:eastAsia="en-US"/>
              </w:rPr>
            </w:pPr>
          </w:p>
        </w:tc>
      </w:tr>
      <w:tr w:rsidR="00DA2D4F" w:rsidRPr="007D564F" w:rsidTr="00512993">
        <w:trPr>
          <w:trHeight w:val="227"/>
        </w:trPr>
        <w:tc>
          <w:tcPr>
            <w:tcW w:w="2856" w:type="pct"/>
            <w:tcBorders>
              <w:top w:val="nil"/>
              <w:left w:val="nil"/>
              <w:bottom w:val="nil"/>
              <w:right w:val="nil"/>
            </w:tcBorders>
            <w:shd w:val="clear" w:color="auto" w:fill="auto"/>
            <w:vAlign w:val="bottom"/>
          </w:tcPr>
          <w:p w:rsidR="00512993" w:rsidRPr="007D564F" w:rsidRDefault="00512993" w:rsidP="00512993">
            <w:pPr>
              <w:spacing w:after="0" w:line="240" w:lineRule="auto"/>
              <w:ind w:firstLine="0"/>
              <w:jc w:val="left"/>
              <w:rPr>
                <w:rFonts w:eastAsia="Times New Roman" w:cs="Times New Roman"/>
                <w:i/>
                <w:iCs/>
                <w:color w:val="000000"/>
                <w:sz w:val="20"/>
                <w:szCs w:val="20"/>
                <w:lang w:eastAsia="en-US"/>
              </w:rPr>
            </w:pPr>
            <w:r w:rsidRPr="007D564F">
              <w:rPr>
                <w:i/>
                <w:iCs/>
                <w:color w:val="000000"/>
                <w:sz w:val="20"/>
                <w:szCs w:val="20"/>
              </w:rPr>
              <w:t>VentureCapital</w:t>
            </w:r>
            <w:r w:rsidRPr="007D564F">
              <w:rPr>
                <w:i/>
                <w:iCs/>
                <w:color w:val="000000"/>
                <w:sz w:val="20"/>
                <w:szCs w:val="20"/>
                <w:vertAlign w:val="subscript"/>
              </w:rPr>
              <w:t>i,t</w:t>
            </w:r>
          </w:p>
        </w:tc>
        <w:tc>
          <w:tcPr>
            <w:tcW w:w="1326"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0.363</w:t>
            </w:r>
          </w:p>
        </w:tc>
        <w:tc>
          <w:tcPr>
            <w:tcW w:w="818" w:type="pct"/>
            <w:tcBorders>
              <w:top w:val="nil"/>
              <w:left w:val="nil"/>
              <w:bottom w:val="nil"/>
              <w:right w:val="nil"/>
            </w:tcBorders>
            <w:vAlign w:val="bottom"/>
          </w:tcPr>
          <w:p w:rsidR="00512993" w:rsidRPr="007D564F" w:rsidRDefault="00512993" w:rsidP="00512993">
            <w:pPr>
              <w:spacing w:after="0" w:line="240" w:lineRule="auto"/>
              <w:ind w:firstLine="0"/>
              <w:jc w:val="left"/>
              <w:rPr>
                <w:rFonts w:eastAsia="Times New Roman" w:cs="Times New Roman"/>
                <w:color w:val="000000"/>
                <w:sz w:val="20"/>
                <w:szCs w:val="20"/>
                <w:lang w:eastAsia="en-US"/>
              </w:rPr>
            </w:pPr>
            <w:r w:rsidRPr="007D564F">
              <w:rPr>
                <w:color w:val="000000"/>
                <w:sz w:val="20"/>
                <w:szCs w:val="20"/>
              </w:rPr>
              <w:t>***</w:t>
            </w:r>
          </w:p>
        </w:tc>
      </w:tr>
      <w:tr w:rsidR="00DA2D4F" w:rsidRPr="007D564F" w:rsidTr="00512993">
        <w:trPr>
          <w:trHeight w:val="227"/>
        </w:trPr>
        <w:tc>
          <w:tcPr>
            <w:tcW w:w="2856" w:type="pct"/>
            <w:tcBorders>
              <w:top w:val="nil"/>
              <w:left w:val="nil"/>
              <w:bottom w:val="nil"/>
              <w:right w:val="nil"/>
            </w:tcBorders>
            <w:shd w:val="clear" w:color="auto" w:fill="auto"/>
            <w:vAlign w:val="bottom"/>
          </w:tcPr>
          <w:p w:rsidR="00512993" w:rsidRPr="007D564F" w:rsidRDefault="00512993" w:rsidP="00512993">
            <w:pPr>
              <w:spacing w:after="0" w:line="240" w:lineRule="auto"/>
              <w:ind w:firstLine="0"/>
              <w:jc w:val="left"/>
              <w:rPr>
                <w:rFonts w:eastAsia="Times New Roman" w:cs="Times New Roman"/>
                <w:i/>
                <w:iCs/>
                <w:color w:val="000000"/>
                <w:sz w:val="20"/>
                <w:szCs w:val="20"/>
                <w:lang w:eastAsia="en-US"/>
              </w:rPr>
            </w:pPr>
          </w:p>
        </w:tc>
        <w:tc>
          <w:tcPr>
            <w:tcW w:w="1326" w:type="pct"/>
            <w:tcBorders>
              <w:top w:val="nil"/>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(0.122)</w:t>
            </w:r>
          </w:p>
        </w:tc>
        <w:tc>
          <w:tcPr>
            <w:tcW w:w="818" w:type="pct"/>
            <w:tcBorders>
              <w:top w:val="nil"/>
              <w:left w:val="nil"/>
              <w:bottom w:val="nil"/>
              <w:right w:val="nil"/>
            </w:tcBorders>
            <w:vAlign w:val="bottom"/>
          </w:tcPr>
          <w:p w:rsidR="00512993" w:rsidRPr="007D564F" w:rsidRDefault="00512993" w:rsidP="00512993">
            <w:pPr>
              <w:spacing w:after="0" w:line="240" w:lineRule="auto"/>
              <w:ind w:firstLine="0"/>
              <w:jc w:val="left"/>
              <w:rPr>
                <w:rFonts w:eastAsia="Times New Roman" w:cs="Times New Roman"/>
                <w:color w:val="000000"/>
                <w:sz w:val="20"/>
                <w:szCs w:val="20"/>
                <w:lang w:eastAsia="en-US"/>
              </w:rPr>
            </w:pPr>
          </w:p>
        </w:tc>
      </w:tr>
      <w:tr w:rsidR="00DA2D4F" w:rsidRPr="007D564F" w:rsidTr="00512993">
        <w:trPr>
          <w:trHeight w:val="227"/>
        </w:trPr>
        <w:tc>
          <w:tcPr>
            <w:tcW w:w="2856" w:type="pct"/>
            <w:tcBorders>
              <w:top w:val="nil"/>
              <w:left w:val="nil"/>
              <w:right w:val="nil"/>
            </w:tcBorders>
            <w:shd w:val="clear" w:color="auto" w:fill="auto"/>
            <w:noWrap/>
            <w:vAlign w:val="bottom"/>
          </w:tcPr>
          <w:p w:rsidR="00512993" w:rsidRPr="007D564F" w:rsidRDefault="00512993" w:rsidP="00512993">
            <w:pPr>
              <w:spacing w:after="0" w:line="240" w:lineRule="auto"/>
              <w:ind w:firstLine="0"/>
              <w:jc w:val="left"/>
              <w:rPr>
                <w:rFonts w:eastAsia="Times New Roman" w:cs="Times New Roman"/>
                <w:i/>
                <w:iCs/>
                <w:color w:val="000000"/>
                <w:sz w:val="20"/>
                <w:szCs w:val="20"/>
                <w:lang w:eastAsia="en-US"/>
              </w:rPr>
            </w:pPr>
            <w:r w:rsidRPr="007D564F">
              <w:rPr>
                <w:i/>
                <w:iCs/>
                <w:color w:val="000000"/>
                <w:sz w:val="20"/>
                <w:szCs w:val="20"/>
              </w:rPr>
              <w:t>ENISA-backed</w:t>
            </w:r>
            <w:r w:rsidRPr="007D564F">
              <w:rPr>
                <w:color w:val="000000"/>
                <w:sz w:val="20"/>
                <w:szCs w:val="20"/>
                <w:vertAlign w:val="subscript"/>
              </w:rPr>
              <w:t>i</w:t>
            </w:r>
          </w:p>
        </w:tc>
        <w:tc>
          <w:tcPr>
            <w:tcW w:w="1326" w:type="pct"/>
            <w:tcBorders>
              <w:top w:val="nil"/>
              <w:left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0.148</w:t>
            </w:r>
          </w:p>
        </w:tc>
        <w:tc>
          <w:tcPr>
            <w:tcW w:w="818" w:type="pct"/>
            <w:tcBorders>
              <w:top w:val="nil"/>
              <w:left w:val="nil"/>
              <w:right w:val="nil"/>
            </w:tcBorders>
            <w:vAlign w:val="bottom"/>
          </w:tcPr>
          <w:p w:rsidR="00512993" w:rsidRPr="007D564F" w:rsidRDefault="00512993" w:rsidP="00512993">
            <w:pPr>
              <w:spacing w:after="0" w:line="240" w:lineRule="auto"/>
              <w:ind w:firstLine="0"/>
              <w:jc w:val="left"/>
              <w:rPr>
                <w:rFonts w:eastAsia="Times New Roman" w:cs="Times New Roman"/>
                <w:color w:val="000000"/>
                <w:sz w:val="20"/>
                <w:szCs w:val="20"/>
                <w:lang w:eastAsia="en-US"/>
              </w:rPr>
            </w:pPr>
          </w:p>
        </w:tc>
      </w:tr>
      <w:tr w:rsidR="00DA2D4F" w:rsidRPr="007D564F" w:rsidTr="00512993">
        <w:trPr>
          <w:trHeight w:val="227"/>
        </w:trPr>
        <w:tc>
          <w:tcPr>
            <w:tcW w:w="2856" w:type="pct"/>
            <w:tcBorders>
              <w:top w:val="nil"/>
              <w:left w:val="nil"/>
              <w:right w:val="nil"/>
            </w:tcBorders>
            <w:shd w:val="clear" w:color="auto" w:fill="auto"/>
            <w:vAlign w:val="bottom"/>
          </w:tcPr>
          <w:p w:rsidR="00512993" w:rsidRPr="007D564F" w:rsidRDefault="00512993" w:rsidP="00512993">
            <w:pPr>
              <w:spacing w:after="0" w:line="240" w:lineRule="auto"/>
              <w:ind w:firstLine="0"/>
              <w:jc w:val="left"/>
              <w:rPr>
                <w:rFonts w:eastAsia="Times New Roman" w:cs="Times New Roman"/>
                <w:i/>
                <w:iCs/>
                <w:color w:val="000000"/>
                <w:sz w:val="20"/>
                <w:szCs w:val="20"/>
                <w:lang w:eastAsia="en-US"/>
              </w:rPr>
            </w:pPr>
          </w:p>
        </w:tc>
        <w:tc>
          <w:tcPr>
            <w:tcW w:w="1326" w:type="pct"/>
            <w:tcBorders>
              <w:top w:val="nil"/>
              <w:left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(0.147)</w:t>
            </w:r>
          </w:p>
        </w:tc>
        <w:tc>
          <w:tcPr>
            <w:tcW w:w="818" w:type="pct"/>
            <w:tcBorders>
              <w:top w:val="nil"/>
              <w:left w:val="nil"/>
              <w:right w:val="nil"/>
            </w:tcBorders>
            <w:vAlign w:val="bottom"/>
          </w:tcPr>
          <w:p w:rsidR="00512993" w:rsidRPr="007D564F" w:rsidRDefault="00512993" w:rsidP="00512993">
            <w:pPr>
              <w:spacing w:after="0" w:line="240" w:lineRule="auto"/>
              <w:ind w:firstLine="0"/>
              <w:jc w:val="left"/>
              <w:rPr>
                <w:rFonts w:eastAsia="Times New Roman" w:cs="Times New Roman"/>
                <w:color w:val="000000"/>
                <w:sz w:val="20"/>
                <w:szCs w:val="20"/>
                <w:lang w:eastAsia="en-US"/>
              </w:rPr>
            </w:pPr>
          </w:p>
        </w:tc>
      </w:tr>
      <w:tr w:rsidR="00DA2D4F" w:rsidRPr="007D564F" w:rsidTr="00512993">
        <w:trPr>
          <w:trHeight w:val="227"/>
        </w:trPr>
        <w:tc>
          <w:tcPr>
            <w:tcW w:w="2856" w:type="pct"/>
            <w:tcBorders>
              <w:left w:val="nil"/>
              <w:right w:val="nil"/>
            </w:tcBorders>
            <w:shd w:val="clear" w:color="auto" w:fill="auto"/>
            <w:noWrap/>
          </w:tcPr>
          <w:p w:rsidR="00512993" w:rsidRPr="007D564F" w:rsidRDefault="00512993" w:rsidP="00512993">
            <w:pPr>
              <w:spacing w:after="0" w:line="240" w:lineRule="auto"/>
              <w:ind w:firstLine="0"/>
              <w:jc w:val="left"/>
              <w:rPr>
                <w:rFonts w:eastAsia="Times New Roman" w:cs="Times New Roman"/>
                <w:color w:val="000000"/>
                <w:sz w:val="20"/>
                <w:szCs w:val="20"/>
                <w:lang w:eastAsia="en-US"/>
              </w:rPr>
            </w:pPr>
            <w:r w:rsidRPr="007D564F">
              <w:rPr>
                <w:i/>
                <w:iCs/>
                <w:color w:val="000000"/>
                <w:sz w:val="20"/>
                <w:szCs w:val="20"/>
              </w:rPr>
              <w:t>Constant</w:t>
            </w:r>
          </w:p>
        </w:tc>
        <w:tc>
          <w:tcPr>
            <w:tcW w:w="1326" w:type="pct"/>
            <w:tcBorders>
              <w:left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-0.678</w:t>
            </w:r>
          </w:p>
        </w:tc>
        <w:tc>
          <w:tcPr>
            <w:tcW w:w="818" w:type="pct"/>
            <w:tcBorders>
              <w:left w:val="nil"/>
              <w:right w:val="nil"/>
            </w:tcBorders>
            <w:vAlign w:val="bottom"/>
          </w:tcPr>
          <w:p w:rsidR="00512993" w:rsidRPr="007D564F" w:rsidRDefault="00512993" w:rsidP="00512993">
            <w:pPr>
              <w:spacing w:after="0" w:line="240" w:lineRule="auto"/>
              <w:ind w:firstLine="0"/>
              <w:jc w:val="left"/>
              <w:rPr>
                <w:rFonts w:eastAsia="Times New Roman" w:cs="Times New Roman"/>
                <w:color w:val="000000"/>
                <w:sz w:val="20"/>
                <w:szCs w:val="20"/>
                <w:lang w:eastAsia="en-US"/>
              </w:rPr>
            </w:pPr>
          </w:p>
        </w:tc>
      </w:tr>
      <w:tr w:rsidR="00DA2D4F" w:rsidRPr="007D564F" w:rsidTr="00512993">
        <w:trPr>
          <w:trHeight w:val="227"/>
        </w:trPr>
        <w:tc>
          <w:tcPr>
            <w:tcW w:w="2856" w:type="pct"/>
            <w:tcBorders>
              <w:top w:val="nil"/>
              <w:left w:val="nil"/>
              <w:bottom w:val="single" w:sz="4" w:space="0" w:color="auto"/>
              <w:right w:val="nil"/>
            </w:tcBorders>
            <w:shd w:val="clear" w:color="auto" w:fill="auto"/>
            <w:noWrap/>
          </w:tcPr>
          <w:p w:rsidR="00512993" w:rsidRPr="007D564F" w:rsidRDefault="00512993" w:rsidP="00512993">
            <w:pPr>
              <w:spacing w:after="0" w:line="240" w:lineRule="auto"/>
              <w:ind w:firstLine="0"/>
              <w:jc w:val="left"/>
              <w:rPr>
                <w:rFonts w:eastAsia="Times New Roman" w:cs="Times New Roman"/>
                <w:color w:val="000000"/>
                <w:sz w:val="20"/>
                <w:szCs w:val="20"/>
                <w:lang w:eastAsia="en-US"/>
              </w:rPr>
            </w:pPr>
            <w:r w:rsidRPr="007D564F">
              <w:rPr>
                <w:i/>
                <w:iCs/>
                <w:color w:val="000000"/>
                <w:sz w:val="20"/>
                <w:szCs w:val="20"/>
              </w:rPr>
              <w:t> </w:t>
            </w:r>
          </w:p>
        </w:tc>
        <w:tc>
          <w:tcPr>
            <w:tcW w:w="1326" w:type="pct"/>
            <w:tcBorders>
              <w:top w:val="nil"/>
              <w:left w:val="nil"/>
              <w:bottom w:val="single" w:sz="4" w:space="0" w:color="auto"/>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(1.804)</w:t>
            </w:r>
          </w:p>
        </w:tc>
        <w:tc>
          <w:tcPr>
            <w:tcW w:w="818" w:type="pct"/>
            <w:tcBorders>
              <w:top w:val="nil"/>
              <w:left w:val="nil"/>
              <w:bottom w:val="single" w:sz="4" w:space="0" w:color="auto"/>
              <w:right w:val="nil"/>
            </w:tcBorders>
            <w:vAlign w:val="bottom"/>
          </w:tcPr>
          <w:p w:rsidR="00512993" w:rsidRPr="007D564F" w:rsidRDefault="00512993" w:rsidP="00512993">
            <w:pPr>
              <w:spacing w:after="0" w:line="240" w:lineRule="auto"/>
              <w:ind w:firstLine="0"/>
              <w:jc w:val="left"/>
              <w:rPr>
                <w:rFonts w:eastAsia="Times New Roman" w:cs="Times New Roman"/>
                <w:color w:val="000000"/>
                <w:sz w:val="20"/>
                <w:szCs w:val="20"/>
                <w:lang w:eastAsia="en-US"/>
              </w:rPr>
            </w:pPr>
            <w:r w:rsidRPr="007D564F">
              <w:rPr>
                <w:color w:val="000000"/>
                <w:sz w:val="20"/>
                <w:szCs w:val="20"/>
              </w:rPr>
              <w:t> </w:t>
            </w:r>
          </w:p>
        </w:tc>
      </w:tr>
      <w:tr w:rsidR="00DA2D4F" w:rsidRPr="007D564F" w:rsidTr="00512993">
        <w:trPr>
          <w:trHeight w:val="227"/>
        </w:trPr>
        <w:tc>
          <w:tcPr>
            <w:tcW w:w="2856" w:type="pct"/>
            <w:tcBorders>
              <w:top w:val="single" w:sz="4" w:space="0" w:color="auto"/>
              <w:left w:val="nil"/>
              <w:bottom w:val="nil"/>
              <w:right w:val="nil"/>
            </w:tcBorders>
            <w:shd w:val="clear" w:color="auto" w:fill="auto"/>
            <w:vAlign w:val="bottom"/>
          </w:tcPr>
          <w:p w:rsidR="00512993" w:rsidRPr="007D564F" w:rsidRDefault="009820B0" w:rsidP="00512993">
            <w:pPr>
              <w:spacing w:after="0" w:line="240" w:lineRule="auto"/>
              <w:ind w:firstLine="0"/>
              <w:jc w:val="left"/>
              <w:rPr>
                <w:rFonts w:eastAsia="Times New Roman" w:cs="Times New Roman"/>
                <w:i/>
                <w:iCs/>
                <w:color w:val="000000"/>
                <w:sz w:val="20"/>
                <w:szCs w:val="20"/>
                <w:lang w:eastAsia="en-US"/>
              </w:rPr>
            </w:pPr>
            <w:r w:rsidRPr="007D564F">
              <w:rPr>
                <w:color w:val="000000"/>
                <w:sz w:val="20"/>
                <w:szCs w:val="20"/>
              </w:rPr>
              <w:t>N</w:t>
            </w:r>
          </w:p>
        </w:tc>
        <w:tc>
          <w:tcPr>
            <w:tcW w:w="1326" w:type="pct"/>
            <w:tcBorders>
              <w:top w:val="single" w:sz="4" w:space="0" w:color="auto"/>
              <w:left w:val="nil"/>
              <w:bottom w:val="nil"/>
              <w:right w:val="nil"/>
            </w:tcBorders>
            <w:vAlign w:val="bottom"/>
          </w:tcPr>
          <w:p w:rsidR="00512993" w:rsidRPr="007D564F" w:rsidRDefault="00512993" w:rsidP="00512993">
            <w:pPr>
              <w:spacing w:after="0" w:line="240" w:lineRule="auto"/>
              <w:ind w:firstLine="0"/>
              <w:jc w:val="right"/>
              <w:rPr>
                <w:rFonts w:eastAsia="Times New Roman" w:cs="Times New Roman"/>
                <w:color w:val="000000"/>
                <w:sz w:val="20"/>
                <w:szCs w:val="20"/>
                <w:lang w:eastAsia="en-US"/>
              </w:rPr>
            </w:pPr>
            <w:r w:rsidRPr="007D564F">
              <w:rPr>
                <w:color w:val="000000"/>
                <w:sz w:val="20"/>
                <w:szCs w:val="20"/>
              </w:rPr>
              <w:t>5206</w:t>
            </w:r>
          </w:p>
        </w:tc>
        <w:tc>
          <w:tcPr>
            <w:tcW w:w="818" w:type="pct"/>
            <w:tcBorders>
              <w:top w:val="single" w:sz="4" w:space="0" w:color="auto"/>
              <w:left w:val="nil"/>
              <w:bottom w:val="nil"/>
              <w:right w:val="nil"/>
            </w:tcBorders>
            <w:vAlign w:val="bottom"/>
          </w:tcPr>
          <w:p w:rsidR="00512993" w:rsidRPr="007D564F" w:rsidRDefault="00512993" w:rsidP="00512993">
            <w:pPr>
              <w:spacing w:after="0" w:line="240" w:lineRule="auto"/>
              <w:ind w:firstLine="0"/>
              <w:jc w:val="left"/>
              <w:rPr>
                <w:rFonts w:eastAsia="Times New Roman" w:cs="Times New Roman"/>
                <w:color w:val="000000"/>
                <w:sz w:val="20"/>
                <w:szCs w:val="20"/>
                <w:lang w:eastAsia="en-US"/>
              </w:rPr>
            </w:pPr>
          </w:p>
        </w:tc>
      </w:tr>
      <w:tr w:rsidR="00DA2D4F" w:rsidRPr="007D564F" w:rsidTr="00512993">
        <w:trPr>
          <w:trHeight w:val="227"/>
        </w:trPr>
        <w:tc>
          <w:tcPr>
            <w:tcW w:w="2856" w:type="pct"/>
            <w:tcBorders>
              <w:top w:val="nil"/>
              <w:left w:val="nil"/>
              <w:bottom w:val="nil"/>
              <w:right w:val="nil"/>
            </w:tcBorders>
            <w:shd w:val="clear" w:color="auto" w:fill="auto"/>
            <w:vAlign w:val="bottom"/>
          </w:tcPr>
          <w:p w:rsidR="00512993" w:rsidRPr="007D564F" w:rsidRDefault="00512993" w:rsidP="00512993">
            <w:pPr>
              <w:spacing w:after="0" w:line="240" w:lineRule="auto"/>
              <w:ind w:firstLine="0"/>
              <w:jc w:val="left"/>
              <w:rPr>
                <w:rFonts w:eastAsia="Times New Roman" w:cs="Times New Roman"/>
                <w:i/>
                <w:iCs/>
                <w:color w:val="000000"/>
                <w:sz w:val="20"/>
                <w:szCs w:val="20"/>
                <w:lang w:eastAsia="en-US"/>
              </w:rPr>
            </w:pPr>
            <w:r w:rsidRPr="007D564F">
              <w:rPr>
                <w:color w:val="000000"/>
                <w:sz w:val="20"/>
                <w:szCs w:val="20"/>
              </w:rPr>
              <w:t>N</w:t>
            </w:r>
          </w:p>
        </w:tc>
        <w:tc>
          <w:tcPr>
            <w:tcW w:w="1326" w:type="pct"/>
            <w:tcBorders>
              <w:top w:val="nil"/>
              <w:left w:val="nil"/>
              <w:bottom w:val="nil"/>
              <w:right w:val="nil"/>
            </w:tcBorders>
            <w:vAlign w:val="bottom"/>
          </w:tcPr>
          <w:p w:rsidR="00512993" w:rsidRPr="007D564F" w:rsidRDefault="00512993" w:rsidP="00512993">
            <w:pPr>
              <w:spacing w:after="0" w:line="240" w:lineRule="auto"/>
              <w:ind w:firstLine="0"/>
              <w:jc w:val="right"/>
              <w:rPr>
                <w:color w:val="000000"/>
                <w:sz w:val="20"/>
                <w:szCs w:val="20"/>
              </w:rPr>
            </w:pPr>
            <w:r w:rsidRPr="007D564F">
              <w:rPr>
                <w:color w:val="000000"/>
                <w:sz w:val="20"/>
                <w:szCs w:val="20"/>
              </w:rPr>
              <w:t>1055</w:t>
            </w:r>
          </w:p>
        </w:tc>
        <w:tc>
          <w:tcPr>
            <w:tcW w:w="818" w:type="pct"/>
            <w:tcBorders>
              <w:top w:val="nil"/>
              <w:left w:val="nil"/>
              <w:bottom w:val="nil"/>
              <w:right w:val="nil"/>
            </w:tcBorders>
            <w:vAlign w:val="bottom"/>
          </w:tcPr>
          <w:p w:rsidR="00512993" w:rsidRPr="007D564F" w:rsidRDefault="00512993" w:rsidP="00512993">
            <w:pPr>
              <w:spacing w:after="0" w:line="240" w:lineRule="auto"/>
              <w:ind w:firstLine="0"/>
              <w:jc w:val="left"/>
              <w:rPr>
                <w:rFonts w:eastAsia="Times New Roman" w:cs="Times New Roman"/>
                <w:color w:val="000000"/>
                <w:sz w:val="20"/>
                <w:szCs w:val="20"/>
                <w:lang w:eastAsia="en-US"/>
              </w:rPr>
            </w:pPr>
          </w:p>
        </w:tc>
      </w:tr>
      <w:tr w:rsidR="00DA2D4F" w:rsidRPr="007D564F" w:rsidTr="00512993">
        <w:trPr>
          <w:trHeight w:val="227"/>
        </w:trPr>
        <w:tc>
          <w:tcPr>
            <w:tcW w:w="2856" w:type="pct"/>
            <w:tcBorders>
              <w:top w:val="nil"/>
              <w:left w:val="nil"/>
              <w:bottom w:val="nil"/>
              <w:right w:val="nil"/>
            </w:tcBorders>
            <w:shd w:val="clear" w:color="auto" w:fill="auto"/>
          </w:tcPr>
          <w:p w:rsidR="00512993" w:rsidRPr="007D564F" w:rsidRDefault="00512993" w:rsidP="00512993">
            <w:pPr>
              <w:spacing w:after="0" w:line="240" w:lineRule="auto"/>
              <w:ind w:firstLine="0"/>
              <w:jc w:val="left"/>
              <w:rPr>
                <w:rFonts w:eastAsia="Times New Roman" w:cs="Times New Roman"/>
                <w:i/>
                <w:iCs/>
                <w:color w:val="000000"/>
                <w:sz w:val="20"/>
                <w:szCs w:val="20"/>
                <w:lang w:eastAsia="en-US"/>
              </w:rPr>
            </w:pPr>
            <w:r w:rsidRPr="007D564F">
              <w:rPr>
                <w:i/>
                <w:iCs/>
                <w:color w:val="000000"/>
                <w:sz w:val="20"/>
                <w:szCs w:val="20"/>
              </w:rPr>
              <w:t>R</w:t>
            </w:r>
            <w:r w:rsidRPr="007D564F">
              <w:rPr>
                <w:i/>
                <w:iCs/>
                <w:color w:val="000000"/>
                <w:sz w:val="20"/>
                <w:szCs w:val="20"/>
                <w:vertAlign w:val="superscript"/>
              </w:rPr>
              <w:t>2</w:t>
            </w:r>
          </w:p>
        </w:tc>
        <w:tc>
          <w:tcPr>
            <w:tcW w:w="1326" w:type="pct"/>
            <w:tcBorders>
              <w:top w:val="nil"/>
              <w:left w:val="nil"/>
              <w:bottom w:val="nil"/>
              <w:right w:val="nil"/>
            </w:tcBorders>
            <w:vAlign w:val="bottom"/>
          </w:tcPr>
          <w:p w:rsidR="00512993" w:rsidRPr="007D564F" w:rsidRDefault="00512993" w:rsidP="00512993">
            <w:pPr>
              <w:spacing w:after="0" w:line="240" w:lineRule="auto"/>
              <w:ind w:firstLine="0"/>
              <w:jc w:val="right"/>
              <w:rPr>
                <w:color w:val="000000"/>
                <w:sz w:val="20"/>
                <w:szCs w:val="20"/>
              </w:rPr>
            </w:pPr>
            <w:r w:rsidRPr="007D564F">
              <w:rPr>
                <w:color w:val="000000"/>
                <w:sz w:val="20"/>
                <w:szCs w:val="20"/>
              </w:rPr>
              <w:t>0.561</w:t>
            </w:r>
          </w:p>
        </w:tc>
        <w:tc>
          <w:tcPr>
            <w:tcW w:w="818" w:type="pct"/>
            <w:tcBorders>
              <w:top w:val="nil"/>
              <w:left w:val="nil"/>
              <w:bottom w:val="nil"/>
              <w:right w:val="nil"/>
            </w:tcBorders>
            <w:vAlign w:val="bottom"/>
          </w:tcPr>
          <w:p w:rsidR="00512993" w:rsidRPr="007D564F" w:rsidRDefault="00512993" w:rsidP="00512993">
            <w:pPr>
              <w:spacing w:after="0" w:line="240" w:lineRule="auto"/>
              <w:ind w:firstLine="0"/>
              <w:jc w:val="left"/>
              <w:rPr>
                <w:rFonts w:eastAsia="Times New Roman" w:cs="Times New Roman"/>
                <w:color w:val="000000"/>
                <w:sz w:val="20"/>
                <w:szCs w:val="20"/>
                <w:lang w:eastAsia="en-US"/>
              </w:rPr>
            </w:pPr>
          </w:p>
        </w:tc>
      </w:tr>
      <w:tr w:rsidR="00DA2D4F" w:rsidRPr="007D564F" w:rsidTr="00512993">
        <w:trPr>
          <w:trHeight w:val="227"/>
        </w:trPr>
        <w:tc>
          <w:tcPr>
            <w:tcW w:w="2856" w:type="pct"/>
            <w:tcBorders>
              <w:top w:val="nil"/>
              <w:left w:val="nil"/>
              <w:bottom w:val="nil"/>
              <w:right w:val="nil"/>
            </w:tcBorders>
            <w:shd w:val="clear" w:color="auto" w:fill="auto"/>
            <w:vAlign w:val="bottom"/>
          </w:tcPr>
          <w:p w:rsidR="00512993" w:rsidRPr="007D564F" w:rsidRDefault="00512993" w:rsidP="00512993">
            <w:pPr>
              <w:spacing w:after="0" w:line="240" w:lineRule="auto"/>
              <w:ind w:firstLine="0"/>
              <w:jc w:val="left"/>
              <w:rPr>
                <w:i/>
                <w:iCs/>
                <w:color w:val="000000"/>
                <w:sz w:val="20"/>
                <w:szCs w:val="20"/>
              </w:rPr>
            </w:pPr>
            <w:r w:rsidRPr="007D564F">
              <w:rPr>
                <w:color w:val="000000"/>
                <w:sz w:val="20"/>
                <w:szCs w:val="20"/>
              </w:rPr>
              <w:t>F</w:t>
            </w:r>
          </w:p>
        </w:tc>
        <w:tc>
          <w:tcPr>
            <w:tcW w:w="1326" w:type="pct"/>
            <w:tcBorders>
              <w:top w:val="nil"/>
              <w:left w:val="nil"/>
              <w:bottom w:val="nil"/>
              <w:right w:val="nil"/>
            </w:tcBorders>
            <w:vAlign w:val="bottom"/>
          </w:tcPr>
          <w:p w:rsidR="00512993" w:rsidRPr="007D564F" w:rsidRDefault="00512993" w:rsidP="00512993">
            <w:pPr>
              <w:spacing w:after="0" w:line="240" w:lineRule="auto"/>
              <w:ind w:firstLine="0"/>
              <w:jc w:val="right"/>
              <w:rPr>
                <w:color w:val="000000"/>
                <w:sz w:val="20"/>
                <w:szCs w:val="20"/>
              </w:rPr>
            </w:pPr>
            <w:r w:rsidRPr="007D564F">
              <w:rPr>
                <w:color w:val="000000"/>
                <w:sz w:val="20"/>
                <w:szCs w:val="20"/>
              </w:rPr>
              <w:t>39.822</w:t>
            </w:r>
          </w:p>
        </w:tc>
        <w:tc>
          <w:tcPr>
            <w:tcW w:w="818" w:type="pct"/>
            <w:tcBorders>
              <w:top w:val="nil"/>
              <w:left w:val="nil"/>
              <w:bottom w:val="nil"/>
              <w:right w:val="nil"/>
            </w:tcBorders>
            <w:vAlign w:val="bottom"/>
          </w:tcPr>
          <w:p w:rsidR="00512993" w:rsidRPr="007D564F" w:rsidRDefault="00512993" w:rsidP="00512993">
            <w:pPr>
              <w:spacing w:after="0" w:line="240" w:lineRule="auto"/>
              <w:ind w:firstLine="0"/>
              <w:jc w:val="left"/>
              <w:rPr>
                <w:rFonts w:eastAsia="Times New Roman" w:cs="Times New Roman"/>
                <w:color w:val="000000"/>
                <w:sz w:val="20"/>
                <w:szCs w:val="20"/>
                <w:lang w:eastAsia="en-US"/>
              </w:rPr>
            </w:pPr>
            <w:r w:rsidRPr="007D564F">
              <w:rPr>
                <w:color w:val="000000"/>
                <w:sz w:val="20"/>
                <w:szCs w:val="20"/>
              </w:rPr>
              <w:t>***</w:t>
            </w:r>
          </w:p>
        </w:tc>
      </w:tr>
      <w:tr w:rsidR="00DA2D4F" w:rsidRPr="007D564F" w:rsidTr="00512993">
        <w:trPr>
          <w:trHeight w:val="227"/>
        </w:trPr>
        <w:tc>
          <w:tcPr>
            <w:tcW w:w="2856" w:type="pct"/>
            <w:tcBorders>
              <w:top w:val="nil"/>
              <w:left w:val="nil"/>
              <w:bottom w:val="double" w:sz="4" w:space="0" w:color="auto"/>
              <w:right w:val="nil"/>
            </w:tcBorders>
            <w:shd w:val="clear" w:color="auto" w:fill="auto"/>
            <w:vAlign w:val="bottom"/>
          </w:tcPr>
          <w:p w:rsidR="00512993" w:rsidRPr="007D564F" w:rsidRDefault="00512993" w:rsidP="00512993">
            <w:pPr>
              <w:spacing w:after="0" w:line="240" w:lineRule="auto"/>
              <w:ind w:firstLine="0"/>
              <w:jc w:val="left"/>
              <w:rPr>
                <w:color w:val="000000"/>
                <w:sz w:val="20"/>
                <w:szCs w:val="20"/>
              </w:rPr>
            </w:pPr>
            <w:r w:rsidRPr="007D564F">
              <w:rPr>
                <w:color w:val="000000"/>
                <w:sz w:val="20"/>
                <w:szCs w:val="20"/>
              </w:rPr>
              <w:t>LogLikelihood</w:t>
            </w:r>
          </w:p>
        </w:tc>
        <w:tc>
          <w:tcPr>
            <w:tcW w:w="1326" w:type="pct"/>
            <w:tcBorders>
              <w:top w:val="nil"/>
              <w:left w:val="nil"/>
              <w:bottom w:val="double" w:sz="4" w:space="0" w:color="auto"/>
              <w:right w:val="nil"/>
            </w:tcBorders>
            <w:vAlign w:val="bottom"/>
          </w:tcPr>
          <w:p w:rsidR="00512993" w:rsidRPr="007D564F" w:rsidRDefault="00512993" w:rsidP="00512993">
            <w:pPr>
              <w:spacing w:after="0" w:line="240" w:lineRule="auto"/>
              <w:ind w:firstLine="0"/>
              <w:jc w:val="right"/>
              <w:rPr>
                <w:color w:val="000000"/>
                <w:sz w:val="20"/>
                <w:szCs w:val="20"/>
              </w:rPr>
            </w:pPr>
            <w:r w:rsidRPr="007D564F">
              <w:rPr>
                <w:color w:val="000000"/>
                <w:sz w:val="20"/>
                <w:szCs w:val="20"/>
              </w:rPr>
              <w:t>-1768.44</w:t>
            </w:r>
          </w:p>
        </w:tc>
        <w:tc>
          <w:tcPr>
            <w:tcW w:w="818" w:type="pct"/>
            <w:tcBorders>
              <w:top w:val="nil"/>
              <w:left w:val="nil"/>
              <w:bottom w:val="double" w:sz="4" w:space="0" w:color="auto"/>
              <w:right w:val="nil"/>
            </w:tcBorders>
            <w:vAlign w:val="bottom"/>
          </w:tcPr>
          <w:p w:rsidR="00512993" w:rsidRPr="007D564F" w:rsidRDefault="00512993" w:rsidP="00512993">
            <w:pPr>
              <w:spacing w:after="0" w:line="240" w:lineRule="auto"/>
              <w:ind w:firstLine="0"/>
              <w:jc w:val="left"/>
              <w:rPr>
                <w:color w:val="000000"/>
                <w:sz w:val="20"/>
                <w:szCs w:val="20"/>
              </w:rPr>
            </w:pPr>
          </w:p>
        </w:tc>
      </w:tr>
    </w:tbl>
    <w:p w:rsidR="00512993" w:rsidRPr="0065131C" w:rsidRDefault="00512993" w:rsidP="00512993">
      <w:pPr>
        <w:spacing w:after="0" w:line="240" w:lineRule="auto"/>
        <w:ind w:firstLine="0"/>
        <w:rPr>
          <w:sz w:val="20"/>
          <w:szCs w:val="20"/>
          <w:lang w:eastAsia="en-US" w:bidi="en-US"/>
        </w:rPr>
      </w:pPr>
      <w:r w:rsidRPr="007D564F">
        <w:rPr>
          <w:rFonts w:eastAsia="Times New Roman" w:cs="Times New Roman"/>
          <w:color w:val="000000"/>
          <w:sz w:val="20"/>
          <w:szCs w:val="20"/>
          <w:lang w:bidi="en-US"/>
        </w:rPr>
        <w:t xml:space="preserve">The table reports the estimated coefficients and, in brackets, the robust standard error of the coefficients of a Between Effects model whose dependent variable is </w:t>
      </w:r>
      <w:r w:rsidRPr="007D564F">
        <w:rPr>
          <w:i/>
          <w:iCs/>
          <w:color w:val="000000"/>
          <w:sz w:val="20"/>
          <w:szCs w:val="20"/>
        </w:rPr>
        <w:t>logDebt</w:t>
      </w:r>
      <w:r w:rsidRPr="007D564F">
        <w:rPr>
          <w:i/>
          <w:iCs/>
          <w:color w:val="000000"/>
          <w:sz w:val="20"/>
          <w:szCs w:val="20"/>
          <w:vertAlign w:val="subscript"/>
        </w:rPr>
        <w:t>i,t</w:t>
      </w:r>
      <w:r w:rsidRPr="007D564F">
        <w:rPr>
          <w:sz w:val="20"/>
          <w:szCs w:val="20"/>
          <w:lang w:eastAsia="en-US" w:bidi="en-US"/>
        </w:rPr>
        <w:t xml:space="preserve">. Observations after the receipt of the participative loan are excluded. Year, industry and region dummies are included in the model but omitted in the table. The dummy </w:t>
      </w:r>
      <w:r w:rsidRPr="007D564F">
        <w:rPr>
          <w:rFonts w:eastAsia="Times New Roman" w:cs="Times New Roman"/>
          <w:i/>
          <w:iCs/>
          <w:color w:val="000000"/>
          <w:sz w:val="20"/>
          <w:szCs w:val="20"/>
          <w:lang w:eastAsia="en-US"/>
        </w:rPr>
        <w:t>ENISAbacked</w:t>
      </w:r>
      <w:r w:rsidRPr="007D564F">
        <w:rPr>
          <w:rFonts w:eastAsia="Times New Roman" w:cs="Times New Roman"/>
          <w:color w:val="000000"/>
          <w:sz w:val="20"/>
          <w:szCs w:val="20"/>
          <w:vertAlign w:val="subscript"/>
          <w:lang w:eastAsia="en-US"/>
        </w:rPr>
        <w:t>i</w:t>
      </w:r>
      <w:r w:rsidRPr="007D564F">
        <w:rPr>
          <w:sz w:val="20"/>
          <w:szCs w:val="20"/>
          <w:lang w:eastAsia="en-US" w:bidi="en-US"/>
        </w:rPr>
        <w:t xml:space="preserve"> is equal to 1 for ENISA-backed firms. The description of th</w:t>
      </w:r>
      <w:r w:rsidRPr="0065131C">
        <w:rPr>
          <w:sz w:val="20"/>
          <w:szCs w:val="20"/>
          <w:lang w:eastAsia="en-US" w:bidi="en-US"/>
        </w:rPr>
        <w:t xml:space="preserve">e remaining variables is available in Table 4. Significance: * p &lt; 0.10; ** p&lt; 0.05; *** p&lt;0.01. </w:t>
      </w:r>
    </w:p>
    <w:p w:rsidR="00512993" w:rsidRPr="0065131C" w:rsidRDefault="00512993" w:rsidP="00512993">
      <w:pPr>
        <w:pStyle w:val="Descripcin"/>
        <w:keepLines/>
        <w:tabs>
          <w:tab w:val="center" w:pos="4702"/>
        </w:tabs>
        <w:spacing w:after="0"/>
        <w:rPr>
          <w:szCs w:val="20"/>
        </w:rPr>
      </w:pPr>
    </w:p>
    <w:p w:rsidR="00512993" w:rsidRPr="0065131C" w:rsidRDefault="00512993" w:rsidP="00512993">
      <w:pPr>
        <w:pStyle w:val="NormalWeb"/>
        <w:rPr>
          <w:sz w:val="20"/>
          <w:szCs w:val="20"/>
        </w:rPr>
      </w:pPr>
    </w:p>
    <w:sectPr w:rsidR="00512993" w:rsidRPr="0065131C" w:rsidSect="00512993">
      <w:pgSz w:w="12240" w:h="15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678F8" w:rsidRDefault="001678F8" w:rsidP="00DA2D4F">
      <w:pPr>
        <w:spacing w:after="0" w:line="240" w:lineRule="auto"/>
      </w:pPr>
      <w:r>
        <w:separator/>
      </w:r>
    </w:p>
  </w:endnote>
  <w:endnote w:type="continuationSeparator" w:id="0">
    <w:p w:rsidR="001678F8" w:rsidRDefault="001678F8" w:rsidP="00DA2D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46641931"/>
      <w:docPartObj>
        <w:docPartGallery w:val="Page Numbers (Bottom of Page)"/>
        <w:docPartUnique/>
      </w:docPartObj>
    </w:sdtPr>
    <w:sdtEndPr/>
    <w:sdtContent>
      <w:p w:rsidR="000D4AA4" w:rsidRDefault="001678F8">
        <w:pPr>
          <w:pStyle w:val="Piedepgina"/>
          <w:jc w:val="right"/>
        </w:pPr>
        <w:r>
          <w:fldChar w:fldCharType="begin"/>
        </w:r>
        <w:r>
          <w:instrText xml:space="preserve"> PAGE   \* MERGEFORMAT </w:instrText>
        </w:r>
        <w:r>
          <w:fldChar w:fldCharType="separate"/>
        </w:r>
        <w:r w:rsidR="00F4130E">
          <w:rPr>
            <w:noProof/>
          </w:rPr>
          <w:t>1</w:t>
        </w:r>
        <w:r>
          <w:rPr>
            <w:noProof/>
          </w:rPr>
          <w:fldChar w:fldCharType="end"/>
        </w:r>
      </w:p>
    </w:sdtContent>
  </w:sdt>
  <w:p w:rsidR="000D4AA4" w:rsidRDefault="000D4AA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678F8" w:rsidRDefault="001678F8" w:rsidP="00512993">
      <w:pPr>
        <w:spacing w:after="0" w:line="240" w:lineRule="auto"/>
      </w:pPr>
      <w:r>
        <w:separator/>
      </w:r>
    </w:p>
  </w:footnote>
  <w:footnote w:type="continuationSeparator" w:id="0">
    <w:p w:rsidR="001678F8" w:rsidRDefault="001678F8" w:rsidP="00512993">
      <w:pPr>
        <w:spacing w:after="0" w:line="240" w:lineRule="auto"/>
      </w:pPr>
      <w:r>
        <w:continuationSeparator/>
      </w:r>
    </w:p>
  </w:footnote>
  <w:footnote w:id="1">
    <w:p w:rsidR="000D4AA4" w:rsidRPr="001E36DB" w:rsidRDefault="000D4AA4" w:rsidP="00512993">
      <w:pPr>
        <w:pStyle w:val="Textonotapie"/>
        <w:rPr>
          <w:sz w:val="18"/>
        </w:rPr>
      </w:pPr>
      <w:r w:rsidRPr="001E36DB">
        <w:rPr>
          <w:rStyle w:val="Refdenotaalpie"/>
          <w:sz w:val="18"/>
        </w:rPr>
        <w:footnoteRef/>
      </w:r>
      <w:r w:rsidRPr="001E36DB">
        <w:rPr>
          <w:sz w:val="18"/>
        </w:rPr>
        <w:t xml:space="preserve"> Governments have also developed indirect forms of support to SMEs, such as tax incentives </w:t>
      </w:r>
      <w:r w:rsidR="007C60DA" w:rsidRPr="001E36DB">
        <w:rPr>
          <w:sz w:val="18"/>
        </w:rPr>
        <w:fldChar w:fldCharType="begin" w:fldLock="1"/>
      </w:r>
      <w:r w:rsidRPr="001E36DB">
        <w:rPr>
          <w:sz w:val="18"/>
        </w:rPr>
        <w:instrText>ADDIN CSL_CITATION { "citationItems" : [ { "id" : "ITEM-1", "itemData" : { "DOI" : "10.1007/s11187-014-9569-1", "ISSN" : "0921-898X", "author" : [ { "dropping-particle" : "", "family" : "Busom", "given" : "Isabel", "non-dropping-particle" : "", "parse-names" : false, "suffix" : "" }, { "dropping-particle" : "", "family" : "Corchuelo", "given" : "Beatriz", "non-dropping-particle" : "", "parse-names" : false, "suffix" : "" }, { "dropping-particle" : "", "family" : "Mart\u00ednez-Ros", "given" : "Ester", "non-dropping-particle" : "", "parse-names" : false, "suffix" : "" } ], "container-title" : "Small Business Economics", "id" : "ITEM-1", "issue" : "3", "issued" : { "date-parts" : [ [ "2014", "10", "22" ] ] }, "page" : "571-596", "publisher" : "Springer US", "title" : "Tax Incentives\u2026 Or Subsidies for Business R&amp;D?", "type" : "article-journal", "volume" : "4" }, "prefix" : "e.g., ", "uris" : [ "http://www.mendeley.com/documents/?uuid=4fd94ac5-683a-3c2d-8cb7-2c633565b11a" ] } ], "mendeley" : { "formattedCitation" : "(e.g., Busom et al. 2014)", "plainTextFormattedCitation" : "(e.g., Busom et al. 2014)", "previouslyFormattedCitation" : "(e.g., Busom et al. 2014)" }, "properties" : { "noteIndex" : 0 }, "schema" : "https://github.com/citation-style-language/schema/raw/master/csl-citation.json" }</w:instrText>
      </w:r>
      <w:r w:rsidR="007C60DA" w:rsidRPr="001E36DB">
        <w:rPr>
          <w:sz w:val="18"/>
        </w:rPr>
        <w:fldChar w:fldCharType="separate"/>
      </w:r>
      <w:r w:rsidRPr="001E36DB">
        <w:rPr>
          <w:noProof/>
          <w:sz w:val="18"/>
        </w:rPr>
        <w:t>(e.g., Busom et al. 2014)</w:t>
      </w:r>
      <w:r w:rsidR="007C60DA" w:rsidRPr="001E36DB">
        <w:rPr>
          <w:sz w:val="18"/>
        </w:rPr>
        <w:fldChar w:fldCharType="end"/>
      </w:r>
      <w:r w:rsidRPr="001E36DB">
        <w:rPr>
          <w:sz w:val="18"/>
        </w:rPr>
        <w:t xml:space="preserve"> or credit guarantees </w:t>
      </w:r>
      <w:r w:rsidR="007C60DA" w:rsidRPr="001E36DB">
        <w:rPr>
          <w:sz w:val="18"/>
        </w:rPr>
        <w:fldChar w:fldCharType="begin" w:fldLock="1"/>
      </w:r>
      <w:r w:rsidRPr="001E36DB">
        <w:rPr>
          <w:sz w:val="18"/>
        </w:rPr>
        <w:instrText>ADDIN CSL_CITATION { "citationItems" : [ { "id" : "ITEM-1", "itemData" : { "DOI" : "10.1007/s11187-009-9236-0", "ISSN" : "0921-898X", "author" : [ { "dropping-particle" : "", "family" : "Kuo", "given" : "Chau-Jung", "non-dropping-particle" : "", "parse-names" : false, "suffix" : "" }, { "dropping-particle" : "", "family" : "Chen", "given" : "Chin-Ming", "non-dropping-particle" : "", "parse-names" : false, "suffix" : "" }, { "dropping-particle" : "", "family" : "Sung", "given" : "Chao-Hsien", "non-dropping-particle" : "", "parse-names" : false, "suffix" : "" } ], "container-title" : "Small Business Economics", "id" : "ITEM-1", "issue" : "2", "issued" : { "date-parts" : [ [ "2011", "9", "29" ] ] }, "page" : "205-218", "publisher" : "Springer US", "title" : "Evaluating Guarantee Fees for Loans to Small and Medium-Sized Enterprises", "type" : "article-journal", "volume" : "37" }, "prefix" : "e.g., ", "uris" : [ "http://www.mendeley.com/documents/?uuid=96d1334a-cba2-305f-8025-a92843ae43b8" ] } ], "mendeley" : { "formattedCitation" : "(e.g., Kuo et al. 2011)", "plainTextFormattedCitation" : "(e.g., Kuo et al. 2011)", "previouslyFormattedCitation" : "(e.g., Kuo et al. 2011)" }, "properties" : { "noteIndex" : 0 }, "schema" : "https://github.com/citation-style-language/schema/raw/master/csl-citation.json" }</w:instrText>
      </w:r>
      <w:r w:rsidR="007C60DA" w:rsidRPr="001E36DB">
        <w:rPr>
          <w:sz w:val="18"/>
        </w:rPr>
        <w:fldChar w:fldCharType="separate"/>
      </w:r>
      <w:r w:rsidRPr="001E36DB">
        <w:rPr>
          <w:noProof/>
          <w:sz w:val="18"/>
        </w:rPr>
        <w:t>(e.g., Kuo et al. 2011)</w:t>
      </w:r>
      <w:r w:rsidR="007C60DA" w:rsidRPr="001E36DB">
        <w:rPr>
          <w:sz w:val="18"/>
        </w:rPr>
        <w:fldChar w:fldCharType="end"/>
      </w:r>
      <w:r w:rsidRPr="001E36DB">
        <w:rPr>
          <w:sz w:val="18"/>
        </w:rPr>
        <w:t>, the discussion of which is however beyond the scope of this study.</w:t>
      </w:r>
    </w:p>
  </w:footnote>
  <w:footnote w:id="2">
    <w:p w:rsidR="000D4AA4" w:rsidRPr="001E36DB" w:rsidRDefault="000D4AA4">
      <w:pPr>
        <w:pStyle w:val="Textonotapie"/>
        <w:rPr>
          <w:sz w:val="18"/>
        </w:rPr>
      </w:pPr>
      <w:r w:rsidRPr="001E36DB">
        <w:rPr>
          <w:rStyle w:val="Refdenotaalpie"/>
          <w:sz w:val="18"/>
        </w:rPr>
        <w:footnoteRef/>
      </w:r>
      <w:r w:rsidRPr="001E36DB">
        <w:rPr>
          <w:sz w:val="18"/>
        </w:rPr>
        <w:t xml:space="preserve"> </w:t>
      </w:r>
      <w:r w:rsidRPr="001E36DB">
        <w:rPr>
          <w:rFonts w:eastAsia="Times New Roman" w:cs="Times New Roman"/>
          <w:sz w:val="18"/>
          <w:szCs w:val="24"/>
        </w:rPr>
        <w:t xml:space="preserve">Additionally, with respect to governmental VC, government agencies awarding PLs do not need to negotiate the initial price, are not limited by the presence of exit opportunities (which are scarce in Europe) and do not participate in the boards of directors of target firms. This last difference limits the </w:t>
      </w:r>
      <w:r w:rsidRPr="001E36DB">
        <w:rPr>
          <w:rFonts w:eastAsia="Times New Roman" w:cs="Times New Roman"/>
          <w:i/>
          <w:sz w:val="18"/>
          <w:szCs w:val="24"/>
        </w:rPr>
        <w:t>hands on</w:t>
      </w:r>
      <w:r w:rsidRPr="001E36DB">
        <w:rPr>
          <w:rFonts w:eastAsia="Times New Roman" w:cs="Times New Roman"/>
          <w:sz w:val="18"/>
          <w:szCs w:val="24"/>
        </w:rPr>
        <w:t xml:space="preserve"> approach of the government in the firms’ businesses, which however seems to be of scarce value added </w:t>
      </w:r>
      <w:r w:rsidR="007C60DA" w:rsidRPr="001E36DB">
        <w:rPr>
          <w:rFonts w:eastAsia="Times New Roman" w:cs="Times New Roman"/>
          <w:sz w:val="18"/>
          <w:szCs w:val="24"/>
        </w:rPr>
        <w:fldChar w:fldCharType="begin" w:fldLock="1"/>
      </w:r>
      <w:r w:rsidRPr="001E36DB">
        <w:rPr>
          <w:rFonts w:eastAsia="Times New Roman" w:cs="Times New Roman"/>
          <w:sz w:val="18"/>
          <w:szCs w:val="24"/>
        </w:rPr>
        <w:instrText>ADDIN CSL_CITATION { "citationItems" : [ { "id" : "ITEM-1", "itemData" : { "DOI" : "10.1016/j.jbusvent.2014.11.001", "ISSN" : "08839026", "abstract" : "We investigate the implications of venture capital (VC) investor type (government or private) on the operating efficiency of a sample of 515 Belgian portfolio firms up to 3years after the investment. We find that the government VC-backed firms display significant reductions in productivity. No significant differences in efficiency are found in firms backed by private VC compared with their non-VC-backed peers. Finally, significant reductions in efficiency exist in targets of government VC compared to their non-VC-backed peers.", "author" : [ { "dropping-particle" : "", "family" : "Alperovych", "given" : "Yan", "non-dropping-particle" : "", "parse-names" : false, "suffix" : "" }, { "dropping-particle" : "", "family" : "H\u00fcbner", "given" : "Georges", "non-dropping-particle" : "", "parse-names" : false, "suffix" : "" }, { "dropping-particle" : "", "family" : "Lobet", "given" : "Fabrice", "non-dropping-particle" : "", "parse-names" : false, "suffix" : "" } ], "container-title" : "Journal of Business Venturing", "id" : "ITEM-1", "issue" : "4", "issued" : { "date-parts" : [ [ "2015", "7" ] ] }, "page" : "508-525", "title" : "How does Governmental versus Private Venture Capital Backing Affect a Firm's Efficiency? Evidence from Belgium", "type" : "article-journal", "volume" : "30" }, "uris" : [ "http://www.mendeley.com/documents/?uuid=e843a6c4-bd0a-4146-923c-9ce1c00b3a6d", "http://www.mendeley.com/documents/?uuid=12c99ce3-3f63-48d2-9bdc-f81a5679349f" ] } ], "mendeley" : { "formattedCitation" : "(Alperovych et al. 2015)", "plainTextFormattedCitation" : "(Alperovych et al. 2015)", "previouslyFormattedCitation" : "(Alperovych et al. 2015)" }, "properties" : { "noteIndex" : 0 }, "schema" : "https://github.com/citation-style-language/schema/raw/master/csl-citation.json" }</w:instrText>
      </w:r>
      <w:r w:rsidR="007C60DA" w:rsidRPr="001E36DB">
        <w:rPr>
          <w:rFonts w:eastAsia="Times New Roman" w:cs="Times New Roman"/>
          <w:sz w:val="18"/>
          <w:szCs w:val="24"/>
        </w:rPr>
        <w:fldChar w:fldCharType="separate"/>
      </w:r>
      <w:r w:rsidRPr="001E36DB">
        <w:rPr>
          <w:rFonts w:eastAsia="Times New Roman" w:cs="Times New Roman"/>
          <w:noProof/>
          <w:sz w:val="18"/>
          <w:szCs w:val="24"/>
        </w:rPr>
        <w:t>(Alperovych et al. 2015)</w:t>
      </w:r>
      <w:r w:rsidR="007C60DA" w:rsidRPr="001E36DB">
        <w:rPr>
          <w:rFonts w:eastAsia="Times New Roman" w:cs="Times New Roman"/>
          <w:sz w:val="18"/>
          <w:szCs w:val="24"/>
        </w:rPr>
        <w:fldChar w:fldCharType="end"/>
      </w:r>
      <w:r w:rsidRPr="001E36DB">
        <w:rPr>
          <w:rFonts w:eastAsia="Times New Roman" w:cs="Times New Roman"/>
          <w:sz w:val="18"/>
          <w:szCs w:val="24"/>
        </w:rPr>
        <w:t>.</w:t>
      </w:r>
    </w:p>
  </w:footnote>
  <w:footnote w:id="3">
    <w:p w:rsidR="000D4AA4" w:rsidRPr="001E36DB" w:rsidRDefault="000D4AA4" w:rsidP="00512993">
      <w:pPr>
        <w:pStyle w:val="Textonotapie"/>
        <w:rPr>
          <w:sz w:val="18"/>
        </w:rPr>
      </w:pPr>
      <w:r w:rsidRPr="001E36DB">
        <w:rPr>
          <w:rStyle w:val="Refdenotaalpie"/>
          <w:sz w:val="18"/>
        </w:rPr>
        <w:footnoteRef/>
      </w:r>
      <w:r w:rsidRPr="001E36DB">
        <w:rPr>
          <w:sz w:val="18"/>
        </w:rPr>
        <w:t xml:space="preserve"> </w:t>
      </w:r>
      <w:r w:rsidRPr="001E36DB">
        <w:rPr>
          <w:rFonts w:eastAsia="Times New Roman" w:cs="Times New Roman"/>
          <w:sz w:val="18"/>
        </w:rPr>
        <w:t>Other governmental agencies outside Spain have used PLs and similar hybrid instruments to support SMEs. An example is the Boost’PME program of PLs granted by the French ISODEV agency (OECD, 2015).</w:t>
      </w:r>
      <w:r w:rsidRPr="001E36DB">
        <w:rPr>
          <w:sz w:val="18"/>
        </w:rPr>
        <w:t xml:space="preserve"> </w:t>
      </w:r>
    </w:p>
  </w:footnote>
  <w:footnote w:id="4">
    <w:p w:rsidR="000D4AA4" w:rsidRPr="001E36DB" w:rsidRDefault="000D4AA4" w:rsidP="00D37DA4">
      <w:pPr>
        <w:pStyle w:val="Textonotapie"/>
        <w:rPr>
          <w:sz w:val="18"/>
        </w:rPr>
      </w:pPr>
      <w:r w:rsidRPr="001E36DB">
        <w:rPr>
          <w:rStyle w:val="Refdenotaalpie"/>
          <w:sz w:val="18"/>
        </w:rPr>
        <w:footnoteRef/>
      </w:r>
      <w:r w:rsidRPr="001E36DB">
        <w:rPr>
          <w:sz w:val="18"/>
        </w:rPr>
        <w:t xml:space="preserve"> This clause may generate misalignment between the objectives of the governmental agency awarding PLs and those of commercial banks. The agency may be more inclined to finance high-risk high-return projects which would not be attractive for commercial banks. However, the provision of additional equity capital from firms’ shareholders reduces this risk. First, the equity capital increases the company's liquidity, and therefore reduces its risk of default. Second, shareholders have more equity at stake, and therefore are less likely to take huge risks with their company.</w:t>
      </w:r>
    </w:p>
  </w:footnote>
  <w:footnote w:id="5">
    <w:p w:rsidR="000D4AA4" w:rsidRPr="001E36DB" w:rsidRDefault="000D4AA4" w:rsidP="00512993">
      <w:pPr>
        <w:pStyle w:val="Textonotapie"/>
        <w:rPr>
          <w:sz w:val="18"/>
        </w:rPr>
      </w:pPr>
      <w:r w:rsidRPr="001E36DB">
        <w:rPr>
          <w:rStyle w:val="Refdenotaalpie"/>
          <w:sz w:val="18"/>
        </w:rPr>
        <w:footnoteRef/>
      </w:r>
      <w:r w:rsidRPr="001E36DB">
        <w:rPr>
          <w:sz w:val="18"/>
        </w:rPr>
        <w:t xml:space="preserve"> There are two main reasons why we opted for an absolute measure of debt instead of a relative measure (such as debt on total assets). First, debt on total assets is by definition constrained to be between 0 and 100% and undervalues increases in debt when the equity amount is high. Second, all relative measures of debt (debt on total assets or debt on equity) also depend on equity. However, firms that received PLs are requested to increase their equity capital. Therefore, we believe that an absolute measure of debt is best suited for our study. Nevertheless, when we replace </w:t>
      </w:r>
      <w:r w:rsidRPr="001E36DB">
        <w:rPr>
          <w:i/>
          <w:sz w:val="18"/>
        </w:rPr>
        <w:t>logDebt</w:t>
      </w:r>
      <w:r w:rsidRPr="001E36DB">
        <w:rPr>
          <w:rFonts w:eastAsia="Times New Roman" w:cs="Times New Roman"/>
          <w:i/>
          <w:iCs/>
          <w:color w:val="000000"/>
          <w:sz w:val="18"/>
          <w:vertAlign w:val="subscript"/>
        </w:rPr>
        <w:t>i,t</w:t>
      </w:r>
      <w:r w:rsidRPr="001E36DB">
        <w:rPr>
          <w:rFonts w:eastAsia="Times New Roman" w:cs="Times New Roman"/>
          <w:iCs/>
          <w:color w:val="000000"/>
          <w:sz w:val="18"/>
        </w:rPr>
        <w:t xml:space="preserve"> with those relative measures the results, which are available from the authors upon request,</w:t>
      </w:r>
      <w:r w:rsidRPr="001E36DB">
        <w:rPr>
          <w:sz w:val="18"/>
        </w:rPr>
        <w:t xml:space="preserve"> are similar to those reported in section 4</w:t>
      </w:r>
      <w:r w:rsidRPr="001E36DB">
        <w:rPr>
          <w:rFonts w:eastAsia="Times New Roman" w:cs="Times New Roman"/>
          <w:iCs/>
          <w:color w:val="000000"/>
          <w:sz w:val="18"/>
        </w:rPr>
        <w:t>.</w:t>
      </w:r>
    </w:p>
  </w:footnote>
  <w:footnote w:id="6">
    <w:p w:rsidR="000D4AA4" w:rsidRPr="001E36DB" w:rsidRDefault="000D4AA4" w:rsidP="00512993">
      <w:pPr>
        <w:pStyle w:val="Textonotapie"/>
        <w:rPr>
          <w:sz w:val="18"/>
        </w:rPr>
      </w:pPr>
      <w:r w:rsidRPr="001E36DB">
        <w:rPr>
          <w:rStyle w:val="Refdenotaalpie"/>
          <w:sz w:val="18"/>
        </w:rPr>
        <w:footnoteRef/>
      </w:r>
      <w:r w:rsidRPr="001E36DB">
        <w:rPr>
          <w:sz w:val="18"/>
        </w:rPr>
        <w:t xml:space="preserve"> CDTI (</w:t>
      </w:r>
      <w:r w:rsidRPr="001E36DB">
        <w:rPr>
          <w:i/>
          <w:sz w:val="18"/>
        </w:rPr>
        <w:t>Centro para el Desarrollo Tecnológico e Industrial</w:t>
      </w:r>
      <w:r w:rsidRPr="001E36DB">
        <w:rPr>
          <w:sz w:val="18"/>
        </w:rPr>
        <w:t>, dependent on the Spanish Ministry of Industry, Energy, and Tourism) and ACCIO (</w:t>
      </w:r>
      <w:r w:rsidRPr="001E36DB">
        <w:rPr>
          <w:i/>
          <w:sz w:val="18"/>
        </w:rPr>
        <w:t>Agencia para la Competitividad de la Empresa</w:t>
      </w:r>
      <w:r w:rsidRPr="001E36DB">
        <w:rPr>
          <w:sz w:val="18"/>
        </w:rPr>
        <w:t>, dependent on the regional government of Catalonia) are the two main providers of subsidized loans in Spain. Other regional governments started similar initiatives only recently, namely after 2010.</w:t>
      </w:r>
    </w:p>
  </w:footnote>
  <w:footnote w:id="7">
    <w:p w:rsidR="000D4AA4" w:rsidRPr="001E36DB" w:rsidRDefault="000D4AA4" w:rsidP="00512993">
      <w:pPr>
        <w:pStyle w:val="Textonotapie"/>
        <w:rPr>
          <w:sz w:val="18"/>
        </w:rPr>
      </w:pPr>
      <w:r w:rsidRPr="001E36DB">
        <w:rPr>
          <w:rStyle w:val="Refdenotaalpie"/>
          <w:sz w:val="18"/>
        </w:rPr>
        <w:footnoteRef/>
      </w:r>
      <w:r w:rsidRPr="001E36DB">
        <w:rPr>
          <w:sz w:val="18"/>
        </w:rPr>
        <w:t xml:space="preserve"> High-technology manufacturing industries include NACE Rev. 2 codes 21 (manufacture of basic pharmaceutical products and pharmaceutical preparations), 26 (manufacture of computer, electronic and optical products) and 30.3 manufacture of air and spacecraft and related machinery (NACE Rev. 2 code 30.3). High technology knowledge-intensive services include NACE Rev. 2 codes 59 (motion picture, video and television programs production, sound recording and music publishing activities), 60 (programming and broadcasting activities), 61 (telecommunications), 62 (computer programming, consultancy and related activities), 63 (information service activities) and 72 (scientific research and development) </w:t>
      </w:r>
      <w:r w:rsidR="007C60DA" w:rsidRPr="001E36DB">
        <w:rPr>
          <w:sz w:val="18"/>
        </w:rPr>
        <w:fldChar w:fldCharType="begin" w:fldLock="1"/>
      </w:r>
      <w:r w:rsidRPr="001E36DB">
        <w:rPr>
          <w:sz w:val="18"/>
        </w:rPr>
        <w:instrText>ADDIN CSL_CITATION { "citationItems" : [ { "id" : "ITEM-1", "itemData" : { "author" : [ { "dropping-particle" : "", "family" : "Eurostat", "given" : "", "non-dropping-particle" : "", "parse-names" : false, "suffix" : "" } ], "id" : "ITEM-1", "issued" : { "date-parts" : [ [ "2015" ] ] }, "title" : "Eurostat Indicators on High-Tech Industry and Knowledge - Intensive Services. Annex 3", "type" : "article-journal" }, "uris" : [ "http://www.mendeley.com/documents/?uuid=65a0f7b5-edd5-4154-acba-d2532f8bdbb6", "http://www.mendeley.com/documents/?uuid=4a84bb7c-75fe-41c5-b8b8-ac95c2a726cb" ] } ], "mendeley" : { "formattedCitation" : "(Eurostat 2015)", "plainTextFormattedCitation" : "(Eurostat 2015)", "previouslyFormattedCitation" : "(Eurostat 2015)" }, "properties" : { "noteIndex" : 0 }, "schema" : "https://github.com/citation-style-language/schema/raw/master/csl-citation.json" }</w:instrText>
      </w:r>
      <w:r w:rsidR="007C60DA" w:rsidRPr="001E36DB">
        <w:rPr>
          <w:sz w:val="18"/>
        </w:rPr>
        <w:fldChar w:fldCharType="separate"/>
      </w:r>
      <w:r w:rsidRPr="001E36DB">
        <w:rPr>
          <w:noProof/>
          <w:sz w:val="18"/>
        </w:rPr>
        <w:t>(Eurostat 2015)</w:t>
      </w:r>
      <w:r w:rsidR="007C60DA" w:rsidRPr="001E36DB">
        <w:rPr>
          <w:sz w:val="18"/>
        </w:rPr>
        <w:fldChar w:fldCharType="end"/>
      </w:r>
      <w:r w:rsidRPr="001E36DB">
        <w:rPr>
          <w:sz w:val="18"/>
        </w:rPr>
        <w:t>.</w:t>
      </w:r>
    </w:p>
  </w:footnote>
  <w:footnote w:id="8">
    <w:p w:rsidR="000D4AA4" w:rsidRPr="00C22A49" w:rsidRDefault="000D4AA4">
      <w:pPr>
        <w:pStyle w:val="Textonotapie"/>
      </w:pPr>
      <w:r>
        <w:rPr>
          <w:rStyle w:val="Refdenotaalpie"/>
        </w:rPr>
        <w:footnoteRef/>
      </w:r>
      <w:r>
        <w:t xml:space="preserve"> We incorporated in our sample the entire </w:t>
      </w:r>
      <w:r w:rsidRPr="002471BA">
        <w:rPr>
          <w:rFonts w:cs="Times New Roman"/>
          <w:szCs w:val="24"/>
        </w:rPr>
        <w:t>Webcapitalriesgo</w:t>
      </w:r>
      <w:r>
        <w:t xml:space="preserve"> database in order to have a good coverage of the population of firms that received support from other gov</w:t>
      </w:r>
      <w:r w:rsidRPr="00AC08A6">
        <w:rPr>
          <w:rFonts w:eastAsia="Times New Roman" w:cs="Times New Roman"/>
        </w:rPr>
        <w:t>ernment-affiliated institution</w:t>
      </w:r>
      <w:r>
        <w:rPr>
          <w:rFonts w:eastAsia="Times New Roman" w:cs="Times New Roman"/>
        </w:rPr>
        <w:t>s</w:t>
      </w:r>
      <w:r w:rsidRPr="00162354">
        <w:t xml:space="preserve"> </w:t>
      </w:r>
      <w:r>
        <w:t>or from venture capitalists in our sample of nonENISA-backed firms, which is required to test hypotheses 5 and 6. Although based on a smaller sample, results are similar if we rely purely on the Orbis database to select the control group.</w:t>
      </w:r>
    </w:p>
  </w:footnote>
  <w:footnote w:id="9">
    <w:p w:rsidR="000D4AA4" w:rsidRPr="006903D7" w:rsidRDefault="000D4AA4">
      <w:pPr>
        <w:pStyle w:val="Textonotapie"/>
      </w:pPr>
      <w:r>
        <w:rPr>
          <w:rStyle w:val="Refdenotaalpie"/>
        </w:rPr>
        <w:footnoteRef/>
      </w:r>
      <w:r w:rsidRPr="00BA4BCC">
        <w:t xml:space="preserve"> </w:t>
      </w:r>
      <w:r>
        <w:t>As robustness checks, we replicated our analysis using 1:1 and 1:3 matching algorithms, and without the exact matching on the age of the company. We obtain similar results to those reported in this work, which are available upon request.</w:t>
      </w:r>
    </w:p>
  </w:footnote>
  <w:footnote w:id="10">
    <w:p w:rsidR="000D4AA4" w:rsidRPr="001E36DB" w:rsidRDefault="000D4AA4">
      <w:pPr>
        <w:pStyle w:val="Textonotapie"/>
        <w:rPr>
          <w:sz w:val="18"/>
        </w:rPr>
      </w:pPr>
      <w:r w:rsidRPr="001E36DB">
        <w:rPr>
          <w:rStyle w:val="Refdenotaalpie"/>
          <w:sz w:val="18"/>
        </w:rPr>
        <w:footnoteRef/>
      </w:r>
      <w:r w:rsidRPr="001E36DB">
        <w:rPr>
          <w:sz w:val="18"/>
        </w:rPr>
        <w:t xml:space="preserve"> Results are also robust when using the 2SLS-IV approach (Angrist et al. 1996) as an alternative control for endogeneity.</w:t>
      </w:r>
    </w:p>
  </w:footnote>
  <w:footnote w:id="11">
    <w:p w:rsidR="000D4AA4" w:rsidRPr="001E36DB" w:rsidRDefault="000D4AA4" w:rsidP="00F22E2C">
      <w:pPr>
        <w:pStyle w:val="Textonotapie"/>
        <w:rPr>
          <w:sz w:val="18"/>
        </w:rPr>
      </w:pPr>
      <w:r w:rsidRPr="001E36DB">
        <w:rPr>
          <w:rStyle w:val="Refdenotaalpie"/>
          <w:sz w:val="18"/>
        </w:rPr>
        <w:footnoteRef/>
      </w:r>
      <w:r w:rsidRPr="001E36DB">
        <w:rPr>
          <w:sz w:val="18"/>
        </w:rPr>
        <w:t xml:space="preserve"> In particular, </w:t>
      </w:r>
      <w:r w:rsidRPr="001E36DB">
        <w:rPr>
          <w:rFonts w:cs="Times New Roman"/>
          <w:sz w:val="18"/>
          <w:szCs w:val="24"/>
        </w:rPr>
        <w:t>we estimate the impact of</w:t>
      </w:r>
      <w:r w:rsidRPr="001E36DB">
        <w:rPr>
          <w:i/>
          <w:sz w:val="18"/>
        </w:rPr>
        <w:t xml:space="preserve"> PL</w:t>
      </w:r>
      <w:r w:rsidRPr="001E36DB">
        <w:rPr>
          <w:i/>
          <w:sz w:val="18"/>
          <w:vertAlign w:val="subscript"/>
        </w:rPr>
        <w:t>i,t</w:t>
      </w:r>
      <w:r w:rsidRPr="001E36DB">
        <w:rPr>
          <w:rFonts w:cs="Times New Roman"/>
          <w:sz w:val="18"/>
          <w:szCs w:val="24"/>
        </w:rPr>
        <w:t xml:space="preserve"> on</w:t>
      </w:r>
      <w:r w:rsidRPr="001E36DB">
        <w:rPr>
          <w:i/>
          <w:sz w:val="18"/>
        </w:rPr>
        <w:t xml:space="preserve"> Tangibles</w:t>
      </w:r>
      <w:r w:rsidRPr="001E36DB">
        <w:rPr>
          <w:i/>
          <w:sz w:val="18"/>
          <w:vertAlign w:val="subscript"/>
        </w:rPr>
        <w:t>i,t</w:t>
      </w:r>
      <w:r w:rsidRPr="001E36DB">
        <w:rPr>
          <w:sz w:val="18"/>
        </w:rPr>
        <w:t xml:space="preserve"> using a fixed effects model and considering the same set of control variables used in the main analysis. Results are available upon request.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B5064D"/>
    <w:multiLevelType w:val="hybridMultilevel"/>
    <w:tmpl w:val="E7FC595E"/>
    <w:lvl w:ilvl="0" w:tplc="870E97C4">
      <w:start w:val="1"/>
      <w:numFmt w:val="decimal"/>
      <w:lvlText w:val="%1."/>
      <w:lvlJc w:val="left"/>
      <w:pPr>
        <w:ind w:left="720" w:hanging="360"/>
      </w:pPr>
    </w:lvl>
    <w:lvl w:ilvl="1" w:tplc="A858B592" w:tentative="1">
      <w:start w:val="1"/>
      <w:numFmt w:val="lowerLetter"/>
      <w:lvlText w:val="%2."/>
      <w:lvlJc w:val="left"/>
      <w:pPr>
        <w:ind w:left="1440" w:hanging="360"/>
      </w:pPr>
    </w:lvl>
    <w:lvl w:ilvl="2" w:tplc="469C26CE" w:tentative="1">
      <w:start w:val="1"/>
      <w:numFmt w:val="lowerRoman"/>
      <w:lvlText w:val="%3."/>
      <w:lvlJc w:val="right"/>
      <w:pPr>
        <w:ind w:left="2160" w:hanging="180"/>
      </w:pPr>
    </w:lvl>
    <w:lvl w:ilvl="3" w:tplc="3174A188" w:tentative="1">
      <w:start w:val="1"/>
      <w:numFmt w:val="decimal"/>
      <w:lvlText w:val="%4."/>
      <w:lvlJc w:val="left"/>
      <w:pPr>
        <w:ind w:left="2880" w:hanging="360"/>
      </w:pPr>
    </w:lvl>
    <w:lvl w:ilvl="4" w:tplc="87DC69E6" w:tentative="1">
      <w:start w:val="1"/>
      <w:numFmt w:val="lowerLetter"/>
      <w:lvlText w:val="%5."/>
      <w:lvlJc w:val="left"/>
      <w:pPr>
        <w:ind w:left="3600" w:hanging="360"/>
      </w:pPr>
    </w:lvl>
    <w:lvl w:ilvl="5" w:tplc="F49832E6" w:tentative="1">
      <w:start w:val="1"/>
      <w:numFmt w:val="lowerRoman"/>
      <w:lvlText w:val="%6."/>
      <w:lvlJc w:val="right"/>
      <w:pPr>
        <w:ind w:left="4320" w:hanging="180"/>
      </w:pPr>
    </w:lvl>
    <w:lvl w:ilvl="6" w:tplc="06C8A80E" w:tentative="1">
      <w:start w:val="1"/>
      <w:numFmt w:val="decimal"/>
      <w:lvlText w:val="%7."/>
      <w:lvlJc w:val="left"/>
      <w:pPr>
        <w:ind w:left="5040" w:hanging="360"/>
      </w:pPr>
    </w:lvl>
    <w:lvl w:ilvl="7" w:tplc="B468A2CC" w:tentative="1">
      <w:start w:val="1"/>
      <w:numFmt w:val="lowerLetter"/>
      <w:lvlText w:val="%8."/>
      <w:lvlJc w:val="left"/>
      <w:pPr>
        <w:ind w:left="5760" w:hanging="360"/>
      </w:pPr>
    </w:lvl>
    <w:lvl w:ilvl="8" w:tplc="D8085CAC" w:tentative="1">
      <w:start w:val="1"/>
      <w:numFmt w:val="lowerRoman"/>
      <w:lvlText w:val="%9."/>
      <w:lvlJc w:val="right"/>
      <w:pPr>
        <w:ind w:left="6480" w:hanging="180"/>
      </w:pPr>
    </w:lvl>
  </w:abstractNum>
  <w:abstractNum w:abstractNumId="1">
    <w:nsid w:val="037C5754"/>
    <w:multiLevelType w:val="hybridMultilevel"/>
    <w:tmpl w:val="EEDE65FE"/>
    <w:lvl w:ilvl="0" w:tplc="00CCE16A">
      <w:start w:val="1"/>
      <w:numFmt w:val="decimal"/>
      <w:lvlText w:val="%1."/>
      <w:lvlJc w:val="left"/>
      <w:pPr>
        <w:ind w:left="360" w:hanging="360"/>
      </w:pPr>
    </w:lvl>
    <w:lvl w:ilvl="1" w:tplc="34E45AAE">
      <w:start w:val="1"/>
      <w:numFmt w:val="bullet"/>
      <w:lvlText w:val=""/>
      <w:lvlJc w:val="left"/>
      <w:pPr>
        <w:ind w:left="1080" w:hanging="360"/>
      </w:pPr>
      <w:rPr>
        <w:rFonts w:ascii="Wingdings" w:hAnsi="Wingdings" w:hint="default"/>
      </w:rPr>
    </w:lvl>
    <w:lvl w:ilvl="2" w:tplc="43846D6C" w:tentative="1">
      <w:start w:val="1"/>
      <w:numFmt w:val="lowerRoman"/>
      <w:lvlText w:val="%3."/>
      <w:lvlJc w:val="right"/>
      <w:pPr>
        <w:ind w:left="1800" w:hanging="180"/>
      </w:pPr>
    </w:lvl>
    <w:lvl w:ilvl="3" w:tplc="27D69D06" w:tentative="1">
      <w:start w:val="1"/>
      <w:numFmt w:val="decimal"/>
      <w:lvlText w:val="%4."/>
      <w:lvlJc w:val="left"/>
      <w:pPr>
        <w:ind w:left="2520" w:hanging="360"/>
      </w:pPr>
    </w:lvl>
    <w:lvl w:ilvl="4" w:tplc="75F83956" w:tentative="1">
      <w:start w:val="1"/>
      <w:numFmt w:val="lowerLetter"/>
      <w:lvlText w:val="%5."/>
      <w:lvlJc w:val="left"/>
      <w:pPr>
        <w:ind w:left="3240" w:hanging="360"/>
      </w:pPr>
    </w:lvl>
    <w:lvl w:ilvl="5" w:tplc="2884B850" w:tentative="1">
      <w:start w:val="1"/>
      <w:numFmt w:val="lowerRoman"/>
      <w:lvlText w:val="%6."/>
      <w:lvlJc w:val="right"/>
      <w:pPr>
        <w:ind w:left="3960" w:hanging="180"/>
      </w:pPr>
    </w:lvl>
    <w:lvl w:ilvl="6" w:tplc="780AB434" w:tentative="1">
      <w:start w:val="1"/>
      <w:numFmt w:val="decimal"/>
      <w:lvlText w:val="%7."/>
      <w:lvlJc w:val="left"/>
      <w:pPr>
        <w:ind w:left="4680" w:hanging="360"/>
      </w:pPr>
    </w:lvl>
    <w:lvl w:ilvl="7" w:tplc="AECA01E4" w:tentative="1">
      <w:start w:val="1"/>
      <w:numFmt w:val="lowerLetter"/>
      <w:lvlText w:val="%8."/>
      <w:lvlJc w:val="left"/>
      <w:pPr>
        <w:ind w:left="5400" w:hanging="360"/>
      </w:pPr>
    </w:lvl>
    <w:lvl w:ilvl="8" w:tplc="0512BEE8" w:tentative="1">
      <w:start w:val="1"/>
      <w:numFmt w:val="lowerRoman"/>
      <w:lvlText w:val="%9."/>
      <w:lvlJc w:val="right"/>
      <w:pPr>
        <w:ind w:left="6120" w:hanging="180"/>
      </w:pPr>
    </w:lvl>
  </w:abstractNum>
  <w:abstractNum w:abstractNumId="2">
    <w:nsid w:val="04CE75E6"/>
    <w:multiLevelType w:val="hybridMultilevel"/>
    <w:tmpl w:val="B956B2C8"/>
    <w:lvl w:ilvl="0" w:tplc="81F4D558">
      <w:start w:val="1"/>
      <w:numFmt w:val="bullet"/>
      <w:lvlText w:val=""/>
      <w:lvlJc w:val="left"/>
      <w:pPr>
        <w:ind w:left="360" w:hanging="360"/>
      </w:pPr>
      <w:rPr>
        <w:rFonts w:ascii="Symbol" w:hAnsi="Symbol" w:hint="default"/>
      </w:rPr>
    </w:lvl>
    <w:lvl w:ilvl="1" w:tplc="35B01C7A" w:tentative="1">
      <w:start w:val="1"/>
      <w:numFmt w:val="bullet"/>
      <w:lvlText w:val="o"/>
      <w:lvlJc w:val="left"/>
      <w:pPr>
        <w:ind w:left="1080" w:hanging="360"/>
      </w:pPr>
      <w:rPr>
        <w:rFonts w:ascii="Courier New" w:hAnsi="Courier New" w:cs="Courier New" w:hint="default"/>
      </w:rPr>
    </w:lvl>
    <w:lvl w:ilvl="2" w:tplc="F2007E8E" w:tentative="1">
      <w:start w:val="1"/>
      <w:numFmt w:val="bullet"/>
      <w:lvlText w:val=""/>
      <w:lvlJc w:val="left"/>
      <w:pPr>
        <w:ind w:left="1800" w:hanging="360"/>
      </w:pPr>
      <w:rPr>
        <w:rFonts w:ascii="Wingdings" w:hAnsi="Wingdings" w:hint="default"/>
      </w:rPr>
    </w:lvl>
    <w:lvl w:ilvl="3" w:tplc="8A2EA5DA" w:tentative="1">
      <w:start w:val="1"/>
      <w:numFmt w:val="bullet"/>
      <w:lvlText w:val=""/>
      <w:lvlJc w:val="left"/>
      <w:pPr>
        <w:ind w:left="2520" w:hanging="360"/>
      </w:pPr>
      <w:rPr>
        <w:rFonts w:ascii="Symbol" w:hAnsi="Symbol" w:hint="default"/>
      </w:rPr>
    </w:lvl>
    <w:lvl w:ilvl="4" w:tplc="263C428A" w:tentative="1">
      <w:start w:val="1"/>
      <w:numFmt w:val="bullet"/>
      <w:lvlText w:val="o"/>
      <w:lvlJc w:val="left"/>
      <w:pPr>
        <w:ind w:left="3240" w:hanging="360"/>
      </w:pPr>
      <w:rPr>
        <w:rFonts w:ascii="Courier New" w:hAnsi="Courier New" w:cs="Courier New" w:hint="default"/>
      </w:rPr>
    </w:lvl>
    <w:lvl w:ilvl="5" w:tplc="F6662E66" w:tentative="1">
      <w:start w:val="1"/>
      <w:numFmt w:val="bullet"/>
      <w:lvlText w:val=""/>
      <w:lvlJc w:val="left"/>
      <w:pPr>
        <w:ind w:left="3960" w:hanging="360"/>
      </w:pPr>
      <w:rPr>
        <w:rFonts w:ascii="Wingdings" w:hAnsi="Wingdings" w:hint="default"/>
      </w:rPr>
    </w:lvl>
    <w:lvl w:ilvl="6" w:tplc="4AC4CDC2" w:tentative="1">
      <w:start w:val="1"/>
      <w:numFmt w:val="bullet"/>
      <w:lvlText w:val=""/>
      <w:lvlJc w:val="left"/>
      <w:pPr>
        <w:ind w:left="4680" w:hanging="360"/>
      </w:pPr>
      <w:rPr>
        <w:rFonts w:ascii="Symbol" w:hAnsi="Symbol" w:hint="default"/>
      </w:rPr>
    </w:lvl>
    <w:lvl w:ilvl="7" w:tplc="1346E9FE" w:tentative="1">
      <w:start w:val="1"/>
      <w:numFmt w:val="bullet"/>
      <w:lvlText w:val="o"/>
      <w:lvlJc w:val="left"/>
      <w:pPr>
        <w:ind w:left="5400" w:hanging="360"/>
      </w:pPr>
      <w:rPr>
        <w:rFonts w:ascii="Courier New" w:hAnsi="Courier New" w:cs="Courier New" w:hint="default"/>
      </w:rPr>
    </w:lvl>
    <w:lvl w:ilvl="8" w:tplc="52588264" w:tentative="1">
      <w:start w:val="1"/>
      <w:numFmt w:val="bullet"/>
      <w:lvlText w:val=""/>
      <w:lvlJc w:val="left"/>
      <w:pPr>
        <w:ind w:left="6120" w:hanging="360"/>
      </w:pPr>
      <w:rPr>
        <w:rFonts w:ascii="Wingdings" w:hAnsi="Wingdings" w:hint="default"/>
      </w:rPr>
    </w:lvl>
  </w:abstractNum>
  <w:abstractNum w:abstractNumId="3">
    <w:nsid w:val="05164EA3"/>
    <w:multiLevelType w:val="hybridMultilevel"/>
    <w:tmpl w:val="DD00CB08"/>
    <w:lvl w:ilvl="0" w:tplc="36907F52">
      <w:start w:val="1"/>
      <w:numFmt w:val="decimal"/>
      <w:lvlText w:val="%1."/>
      <w:lvlJc w:val="left"/>
      <w:pPr>
        <w:ind w:left="360" w:hanging="360"/>
      </w:pPr>
    </w:lvl>
    <w:lvl w:ilvl="1" w:tplc="FAF8835E">
      <w:start w:val="1"/>
      <w:numFmt w:val="lowerLetter"/>
      <w:lvlText w:val="%2."/>
      <w:lvlJc w:val="left"/>
      <w:pPr>
        <w:ind w:left="1080" w:hanging="360"/>
      </w:pPr>
    </w:lvl>
    <w:lvl w:ilvl="2" w:tplc="24B0CA98">
      <w:start w:val="1"/>
      <w:numFmt w:val="lowerRoman"/>
      <w:lvlText w:val="%3."/>
      <w:lvlJc w:val="right"/>
      <w:pPr>
        <w:ind w:left="1800" w:hanging="180"/>
      </w:pPr>
    </w:lvl>
    <w:lvl w:ilvl="3" w:tplc="CE120D32">
      <w:start w:val="1"/>
      <w:numFmt w:val="decimal"/>
      <w:lvlText w:val="%4."/>
      <w:lvlJc w:val="left"/>
      <w:pPr>
        <w:ind w:left="2520" w:hanging="360"/>
      </w:pPr>
    </w:lvl>
    <w:lvl w:ilvl="4" w:tplc="8AE27E36" w:tentative="1">
      <w:start w:val="1"/>
      <w:numFmt w:val="lowerLetter"/>
      <w:lvlText w:val="%5."/>
      <w:lvlJc w:val="left"/>
      <w:pPr>
        <w:ind w:left="3240" w:hanging="360"/>
      </w:pPr>
    </w:lvl>
    <w:lvl w:ilvl="5" w:tplc="4CDAA01A" w:tentative="1">
      <w:start w:val="1"/>
      <w:numFmt w:val="lowerRoman"/>
      <w:lvlText w:val="%6."/>
      <w:lvlJc w:val="right"/>
      <w:pPr>
        <w:ind w:left="3960" w:hanging="180"/>
      </w:pPr>
    </w:lvl>
    <w:lvl w:ilvl="6" w:tplc="A51CBD4E" w:tentative="1">
      <w:start w:val="1"/>
      <w:numFmt w:val="decimal"/>
      <w:lvlText w:val="%7."/>
      <w:lvlJc w:val="left"/>
      <w:pPr>
        <w:ind w:left="4680" w:hanging="360"/>
      </w:pPr>
    </w:lvl>
    <w:lvl w:ilvl="7" w:tplc="EC8E8654" w:tentative="1">
      <w:start w:val="1"/>
      <w:numFmt w:val="lowerLetter"/>
      <w:lvlText w:val="%8."/>
      <w:lvlJc w:val="left"/>
      <w:pPr>
        <w:ind w:left="5400" w:hanging="360"/>
      </w:pPr>
    </w:lvl>
    <w:lvl w:ilvl="8" w:tplc="C75E1D4A" w:tentative="1">
      <w:start w:val="1"/>
      <w:numFmt w:val="lowerRoman"/>
      <w:lvlText w:val="%9."/>
      <w:lvlJc w:val="right"/>
      <w:pPr>
        <w:ind w:left="6120" w:hanging="180"/>
      </w:pPr>
    </w:lvl>
  </w:abstractNum>
  <w:abstractNum w:abstractNumId="4">
    <w:nsid w:val="06F758C9"/>
    <w:multiLevelType w:val="hybridMultilevel"/>
    <w:tmpl w:val="A5C4FB84"/>
    <w:lvl w:ilvl="0" w:tplc="213EB166">
      <w:start w:val="1"/>
      <w:numFmt w:val="bullet"/>
      <w:lvlText w:val=""/>
      <w:lvlJc w:val="left"/>
      <w:pPr>
        <w:ind w:left="720" w:hanging="360"/>
      </w:pPr>
      <w:rPr>
        <w:rFonts w:ascii="Symbol" w:hAnsi="Symbol" w:hint="default"/>
      </w:rPr>
    </w:lvl>
    <w:lvl w:ilvl="1" w:tplc="3A70641A" w:tentative="1">
      <w:start w:val="1"/>
      <w:numFmt w:val="bullet"/>
      <w:lvlText w:val="o"/>
      <w:lvlJc w:val="left"/>
      <w:pPr>
        <w:ind w:left="1440" w:hanging="360"/>
      </w:pPr>
      <w:rPr>
        <w:rFonts w:ascii="Courier New" w:hAnsi="Courier New" w:cs="Courier New" w:hint="default"/>
      </w:rPr>
    </w:lvl>
    <w:lvl w:ilvl="2" w:tplc="AFE442AA" w:tentative="1">
      <w:start w:val="1"/>
      <w:numFmt w:val="bullet"/>
      <w:lvlText w:val=""/>
      <w:lvlJc w:val="left"/>
      <w:pPr>
        <w:ind w:left="2160" w:hanging="360"/>
      </w:pPr>
      <w:rPr>
        <w:rFonts w:ascii="Wingdings" w:hAnsi="Wingdings" w:hint="default"/>
      </w:rPr>
    </w:lvl>
    <w:lvl w:ilvl="3" w:tplc="D39A74D6" w:tentative="1">
      <w:start w:val="1"/>
      <w:numFmt w:val="bullet"/>
      <w:lvlText w:val=""/>
      <w:lvlJc w:val="left"/>
      <w:pPr>
        <w:ind w:left="2880" w:hanging="360"/>
      </w:pPr>
      <w:rPr>
        <w:rFonts w:ascii="Symbol" w:hAnsi="Symbol" w:hint="default"/>
      </w:rPr>
    </w:lvl>
    <w:lvl w:ilvl="4" w:tplc="D7A21E0E" w:tentative="1">
      <w:start w:val="1"/>
      <w:numFmt w:val="bullet"/>
      <w:lvlText w:val="o"/>
      <w:lvlJc w:val="left"/>
      <w:pPr>
        <w:ind w:left="3600" w:hanging="360"/>
      </w:pPr>
      <w:rPr>
        <w:rFonts w:ascii="Courier New" w:hAnsi="Courier New" w:cs="Courier New" w:hint="default"/>
      </w:rPr>
    </w:lvl>
    <w:lvl w:ilvl="5" w:tplc="5E84785E" w:tentative="1">
      <w:start w:val="1"/>
      <w:numFmt w:val="bullet"/>
      <w:lvlText w:val=""/>
      <w:lvlJc w:val="left"/>
      <w:pPr>
        <w:ind w:left="4320" w:hanging="360"/>
      </w:pPr>
      <w:rPr>
        <w:rFonts w:ascii="Wingdings" w:hAnsi="Wingdings" w:hint="default"/>
      </w:rPr>
    </w:lvl>
    <w:lvl w:ilvl="6" w:tplc="406036E0" w:tentative="1">
      <w:start w:val="1"/>
      <w:numFmt w:val="bullet"/>
      <w:lvlText w:val=""/>
      <w:lvlJc w:val="left"/>
      <w:pPr>
        <w:ind w:left="5040" w:hanging="360"/>
      </w:pPr>
      <w:rPr>
        <w:rFonts w:ascii="Symbol" w:hAnsi="Symbol" w:hint="default"/>
      </w:rPr>
    </w:lvl>
    <w:lvl w:ilvl="7" w:tplc="7D8CD052" w:tentative="1">
      <w:start w:val="1"/>
      <w:numFmt w:val="bullet"/>
      <w:lvlText w:val="o"/>
      <w:lvlJc w:val="left"/>
      <w:pPr>
        <w:ind w:left="5760" w:hanging="360"/>
      </w:pPr>
      <w:rPr>
        <w:rFonts w:ascii="Courier New" w:hAnsi="Courier New" w:cs="Courier New" w:hint="default"/>
      </w:rPr>
    </w:lvl>
    <w:lvl w:ilvl="8" w:tplc="6426A4C6" w:tentative="1">
      <w:start w:val="1"/>
      <w:numFmt w:val="bullet"/>
      <w:lvlText w:val=""/>
      <w:lvlJc w:val="left"/>
      <w:pPr>
        <w:ind w:left="6480" w:hanging="360"/>
      </w:pPr>
      <w:rPr>
        <w:rFonts w:ascii="Wingdings" w:hAnsi="Wingdings" w:hint="default"/>
      </w:rPr>
    </w:lvl>
  </w:abstractNum>
  <w:abstractNum w:abstractNumId="5">
    <w:nsid w:val="0CCD3E35"/>
    <w:multiLevelType w:val="hybridMultilevel"/>
    <w:tmpl w:val="40AEE632"/>
    <w:lvl w:ilvl="0" w:tplc="5C52335C">
      <w:start w:val="1"/>
      <w:numFmt w:val="bullet"/>
      <w:lvlText w:val=""/>
      <w:lvlJc w:val="left"/>
      <w:pPr>
        <w:ind w:left="360" w:hanging="360"/>
      </w:pPr>
      <w:rPr>
        <w:rFonts w:ascii="Symbol" w:hAnsi="Symbol" w:hint="default"/>
      </w:rPr>
    </w:lvl>
    <w:lvl w:ilvl="1" w:tplc="D576D094" w:tentative="1">
      <w:start w:val="1"/>
      <w:numFmt w:val="bullet"/>
      <w:lvlText w:val="o"/>
      <w:lvlJc w:val="left"/>
      <w:pPr>
        <w:ind w:left="1080" w:hanging="360"/>
      </w:pPr>
      <w:rPr>
        <w:rFonts w:ascii="Courier New" w:hAnsi="Courier New" w:cs="Courier New" w:hint="default"/>
      </w:rPr>
    </w:lvl>
    <w:lvl w:ilvl="2" w:tplc="69DC776E" w:tentative="1">
      <w:start w:val="1"/>
      <w:numFmt w:val="bullet"/>
      <w:lvlText w:val=""/>
      <w:lvlJc w:val="left"/>
      <w:pPr>
        <w:ind w:left="1800" w:hanging="360"/>
      </w:pPr>
      <w:rPr>
        <w:rFonts w:ascii="Wingdings" w:hAnsi="Wingdings" w:hint="default"/>
      </w:rPr>
    </w:lvl>
    <w:lvl w:ilvl="3" w:tplc="53987458" w:tentative="1">
      <w:start w:val="1"/>
      <w:numFmt w:val="bullet"/>
      <w:lvlText w:val=""/>
      <w:lvlJc w:val="left"/>
      <w:pPr>
        <w:ind w:left="2520" w:hanging="360"/>
      </w:pPr>
      <w:rPr>
        <w:rFonts w:ascii="Symbol" w:hAnsi="Symbol" w:hint="default"/>
      </w:rPr>
    </w:lvl>
    <w:lvl w:ilvl="4" w:tplc="CB482AB8" w:tentative="1">
      <w:start w:val="1"/>
      <w:numFmt w:val="bullet"/>
      <w:lvlText w:val="o"/>
      <w:lvlJc w:val="left"/>
      <w:pPr>
        <w:ind w:left="3240" w:hanging="360"/>
      </w:pPr>
      <w:rPr>
        <w:rFonts w:ascii="Courier New" w:hAnsi="Courier New" w:cs="Courier New" w:hint="default"/>
      </w:rPr>
    </w:lvl>
    <w:lvl w:ilvl="5" w:tplc="5C7457C2" w:tentative="1">
      <w:start w:val="1"/>
      <w:numFmt w:val="bullet"/>
      <w:lvlText w:val=""/>
      <w:lvlJc w:val="left"/>
      <w:pPr>
        <w:ind w:left="3960" w:hanging="360"/>
      </w:pPr>
      <w:rPr>
        <w:rFonts w:ascii="Wingdings" w:hAnsi="Wingdings" w:hint="default"/>
      </w:rPr>
    </w:lvl>
    <w:lvl w:ilvl="6" w:tplc="2A8A3988" w:tentative="1">
      <w:start w:val="1"/>
      <w:numFmt w:val="bullet"/>
      <w:lvlText w:val=""/>
      <w:lvlJc w:val="left"/>
      <w:pPr>
        <w:ind w:left="4680" w:hanging="360"/>
      </w:pPr>
      <w:rPr>
        <w:rFonts w:ascii="Symbol" w:hAnsi="Symbol" w:hint="default"/>
      </w:rPr>
    </w:lvl>
    <w:lvl w:ilvl="7" w:tplc="A99423D4" w:tentative="1">
      <w:start w:val="1"/>
      <w:numFmt w:val="bullet"/>
      <w:lvlText w:val="o"/>
      <w:lvlJc w:val="left"/>
      <w:pPr>
        <w:ind w:left="5400" w:hanging="360"/>
      </w:pPr>
      <w:rPr>
        <w:rFonts w:ascii="Courier New" w:hAnsi="Courier New" w:cs="Courier New" w:hint="default"/>
      </w:rPr>
    </w:lvl>
    <w:lvl w:ilvl="8" w:tplc="EE4A18F6" w:tentative="1">
      <w:start w:val="1"/>
      <w:numFmt w:val="bullet"/>
      <w:lvlText w:val=""/>
      <w:lvlJc w:val="left"/>
      <w:pPr>
        <w:ind w:left="6120" w:hanging="360"/>
      </w:pPr>
      <w:rPr>
        <w:rFonts w:ascii="Wingdings" w:hAnsi="Wingdings" w:hint="default"/>
      </w:rPr>
    </w:lvl>
  </w:abstractNum>
  <w:abstractNum w:abstractNumId="6">
    <w:nsid w:val="0CE3000B"/>
    <w:multiLevelType w:val="hybridMultilevel"/>
    <w:tmpl w:val="C0DAE372"/>
    <w:lvl w:ilvl="0" w:tplc="80165D7C">
      <w:start w:val="1"/>
      <w:numFmt w:val="bullet"/>
      <w:lvlText w:val=""/>
      <w:lvlJc w:val="left"/>
      <w:pPr>
        <w:tabs>
          <w:tab w:val="num" w:pos="720"/>
        </w:tabs>
        <w:ind w:left="720" w:hanging="360"/>
      </w:pPr>
      <w:rPr>
        <w:rFonts w:ascii="Wingdings" w:hAnsi="Wingdings" w:hint="default"/>
      </w:rPr>
    </w:lvl>
    <w:lvl w:ilvl="1" w:tplc="E3A82750" w:tentative="1">
      <w:start w:val="1"/>
      <w:numFmt w:val="bullet"/>
      <w:lvlText w:val=""/>
      <w:lvlJc w:val="left"/>
      <w:pPr>
        <w:tabs>
          <w:tab w:val="num" w:pos="1440"/>
        </w:tabs>
        <w:ind w:left="1440" w:hanging="360"/>
      </w:pPr>
      <w:rPr>
        <w:rFonts w:ascii="Wingdings" w:hAnsi="Wingdings" w:hint="default"/>
      </w:rPr>
    </w:lvl>
    <w:lvl w:ilvl="2" w:tplc="7E8EAF3E" w:tentative="1">
      <w:start w:val="1"/>
      <w:numFmt w:val="bullet"/>
      <w:lvlText w:val=""/>
      <w:lvlJc w:val="left"/>
      <w:pPr>
        <w:tabs>
          <w:tab w:val="num" w:pos="2160"/>
        </w:tabs>
        <w:ind w:left="2160" w:hanging="360"/>
      </w:pPr>
      <w:rPr>
        <w:rFonts w:ascii="Wingdings" w:hAnsi="Wingdings" w:hint="default"/>
      </w:rPr>
    </w:lvl>
    <w:lvl w:ilvl="3" w:tplc="4A9CB044" w:tentative="1">
      <w:start w:val="1"/>
      <w:numFmt w:val="bullet"/>
      <w:lvlText w:val=""/>
      <w:lvlJc w:val="left"/>
      <w:pPr>
        <w:tabs>
          <w:tab w:val="num" w:pos="2880"/>
        </w:tabs>
        <w:ind w:left="2880" w:hanging="360"/>
      </w:pPr>
      <w:rPr>
        <w:rFonts w:ascii="Wingdings" w:hAnsi="Wingdings" w:hint="default"/>
      </w:rPr>
    </w:lvl>
    <w:lvl w:ilvl="4" w:tplc="A814838A" w:tentative="1">
      <w:start w:val="1"/>
      <w:numFmt w:val="bullet"/>
      <w:lvlText w:val=""/>
      <w:lvlJc w:val="left"/>
      <w:pPr>
        <w:tabs>
          <w:tab w:val="num" w:pos="3600"/>
        </w:tabs>
        <w:ind w:left="3600" w:hanging="360"/>
      </w:pPr>
      <w:rPr>
        <w:rFonts w:ascii="Wingdings" w:hAnsi="Wingdings" w:hint="default"/>
      </w:rPr>
    </w:lvl>
    <w:lvl w:ilvl="5" w:tplc="EEAE45A2" w:tentative="1">
      <w:start w:val="1"/>
      <w:numFmt w:val="bullet"/>
      <w:lvlText w:val=""/>
      <w:lvlJc w:val="left"/>
      <w:pPr>
        <w:tabs>
          <w:tab w:val="num" w:pos="4320"/>
        </w:tabs>
        <w:ind w:left="4320" w:hanging="360"/>
      </w:pPr>
      <w:rPr>
        <w:rFonts w:ascii="Wingdings" w:hAnsi="Wingdings" w:hint="default"/>
      </w:rPr>
    </w:lvl>
    <w:lvl w:ilvl="6" w:tplc="A59CF490" w:tentative="1">
      <w:start w:val="1"/>
      <w:numFmt w:val="bullet"/>
      <w:lvlText w:val=""/>
      <w:lvlJc w:val="left"/>
      <w:pPr>
        <w:tabs>
          <w:tab w:val="num" w:pos="5040"/>
        </w:tabs>
        <w:ind w:left="5040" w:hanging="360"/>
      </w:pPr>
      <w:rPr>
        <w:rFonts w:ascii="Wingdings" w:hAnsi="Wingdings" w:hint="default"/>
      </w:rPr>
    </w:lvl>
    <w:lvl w:ilvl="7" w:tplc="D61C6CE0" w:tentative="1">
      <w:start w:val="1"/>
      <w:numFmt w:val="bullet"/>
      <w:lvlText w:val=""/>
      <w:lvlJc w:val="left"/>
      <w:pPr>
        <w:tabs>
          <w:tab w:val="num" w:pos="5760"/>
        </w:tabs>
        <w:ind w:left="5760" w:hanging="360"/>
      </w:pPr>
      <w:rPr>
        <w:rFonts w:ascii="Wingdings" w:hAnsi="Wingdings" w:hint="default"/>
      </w:rPr>
    </w:lvl>
    <w:lvl w:ilvl="8" w:tplc="5ADC0C58" w:tentative="1">
      <w:start w:val="1"/>
      <w:numFmt w:val="bullet"/>
      <w:lvlText w:val=""/>
      <w:lvlJc w:val="left"/>
      <w:pPr>
        <w:tabs>
          <w:tab w:val="num" w:pos="6480"/>
        </w:tabs>
        <w:ind w:left="6480" w:hanging="360"/>
      </w:pPr>
      <w:rPr>
        <w:rFonts w:ascii="Wingdings" w:hAnsi="Wingdings" w:hint="default"/>
      </w:rPr>
    </w:lvl>
  </w:abstractNum>
  <w:abstractNum w:abstractNumId="7">
    <w:nsid w:val="0D0117D5"/>
    <w:multiLevelType w:val="hybridMultilevel"/>
    <w:tmpl w:val="CACC67A6"/>
    <w:lvl w:ilvl="0" w:tplc="5A5CEB14">
      <w:start w:val="1"/>
      <w:numFmt w:val="lowerLetter"/>
      <w:lvlText w:val="%1."/>
      <w:lvlJc w:val="left"/>
      <w:pPr>
        <w:ind w:left="360" w:hanging="360"/>
      </w:pPr>
    </w:lvl>
    <w:lvl w:ilvl="1" w:tplc="E2C08E10" w:tentative="1">
      <w:start w:val="1"/>
      <w:numFmt w:val="lowerLetter"/>
      <w:lvlText w:val="%2."/>
      <w:lvlJc w:val="left"/>
      <w:pPr>
        <w:ind w:left="1080" w:hanging="360"/>
      </w:pPr>
    </w:lvl>
    <w:lvl w:ilvl="2" w:tplc="91A4DBEC" w:tentative="1">
      <w:start w:val="1"/>
      <w:numFmt w:val="lowerRoman"/>
      <w:lvlText w:val="%3."/>
      <w:lvlJc w:val="right"/>
      <w:pPr>
        <w:ind w:left="1800" w:hanging="180"/>
      </w:pPr>
    </w:lvl>
    <w:lvl w:ilvl="3" w:tplc="6CD8026A" w:tentative="1">
      <w:start w:val="1"/>
      <w:numFmt w:val="decimal"/>
      <w:lvlText w:val="%4."/>
      <w:lvlJc w:val="left"/>
      <w:pPr>
        <w:ind w:left="2520" w:hanging="360"/>
      </w:pPr>
    </w:lvl>
    <w:lvl w:ilvl="4" w:tplc="DD36E548" w:tentative="1">
      <w:start w:val="1"/>
      <w:numFmt w:val="lowerLetter"/>
      <w:lvlText w:val="%5."/>
      <w:lvlJc w:val="left"/>
      <w:pPr>
        <w:ind w:left="3240" w:hanging="360"/>
      </w:pPr>
    </w:lvl>
    <w:lvl w:ilvl="5" w:tplc="BAF26838" w:tentative="1">
      <w:start w:val="1"/>
      <w:numFmt w:val="lowerRoman"/>
      <w:lvlText w:val="%6."/>
      <w:lvlJc w:val="right"/>
      <w:pPr>
        <w:ind w:left="3960" w:hanging="180"/>
      </w:pPr>
    </w:lvl>
    <w:lvl w:ilvl="6" w:tplc="B6A20FBC" w:tentative="1">
      <w:start w:val="1"/>
      <w:numFmt w:val="decimal"/>
      <w:lvlText w:val="%7."/>
      <w:lvlJc w:val="left"/>
      <w:pPr>
        <w:ind w:left="4680" w:hanging="360"/>
      </w:pPr>
    </w:lvl>
    <w:lvl w:ilvl="7" w:tplc="EB469462" w:tentative="1">
      <w:start w:val="1"/>
      <w:numFmt w:val="lowerLetter"/>
      <w:lvlText w:val="%8."/>
      <w:lvlJc w:val="left"/>
      <w:pPr>
        <w:ind w:left="5400" w:hanging="360"/>
      </w:pPr>
    </w:lvl>
    <w:lvl w:ilvl="8" w:tplc="0BE46A60" w:tentative="1">
      <w:start w:val="1"/>
      <w:numFmt w:val="lowerRoman"/>
      <w:lvlText w:val="%9."/>
      <w:lvlJc w:val="right"/>
      <w:pPr>
        <w:ind w:left="6120" w:hanging="180"/>
      </w:pPr>
    </w:lvl>
  </w:abstractNum>
  <w:abstractNum w:abstractNumId="8">
    <w:nsid w:val="1A306214"/>
    <w:multiLevelType w:val="hybridMultilevel"/>
    <w:tmpl w:val="EFF89502"/>
    <w:lvl w:ilvl="0" w:tplc="7696F22C">
      <w:start w:val="1"/>
      <w:numFmt w:val="bullet"/>
      <w:lvlText w:val=""/>
      <w:lvlJc w:val="left"/>
      <w:pPr>
        <w:ind w:left="720" w:hanging="360"/>
      </w:pPr>
      <w:rPr>
        <w:rFonts w:ascii="Symbol" w:hAnsi="Symbol" w:hint="default"/>
      </w:rPr>
    </w:lvl>
    <w:lvl w:ilvl="1" w:tplc="3B8A65FC">
      <w:start w:val="1"/>
      <w:numFmt w:val="bullet"/>
      <w:lvlText w:val="o"/>
      <w:lvlJc w:val="left"/>
      <w:pPr>
        <w:ind w:left="1440" w:hanging="360"/>
      </w:pPr>
      <w:rPr>
        <w:rFonts w:ascii="Courier New" w:hAnsi="Courier New" w:cs="Courier New" w:hint="default"/>
      </w:rPr>
    </w:lvl>
    <w:lvl w:ilvl="2" w:tplc="EB665290" w:tentative="1">
      <w:start w:val="1"/>
      <w:numFmt w:val="bullet"/>
      <w:lvlText w:val=""/>
      <w:lvlJc w:val="left"/>
      <w:pPr>
        <w:ind w:left="2160" w:hanging="360"/>
      </w:pPr>
      <w:rPr>
        <w:rFonts w:ascii="Wingdings" w:hAnsi="Wingdings" w:hint="default"/>
      </w:rPr>
    </w:lvl>
    <w:lvl w:ilvl="3" w:tplc="F9ACE50A" w:tentative="1">
      <w:start w:val="1"/>
      <w:numFmt w:val="bullet"/>
      <w:lvlText w:val=""/>
      <w:lvlJc w:val="left"/>
      <w:pPr>
        <w:ind w:left="2880" w:hanging="360"/>
      </w:pPr>
      <w:rPr>
        <w:rFonts w:ascii="Symbol" w:hAnsi="Symbol" w:hint="default"/>
      </w:rPr>
    </w:lvl>
    <w:lvl w:ilvl="4" w:tplc="5164F24E" w:tentative="1">
      <w:start w:val="1"/>
      <w:numFmt w:val="bullet"/>
      <w:lvlText w:val="o"/>
      <w:lvlJc w:val="left"/>
      <w:pPr>
        <w:ind w:left="3600" w:hanging="360"/>
      </w:pPr>
      <w:rPr>
        <w:rFonts w:ascii="Courier New" w:hAnsi="Courier New" w:cs="Courier New" w:hint="default"/>
      </w:rPr>
    </w:lvl>
    <w:lvl w:ilvl="5" w:tplc="1A243AF0" w:tentative="1">
      <w:start w:val="1"/>
      <w:numFmt w:val="bullet"/>
      <w:lvlText w:val=""/>
      <w:lvlJc w:val="left"/>
      <w:pPr>
        <w:ind w:left="4320" w:hanging="360"/>
      </w:pPr>
      <w:rPr>
        <w:rFonts w:ascii="Wingdings" w:hAnsi="Wingdings" w:hint="default"/>
      </w:rPr>
    </w:lvl>
    <w:lvl w:ilvl="6" w:tplc="98FC79CC" w:tentative="1">
      <w:start w:val="1"/>
      <w:numFmt w:val="bullet"/>
      <w:lvlText w:val=""/>
      <w:lvlJc w:val="left"/>
      <w:pPr>
        <w:ind w:left="5040" w:hanging="360"/>
      </w:pPr>
      <w:rPr>
        <w:rFonts w:ascii="Symbol" w:hAnsi="Symbol" w:hint="default"/>
      </w:rPr>
    </w:lvl>
    <w:lvl w:ilvl="7" w:tplc="070E0AE6" w:tentative="1">
      <w:start w:val="1"/>
      <w:numFmt w:val="bullet"/>
      <w:lvlText w:val="o"/>
      <w:lvlJc w:val="left"/>
      <w:pPr>
        <w:ind w:left="5760" w:hanging="360"/>
      </w:pPr>
      <w:rPr>
        <w:rFonts w:ascii="Courier New" w:hAnsi="Courier New" w:cs="Courier New" w:hint="default"/>
      </w:rPr>
    </w:lvl>
    <w:lvl w:ilvl="8" w:tplc="65780C3A" w:tentative="1">
      <w:start w:val="1"/>
      <w:numFmt w:val="bullet"/>
      <w:lvlText w:val=""/>
      <w:lvlJc w:val="left"/>
      <w:pPr>
        <w:ind w:left="6480" w:hanging="360"/>
      </w:pPr>
      <w:rPr>
        <w:rFonts w:ascii="Wingdings" w:hAnsi="Wingdings" w:hint="default"/>
      </w:rPr>
    </w:lvl>
  </w:abstractNum>
  <w:abstractNum w:abstractNumId="9">
    <w:nsid w:val="1ABA0937"/>
    <w:multiLevelType w:val="hybridMultilevel"/>
    <w:tmpl w:val="66D6B4F4"/>
    <w:lvl w:ilvl="0" w:tplc="DE4A75A4">
      <w:start w:val="1"/>
      <w:numFmt w:val="bullet"/>
      <w:lvlText w:val=""/>
      <w:lvlJc w:val="left"/>
      <w:pPr>
        <w:ind w:left="360" w:hanging="360"/>
      </w:pPr>
      <w:rPr>
        <w:rFonts w:ascii="Symbol" w:hAnsi="Symbol" w:hint="default"/>
      </w:rPr>
    </w:lvl>
    <w:lvl w:ilvl="1" w:tplc="811EE5D4" w:tentative="1">
      <w:start w:val="1"/>
      <w:numFmt w:val="bullet"/>
      <w:lvlText w:val="o"/>
      <w:lvlJc w:val="left"/>
      <w:pPr>
        <w:ind w:left="1080" w:hanging="360"/>
      </w:pPr>
      <w:rPr>
        <w:rFonts w:ascii="Courier New" w:hAnsi="Courier New" w:cs="Courier New" w:hint="default"/>
      </w:rPr>
    </w:lvl>
    <w:lvl w:ilvl="2" w:tplc="B1BAB368" w:tentative="1">
      <w:start w:val="1"/>
      <w:numFmt w:val="bullet"/>
      <w:lvlText w:val=""/>
      <w:lvlJc w:val="left"/>
      <w:pPr>
        <w:ind w:left="1800" w:hanging="360"/>
      </w:pPr>
      <w:rPr>
        <w:rFonts w:ascii="Wingdings" w:hAnsi="Wingdings" w:hint="default"/>
      </w:rPr>
    </w:lvl>
    <w:lvl w:ilvl="3" w:tplc="388833D4" w:tentative="1">
      <w:start w:val="1"/>
      <w:numFmt w:val="bullet"/>
      <w:lvlText w:val=""/>
      <w:lvlJc w:val="left"/>
      <w:pPr>
        <w:ind w:left="2520" w:hanging="360"/>
      </w:pPr>
      <w:rPr>
        <w:rFonts w:ascii="Symbol" w:hAnsi="Symbol" w:hint="default"/>
      </w:rPr>
    </w:lvl>
    <w:lvl w:ilvl="4" w:tplc="BDA2819E" w:tentative="1">
      <w:start w:val="1"/>
      <w:numFmt w:val="bullet"/>
      <w:lvlText w:val="o"/>
      <w:lvlJc w:val="left"/>
      <w:pPr>
        <w:ind w:left="3240" w:hanging="360"/>
      </w:pPr>
      <w:rPr>
        <w:rFonts w:ascii="Courier New" w:hAnsi="Courier New" w:cs="Courier New" w:hint="default"/>
      </w:rPr>
    </w:lvl>
    <w:lvl w:ilvl="5" w:tplc="23BA0854" w:tentative="1">
      <w:start w:val="1"/>
      <w:numFmt w:val="bullet"/>
      <w:lvlText w:val=""/>
      <w:lvlJc w:val="left"/>
      <w:pPr>
        <w:ind w:left="3960" w:hanging="360"/>
      </w:pPr>
      <w:rPr>
        <w:rFonts w:ascii="Wingdings" w:hAnsi="Wingdings" w:hint="default"/>
      </w:rPr>
    </w:lvl>
    <w:lvl w:ilvl="6" w:tplc="DD384348" w:tentative="1">
      <w:start w:val="1"/>
      <w:numFmt w:val="bullet"/>
      <w:lvlText w:val=""/>
      <w:lvlJc w:val="left"/>
      <w:pPr>
        <w:ind w:left="4680" w:hanging="360"/>
      </w:pPr>
      <w:rPr>
        <w:rFonts w:ascii="Symbol" w:hAnsi="Symbol" w:hint="default"/>
      </w:rPr>
    </w:lvl>
    <w:lvl w:ilvl="7" w:tplc="70E6BDAE" w:tentative="1">
      <w:start w:val="1"/>
      <w:numFmt w:val="bullet"/>
      <w:lvlText w:val="o"/>
      <w:lvlJc w:val="left"/>
      <w:pPr>
        <w:ind w:left="5400" w:hanging="360"/>
      </w:pPr>
      <w:rPr>
        <w:rFonts w:ascii="Courier New" w:hAnsi="Courier New" w:cs="Courier New" w:hint="default"/>
      </w:rPr>
    </w:lvl>
    <w:lvl w:ilvl="8" w:tplc="51242692" w:tentative="1">
      <w:start w:val="1"/>
      <w:numFmt w:val="bullet"/>
      <w:lvlText w:val=""/>
      <w:lvlJc w:val="left"/>
      <w:pPr>
        <w:ind w:left="6120" w:hanging="360"/>
      </w:pPr>
      <w:rPr>
        <w:rFonts w:ascii="Wingdings" w:hAnsi="Wingdings" w:hint="default"/>
      </w:rPr>
    </w:lvl>
  </w:abstractNum>
  <w:abstractNum w:abstractNumId="10">
    <w:nsid w:val="1CE947FC"/>
    <w:multiLevelType w:val="hybridMultilevel"/>
    <w:tmpl w:val="86F4BB42"/>
    <w:lvl w:ilvl="0" w:tplc="675008FA">
      <w:start w:val="1"/>
      <w:numFmt w:val="bullet"/>
      <w:lvlText w:val=""/>
      <w:lvlJc w:val="left"/>
      <w:pPr>
        <w:ind w:left="1429" w:hanging="360"/>
      </w:pPr>
      <w:rPr>
        <w:rFonts w:ascii="Symbol" w:hAnsi="Symbol" w:hint="default"/>
      </w:rPr>
    </w:lvl>
    <w:lvl w:ilvl="1" w:tplc="CEC261FE" w:tentative="1">
      <w:start w:val="1"/>
      <w:numFmt w:val="bullet"/>
      <w:lvlText w:val="o"/>
      <w:lvlJc w:val="left"/>
      <w:pPr>
        <w:ind w:left="2149" w:hanging="360"/>
      </w:pPr>
      <w:rPr>
        <w:rFonts w:ascii="Courier New" w:hAnsi="Courier New" w:cs="Courier New" w:hint="default"/>
      </w:rPr>
    </w:lvl>
    <w:lvl w:ilvl="2" w:tplc="D4265030" w:tentative="1">
      <w:start w:val="1"/>
      <w:numFmt w:val="bullet"/>
      <w:lvlText w:val=""/>
      <w:lvlJc w:val="left"/>
      <w:pPr>
        <w:ind w:left="2869" w:hanging="360"/>
      </w:pPr>
      <w:rPr>
        <w:rFonts w:ascii="Wingdings" w:hAnsi="Wingdings" w:hint="default"/>
      </w:rPr>
    </w:lvl>
    <w:lvl w:ilvl="3" w:tplc="A11299A0" w:tentative="1">
      <w:start w:val="1"/>
      <w:numFmt w:val="bullet"/>
      <w:lvlText w:val=""/>
      <w:lvlJc w:val="left"/>
      <w:pPr>
        <w:ind w:left="3589" w:hanging="360"/>
      </w:pPr>
      <w:rPr>
        <w:rFonts w:ascii="Symbol" w:hAnsi="Symbol" w:hint="default"/>
      </w:rPr>
    </w:lvl>
    <w:lvl w:ilvl="4" w:tplc="15F49986" w:tentative="1">
      <w:start w:val="1"/>
      <w:numFmt w:val="bullet"/>
      <w:lvlText w:val="o"/>
      <w:lvlJc w:val="left"/>
      <w:pPr>
        <w:ind w:left="4309" w:hanging="360"/>
      </w:pPr>
      <w:rPr>
        <w:rFonts w:ascii="Courier New" w:hAnsi="Courier New" w:cs="Courier New" w:hint="default"/>
      </w:rPr>
    </w:lvl>
    <w:lvl w:ilvl="5" w:tplc="55681096" w:tentative="1">
      <w:start w:val="1"/>
      <w:numFmt w:val="bullet"/>
      <w:lvlText w:val=""/>
      <w:lvlJc w:val="left"/>
      <w:pPr>
        <w:ind w:left="5029" w:hanging="360"/>
      </w:pPr>
      <w:rPr>
        <w:rFonts w:ascii="Wingdings" w:hAnsi="Wingdings" w:hint="default"/>
      </w:rPr>
    </w:lvl>
    <w:lvl w:ilvl="6" w:tplc="966AEA96" w:tentative="1">
      <w:start w:val="1"/>
      <w:numFmt w:val="bullet"/>
      <w:lvlText w:val=""/>
      <w:lvlJc w:val="left"/>
      <w:pPr>
        <w:ind w:left="5749" w:hanging="360"/>
      </w:pPr>
      <w:rPr>
        <w:rFonts w:ascii="Symbol" w:hAnsi="Symbol" w:hint="default"/>
      </w:rPr>
    </w:lvl>
    <w:lvl w:ilvl="7" w:tplc="13EEF3A2" w:tentative="1">
      <w:start w:val="1"/>
      <w:numFmt w:val="bullet"/>
      <w:lvlText w:val="o"/>
      <w:lvlJc w:val="left"/>
      <w:pPr>
        <w:ind w:left="6469" w:hanging="360"/>
      </w:pPr>
      <w:rPr>
        <w:rFonts w:ascii="Courier New" w:hAnsi="Courier New" w:cs="Courier New" w:hint="default"/>
      </w:rPr>
    </w:lvl>
    <w:lvl w:ilvl="8" w:tplc="32E4A03A" w:tentative="1">
      <w:start w:val="1"/>
      <w:numFmt w:val="bullet"/>
      <w:lvlText w:val=""/>
      <w:lvlJc w:val="left"/>
      <w:pPr>
        <w:ind w:left="7189" w:hanging="360"/>
      </w:pPr>
      <w:rPr>
        <w:rFonts w:ascii="Wingdings" w:hAnsi="Wingdings" w:hint="default"/>
      </w:rPr>
    </w:lvl>
  </w:abstractNum>
  <w:abstractNum w:abstractNumId="11">
    <w:nsid w:val="1E1070D8"/>
    <w:multiLevelType w:val="hybridMultilevel"/>
    <w:tmpl w:val="B20AC40C"/>
    <w:lvl w:ilvl="0" w:tplc="D5BADDBC">
      <w:start w:val="1"/>
      <w:numFmt w:val="bullet"/>
      <w:lvlText w:val=""/>
      <w:lvlJc w:val="left"/>
      <w:pPr>
        <w:ind w:left="720" w:hanging="360"/>
      </w:pPr>
      <w:rPr>
        <w:rFonts w:ascii="Symbol" w:hAnsi="Symbol" w:hint="default"/>
      </w:rPr>
    </w:lvl>
    <w:lvl w:ilvl="1" w:tplc="105610A4">
      <w:start w:val="1"/>
      <w:numFmt w:val="bullet"/>
      <w:lvlText w:val="o"/>
      <w:lvlJc w:val="left"/>
      <w:pPr>
        <w:ind w:left="1440" w:hanging="360"/>
      </w:pPr>
      <w:rPr>
        <w:rFonts w:ascii="Courier New" w:hAnsi="Courier New" w:cs="Courier New" w:hint="default"/>
      </w:rPr>
    </w:lvl>
    <w:lvl w:ilvl="2" w:tplc="DC626012" w:tentative="1">
      <w:start w:val="1"/>
      <w:numFmt w:val="bullet"/>
      <w:lvlText w:val=""/>
      <w:lvlJc w:val="left"/>
      <w:pPr>
        <w:ind w:left="2160" w:hanging="360"/>
      </w:pPr>
      <w:rPr>
        <w:rFonts w:ascii="Wingdings" w:hAnsi="Wingdings" w:hint="default"/>
      </w:rPr>
    </w:lvl>
    <w:lvl w:ilvl="3" w:tplc="1460F792" w:tentative="1">
      <w:start w:val="1"/>
      <w:numFmt w:val="bullet"/>
      <w:lvlText w:val=""/>
      <w:lvlJc w:val="left"/>
      <w:pPr>
        <w:ind w:left="2880" w:hanging="360"/>
      </w:pPr>
      <w:rPr>
        <w:rFonts w:ascii="Symbol" w:hAnsi="Symbol" w:hint="default"/>
      </w:rPr>
    </w:lvl>
    <w:lvl w:ilvl="4" w:tplc="68F4F304" w:tentative="1">
      <w:start w:val="1"/>
      <w:numFmt w:val="bullet"/>
      <w:lvlText w:val="o"/>
      <w:lvlJc w:val="left"/>
      <w:pPr>
        <w:ind w:left="3600" w:hanging="360"/>
      </w:pPr>
      <w:rPr>
        <w:rFonts w:ascii="Courier New" w:hAnsi="Courier New" w:cs="Courier New" w:hint="default"/>
      </w:rPr>
    </w:lvl>
    <w:lvl w:ilvl="5" w:tplc="75F84632" w:tentative="1">
      <w:start w:val="1"/>
      <w:numFmt w:val="bullet"/>
      <w:lvlText w:val=""/>
      <w:lvlJc w:val="left"/>
      <w:pPr>
        <w:ind w:left="4320" w:hanging="360"/>
      </w:pPr>
      <w:rPr>
        <w:rFonts w:ascii="Wingdings" w:hAnsi="Wingdings" w:hint="default"/>
      </w:rPr>
    </w:lvl>
    <w:lvl w:ilvl="6" w:tplc="3FD8B368" w:tentative="1">
      <w:start w:val="1"/>
      <w:numFmt w:val="bullet"/>
      <w:lvlText w:val=""/>
      <w:lvlJc w:val="left"/>
      <w:pPr>
        <w:ind w:left="5040" w:hanging="360"/>
      </w:pPr>
      <w:rPr>
        <w:rFonts w:ascii="Symbol" w:hAnsi="Symbol" w:hint="default"/>
      </w:rPr>
    </w:lvl>
    <w:lvl w:ilvl="7" w:tplc="0E3A0720" w:tentative="1">
      <w:start w:val="1"/>
      <w:numFmt w:val="bullet"/>
      <w:lvlText w:val="o"/>
      <w:lvlJc w:val="left"/>
      <w:pPr>
        <w:ind w:left="5760" w:hanging="360"/>
      </w:pPr>
      <w:rPr>
        <w:rFonts w:ascii="Courier New" w:hAnsi="Courier New" w:cs="Courier New" w:hint="default"/>
      </w:rPr>
    </w:lvl>
    <w:lvl w:ilvl="8" w:tplc="BB043D66" w:tentative="1">
      <w:start w:val="1"/>
      <w:numFmt w:val="bullet"/>
      <w:lvlText w:val=""/>
      <w:lvlJc w:val="left"/>
      <w:pPr>
        <w:ind w:left="6480" w:hanging="360"/>
      </w:pPr>
      <w:rPr>
        <w:rFonts w:ascii="Wingdings" w:hAnsi="Wingdings" w:hint="default"/>
      </w:rPr>
    </w:lvl>
  </w:abstractNum>
  <w:abstractNum w:abstractNumId="12">
    <w:nsid w:val="26682A50"/>
    <w:multiLevelType w:val="hybridMultilevel"/>
    <w:tmpl w:val="EB2C9C28"/>
    <w:lvl w:ilvl="0" w:tplc="F4CCEF0C">
      <w:start w:val="1"/>
      <w:numFmt w:val="bullet"/>
      <w:lvlText w:val=""/>
      <w:lvlJc w:val="left"/>
      <w:pPr>
        <w:ind w:left="360" w:hanging="360"/>
      </w:pPr>
      <w:rPr>
        <w:rFonts w:ascii="Symbol" w:hAnsi="Symbol" w:hint="default"/>
      </w:rPr>
    </w:lvl>
    <w:lvl w:ilvl="1" w:tplc="536265DC">
      <w:start w:val="1"/>
      <w:numFmt w:val="bullet"/>
      <w:lvlText w:val="o"/>
      <w:lvlJc w:val="left"/>
      <w:pPr>
        <w:ind w:left="1080" w:hanging="360"/>
      </w:pPr>
      <w:rPr>
        <w:rFonts w:ascii="Courier New" w:hAnsi="Courier New" w:cs="Courier New" w:hint="default"/>
      </w:rPr>
    </w:lvl>
    <w:lvl w:ilvl="2" w:tplc="0688F88E">
      <w:start w:val="1"/>
      <w:numFmt w:val="bullet"/>
      <w:lvlText w:val=""/>
      <w:lvlJc w:val="left"/>
      <w:pPr>
        <w:ind w:left="1800" w:hanging="360"/>
      </w:pPr>
      <w:rPr>
        <w:rFonts w:ascii="Wingdings" w:hAnsi="Wingdings" w:hint="default"/>
      </w:rPr>
    </w:lvl>
    <w:lvl w:ilvl="3" w:tplc="1A7EC140">
      <w:start w:val="1"/>
      <w:numFmt w:val="bullet"/>
      <w:lvlText w:val=""/>
      <w:lvlJc w:val="left"/>
      <w:pPr>
        <w:ind w:left="2520" w:hanging="360"/>
      </w:pPr>
      <w:rPr>
        <w:rFonts w:ascii="Symbol" w:hAnsi="Symbol" w:hint="default"/>
      </w:rPr>
    </w:lvl>
    <w:lvl w:ilvl="4" w:tplc="68004590" w:tentative="1">
      <w:start w:val="1"/>
      <w:numFmt w:val="bullet"/>
      <w:lvlText w:val="o"/>
      <w:lvlJc w:val="left"/>
      <w:pPr>
        <w:ind w:left="3240" w:hanging="360"/>
      </w:pPr>
      <w:rPr>
        <w:rFonts w:ascii="Courier New" w:hAnsi="Courier New" w:cs="Courier New" w:hint="default"/>
      </w:rPr>
    </w:lvl>
    <w:lvl w:ilvl="5" w:tplc="FDBE2AC2" w:tentative="1">
      <w:start w:val="1"/>
      <w:numFmt w:val="bullet"/>
      <w:lvlText w:val=""/>
      <w:lvlJc w:val="left"/>
      <w:pPr>
        <w:ind w:left="3960" w:hanging="360"/>
      </w:pPr>
      <w:rPr>
        <w:rFonts w:ascii="Wingdings" w:hAnsi="Wingdings" w:hint="default"/>
      </w:rPr>
    </w:lvl>
    <w:lvl w:ilvl="6" w:tplc="BDA84648" w:tentative="1">
      <w:start w:val="1"/>
      <w:numFmt w:val="bullet"/>
      <w:lvlText w:val=""/>
      <w:lvlJc w:val="left"/>
      <w:pPr>
        <w:ind w:left="4680" w:hanging="360"/>
      </w:pPr>
      <w:rPr>
        <w:rFonts w:ascii="Symbol" w:hAnsi="Symbol" w:hint="default"/>
      </w:rPr>
    </w:lvl>
    <w:lvl w:ilvl="7" w:tplc="A796C44E" w:tentative="1">
      <w:start w:val="1"/>
      <w:numFmt w:val="bullet"/>
      <w:lvlText w:val="o"/>
      <w:lvlJc w:val="left"/>
      <w:pPr>
        <w:ind w:left="5400" w:hanging="360"/>
      </w:pPr>
      <w:rPr>
        <w:rFonts w:ascii="Courier New" w:hAnsi="Courier New" w:cs="Courier New" w:hint="default"/>
      </w:rPr>
    </w:lvl>
    <w:lvl w:ilvl="8" w:tplc="994C5E2E" w:tentative="1">
      <w:start w:val="1"/>
      <w:numFmt w:val="bullet"/>
      <w:pStyle w:val="Ttulo9"/>
      <w:lvlText w:val=""/>
      <w:lvlJc w:val="left"/>
      <w:pPr>
        <w:ind w:left="6120" w:hanging="360"/>
      </w:pPr>
      <w:rPr>
        <w:rFonts w:ascii="Wingdings" w:hAnsi="Wingdings" w:hint="default"/>
      </w:rPr>
    </w:lvl>
  </w:abstractNum>
  <w:abstractNum w:abstractNumId="13">
    <w:nsid w:val="29A55F1A"/>
    <w:multiLevelType w:val="multilevel"/>
    <w:tmpl w:val="838AC674"/>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nsid w:val="2CF01FB5"/>
    <w:multiLevelType w:val="hybridMultilevel"/>
    <w:tmpl w:val="FB8E00EE"/>
    <w:lvl w:ilvl="0" w:tplc="51520F46">
      <w:start w:val="1"/>
      <w:numFmt w:val="bullet"/>
      <w:lvlText w:val=""/>
      <w:lvlJc w:val="left"/>
      <w:pPr>
        <w:ind w:left="2160" w:hanging="360"/>
      </w:pPr>
      <w:rPr>
        <w:rFonts w:ascii="Wingdings" w:hAnsi="Wingdings" w:hint="default"/>
      </w:rPr>
    </w:lvl>
    <w:lvl w:ilvl="1" w:tplc="61C88C54">
      <w:start w:val="1"/>
      <w:numFmt w:val="bullet"/>
      <w:lvlText w:val="o"/>
      <w:lvlJc w:val="left"/>
      <w:pPr>
        <w:ind w:left="2880" w:hanging="360"/>
      </w:pPr>
      <w:rPr>
        <w:rFonts w:ascii="Courier New" w:hAnsi="Courier New" w:cs="Courier New" w:hint="default"/>
      </w:rPr>
    </w:lvl>
    <w:lvl w:ilvl="2" w:tplc="E67E1C82" w:tentative="1">
      <w:start w:val="1"/>
      <w:numFmt w:val="bullet"/>
      <w:lvlText w:val=""/>
      <w:lvlJc w:val="left"/>
      <w:pPr>
        <w:ind w:left="3600" w:hanging="360"/>
      </w:pPr>
      <w:rPr>
        <w:rFonts w:ascii="Wingdings" w:hAnsi="Wingdings" w:hint="default"/>
      </w:rPr>
    </w:lvl>
    <w:lvl w:ilvl="3" w:tplc="11F8D54E" w:tentative="1">
      <w:start w:val="1"/>
      <w:numFmt w:val="bullet"/>
      <w:lvlText w:val=""/>
      <w:lvlJc w:val="left"/>
      <w:pPr>
        <w:ind w:left="4320" w:hanging="360"/>
      </w:pPr>
      <w:rPr>
        <w:rFonts w:ascii="Symbol" w:hAnsi="Symbol" w:hint="default"/>
      </w:rPr>
    </w:lvl>
    <w:lvl w:ilvl="4" w:tplc="B94C1AA4" w:tentative="1">
      <w:start w:val="1"/>
      <w:numFmt w:val="bullet"/>
      <w:lvlText w:val="o"/>
      <w:lvlJc w:val="left"/>
      <w:pPr>
        <w:ind w:left="5040" w:hanging="360"/>
      </w:pPr>
      <w:rPr>
        <w:rFonts w:ascii="Courier New" w:hAnsi="Courier New" w:cs="Courier New" w:hint="default"/>
      </w:rPr>
    </w:lvl>
    <w:lvl w:ilvl="5" w:tplc="4EC8C6B4" w:tentative="1">
      <w:start w:val="1"/>
      <w:numFmt w:val="bullet"/>
      <w:lvlText w:val=""/>
      <w:lvlJc w:val="left"/>
      <w:pPr>
        <w:ind w:left="5760" w:hanging="360"/>
      </w:pPr>
      <w:rPr>
        <w:rFonts w:ascii="Wingdings" w:hAnsi="Wingdings" w:hint="default"/>
      </w:rPr>
    </w:lvl>
    <w:lvl w:ilvl="6" w:tplc="5C767318" w:tentative="1">
      <w:start w:val="1"/>
      <w:numFmt w:val="bullet"/>
      <w:lvlText w:val=""/>
      <w:lvlJc w:val="left"/>
      <w:pPr>
        <w:ind w:left="6480" w:hanging="360"/>
      </w:pPr>
      <w:rPr>
        <w:rFonts w:ascii="Symbol" w:hAnsi="Symbol" w:hint="default"/>
      </w:rPr>
    </w:lvl>
    <w:lvl w:ilvl="7" w:tplc="D4F2D7C8" w:tentative="1">
      <w:start w:val="1"/>
      <w:numFmt w:val="bullet"/>
      <w:lvlText w:val="o"/>
      <w:lvlJc w:val="left"/>
      <w:pPr>
        <w:ind w:left="7200" w:hanging="360"/>
      </w:pPr>
      <w:rPr>
        <w:rFonts w:ascii="Courier New" w:hAnsi="Courier New" w:cs="Courier New" w:hint="default"/>
      </w:rPr>
    </w:lvl>
    <w:lvl w:ilvl="8" w:tplc="D3F0562E" w:tentative="1">
      <w:start w:val="1"/>
      <w:numFmt w:val="bullet"/>
      <w:lvlText w:val=""/>
      <w:lvlJc w:val="left"/>
      <w:pPr>
        <w:ind w:left="7920" w:hanging="360"/>
      </w:pPr>
      <w:rPr>
        <w:rFonts w:ascii="Wingdings" w:hAnsi="Wingdings" w:hint="default"/>
      </w:rPr>
    </w:lvl>
  </w:abstractNum>
  <w:abstractNum w:abstractNumId="15">
    <w:nsid w:val="33433CF2"/>
    <w:multiLevelType w:val="hybridMultilevel"/>
    <w:tmpl w:val="C14C079A"/>
    <w:lvl w:ilvl="0" w:tplc="8086FB1E">
      <w:start w:val="1"/>
      <w:numFmt w:val="decimal"/>
      <w:lvlText w:val="%1."/>
      <w:lvlJc w:val="left"/>
      <w:pPr>
        <w:ind w:left="360" w:hanging="360"/>
      </w:pPr>
    </w:lvl>
    <w:lvl w:ilvl="1" w:tplc="36D29A62" w:tentative="1">
      <w:start w:val="1"/>
      <w:numFmt w:val="lowerLetter"/>
      <w:lvlText w:val="%2."/>
      <w:lvlJc w:val="left"/>
      <w:pPr>
        <w:ind w:left="1080" w:hanging="360"/>
      </w:pPr>
    </w:lvl>
    <w:lvl w:ilvl="2" w:tplc="34586A1A" w:tentative="1">
      <w:start w:val="1"/>
      <w:numFmt w:val="lowerRoman"/>
      <w:lvlText w:val="%3."/>
      <w:lvlJc w:val="right"/>
      <w:pPr>
        <w:ind w:left="1800" w:hanging="180"/>
      </w:pPr>
    </w:lvl>
    <w:lvl w:ilvl="3" w:tplc="F6E66D3C" w:tentative="1">
      <w:start w:val="1"/>
      <w:numFmt w:val="decimal"/>
      <w:lvlText w:val="%4."/>
      <w:lvlJc w:val="left"/>
      <w:pPr>
        <w:ind w:left="2520" w:hanging="360"/>
      </w:pPr>
    </w:lvl>
    <w:lvl w:ilvl="4" w:tplc="201426B8" w:tentative="1">
      <w:start w:val="1"/>
      <w:numFmt w:val="lowerLetter"/>
      <w:lvlText w:val="%5."/>
      <w:lvlJc w:val="left"/>
      <w:pPr>
        <w:ind w:left="3240" w:hanging="360"/>
      </w:pPr>
    </w:lvl>
    <w:lvl w:ilvl="5" w:tplc="C5CA5120" w:tentative="1">
      <w:start w:val="1"/>
      <w:numFmt w:val="lowerRoman"/>
      <w:lvlText w:val="%6."/>
      <w:lvlJc w:val="right"/>
      <w:pPr>
        <w:ind w:left="3960" w:hanging="180"/>
      </w:pPr>
    </w:lvl>
    <w:lvl w:ilvl="6" w:tplc="CEAC57A8" w:tentative="1">
      <w:start w:val="1"/>
      <w:numFmt w:val="decimal"/>
      <w:lvlText w:val="%7."/>
      <w:lvlJc w:val="left"/>
      <w:pPr>
        <w:ind w:left="4680" w:hanging="360"/>
      </w:pPr>
    </w:lvl>
    <w:lvl w:ilvl="7" w:tplc="319A2688" w:tentative="1">
      <w:start w:val="1"/>
      <w:numFmt w:val="lowerLetter"/>
      <w:lvlText w:val="%8."/>
      <w:lvlJc w:val="left"/>
      <w:pPr>
        <w:ind w:left="5400" w:hanging="360"/>
      </w:pPr>
    </w:lvl>
    <w:lvl w:ilvl="8" w:tplc="7194ADBE" w:tentative="1">
      <w:start w:val="1"/>
      <w:numFmt w:val="lowerRoman"/>
      <w:lvlText w:val="%9."/>
      <w:lvlJc w:val="right"/>
      <w:pPr>
        <w:ind w:left="6120" w:hanging="180"/>
      </w:pPr>
    </w:lvl>
  </w:abstractNum>
  <w:abstractNum w:abstractNumId="16">
    <w:nsid w:val="39396E1D"/>
    <w:multiLevelType w:val="hybridMultilevel"/>
    <w:tmpl w:val="174C433A"/>
    <w:lvl w:ilvl="0" w:tplc="75E07F34">
      <w:start w:val="1"/>
      <w:numFmt w:val="bullet"/>
      <w:lvlText w:val=""/>
      <w:lvlJc w:val="left"/>
      <w:pPr>
        <w:ind w:left="720" w:hanging="360"/>
      </w:pPr>
      <w:rPr>
        <w:rFonts w:ascii="Symbol" w:hAnsi="Symbol" w:hint="default"/>
      </w:rPr>
    </w:lvl>
    <w:lvl w:ilvl="1" w:tplc="75F0E1DA">
      <w:start w:val="1"/>
      <w:numFmt w:val="bullet"/>
      <w:lvlText w:val="o"/>
      <w:lvlJc w:val="left"/>
      <w:pPr>
        <w:ind w:left="1440" w:hanging="360"/>
      </w:pPr>
      <w:rPr>
        <w:rFonts w:ascii="Courier New" w:hAnsi="Courier New" w:cs="Courier New" w:hint="default"/>
      </w:rPr>
    </w:lvl>
    <w:lvl w:ilvl="2" w:tplc="1A0A4EDE" w:tentative="1">
      <w:start w:val="1"/>
      <w:numFmt w:val="bullet"/>
      <w:lvlText w:val=""/>
      <w:lvlJc w:val="left"/>
      <w:pPr>
        <w:ind w:left="2160" w:hanging="360"/>
      </w:pPr>
      <w:rPr>
        <w:rFonts w:ascii="Wingdings" w:hAnsi="Wingdings" w:hint="default"/>
      </w:rPr>
    </w:lvl>
    <w:lvl w:ilvl="3" w:tplc="FC4C7BD6" w:tentative="1">
      <w:start w:val="1"/>
      <w:numFmt w:val="bullet"/>
      <w:lvlText w:val=""/>
      <w:lvlJc w:val="left"/>
      <w:pPr>
        <w:ind w:left="2880" w:hanging="360"/>
      </w:pPr>
      <w:rPr>
        <w:rFonts w:ascii="Symbol" w:hAnsi="Symbol" w:hint="default"/>
      </w:rPr>
    </w:lvl>
    <w:lvl w:ilvl="4" w:tplc="251055DE" w:tentative="1">
      <w:start w:val="1"/>
      <w:numFmt w:val="bullet"/>
      <w:lvlText w:val="o"/>
      <w:lvlJc w:val="left"/>
      <w:pPr>
        <w:ind w:left="3600" w:hanging="360"/>
      </w:pPr>
      <w:rPr>
        <w:rFonts w:ascii="Courier New" w:hAnsi="Courier New" w:cs="Courier New" w:hint="default"/>
      </w:rPr>
    </w:lvl>
    <w:lvl w:ilvl="5" w:tplc="BA5E2C20" w:tentative="1">
      <w:start w:val="1"/>
      <w:numFmt w:val="bullet"/>
      <w:lvlText w:val=""/>
      <w:lvlJc w:val="left"/>
      <w:pPr>
        <w:ind w:left="4320" w:hanging="360"/>
      </w:pPr>
      <w:rPr>
        <w:rFonts w:ascii="Wingdings" w:hAnsi="Wingdings" w:hint="default"/>
      </w:rPr>
    </w:lvl>
    <w:lvl w:ilvl="6" w:tplc="172C7182" w:tentative="1">
      <w:start w:val="1"/>
      <w:numFmt w:val="bullet"/>
      <w:lvlText w:val=""/>
      <w:lvlJc w:val="left"/>
      <w:pPr>
        <w:ind w:left="5040" w:hanging="360"/>
      </w:pPr>
      <w:rPr>
        <w:rFonts w:ascii="Symbol" w:hAnsi="Symbol" w:hint="default"/>
      </w:rPr>
    </w:lvl>
    <w:lvl w:ilvl="7" w:tplc="17D83C18" w:tentative="1">
      <w:start w:val="1"/>
      <w:numFmt w:val="bullet"/>
      <w:lvlText w:val="o"/>
      <w:lvlJc w:val="left"/>
      <w:pPr>
        <w:ind w:left="5760" w:hanging="360"/>
      </w:pPr>
      <w:rPr>
        <w:rFonts w:ascii="Courier New" w:hAnsi="Courier New" w:cs="Courier New" w:hint="default"/>
      </w:rPr>
    </w:lvl>
    <w:lvl w:ilvl="8" w:tplc="E2B495F2" w:tentative="1">
      <w:start w:val="1"/>
      <w:numFmt w:val="bullet"/>
      <w:lvlText w:val=""/>
      <w:lvlJc w:val="left"/>
      <w:pPr>
        <w:ind w:left="6480" w:hanging="360"/>
      </w:pPr>
      <w:rPr>
        <w:rFonts w:ascii="Wingdings" w:hAnsi="Wingdings" w:hint="default"/>
      </w:rPr>
    </w:lvl>
  </w:abstractNum>
  <w:abstractNum w:abstractNumId="17">
    <w:nsid w:val="3DAF325F"/>
    <w:multiLevelType w:val="hybridMultilevel"/>
    <w:tmpl w:val="4582E90C"/>
    <w:lvl w:ilvl="0" w:tplc="3E6AE126">
      <w:start w:val="1"/>
      <w:numFmt w:val="bullet"/>
      <w:lvlText w:val=""/>
      <w:lvlJc w:val="left"/>
      <w:pPr>
        <w:ind w:left="720" w:hanging="360"/>
      </w:pPr>
      <w:rPr>
        <w:rFonts w:ascii="Symbol" w:hAnsi="Symbol" w:hint="default"/>
      </w:rPr>
    </w:lvl>
    <w:lvl w:ilvl="1" w:tplc="2250BC50" w:tentative="1">
      <w:start w:val="1"/>
      <w:numFmt w:val="bullet"/>
      <w:lvlText w:val="o"/>
      <w:lvlJc w:val="left"/>
      <w:pPr>
        <w:ind w:left="1440" w:hanging="360"/>
      </w:pPr>
      <w:rPr>
        <w:rFonts w:ascii="Courier New" w:hAnsi="Courier New" w:cs="Courier New" w:hint="default"/>
      </w:rPr>
    </w:lvl>
    <w:lvl w:ilvl="2" w:tplc="D584AEBA" w:tentative="1">
      <w:start w:val="1"/>
      <w:numFmt w:val="bullet"/>
      <w:lvlText w:val=""/>
      <w:lvlJc w:val="left"/>
      <w:pPr>
        <w:ind w:left="2160" w:hanging="360"/>
      </w:pPr>
      <w:rPr>
        <w:rFonts w:ascii="Wingdings" w:hAnsi="Wingdings" w:hint="default"/>
      </w:rPr>
    </w:lvl>
    <w:lvl w:ilvl="3" w:tplc="86B09746" w:tentative="1">
      <w:start w:val="1"/>
      <w:numFmt w:val="bullet"/>
      <w:lvlText w:val=""/>
      <w:lvlJc w:val="left"/>
      <w:pPr>
        <w:ind w:left="2880" w:hanging="360"/>
      </w:pPr>
      <w:rPr>
        <w:rFonts w:ascii="Symbol" w:hAnsi="Symbol" w:hint="default"/>
      </w:rPr>
    </w:lvl>
    <w:lvl w:ilvl="4" w:tplc="C3FC162C" w:tentative="1">
      <w:start w:val="1"/>
      <w:numFmt w:val="bullet"/>
      <w:lvlText w:val="o"/>
      <w:lvlJc w:val="left"/>
      <w:pPr>
        <w:ind w:left="3600" w:hanging="360"/>
      </w:pPr>
      <w:rPr>
        <w:rFonts w:ascii="Courier New" w:hAnsi="Courier New" w:cs="Courier New" w:hint="default"/>
      </w:rPr>
    </w:lvl>
    <w:lvl w:ilvl="5" w:tplc="FF02B298" w:tentative="1">
      <w:start w:val="1"/>
      <w:numFmt w:val="bullet"/>
      <w:lvlText w:val=""/>
      <w:lvlJc w:val="left"/>
      <w:pPr>
        <w:ind w:left="4320" w:hanging="360"/>
      </w:pPr>
      <w:rPr>
        <w:rFonts w:ascii="Wingdings" w:hAnsi="Wingdings" w:hint="default"/>
      </w:rPr>
    </w:lvl>
    <w:lvl w:ilvl="6" w:tplc="F69EBBE8" w:tentative="1">
      <w:start w:val="1"/>
      <w:numFmt w:val="bullet"/>
      <w:lvlText w:val=""/>
      <w:lvlJc w:val="left"/>
      <w:pPr>
        <w:ind w:left="5040" w:hanging="360"/>
      </w:pPr>
      <w:rPr>
        <w:rFonts w:ascii="Symbol" w:hAnsi="Symbol" w:hint="default"/>
      </w:rPr>
    </w:lvl>
    <w:lvl w:ilvl="7" w:tplc="49CC6DC2" w:tentative="1">
      <w:start w:val="1"/>
      <w:numFmt w:val="bullet"/>
      <w:lvlText w:val="o"/>
      <w:lvlJc w:val="left"/>
      <w:pPr>
        <w:ind w:left="5760" w:hanging="360"/>
      </w:pPr>
      <w:rPr>
        <w:rFonts w:ascii="Courier New" w:hAnsi="Courier New" w:cs="Courier New" w:hint="default"/>
      </w:rPr>
    </w:lvl>
    <w:lvl w:ilvl="8" w:tplc="4ADE795A" w:tentative="1">
      <w:start w:val="1"/>
      <w:numFmt w:val="bullet"/>
      <w:lvlText w:val=""/>
      <w:lvlJc w:val="left"/>
      <w:pPr>
        <w:ind w:left="6480" w:hanging="360"/>
      </w:pPr>
      <w:rPr>
        <w:rFonts w:ascii="Wingdings" w:hAnsi="Wingdings" w:hint="default"/>
      </w:rPr>
    </w:lvl>
  </w:abstractNum>
  <w:abstractNum w:abstractNumId="18">
    <w:nsid w:val="3E5B654B"/>
    <w:multiLevelType w:val="hybridMultilevel"/>
    <w:tmpl w:val="7A684842"/>
    <w:lvl w:ilvl="0" w:tplc="808CF610">
      <w:numFmt w:val="bullet"/>
      <w:lvlText w:val="-"/>
      <w:lvlJc w:val="left"/>
      <w:pPr>
        <w:ind w:left="720" w:hanging="360"/>
      </w:pPr>
      <w:rPr>
        <w:rFonts w:ascii="Calibri" w:eastAsia="Calibri" w:hAnsi="Calibri" w:cs="Times New Roman" w:hint="default"/>
      </w:rPr>
    </w:lvl>
    <w:lvl w:ilvl="1" w:tplc="5386B83C">
      <w:start w:val="1"/>
      <w:numFmt w:val="bullet"/>
      <w:lvlText w:val="o"/>
      <w:lvlJc w:val="left"/>
      <w:pPr>
        <w:ind w:left="1440" w:hanging="360"/>
      </w:pPr>
      <w:rPr>
        <w:rFonts w:ascii="Courier New" w:hAnsi="Courier New" w:cs="Courier New" w:hint="default"/>
      </w:rPr>
    </w:lvl>
    <w:lvl w:ilvl="2" w:tplc="6AC46068">
      <w:start w:val="1"/>
      <w:numFmt w:val="bullet"/>
      <w:lvlText w:val=""/>
      <w:lvlJc w:val="left"/>
      <w:pPr>
        <w:ind w:left="2160" w:hanging="360"/>
      </w:pPr>
      <w:rPr>
        <w:rFonts w:ascii="Wingdings" w:hAnsi="Wingdings" w:hint="default"/>
      </w:rPr>
    </w:lvl>
    <w:lvl w:ilvl="3" w:tplc="12162CBE">
      <w:start w:val="1"/>
      <w:numFmt w:val="bullet"/>
      <w:lvlText w:val=""/>
      <w:lvlJc w:val="left"/>
      <w:pPr>
        <w:ind w:left="2880" w:hanging="360"/>
      </w:pPr>
      <w:rPr>
        <w:rFonts w:ascii="Symbol" w:hAnsi="Symbol" w:hint="default"/>
      </w:rPr>
    </w:lvl>
    <w:lvl w:ilvl="4" w:tplc="C0CE3048">
      <w:start w:val="1"/>
      <w:numFmt w:val="bullet"/>
      <w:lvlText w:val="o"/>
      <w:lvlJc w:val="left"/>
      <w:pPr>
        <w:ind w:left="3600" w:hanging="360"/>
      </w:pPr>
      <w:rPr>
        <w:rFonts w:ascii="Courier New" w:hAnsi="Courier New" w:cs="Courier New" w:hint="default"/>
      </w:rPr>
    </w:lvl>
    <w:lvl w:ilvl="5" w:tplc="9A24E04A">
      <w:start w:val="1"/>
      <w:numFmt w:val="bullet"/>
      <w:lvlText w:val=""/>
      <w:lvlJc w:val="left"/>
      <w:pPr>
        <w:ind w:left="4320" w:hanging="360"/>
      </w:pPr>
      <w:rPr>
        <w:rFonts w:ascii="Wingdings" w:hAnsi="Wingdings" w:hint="default"/>
      </w:rPr>
    </w:lvl>
    <w:lvl w:ilvl="6" w:tplc="FE186D0C">
      <w:start w:val="1"/>
      <w:numFmt w:val="bullet"/>
      <w:lvlText w:val=""/>
      <w:lvlJc w:val="left"/>
      <w:pPr>
        <w:ind w:left="5040" w:hanging="360"/>
      </w:pPr>
      <w:rPr>
        <w:rFonts w:ascii="Symbol" w:hAnsi="Symbol" w:hint="default"/>
      </w:rPr>
    </w:lvl>
    <w:lvl w:ilvl="7" w:tplc="BF8A9E68">
      <w:start w:val="1"/>
      <w:numFmt w:val="bullet"/>
      <w:lvlText w:val="o"/>
      <w:lvlJc w:val="left"/>
      <w:pPr>
        <w:ind w:left="5760" w:hanging="360"/>
      </w:pPr>
      <w:rPr>
        <w:rFonts w:ascii="Courier New" w:hAnsi="Courier New" w:cs="Courier New" w:hint="default"/>
      </w:rPr>
    </w:lvl>
    <w:lvl w:ilvl="8" w:tplc="A55EAF1A">
      <w:start w:val="1"/>
      <w:numFmt w:val="bullet"/>
      <w:lvlText w:val=""/>
      <w:lvlJc w:val="left"/>
      <w:pPr>
        <w:ind w:left="6480" w:hanging="360"/>
      </w:pPr>
      <w:rPr>
        <w:rFonts w:ascii="Wingdings" w:hAnsi="Wingdings" w:hint="default"/>
      </w:rPr>
    </w:lvl>
  </w:abstractNum>
  <w:abstractNum w:abstractNumId="19">
    <w:nsid w:val="434A2EDC"/>
    <w:multiLevelType w:val="hybridMultilevel"/>
    <w:tmpl w:val="C42C55DC"/>
    <w:lvl w:ilvl="0" w:tplc="2EEEA4A4">
      <w:start w:val="1"/>
      <w:numFmt w:val="bullet"/>
      <w:lvlText w:val=""/>
      <w:lvlJc w:val="left"/>
      <w:pPr>
        <w:ind w:left="360" w:hanging="360"/>
      </w:pPr>
      <w:rPr>
        <w:rFonts w:ascii="Symbol" w:hAnsi="Symbol" w:hint="default"/>
      </w:rPr>
    </w:lvl>
    <w:lvl w:ilvl="1" w:tplc="96C6C66E" w:tentative="1">
      <w:start w:val="1"/>
      <w:numFmt w:val="bullet"/>
      <w:lvlText w:val="o"/>
      <w:lvlJc w:val="left"/>
      <w:pPr>
        <w:ind w:left="1080" w:hanging="360"/>
      </w:pPr>
      <w:rPr>
        <w:rFonts w:ascii="Courier New" w:hAnsi="Courier New" w:cs="Courier New" w:hint="default"/>
      </w:rPr>
    </w:lvl>
    <w:lvl w:ilvl="2" w:tplc="1B9EC2D2" w:tentative="1">
      <w:start w:val="1"/>
      <w:numFmt w:val="bullet"/>
      <w:lvlText w:val=""/>
      <w:lvlJc w:val="left"/>
      <w:pPr>
        <w:ind w:left="1800" w:hanging="360"/>
      </w:pPr>
      <w:rPr>
        <w:rFonts w:ascii="Wingdings" w:hAnsi="Wingdings" w:hint="default"/>
      </w:rPr>
    </w:lvl>
    <w:lvl w:ilvl="3" w:tplc="88A6ABEA" w:tentative="1">
      <w:start w:val="1"/>
      <w:numFmt w:val="bullet"/>
      <w:lvlText w:val=""/>
      <w:lvlJc w:val="left"/>
      <w:pPr>
        <w:ind w:left="2520" w:hanging="360"/>
      </w:pPr>
      <w:rPr>
        <w:rFonts w:ascii="Symbol" w:hAnsi="Symbol" w:hint="default"/>
      </w:rPr>
    </w:lvl>
    <w:lvl w:ilvl="4" w:tplc="B0F67704" w:tentative="1">
      <w:start w:val="1"/>
      <w:numFmt w:val="bullet"/>
      <w:lvlText w:val="o"/>
      <w:lvlJc w:val="left"/>
      <w:pPr>
        <w:ind w:left="3240" w:hanging="360"/>
      </w:pPr>
      <w:rPr>
        <w:rFonts w:ascii="Courier New" w:hAnsi="Courier New" w:cs="Courier New" w:hint="default"/>
      </w:rPr>
    </w:lvl>
    <w:lvl w:ilvl="5" w:tplc="74380C52" w:tentative="1">
      <w:start w:val="1"/>
      <w:numFmt w:val="bullet"/>
      <w:lvlText w:val=""/>
      <w:lvlJc w:val="left"/>
      <w:pPr>
        <w:ind w:left="3960" w:hanging="360"/>
      </w:pPr>
      <w:rPr>
        <w:rFonts w:ascii="Wingdings" w:hAnsi="Wingdings" w:hint="default"/>
      </w:rPr>
    </w:lvl>
    <w:lvl w:ilvl="6" w:tplc="0DB423A2" w:tentative="1">
      <w:start w:val="1"/>
      <w:numFmt w:val="bullet"/>
      <w:lvlText w:val=""/>
      <w:lvlJc w:val="left"/>
      <w:pPr>
        <w:ind w:left="4680" w:hanging="360"/>
      </w:pPr>
      <w:rPr>
        <w:rFonts w:ascii="Symbol" w:hAnsi="Symbol" w:hint="default"/>
      </w:rPr>
    </w:lvl>
    <w:lvl w:ilvl="7" w:tplc="7DB2924C" w:tentative="1">
      <w:start w:val="1"/>
      <w:numFmt w:val="bullet"/>
      <w:lvlText w:val="o"/>
      <w:lvlJc w:val="left"/>
      <w:pPr>
        <w:ind w:left="5400" w:hanging="360"/>
      </w:pPr>
      <w:rPr>
        <w:rFonts w:ascii="Courier New" w:hAnsi="Courier New" w:cs="Courier New" w:hint="default"/>
      </w:rPr>
    </w:lvl>
    <w:lvl w:ilvl="8" w:tplc="DBD068BA" w:tentative="1">
      <w:start w:val="1"/>
      <w:numFmt w:val="bullet"/>
      <w:lvlText w:val=""/>
      <w:lvlJc w:val="left"/>
      <w:pPr>
        <w:ind w:left="6120" w:hanging="360"/>
      </w:pPr>
      <w:rPr>
        <w:rFonts w:ascii="Wingdings" w:hAnsi="Wingdings" w:hint="default"/>
      </w:rPr>
    </w:lvl>
  </w:abstractNum>
  <w:abstractNum w:abstractNumId="20">
    <w:nsid w:val="44010F62"/>
    <w:multiLevelType w:val="hybridMultilevel"/>
    <w:tmpl w:val="85C0A9C0"/>
    <w:lvl w:ilvl="0" w:tplc="38849B76">
      <w:start w:val="1"/>
      <w:numFmt w:val="bullet"/>
      <w:lvlText w:val=""/>
      <w:lvlJc w:val="left"/>
      <w:pPr>
        <w:ind w:left="432" w:hanging="360"/>
      </w:pPr>
      <w:rPr>
        <w:rFonts w:ascii="Symbol" w:hAnsi="Symbol" w:hint="default"/>
      </w:rPr>
    </w:lvl>
    <w:lvl w:ilvl="1" w:tplc="A1D2A052">
      <w:start w:val="1"/>
      <w:numFmt w:val="bullet"/>
      <w:lvlText w:val="o"/>
      <w:lvlJc w:val="left"/>
      <w:pPr>
        <w:ind w:left="1152" w:hanging="360"/>
      </w:pPr>
      <w:rPr>
        <w:rFonts w:ascii="Courier New" w:hAnsi="Courier New" w:cs="Courier New" w:hint="default"/>
      </w:rPr>
    </w:lvl>
    <w:lvl w:ilvl="2" w:tplc="ED8A84F4" w:tentative="1">
      <w:start w:val="1"/>
      <w:numFmt w:val="bullet"/>
      <w:lvlText w:val=""/>
      <w:lvlJc w:val="left"/>
      <w:pPr>
        <w:ind w:left="1872" w:hanging="360"/>
      </w:pPr>
      <w:rPr>
        <w:rFonts w:ascii="Wingdings" w:hAnsi="Wingdings" w:hint="default"/>
      </w:rPr>
    </w:lvl>
    <w:lvl w:ilvl="3" w:tplc="FF308D92" w:tentative="1">
      <w:start w:val="1"/>
      <w:numFmt w:val="bullet"/>
      <w:lvlText w:val=""/>
      <w:lvlJc w:val="left"/>
      <w:pPr>
        <w:ind w:left="2592" w:hanging="360"/>
      </w:pPr>
      <w:rPr>
        <w:rFonts w:ascii="Symbol" w:hAnsi="Symbol" w:hint="default"/>
      </w:rPr>
    </w:lvl>
    <w:lvl w:ilvl="4" w:tplc="876491F8" w:tentative="1">
      <w:start w:val="1"/>
      <w:numFmt w:val="bullet"/>
      <w:lvlText w:val="o"/>
      <w:lvlJc w:val="left"/>
      <w:pPr>
        <w:ind w:left="3312" w:hanging="360"/>
      </w:pPr>
      <w:rPr>
        <w:rFonts w:ascii="Courier New" w:hAnsi="Courier New" w:cs="Courier New" w:hint="default"/>
      </w:rPr>
    </w:lvl>
    <w:lvl w:ilvl="5" w:tplc="7E224A4C" w:tentative="1">
      <w:start w:val="1"/>
      <w:numFmt w:val="bullet"/>
      <w:lvlText w:val=""/>
      <w:lvlJc w:val="left"/>
      <w:pPr>
        <w:ind w:left="4032" w:hanging="360"/>
      </w:pPr>
      <w:rPr>
        <w:rFonts w:ascii="Wingdings" w:hAnsi="Wingdings" w:hint="default"/>
      </w:rPr>
    </w:lvl>
    <w:lvl w:ilvl="6" w:tplc="D4F2EB00" w:tentative="1">
      <w:start w:val="1"/>
      <w:numFmt w:val="bullet"/>
      <w:lvlText w:val=""/>
      <w:lvlJc w:val="left"/>
      <w:pPr>
        <w:ind w:left="4752" w:hanging="360"/>
      </w:pPr>
      <w:rPr>
        <w:rFonts w:ascii="Symbol" w:hAnsi="Symbol" w:hint="default"/>
      </w:rPr>
    </w:lvl>
    <w:lvl w:ilvl="7" w:tplc="FC18E3DA" w:tentative="1">
      <w:start w:val="1"/>
      <w:numFmt w:val="bullet"/>
      <w:lvlText w:val="o"/>
      <w:lvlJc w:val="left"/>
      <w:pPr>
        <w:ind w:left="5472" w:hanging="360"/>
      </w:pPr>
      <w:rPr>
        <w:rFonts w:ascii="Courier New" w:hAnsi="Courier New" w:cs="Courier New" w:hint="default"/>
      </w:rPr>
    </w:lvl>
    <w:lvl w:ilvl="8" w:tplc="A3CE8226" w:tentative="1">
      <w:start w:val="1"/>
      <w:numFmt w:val="bullet"/>
      <w:lvlText w:val=""/>
      <w:lvlJc w:val="left"/>
      <w:pPr>
        <w:ind w:left="6192" w:hanging="360"/>
      </w:pPr>
      <w:rPr>
        <w:rFonts w:ascii="Wingdings" w:hAnsi="Wingdings" w:hint="default"/>
      </w:rPr>
    </w:lvl>
  </w:abstractNum>
  <w:abstractNum w:abstractNumId="21">
    <w:nsid w:val="489C5C5E"/>
    <w:multiLevelType w:val="hybridMultilevel"/>
    <w:tmpl w:val="A6D00730"/>
    <w:lvl w:ilvl="0" w:tplc="3E92B5D2">
      <w:start w:val="1"/>
      <w:numFmt w:val="bullet"/>
      <w:lvlText w:val=""/>
      <w:lvlJc w:val="left"/>
      <w:pPr>
        <w:ind w:left="720" w:hanging="360"/>
      </w:pPr>
      <w:rPr>
        <w:rFonts w:ascii="Symbol" w:hAnsi="Symbol" w:hint="default"/>
      </w:rPr>
    </w:lvl>
    <w:lvl w:ilvl="1" w:tplc="B2388C94" w:tentative="1">
      <w:start w:val="1"/>
      <w:numFmt w:val="bullet"/>
      <w:lvlText w:val="o"/>
      <w:lvlJc w:val="left"/>
      <w:pPr>
        <w:ind w:left="1440" w:hanging="360"/>
      </w:pPr>
      <w:rPr>
        <w:rFonts w:ascii="Courier New" w:hAnsi="Courier New" w:cs="Courier New" w:hint="default"/>
      </w:rPr>
    </w:lvl>
    <w:lvl w:ilvl="2" w:tplc="75A846F2" w:tentative="1">
      <w:start w:val="1"/>
      <w:numFmt w:val="bullet"/>
      <w:lvlText w:val=""/>
      <w:lvlJc w:val="left"/>
      <w:pPr>
        <w:ind w:left="2160" w:hanging="360"/>
      </w:pPr>
      <w:rPr>
        <w:rFonts w:ascii="Wingdings" w:hAnsi="Wingdings" w:hint="default"/>
      </w:rPr>
    </w:lvl>
    <w:lvl w:ilvl="3" w:tplc="113A647E" w:tentative="1">
      <w:start w:val="1"/>
      <w:numFmt w:val="bullet"/>
      <w:lvlText w:val=""/>
      <w:lvlJc w:val="left"/>
      <w:pPr>
        <w:ind w:left="2880" w:hanging="360"/>
      </w:pPr>
      <w:rPr>
        <w:rFonts w:ascii="Symbol" w:hAnsi="Symbol" w:hint="default"/>
      </w:rPr>
    </w:lvl>
    <w:lvl w:ilvl="4" w:tplc="96803E5C" w:tentative="1">
      <w:start w:val="1"/>
      <w:numFmt w:val="bullet"/>
      <w:lvlText w:val="o"/>
      <w:lvlJc w:val="left"/>
      <w:pPr>
        <w:ind w:left="3600" w:hanging="360"/>
      </w:pPr>
      <w:rPr>
        <w:rFonts w:ascii="Courier New" w:hAnsi="Courier New" w:cs="Courier New" w:hint="default"/>
      </w:rPr>
    </w:lvl>
    <w:lvl w:ilvl="5" w:tplc="B6DEE0B0" w:tentative="1">
      <w:start w:val="1"/>
      <w:numFmt w:val="bullet"/>
      <w:lvlText w:val=""/>
      <w:lvlJc w:val="left"/>
      <w:pPr>
        <w:ind w:left="4320" w:hanging="360"/>
      </w:pPr>
      <w:rPr>
        <w:rFonts w:ascii="Wingdings" w:hAnsi="Wingdings" w:hint="default"/>
      </w:rPr>
    </w:lvl>
    <w:lvl w:ilvl="6" w:tplc="67D0202C" w:tentative="1">
      <w:start w:val="1"/>
      <w:numFmt w:val="bullet"/>
      <w:lvlText w:val=""/>
      <w:lvlJc w:val="left"/>
      <w:pPr>
        <w:ind w:left="5040" w:hanging="360"/>
      </w:pPr>
      <w:rPr>
        <w:rFonts w:ascii="Symbol" w:hAnsi="Symbol" w:hint="default"/>
      </w:rPr>
    </w:lvl>
    <w:lvl w:ilvl="7" w:tplc="A3068D6E" w:tentative="1">
      <w:start w:val="1"/>
      <w:numFmt w:val="bullet"/>
      <w:lvlText w:val="o"/>
      <w:lvlJc w:val="left"/>
      <w:pPr>
        <w:ind w:left="5760" w:hanging="360"/>
      </w:pPr>
      <w:rPr>
        <w:rFonts w:ascii="Courier New" w:hAnsi="Courier New" w:cs="Courier New" w:hint="default"/>
      </w:rPr>
    </w:lvl>
    <w:lvl w:ilvl="8" w:tplc="3E56BE84" w:tentative="1">
      <w:start w:val="1"/>
      <w:numFmt w:val="bullet"/>
      <w:lvlText w:val=""/>
      <w:lvlJc w:val="left"/>
      <w:pPr>
        <w:ind w:left="6480" w:hanging="360"/>
      </w:pPr>
      <w:rPr>
        <w:rFonts w:ascii="Wingdings" w:hAnsi="Wingdings" w:hint="default"/>
      </w:rPr>
    </w:lvl>
  </w:abstractNum>
  <w:abstractNum w:abstractNumId="22">
    <w:nsid w:val="492C73C8"/>
    <w:multiLevelType w:val="hybridMultilevel"/>
    <w:tmpl w:val="05A28468"/>
    <w:lvl w:ilvl="0" w:tplc="B800668C">
      <w:start w:val="1"/>
      <w:numFmt w:val="bullet"/>
      <w:lvlText w:val=""/>
      <w:lvlJc w:val="left"/>
      <w:pPr>
        <w:ind w:left="720" w:hanging="360"/>
      </w:pPr>
      <w:rPr>
        <w:rFonts w:ascii="Symbol" w:hAnsi="Symbol" w:hint="default"/>
      </w:rPr>
    </w:lvl>
    <w:lvl w:ilvl="1" w:tplc="8E0CFF50" w:tentative="1">
      <w:start w:val="1"/>
      <w:numFmt w:val="bullet"/>
      <w:lvlText w:val="o"/>
      <w:lvlJc w:val="left"/>
      <w:pPr>
        <w:ind w:left="1440" w:hanging="360"/>
      </w:pPr>
      <w:rPr>
        <w:rFonts w:ascii="Courier New" w:hAnsi="Courier New" w:cs="Courier New" w:hint="default"/>
      </w:rPr>
    </w:lvl>
    <w:lvl w:ilvl="2" w:tplc="30302CA4" w:tentative="1">
      <w:start w:val="1"/>
      <w:numFmt w:val="bullet"/>
      <w:lvlText w:val=""/>
      <w:lvlJc w:val="left"/>
      <w:pPr>
        <w:ind w:left="2160" w:hanging="360"/>
      </w:pPr>
      <w:rPr>
        <w:rFonts w:ascii="Wingdings" w:hAnsi="Wingdings" w:hint="default"/>
      </w:rPr>
    </w:lvl>
    <w:lvl w:ilvl="3" w:tplc="0CFA41D8" w:tentative="1">
      <w:start w:val="1"/>
      <w:numFmt w:val="bullet"/>
      <w:lvlText w:val=""/>
      <w:lvlJc w:val="left"/>
      <w:pPr>
        <w:ind w:left="2880" w:hanging="360"/>
      </w:pPr>
      <w:rPr>
        <w:rFonts w:ascii="Symbol" w:hAnsi="Symbol" w:hint="default"/>
      </w:rPr>
    </w:lvl>
    <w:lvl w:ilvl="4" w:tplc="59C678BE" w:tentative="1">
      <w:start w:val="1"/>
      <w:numFmt w:val="bullet"/>
      <w:lvlText w:val="o"/>
      <w:lvlJc w:val="left"/>
      <w:pPr>
        <w:ind w:left="3600" w:hanging="360"/>
      </w:pPr>
      <w:rPr>
        <w:rFonts w:ascii="Courier New" w:hAnsi="Courier New" w:cs="Courier New" w:hint="default"/>
      </w:rPr>
    </w:lvl>
    <w:lvl w:ilvl="5" w:tplc="70608948" w:tentative="1">
      <w:start w:val="1"/>
      <w:numFmt w:val="bullet"/>
      <w:lvlText w:val=""/>
      <w:lvlJc w:val="left"/>
      <w:pPr>
        <w:ind w:left="4320" w:hanging="360"/>
      </w:pPr>
      <w:rPr>
        <w:rFonts w:ascii="Wingdings" w:hAnsi="Wingdings" w:hint="default"/>
      </w:rPr>
    </w:lvl>
    <w:lvl w:ilvl="6" w:tplc="14BCC5A8" w:tentative="1">
      <w:start w:val="1"/>
      <w:numFmt w:val="bullet"/>
      <w:lvlText w:val=""/>
      <w:lvlJc w:val="left"/>
      <w:pPr>
        <w:ind w:left="5040" w:hanging="360"/>
      </w:pPr>
      <w:rPr>
        <w:rFonts w:ascii="Symbol" w:hAnsi="Symbol" w:hint="default"/>
      </w:rPr>
    </w:lvl>
    <w:lvl w:ilvl="7" w:tplc="52D2B3E2" w:tentative="1">
      <w:start w:val="1"/>
      <w:numFmt w:val="bullet"/>
      <w:lvlText w:val="o"/>
      <w:lvlJc w:val="left"/>
      <w:pPr>
        <w:ind w:left="5760" w:hanging="360"/>
      </w:pPr>
      <w:rPr>
        <w:rFonts w:ascii="Courier New" w:hAnsi="Courier New" w:cs="Courier New" w:hint="default"/>
      </w:rPr>
    </w:lvl>
    <w:lvl w:ilvl="8" w:tplc="5B5C3238" w:tentative="1">
      <w:start w:val="1"/>
      <w:numFmt w:val="bullet"/>
      <w:lvlText w:val=""/>
      <w:lvlJc w:val="left"/>
      <w:pPr>
        <w:ind w:left="6480" w:hanging="360"/>
      </w:pPr>
      <w:rPr>
        <w:rFonts w:ascii="Wingdings" w:hAnsi="Wingdings" w:hint="default"/>
      </w:rPr>
    </w:lvl>
  </w:abstractNum>
  <w:abstractNum w:abstractNumId="23">
    <w:nsid w:val="4D032BED"/>
    <w:multiLevelType w:val="multilevel"/>
    <w:tmpl w:val="36F0EC68"/>
    <w:lvl w:ilvl="0">
      <w:start w:val="1"/>
      <w:numFmt w:val="decimal"/>
      <w:pStyle w:val="Ttulo1"/>
      <w:lvlText w:val="%1"/>
      <w:lvlJc w:val="left"/>
      <w:pPr>
        <w:ind w:left="432" w:hanging="432"/>
      </w:pPr>
    </w:lvl>
    <w:lvl w:ilvl="1">
      <w:start w:val="1"/>
      <w:numFmt w:val="decimal"/>
      <w:pStyle w:val="Ttulo2"/>
      <w:lvlText w:val="%1.%2"/>
      <w:lvlJc w:val="left"/>
      <w:pPr>
        <w:ind w:left="576" w:hanging="576"/>
      </w:pPr>
      <w:rPr>
        <w:rFonts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lvlText w:val="%1.%2.%3.%4.%5.%6.%7.%8.%9"/>
      <w:lvlJc w:val="left"/>
      <w:pPr>
        <w:ind w:left="1584" w:hanging="1584"/>
      </w:pPr>
    </w:lvl>
  </w:abstractNum>
  <w:abstractNum w:abstractNumId="24">
    <w:nsid w:val="5CC37459"/>
    <w:multiLevelType w:val="hybridMultilevel"/>
    <w:tmpl w:val="153C08F0"/>
    <w:lvl w:ilvl="0" w:tplc="48B231A2">
      <w:start w:val="1"/>
      <w:numFmt w:val="bullet"/>
      <w:lvlText w:val=""/>
      <w:lvlJc w:val="left"/>
      <w:pPr>
        <w:ind w:left="360" w:hanging="360"/>
      </w:pPr>
      <w:rPr>
        <w:rFonts w:ascii="Symbol" w:hAnsi="Symbol" w:hint="default"/>
      </w:rPr>
    </w:lvl>
    <w:lvl w:ilvl="1" w:tplc="5966F5CE">
      <w:start w:val="1"/>
      <w:numFmt w:val="bullet"/>
      <w:lvlText w:val="o"/>
      <w:lvlJc w:val="left"/>
      <w:pPr>
        <w:ind w:left="1080" w:hanging="360"/>
      </w:pPr>
      <w:rPr>
        <w:rFonts w:ascii="Courier New" w:hAnsi="Courier New" w:cs="Courier New" w:hint="default"/>
      </w:rPr>
    </w:lvl>
    <w:lvl w:ilvl="2" w:tplc="7116B1A8">
      <w:start w:val="1"/>
      <w:numFmt w:val="bullet"/>
      <w:lvlText w:val=""/>
      <w:lvlJc w:val="left"/>
      <w:pPr>
        <w:ind w:left="1800" w:hanging="360"/>
      </w:pPr>
      <w:rPr>
        <w:rFonts w:ascii="Wingdings" w:hAnsi="Wingdings" w:hint="default"/>
      </w:rPr>
    </w:lvl>
    <w:lvl w:ilvl="3" w:tplc="FE9A0686" w:tentative="1">
      <w:start w:val="1"/>
      <w:numFmt w:val="bullet"/>
      <w:lvlText w:val=""/>
      <w:lvlJc w:val="left"/>
      <w:pPr>
        <w:ind w:left="2520" w:hanging="360"/>
      </w:pPr>
      <w:rPr>
        <w:rFonts w:ascii="Symbol" w:hAnsi="Symbol" w:hint="default"/>
      </w:rPr>
    </w:lvl>
    <w:lvl w:ilvl="4" w:tplc="86420898" w:tentative="1">
      <w:start w:val="1"/>
      <w:numFmt w:val="bullet"/>
      <w:lvlText w:val="o"/>
      <w:lvlJc w:val="left"/>
      <w:pPr>
        <w:ind w:left="3240" w:hanging="360"/>
      </w:pPr>
      <w:rPr>
        <w:rFonts w:ascii="Courier New" w:hAnsi="Courier New" w:cs="Courier New" w:hint="default"/>
      </w:rPr>
    </w:lvl>
    <w:lvl w:ilvl="5" w:tplc="11043BE0" w:tentative="1">
      <w:start w:val="1"/>
      <w:numFmt w:val="bullet"/>
      <w:lvlText w:val=""/>
      <w:lvlJc w:val="left"/>
      <w:pPr>
        <w:ind w:left="3960" w:hanging="360"/>
      </w:pPr>
      <w:rPr>
        <w:rFonts w:ascii="Wingdings" w:hAnsi="Wingdings" w:hint="default"/>
      </w:rPr>
    </w:lvl>
    <w:lvl w:ilvl="6" w:tplc="758045BA" w:tentative="1">
      <w:start w:val="1"/>
      <w:numFmt w:val="bullet"/>
      <w:lvlText w:val=""/>
      <w:lvlJc w:val="left"/>
      <w:pPr>
        <w:ind w:left="4680" w:hanging="360"/>
      </w:pPr>
      <w:rPr>
        <w:rFonts w:ascii="Symbol" w:hAnsi="Symbol" w:hint="default"/>
      </w:rPr>
    </w:lvl>
    <w:lvl w:ilvl="7" w:tplc="5E009378" w:tentative="1">
      <w:start w:val="1"/>
      <w:numFmt w:val="bullet"/>
      <w:lvlText w:val="o"/>
      <w:lvlJc w:val="left"/>
      <w:pPr>
        <w:ind w:left="5400" w:hanging="360"/>
      </w:pPr>
      <w:rPr>
        <w:rFonts w:ascii="Courier New" w:hAnsi="Courier New" w:cs="Courier New" w:hint="default"/>
      </w:rPr>
    </w:lvl>
    <w:lvl w:ilvl="8" w:tplc="0B44982E" w:tentative="1">
      <w:start w:val="1"/>
      <w:numFmt w:val="bullet"/>
      <w:lvlText w:val=""/>
      <w:lvlJc w:val="left"/>
      <w:pPr>
        <w:ind w:left="6120" w:hanging="360"/>
      </w:pPr>
      <w:rPr>
        <w:rFonts w:ascii="Wingdings" w:hAnsi="Wingdings" w:hint="default"/>
      </w:rPr>
    </w:lvl>
  </w:abstractNum>
  <w:abstractNum w:abstractNumId="25">
    <w:nsid w:val="618F6930"/>
    <w:multiLevelType w:val="hybridMultilevel"/>
    <w:tmpl w:val="19BC8A3E"/>
    <w:lvl w:ilvl="0" w:tplc="6196300E">
      <w:start w:val="1"/>
      <w:numFmt w:val="decimal"/>
      <w:lvlText w:val="%1."/>
      <w:lvlJc w:val="left"/>
      <w:pPr>
        <w:ind w:left="1211" w:hanging="360"/>
      </w:pPr>
      <w:rPr>
        <w:rFonts w:hint="default"/>
        <w:color w:val="auto"/>
      </w:rPr>
    </w:lvl>
    <w:lvl w:ilvl="1" w:tplc="0CF6AE74">
      <w:start w:val="1"/>
      <w:numFmt w:val="lowerLetter"/>
      <w:lvlText w:val="%2."/>
      <w:lvlJc w:val="left"/>
      <w:pPr>
        <w:ind w:left="1931" w:hanging="360"/>
      </w:pPr>
    </w:lvl>
    <w:lvl w:ilvl="2" w:tplc="4432A0AA" w:tentative="1">
      <w:start w:val="1"/>
      <w:numFmt w:val="lowerRoman"/>
      <w:lvlText w:val="%3."/>
      <w:lvlJc w:val="right"/>
      <w:pPr>
        <w:ind w:left="2651" w:hanging="180"/>
      </w:pPr>
    </w:lvl>
    <w:lvl w:ilvl="3" w:tplc="011A7BFE" w:tentative="1">
      <w:start w:val="1"/>
      <w:numFmt w:val="decimal"/>
      <w:lvlText w:val="%4."/>
      <w:lvlJc w:val="left"/>
      <w:pPr>
        <w:ind w:left="3371" w:hanging="360"/>
      </w:pPr>
    </w:lvl>
    <w:lvl w:ilvl="4" w:tplc="2BFCBCBC" w:tentative="1">
      <w:start w:val="1"/>
      <w:numFmt w:val="lowerLetter"/>
      <w:lvlText w:val="%5."/>
      <w:lvlJc w:val="left"/>
      <w:pPr>
        <w:ind w:left="4091" w:hanging="360"/>
      </w:pPr>
    </w:lvl>
    <w:lvl w:ilvl="5" w:tplc="FC26DCBA" w:tentative="1">
      <w:start w:val="1"/>
      <w:numFmt w:val="lowerRoman"/>
      <w:lvlText w:val="%6."/>
      <w:lvlJc w:val="right"/>
      <w:pPr>
        <w:ind w:left="4811" w:hanging="180"/>
      </w:pPr>
    </w:lvl>
    <w:lvl w:ilvl="6" w:tplc="59DA6274" w:tentative="1">
      <w:start w:val="1"/>
      <w:numFmt w:val="decimal"/>
      <w:lvlText w:val="%7."/>
      <w:lvlJc w:val="left"/>
      <w:pPr>
        <w:ind w:left="5531" w:hanging="360"/>
      </w:pPr>
    </w:lvl>
    <w:lvl w:ilvl="7" w:tplc="706EA636" w:tentative="1">
      <w:start w:val="1"/>
      <w:numFmt w:val="lowerLetter"/>
      <w:lvlText w:val="%8."/>
      <w:lvlJc w:val="left"/>
      <w:pPr>
        <w:ind w:left="6251" w:hanging="360"/>
      </w:pPr>
    </w:lvl>
    <w:lvl w:ilvl="8" w:tplc="D7B6EFE8" w:tentative="1">
      <w:start w:val="1"/>
      <w:numFmt w:val="lowerRoman"/>
      <w:lvlText w:val="%9."/>
      <w:lvlJc w:val="right"/>
      <w:pPr>
        <w:ind w:left="6971" w:hanging="180"/>
      </w:pPr>
    </w:lvl>
  </w:abstractNum>
  <w:abstractNum w:abstractNumId="26">
    <w:nsid w:val="61F8442A"/>
    <w:multiLevelType w:val="hybridMultilevel"/>
    <w:tmpl w:val="91A83E02"/>
    <w:lvl w:ilvl="0" w:tplc="0D747064">
      <w:start w:val="1"/>
      <w:numFmt w:val="bullet"/>
      <w:lvlText w:val=""/>
      <w:lvlJc w:val="left"/>
      <w:pPr>
        <w:ind w:left="360" w:hanging="360"/>
      </w:pPr>
      <w:rPr>
        <w:rFonts w:ascii="Symbol" w:hAnsi="Symbol" w:hint="default"/>
      </w:rPr>
    </w:lvl>
    <w:lvl w:ilvl="1" w:tplc="19EAAE4A" w:tentative="1">
      <w:start w:val="1"/>
      <w:numFmt w:val="bullet"/>
      <w:lvlText w:val="o"/>
      <w:lvlJc w:val="left"/>
      <w:pPr>
        <w:ind w:left="1080" w:hanging="360"/>
      </w:pPr>
      <w:rPr>
        <w:rFonts w:ascii="Courier New" w:hAnsi="Courier New" w:cs="Courier New" w:hint="default"/>
      </w:rPr>
    </w:lvl>
    <w:lvl w:ilvl="2" w:tplc="FF4A4234" w:tentative="1">
      <w:start w:val="1"/>
      <w:numFmt w:val="bullet"/>
      <w:lvlText w:val=""/>
      <w:lvlJc w:val="left"/>
      <w:pPr>
        <w:ind w:left="1800" w:hanging="360"/>
      </w:pPr>
      <w:rPr>
        <w:rFonts w:ascii="Wingdings" w:hAnsi="Wingdings" w:hint="default"/>
      </w:rPr>
    </w:lvl>
    <w:lvl w:ilvl="3" w:tplc="4D984D06" w:tentative="1">
      <w:start w:val="1"/>
      <w:numFmt w:val="bullet"/>
      <w:lvlText w:val=""/>
      <w:lvlJc w:val="left"/>
      <w:pPr>
        <w:ind w:left="2520" w:hanging="360"/>
      </w:pPr>
      <w:rPr>
        <w:rFonts w:ascii="Symbol" w:hAnsi="Symbol" w:hint="default"/>
      </w:rPr>
    </w:lvl>
    <w:lvl w:ilvl="4" w:tplc="5F3AA20C" w:tentative="1">
      <w:start w:val="1"/>
      <w:numFmt w:val="bullet"/>
      <w:lvlText w:val="o"/>
      <w:lvlJc w:val="left"/>
      <w:pPr>
        <w:ind w:left="3240" w:hanging="360"/>
      </w:pPr>
      <w:rPr>
        <w:rFonts w:ascii="Courier New" w:hAnsi="Courier New" w:cs="Courier New" w:hint="default"/>
      </w:rPr>
    </w:lvl>
    <w:lvl w:ilvl="5" w:tplc="1A9E7D78" w:tentative="1">
      <w:start w:val="1"/>
      <w:numFmt w:val="bullet"/>
      <w:lvlText w:val=""/>
      <w:lvlJc w:val="left"/>
      <w:pPr>
        <w:ind w:left="3960" w:hanging="360"/>
      </w:pPr>
      <w:rPr>
        <w:rFonts w:ascii="Wingdings" w:hAnsi="Wingdings" w:hint="default"/>
      </w:rPr>
    </w:lvl>
    <w:lvl w:ilvl="6" w:tplc="098C8D22" w:tentative="1">
      <w:start w:val="1"/>
      <w:numFmt w:val="bullet"/>
      <w:lvlText w:val=""/>
      <w:lvlJc w:val="left"/>
      <w:pPr>
        <w:ind w:left="4680" w:hanging="360"/>
      </w:pPr>
      <w:rPr>
        <w:rFonts w:ascii="Symbol" w:hAnsi="Symbol" w:hint="default"/>
      </w:rPr>
    </w:lvl>
    <w:lvl w:ilvl="7" w:tplc="F6388D92" w:tentative="1">
      <w:start w:val="1"/>
      <w:numFmt w:val="bullet"/>
      <w:lvlText w:val="o"/>
      <w:lvlJc w:val="left"/>
      <w:pPr>
        <w:ind w:left="5400" w:hanging="360"/>
      </w:pPr>
      <w:rPr>
        <w:rFonts w:ascii="Courier New" w:hAnsi="Courier New" w:cs="Courier New" w:hint="default"/>
      </w:rPr>
    </w:lvl>
    <w:lvl w:ilvl="8" w:tplc="B770E28A" w:tentative="1">
      <w:start w:val="1"/>
      <w:numFmt w:val="bullet"/>
      <w:lvlText w:val=""/>
      <w:lvlJc w:val="left"/>
      <w:pPr>
        <w:ind w:left="6120" w:hanging="360"/>
      </w:pPr>
      <w:rPr>
        <w:rFonts w:ascii="Wingdings" w:hAnsi="Wingdings" w:hint="default"/>
      </w:rPr>
    </w:lvl>
  </w:abstractNum>
  <w:abstractNum w:abstractNumId="27">
    <w:nsid w:val="63DA6FDC"/>
    <w:multiLevelType w:val="hybridMultilevel"/>
    <w:tmpl w:val="1D209954"/>
    <w:lvl w:ilvl="0" w:tplc="D1B4785A">
      <w:start w:val="1"/>
      <w:numFmt w:val="bullet"/>
      <w:lvlText w:val=""/>
      <w:lvlJc w:val="left"/>
      <w:pPr>
        <w:ind w:left="720" w:hanging="360"/>
      </w:pPr>
      <w:rPr>
        <w:rFonts w:ascii="Symbol" w:hAnsi="Symbol" w:hint="default"/>
      </w:rPr>
    </w:lvl>
    <w:lvl w:ilvl="1" w:tplc="A8BE16C0" w:tentative="1">
      <w:start w:val="1"/>
      <w:numFmt w:val="bullet"/>
      <w:lvlText w:val="o"/>
      <w:lvlJc w:val="left"/>
      <w:pPr>
        <w:ind w:left="1440" w:hanging="360"/>
      </w:pPr>
      <w:rPr>
        <w:rFonts w:ascii="Courier New" w:hAnsi="Courier New" w:cs="Courier New" w:hint="default"/>
      </w:rPr>
    </w:lvl>
    <w:lvl w:ilvl="2" w:tplc="4608FACA" w:tentative="1">
      <w:start w:val="1"/>
      <w:numFmt w:val="bullet"/>
      <w:lvlText w:val=""/>
      <w:lvlJc w:val="left"/>
      <w:pPr>
        <w:ind w:left="2160" w:hanging="360"/>
      </w:pPr>
      <w:rPr>
        <w:rFonts w:ascii="Wingdings" w:hAnsi="Wingdings" w:hint="default"/>
      </w:rPr>
    </w:lvl>
    <w:lvl w:ilvl="3" w:tplc="9A648A04" w:tentative="1">
      <w:start w:val="1"/>
      <w:numFmt w:val="bullet"/>
      <w:lvlText w:val=""/>
      <w:lvlJc w:val="left"/>
      <w:pPr>
        <w:ind w:left="2880" w:hanging="360"/>
      </w:pPr>
      <w:rPr>
        <w:rFonts w:ascii="Symbol" w:hAnsi="Symbol" w:hint="default"/>
      </w:rPr>
    </w:lvl>
    <w:lvl w:ilvl="4" w:tplc="2B80125A" w:tentative="1">
      <w:start w:val="1"/>
      <w:numFmt w:val="bullet"/>
      <w:lvlText w:val="o"/>
      <w:lvlJc w:val="left"/>
      <w:pPr>
        <w:ind w:left="3600" w:hanging="360"/>
      </w:pPr>
      <w:rPr>
        <w:rFonts w:ascii="Courier New" w:hAnsi="Courier New" w:cs="Courier New" w:hint="default"/>
      </w:rPr>
    </w:lvl>
    <w:lvl w:ilvl="5" w:tplc="4C0CB896" w:tentative="1">
      <w:start w:val="1"/>
      <w:numFmt w:val="bullet"/>
      <w:lvlText w:val=""/>
      <w:lvlJc w:val="left"/>
      <w:pPr>
        <w:ind w:left="4320" w:hanging="360"/>
      </w:pPr>
      <w:rPr>
        <w:rFonts w:ascii="Wingdings" w:hAnsi="Wingdings" w:hint="default"/>
      </w:rPr>
    </w:lvl>
    <w:lvl w:ilvl="6" w:tplc="E90AB7EE" w:tentative="1">
      <w:start w:val="1"/>
      <w:numFmt w:val="bullet"/>
      <w:lvlText w:val=""/>
      <w:lvlJc w:val="left"/>
      <w:pPr>
        <w:ind w:left="5040" w:hanging="360"/>
      </w:pPr>
      <w:rPr>
        <w:rFonts w:ascii="Symbol" w:hAnsi="Symbol" w:hint="default"/>
      </w:rPr>
    </w:lvl>
    <w:lvl w:ilvl="7" w:tplc="B9DA7D64" w:tentative="1">
      <w:start w:val="1"/>
      <w:numFmt w:val="bullet"/>
      <w:lvlText w:val="o"/>
      <w:lvlJc w:val="left"/>
      <w:pPr>
        <w:ind w:left="5760" w:hanging="360"/>
      </w:pPr>
      <w:rPr>
        <w:rFonts w:ascii="Courier New" w:hAnsi="Courier New" w:cs="Courier New" w:hint="default"/>
      </w:rPr>
    </w:lvl>
    <w:lvl w:ilvl="8" w:tplc="E89E798A" w:tentative="1">
      <w:start w:val="1"/>
      <w:numFmt w:val="bullet"/>
      <w:lvlText w:val=""/>
      <w:lvlJc w:val="left"/>
      <w:pPr>
        <w:ind w:left="6480" w:hanging="360"/>
      </w:pPr>
      <w:rPr>
        <w:rFonts w:ascii="Wingdings" w:hAnsi="Wingdings" w:hint="default"/>
      </w:rPr>
    </w:lvl>
  </w:abstractNum>
  <w:abstractNum w:abstractNumId="28">
    <w:nsid w:val="669F3773"/>
    <w:multiLevelType w:val="hybridMultilevel"/>
    <w:tmpl w:val="CF744E92"/>
    <w:lvl w:ilvl="0" w:tplc="EA486F6A">
      <w:start w:val="1"/>
      <w:numFmt w:val="bullet"/>
      <w:lvlText w:val=""/>
      <w:lvlJc w:val="left"/>
      <w:pPr>
        <w:ind w:left="1429" w:hanging="360"/>
      </w:pPr>
      <w:rPr>
        <w:rFonts w:ascii="Symbol" w:hAnsi="Symbol" w:hint="default"/>
      </w:rPr>
    </w:lvl>
    <w:lvl w:ilvl="1" w:tplc="B9B012F6" w:tentative="1">
      <w:start w:val="1"/>
      <w:numFmt w:val="bullet"/>
      <w:lvlText w:val="o"/>
      <w:lvlJc w:val="left"/>
      <w:pPr>
        <w:ind w:left="2149" w:hanging="360"/>
      </w:pPr>
      <w:rPr>
        <w:rFonts w:ascii="Courier New" w:hAnsi="Courier New" w:cs="Courier New" w:hint="default"/>
      </w:rPr>
    </w:lvl>
    <w:lvl w:ilvl="2" w:tplc="BBFAEB98" w:tentative="1">
      <w:start w:val="1"/>
      <w:numFmt w:val="bullet"/>
      <w:lvlText w:val=""/>
      <w:lvlJc w:val="left"/>
      <w:pPr>
        <w:ind w:left="2869" w:hanging="360"/>
      </w:pPr>
      <w:rPr>
        <w:rFonts w:ascii="Wingdings" w:hAnsi="Wingdings" w:hint="default"/>
      </w:rPr>
    </w:lvl>
    <w:lvl w:ilvl="3" w:tplc="D3E6CF36" w:tentative="1">
      <w:start w:val="1"/>
      <w:numFmt w:val="bullet"/>
      <w:lvlText w:val=""/>
      <w:lvlJc w:val="left"/>
      <w:pPr>
        <w:ind w:left="3589" w:hanging="360"/>
      </w:pPr>
      <w:rPr>
        <w:rFonts w:ascii="Symbol" w:hAnsi="Symbol" w:hint="default"/>
      </w:rPr>
    </w:lvl>
    <w:lvl w:ilvl="4" w:tplc="E2489EF0" w:tentative="1">
      <w:start w:val="1"/>
      <w:numFmt w:val="bullet"/>
      <w:lvlText w:val="o"/>
      <w:lvlJc w:val="left"/>
      <w:pPr>
        <w:ind w:left="4309" w:hanging="360"/>
      </w:pPr>
      <w:rPr>
        <w:rFonts w:ascii="Courier New" w:hAnsi="Courier New" w:cs="Courier New" w:hint="default"/>
      </w:rPr>
    </w:lvl>
    <w:lvl w:ilvl="5" w:tplc="E1D06CC6" w:tentative="1">
      <w:start w:val="1"/>
      <w:numFmt w:val="bullet"/>
      <w:lvlText w:val=""/>
      <w:lvlJc w:val="left"/>
      <w:pPr>
        <w:ind w:left="5029" w:hanging="360"/>
      </w:pPr>
      <w:rPr>
        <w:rFonts w:ascii="Wingdings" w:hAnsi="Wingdings" w:hint="default"/>
      </w:rPr>
    </w:lvl>
    <w:lvl w:ilvl="6" w:tplc="7478A5A4" w:tentative="1">
      <w:start w:val="1"/>
      <w:numFmt w:val="bullet"/>
      <w:lvlText w:val=""/>
      <w:lvlJc w:val="left"/>
      <w:pPr>
        <w:ind w:left="5749" w:hanging="360"/>
      </w:pPr>
      <w:rPr>
        <w:rFonts w:ascii="Symbol" w:hAnsi="Symbol" w:hint="default"/>
      </w:rPr>
    </w:lvl>
    <w:lvl w:ilvl="7" w:tplc="2640D1A8" w:tentative="1">
      <w:start w:val="1"/>
      <w:numFmt w:val="bullet"/>
      <w:lvlText w:val="o"/>
      <w:lvlJc w:val="left"/>
      <w:pPr>
        <w:ind w:left="6469" w:hanging="360"/>
      </w:pPr>
      <w:rPr>
        <w:rFonts w:ascii="Courier New" w:hAnsi="Courier New" w:cs="Courier New" w:hint="default"/>
      </w:rPr>
    </w:lvl>
    <w:lvl w:ilvl="8" w:tplc="9612B4F8" w:tentative="1">
      <w:start w:val="1"/>
      <w:numFmt w:val="bullet"/>
      <w:lvlText w:val=""/>
      <w:lvlJc w:val="left"/>
      <w:pPr>
        <w:ind w:left="7189" w:hanging="360"/>
      </w:pPr>
      <w:rPr>
        <w:rFonts w:ascii="Wingdings" w:hAnsi="Wingdings" w:hint="default"/>
      </w:rPr>
    </w:lvl>
  </w:abstractNum>
  <w:abstractNum w:abstractNumId="29">
    <w:nsid w:val="66D66C80"/>
    <w:multiLevelType w:val="hybridMultilevel"/>
    <w:tmpl w:val="6C7404C4"/>
    <w:lvl w:ilvl="0" w:tplc="D54A2D94">
      <w:start w:val="1"/>
      <w:numFmt w:val="bullet"/>
      <w:lvlText w:val=""/>
      <w:lvlJc w:val="left"/>
      <w:pPr>
        <w:ind w:left="720" w:hanging="360"/>
      </w:pPr>
      <w:rPr>
        <w:rFonts w:ascii="Symbol" w:hAnsi="Symbol" w:hint="default"/>
      </w:rPr>
    </w:lvl>
    <w:lvl w:ilvl="1" w:tplc="F3AC9418" w:tentative="1">
      <w:start w:val="1"/>
      <w:numFmt w:val="bullet"/>
      <w:lvlText w:val="o"/>
      <w:lvlJc w:val="left"/>
      <w:pPr>
        <w:ind w:left="1440" w:hanging="360"/>
      </w:pPr>
      <w:rPr>
        <w:rFonts w:ascii="Courier New" w:hAnsi="Courier New" w:cs="Courier New" w:hint="default"/>
      </w:rPr>
    </w:lvl>
    <w:lvl w:ilvl="2" w:tplc="C81A2F86" w:tentative="1">
      <w:start w:val="1"/>
      <w:numFmt w:val="bullet"/>
      <w:lvlText w:val=""/>
      <w:lvlJc w:val="left"/>
      <w:pPr>
        <w:ind w:left="2160" w:hanging="360"/>
      </w:pPr>
      <w:rPr>
        <w:rFonts w:ascii="Wingdings" w:hAnsi="Wingdings" w:hint="default"/>
      </w:rPr>
    </w:lvl>
    <w:lvl w:ilvl="3" w:tplc="7C24F988" w:tentative="1">
      <w:start w:val="1"/>
      <w:numFmt w:val="bullet"/>
      <w:lvlText w:val=""/>
      <w:lvlJc w:val="left"/>
      <w:pPr>
        <w:ind w:left="2880" w:hanging="360"/>
      </w:pPr>
      <w:rPr>
        <w:rFonts w:ascii="Symbol" w:hAnsi="Symbol" w:hint="default"/>
      </w:rPr>
    </w:lvl>
    <w:lvl w:ilvl="4" w:tplc="9604818E" w:tentative="1">
      <w:start w:val="1"/>
      <w:numFmt w:val="bullet"/>
      <w:lvlText w:val="o"/>
      <w:lvlJc w:val="left"/>
      <w:pPr>
        <w:ind w:left="3600" w:hanging="360"/>
      </w:pPr>
      <w:rPr>
        <w:rFonts w:ascii="Courier New" w:hAnsi="Courier New" w:cs="Courier New" w:hint="default"/>
      </w:rPr>
    </w:lvl>
    <w:lvl w:ilvl="5" w:tplc="B6BA7262" w:tentative="1">
      <w:start w:val="1"/>
      <w:numFmt w:val="bullet"/>
      <w:lvlText w:val=""/>
      <w:lvlJc w:val="left"/>
      <w:pPr>
        <w:ind w:left="4320" w:hanging="360"/>
      </w:pPr>
      <w:rPr>
        <w:rFonts w:ascii="Wingdings" w:hAnsi="Wingdings" w:hint="default"/>
      </w:rPr>
    </w:lvl>
    <w:lvl w:ilvl="6" w:tplc="B9487C18" w:tentative="1">
      <w:start w:val="1"/>
      <w:numFmt w:val="bullet"/>
      <w:lvlText w:val=""/>
      <w:lvlJc w:val="left"/>
      <w:pPr>
        <w:ind w:left="5040" w:hanging="360"/>
      </w:pPr>
      <w:rPr>
        <w:rFonts w:ascii="Symbol" w:hAnsi="Symbol" w:hint="default"/>
      </w:rPr>
    </w:lvl>
    <w:lvl w:ilvl="7" w:tplc="17B4BBDE" w:tentative="1">
      <w:start w:val="1"/>
      <w:numFmt w:val="bullet"/>
      <w:lvlText w:val="o"/>
      <w:lvlJc w:val="left"/>
      <w:pPr>
        <w:ind w:left="5760" w:hanging="360"/>
      </w:pPr>
      <w:rPr>
        <w:rFonts w:ascii="Courier New" w:hAnsi="Courier New" w:cs="Courier New" w:hint="default"/>
      </w:rPr>
    </w:lvl>
    <w:lvl w:ilvl="8" w:tplc="D8A4BAB8" w:tentative="1">
      <w:start w:val="1"/>
      <w:numFmt w:val="bullet"/>
      <w:lvlText w:val=""/>
      <w:lvlJc w:val="left"/>
      <w:pPr>
        <w:ind w:left="6480" w:hanging="360"/>
      </w:pPr>
      <w:rPr>
        <w:rFonts w:ascii="Wingdings" w:hAnsi="Wingdings" w:hint="default"/>
      </w:rPr>
    </w:lvl>
  </w:abstractNum>
  <w:abstractNum w:abstractNumId="30">
    <w:nsid w:val="69467563"/>
    <w:multiLevelType w:val="hybridMultilevel"/>
    <w:tmpl w:val="FFCAB11E"/>
    <w:lvl w:ilvl="0" w:tplc="8A985AAC">
      <w:start w:val="1"/>
      <w:numFmt w:val="bullet"/>
      <w:lvlText w:val=""/>
      <w:lvlJc w:val="left"/>
      <w:pPr>
        <w:ind w:left="720" w:hanging="360"/>
      </w:pPr>
      <w:rPr>
        <w:rFonts w:ascii="Symbol" w:hAnsi="Symbol" w:hint="default"/>
      </w:rPr>
    </w:lvl>
    <w:lvl w:ilvl="1" w:tplc="05B674D6">
      <w:start w:val="1"/>
      <w:numFmt w:val="bullet"/>
      <w:lvlText w:val="o"/>
      <w:lvlJc w:val="left"/>
      <w:pPr>
        <w:ind w:left="1440" w:hanging="360"/>
      </w:pPr>
      <w:rPr>
        <w:rFonts w:ascii="Courier New" w:hAnsi="Courier New" w:cs="Courier New" w:hint="default"/>
      </w:rPr>
    </w:lvl>
    <w:lvl w:ilvl="2" w:tplc="CF544106">
      <w:start w:val="1"/>
      <w:numFmt w:val="bullet"/>
      <w:lvlText w:val=""/>
      <w:lvlJc w:val="left"/>
      <w:pPr>
        <w:ind w:left="2160" w:hanging="360"/>
      </w:pPr>
      <w:rPr>
        <w:rFonts w:ascii="Wingdings" w:hAnsi="Wingdings" w:hint="default"/>
      </w:rPr>
    </w:lvl>
    <w:lvl w:ilvl="3" w:tplc="08748D98">
      <w:start w:val="1"/>
      <w:numFmt w:val="bullet"/>
      <w:lvlText w:val=""/>
      <w:lvlJc w:val="left"/>
      <w:pPr>
        <w:ind w:left="2880" w:hanging="360"/>
      </w:pPr>
      <w:rPr>
        <w:rFonts w:ascii="Symbol" w:hAnsi="Symbol" w:hint="default"/>
      </w:rPr>
    </w:lvl>
    <w:lvl w:ilvl="4" w:tplc="62804CB2">
      <w:start w:val="1"/>
      <w:numFmt w:val="bullet"/>
      <w:lvlText w:val="o"/>
      <w:lvlJc w:val="left"/>
      <w:pPr>
        <w:ind w:left="3600" w:hanging="360"/>
      </w:pPr>
      <w:rPr>
        <w:rFonts w:ascii="Courier New" w:hAnsi="Courier New" w:cs="Courier New" w:hint="default"/>
      </w:rPr>
    </w:lvl>
    <w:lvl w:ilvl="5" w:tplc="ACFCE0F6" w:tentative="1">
      <w:start w:val="1"/>
      <w:numFmt w:val="bullet"/>
      <w:lvlText w:val=""/>
      <w:lvlJc w:val="left"/>
      <w:pPr>
        <w:ind w:left="4320" w:hanging="360"/>
      </w:pPr>
      <w:rPr>
        <w:rFonts w:ascii="Wingdings" w:hAnsi="Wingdings" w:hint="default"/>
      </w:rPr>
    </w:lvl>
    <w:lvl w:ilvl="6" w:tplc="D0549FEA" w:tentative="1">
      <w:start w:val="1"/>
      <w:numFmt w:val="bullet"/>
      <w:lvlText w:val=""/>
      <w:lvlJc w:val="left"/>
      <w:pPr>
        <w:ind w:left="5040" w:hanging="360"/>
      </w:pPr>
      <w:rPr>
        <w:rFonts w:ascii="Symbol" w:hAnsi="Symbol" w:hint="default"/>
      </w:rPr>
    </w:lvl>
    <w:lvl w:ilvl="7" w:tplc="3D6CD9E2" w:tentative="1">
      <w:start w:val="1"/>
      <w:numFmt w:val="bullet"/>
      <w:lvlText w:val="o"/>
      <w:lvlJc w:val="left"/>
      <w:pPr>
        <w:ind w:left="5760" w:hanging="360"/>
      </w:pPr>
      <w:rPr>
        <w:rFonts w:ascii="Courier New" w:hAnsi="Courier New" w:cs="Courier New" w:hint="default"/>
      </w:rPr>
    </w:lvl>
    <w:lvl w:ilvl="8" w:tplc="58867B14" w:tentative="1">
      <w:start w:val="1"/>
      <w:numFmt w:val="bullet"/>
      <w:lvlText w:val=""/>
      <w:lvlJc w:val="left"/>
      <w:pPr>
        <w:ind w:left="6480" w:hanging="360"/>
      </w:pPr>
      <w:rPr>
        <w:rFonts w:ascii="Wingdings" w:hAnsi="Wingdings" w:hint="default"/>
      </w:rPr>
    </w:lvl>
  </w:abstractNum>
  <w:abstractNum w:abstractNumId="31">
    <w:nsid w:val="72B54C55"/>
    <w:multiLevelType w:val="hybridMultilevel"/>
    <w:tmpl w:val="46208E1A"/>
    <w:lvl w:ilvl="0" w:tplc="F48E6C90">
      <w:start w:val="1"/>
      <w:numFmt w:val="bullet"/>
      <w:lvlText w:val=""/>
      <w:lvlJc w:val="left"/>
      <w:pPr>
        <w:ind w:left="1429" w:hanging="360"/>
      </w:pPr>
      <w:rPr>
        <w:rFonts w:ascii="Symbol" w:hAnsi="Symbol" w:hint="default"/>
      </w:rPr>
    </w:lvl>
    <w:lvl w:ilvl="1" w:tplc="3C54BBFE" w:tentative="1">
      <w:start w:val="1"/>
      <w:numFmt w:val="bullet"/>
      <w:lvlText w:val="o"/>
      <w:lvlJc w:val="left"/>
      <w:pPr>
        <w:ind w:left="2149" w:hanging="360"/>
      </w:pPr>
      <w:rPr>
        <w:rFonts w:ascii="Courier New" w:hAnsi="Courier New" w:cs="Courier New" w:hint="default"/>
      </w:rPr>
    </w:lvl>
    <w:lvl w:ilvl="2" w:tplc="933866B4" w:tentative="1">
      <w:start w:val="1"/>
      <w:numFmt w:val="bullet"/>
      <w:lvlText w:val=""/>
      <w:lvlJc w:val="left"/>
      <w:pPr>
        <w:ind w:left="2869" w:hanging="360"/>
      </w:pPr>
      <w:rPr>
        <w:rFonts w:ascii="Wingdings" w:hAnsi="Wingdings" w:hint="default"/>
      </w:rPr>
    </w:lvl>
    <w:lvl w:ilvl="3" w:tplc="84C6369E" w:tentative="1">
      <w:start w:val="1"/>
      <w:numFmt w:val="bullet"/>
      <w:lvlText w:val=""/>
      <w:lvlJc w:val="left"/>
      <w:pPr>
        <w:ind w:left="3589" w:hanging="360"/>
      </w:pPr>
      <w:rPr>
        <w:rFonts w:ascii="Symbol" w:hAnsi="Symbol" w:hint="default"/>
      </w:rPr>
    </w:lvl>
    <w:lvl w:ilvl="4" w:tplc="A4B2C0DE" w:tentative="1">
      <w:start w:val="1"/>
      <w:numFmt w:val="bullet"/>
      <w:lvlText w:val="o"/>
      <w:lvlJc w:val="left"/>
      <w:pPr>
        <w:ind w:left="4309" w:hanging="360"/>
      </w:pPr>
      <w:rPr>
        <w:rFonts w:ascii="Courier New" w:hAnsi="Courier New" w:cs="Courier New" w:hint="default"/>
      </w:rPr>
    </w:lvl>
    <w:lvl w:ilvl="5" w:tplc="8E2234BC" w:tentative="1">
      <w:start w:val="1"/>
      <w:numFmt w:val="bullet"/>
      <w:lvlText w:val=""/>
      <w:lvlJc w:val="left"/>
      <w:pPr>
        <w:ind w:left="5029" w:hanging="360"/>
      </w:pPr>
      <w:rPr>
        <w:rFonts w:ascii="Wingdings" w:hAnsi="Wingdings" w:hint="default"/>
      </w:rPr>
    </w:lvl>
    <w:lvl w:ilvl="6" w:tplc="809C6B32" w:tentative="1">
      <w:start w:val="1"/>
      <w:numFmt w:val="bullet"/>
      <w:lvlText w:val=""/>
      <w:lvlJc w:val="left"/>
      <w:pPr>
        <w:ind w:left="5749" w:hanging="360"/>
      </w:pPr>
      <w:rPr>
        <w:rFonts w:ascii="Symbol" w:hAnsi="Symbol" w:hint="default"/>
      </w:rPr>
    </w:lvl>
    <w:lvl w:ilvl="7" w:tplc="BF303582" w:tentative="1">
      <w:start w:val="1"/>
      <w:numFmt w:val="bullet"/>
      <w:lvlText w:val="o"/>
      <w:lvlJc w:val="left"/>
      <w:pPr>
        <w:ind w:left="6469" w:hanging="360"/>
      </w:pPr>
      <w:rPr>
        <w:rFonts w:ascii="Courier New" w:hAnsi="Courier New" w:cs="Courier New" w:hint="default"/>
      </w:rPr>
    </w:lvl>
    <w:lvl w:ilvl="8" w:tplc="2506C850" w:tentative="1">
      <w:start w:val="1"/>
      <w:numFmt w:val="bullet"/>
      <w:lvlText w:val=""/>
      <w:lvlJc w:val="left"/>
      <w:pPr>
        <w:ind w:left="7189" w:hanging="360"/>
      </w:pPr>
      <w:rPr>
        <w:rFonts w:ascii="Wingdings" w:hAnsi="Wingdings" w:hint="default"/>
      </w:rPr>
    </w:lvl>
  </w:abstractNum>
  <w:abstractNum w:abstractNumId="32">
    <w:nsid w:val="756572C0"/>
    <w:multiLevelType w:val="hybridMultilevel"/>
    <w:tmpl w:val="F0D47A70"/>
    <w:lvl w:ilvl="0" w:tplc="577A3508">
      <w:start w:val="1"/>
      <w:numFmt w:val="decimal"/>
      <w:lvlText w:val="%1."/>
      <w:lvlJc w:val="left"/>
      <w:pPr>
        <w:ind w:left="1080" w:hanging="360"/>
      </w:pPr>
    </w:lvl>
    <w:lvl w:ilvl="1" w:tplc="D722F3F0" w:tentative="1">
      <w:start w:val="1"/>
      <w:numFmt w:val="lowerLetter"/>
      <w:lvlText w:val="%2."/>
      <w:lvlJc w:val="left"/>
      <w:pPr>
        <w:ind w:left="1800" w:hanging="360"/>
      </w:pPr>
    </w:lvl>
    <w:lvl w:ilvl="2" w:tplc="CC66FC12" w:tentative="1">
      <w:start w:val="1"/>
      <w:numFmt w:val="lowerRoman"/>
      <w:lvlText w:val="%3."/>
      <w:lvlJc w:val="right"/>
      <w:pPr>
        <w:ind w:left="2520" w:hanging="180"/>
      </w:pPr>
    </w:lvl>
    <w:lvl w:ilvl="3" w:tplc="CD748F48" w:tentative="1">
      <w:start w:val="1"/>
      <w:numFmt w:val="decimal"/>
      <w:lvlText w:val="%4."/>
      <w:lvlJc w:val="left"/>
      <w:pPr>
        <w:ind w:left="3240" w:hanging="360"/>
      </w:pPr>
    </w:lvl>
    <w:lvl w:ilvl="4" w:tplc="56182C0C" w:tentative="1">
      <w:start w:val="1"/>
      <w:numFmt w:val="lowerLetter"/>
      <w:lvlText w:val="%5."/>
      <w:lvlJc w:val="left"/>
      <w:pPr>
        <w:ind w:left="3960" w:hanging="360"/>
      </w:pPr>
    </w:lvl>
    <w:lvl w:ilvl="5" w:tplc="226A85D8" w:tentative="1">
      <w:start w:val="1"/>
      <w:numFmt w:val="lowerRoman"/>
      <w:lvlText w:val="%6."/>
      <w:lvlJc w:val="right"/>
      <w:pPr>
        <w:ind w:left="4680" w:hanging="180"/>
      </w:pPr>
    </w:lvl>
    <w:lvl w:ilvl="6" w:tplc="342E20E0" w:tentative="1">
      <w:start w:val="1"/>
      <w:numFmt w:val="decimal"/>
      <w:lvlText w:val="%7."/>
      <w:lvlJc w:val="left"/>
      <w:pPr>
        <w:ind w:left="5400" w:hanging="360"/>
      </w:pPr>
    </w:lvl>
    <w:lvl w:ilvl="7" w:tplc="8E585434" w:tentative="1">
      <w:start w:val="1"/>
      <w:numFmt w:val="lowerLetter"/>
      <w:lvlText w:val="%8."/>
      <w:lvlJc w:val="left"/>
      <w:pPr>
        <w:ind w:left="6120" w:hanging="360"/>
      </w:pPr>
    </w:lvl>
    <w:lvl w:ilvl="8" w:tplc="DF66D886" w:tentative="1">
      <w:start w:val="1"/>
      <w:numFmt w:val="lowerRoman"/>
      <w:lvlText w:val="%9."/>
      <w:lvlJc w:val="right"/>
      <w:pPr>
        <w:ind w:left="6840" w:hanging="180"/>
      </w:pPr>
    </w:lvl>
  </w:abstractNum>
  <w:abstractNum w:abstractNumId="33">
    <w:nsid w:val="788E3080"/>
    <w:multiLevelType w:val="hybridMultilevel"/>
    <w:tmpl w:val="6924FF6C"/>
    <w:lvl w:ilvl="0" w:tplc="6BA068C0">
      <w:start w:val="1"/>
      <w:numFmt w:val="decimal"/>
      <w:lvlText w:val="%1."/>
      <w:lvlJc w:val="left"/>
      <w:pPr>
        <w:ind w:left="2160" w:hanging="360"/>
      </w:pPr>
      <w:rPr>
        <w:rFonts w:hint="default"/>
      </w:rPr>
    </w:lvl>
    <w:lvl w:ilvl="1" w:tplc="182EFBE2" w:tentative="1">
      <w:start w:val="1"/>
      <w:numFmt w:val="lowerLetter"/>
      <w:lvlText w:val="%2."/>
      <w:lvlJc w:val="left"/>
      <w:pPr>
        <w:ind w:left="2880" w:hanging="360"/>
      </w:pPr>
    </w:lvl>
    <w:lvl w:ilvl="2" w:tplc="D6867B30" w:tentative="1">
      <w:start w:val="1"/>
      <w:numFmt w:val="lowerRoman"/>
      <w:lvlText w:val="%3."/>
      <w:lvlJc w:val="right"/>
      <w:pPr>
        <w:ind w:left="3600" w:hanging="180"/>
      </w:pPr>
    </w:lvl>
    <w:lvl w:ilvl="3" w:tplc="7BD65F18" w:tentative="1">
      <w:start w:val="1"/>
      <w:numFmt w:val="decimal"/>
      <w:lvlText w:val="%4."/>
      <w:lvlJc w:val="left"/>
      <w:pPr>
        <w:ind w:left="4320" w:hanging="360"/>
      </w:pPr>
    </w:lvl>
    <w:lvl w:ilvl="4" w:tplc="9F7CCC3A" w:tentative="1">
      <w:start w:val="1"/>
      <w:numFmt w:val="lowerLetter"/>
      <w:lvlText w:val="%5."/>
      <w:lvlJc w:val="left"/>
      <w:pPr>
        <w:ind w:left="5040" w:hanging="360"/>
      </w:pPr>
    </w:lvl>
    <w:lvl w:ilvl="5" w:tplc="44248A0E" w:tentative="1">
      <w:start w:val="1"/>
      <w:numFmt w:val="lowerRoman"/>
      <w:lvlText w:val="%6."/>
      <w:lvlJc w:val="right"/>
      <w:pPr>
        <w:ind w:left="5760" w:hanging="180"/>
      </w:pPr>
    </w:lvl>
    <w:lvl w:ilvl="6" w:tplc="DD743D6C" w:tentative="1">
      <w:start w:val="1"/>
      <w:numFmt w:val="decimal"/>
      <w:lvlText w:val="%7."/>
      <w:lvlJc w:val="left"/>
      <w:pPr>
        <w:ind w:left="6480" w:hanging="360"/>
      </w:pPr>
    </w:lvl>
    <w:lvl w:ilvl="7" w:tplc="D6E84546" w:tentative="1">
      <w:start w:val="1"/>
      <w:numFmt w:val="lowerLetter"/>
      <w:lvlText w:val="%8."/>
      <w:lvlJc w:val="left"/>
      <w:pPr>
        <w:ind w:left="7200" w:hanging="360"/>
      </w:pPr>
    </w:lvl>
    <w:lvl w:ilvl="8" w:tplc="F8267144" w:tentative="1">
      <w:start w:val="1"/>
      <w:numFmt w:val="lowerRoman"/>
      <w:lvlText w:val="%9."/>
      <w:lvlJc w:val="right"/>
      <w:pPr>
        <w:ind w:left="7920" w:hanging="180"/>
      </w:pPr>
    </w:lvl>
  </w:abstractNum>
  <w:abstractNum w:abstractNumId="34">
    <w:nsid w:val="78DC5B79"/>
    <w:multiLevelType w:val="hybridMultilevel"/>
    <w:tmpl w:val="05700504"/>
    <w:lvl w:ilvl="0" w:tplc="D7346372">
      <w:start w:val="1"/>
      <w:numFmt w:val="bullet"/>
      <w:lvlText w:val=""/>
      <w:lvlJc w:val="left"/>
      <w:pPr>
        <w:ind w:left="360" w:hanging="360"/>
      </w:pPr>
      <w:rPr>
        <w:rFonts w:ascii="Symbol" w:hAnsi="Symbol" w:hint="default"/>
      </w:rPr>
    </w:lvl>
    <w:lvl w:ilvl="1" w:tplc="AAA4C0CA" w:tentative="1">
      <w:start w:val="1"/>
      <w:numFmt w:val="bullet"/>
      <w:lvlText w:val="o"/>
      <w:lvlJc w:val="left"/>
      <w:pPr>
        <w:ind w:left="1080" w:hanging="360"/>
      </w:pPr>
      <w:rPr>
        <w:rFonts w:ascii="Courier New" w:hAnsi="Courier New" w:cs="Courier New" w:hint="default"/>
      </w:rPr>
    </w:lvl>
    <w:lvl w:ilvl="2" w:tplc="7CE2691E" w:tentative="1">
      <w:start w:val="1"/>
      <w:numFmt w:val="bullet"/>
      <w:lvlText w:val=""/>
      <w:lvlJc w:val="left"/>
      <w:pPr>
        <w:ind w:left="1800" w:hanging="360"/>
      </w:pPr>
      <w:rPr>
        <w:rFonts w:ascii="Wingdings" w:hAnsi="Wingdings" w:hint="default"/>
      </w:rPr>
    </w:lvl>
    <w:lvl w:ilvl="3" w:tplc="2042C8E2" w:tentative="1">
      <w:start w:val="1"/>
      <w:numFmt w:val="bullet"/>
      <w:lvlText w:val=""/>
      <w:lvlJc w:val="left"/>
      <w:pPr>
        <w:ind w:left="2520" w:hanging="360"/>
      </w:pPr>
      <w:rPr>
        <w:rFonts w:ascii="Symbol" w:hAnsi="Symbol" w:hint="default"/>
      </w:rPr>
    </w:lvl>
    <w:lvl w:ilvl="4" w:tplc="27E62984" w:tentative="1">
      <w:start w:val="1"/>
      <w:numFmt w:val="bullet"/>
      <w:lvlText w:val="o"/>
      <w:lvlJc w:val="left"/>
      <w:pPr>
        <w:ind w:left="3240" w:hanging="360"/>
      </w:pPr>
      <w:rPr>
        <w:rFonts w:ascii="Courier New" w:hAnsi="Courier New" w:cs="Courier New" w:hint="default"/>
      </w:rPr>
    </w:lvl>
    <w:lvl w:ilvl="5" w:tplc="18A26D08" w:tentative="1">
      <w:start w:val="1"/>
      <w:numFmt w:val="bullet"/>
      <w:lvlText w:val=""/>
      <w:lvlJc w:val="left"/>
      <w:pPr>
        <w:ind w:left="3960" w:hanging="360"/>
      </w:pPr>
      <w:rPr>
        <w:rFonts w:ascii="Wingdings" w:hAnsi="Wingdings" w:hint="default"/>
      </w:rPr>
    </w:lvl>
    <w:lvl w:ilvl="6" w:tplc="4CD625D4" w:tentative="1">
      <w:start w:val="1"/>
      <w:numFmt w:val="bullet"/>
      <w:lvlText w:val=""/>
      <w:lvlJc w:val="left"/>
      <w:pPr>
        <w:ind w:left="4680" w:hanging="360"/>
      </w:pPr>
      <w:rPr>
        <w:rFonts w:ascii="Symbol" w:hAnsi="Symbol" w:hint="default"/>
      </w:rPr>
    </w:lvl>
    <w:lvl w:ilvl="7" w:tplc="A920CEFA" w:tentative="1">
      <w:start w:val="1"/>
      <w:numFmt w:val="bullet"/>
      <w:lvlText w:val="o"/>
      <w:lvlJc w:val="left"/>
      <w:pPr>
        <w:ind w:left="5400" w:hanging="360"/>
      </w:pPr>
      <w:rPr>
        <w:rFonts w:ascii="Courier New" w:hAnsi="Courier New" w:cs="Courier New" w:hint="default"/>
      </w:rPr>
    </w:lvl>
    <w:lvl w:ilvl="8" w:tplc="CD5A6F74" w:tentative="1">
      <w:start w:val="1"/>
      <w:numFmt w:val="bullet"/>
      <w:lvlText w:val=""/>
      <w:lvlJc w:val="left"/>
      <w:pPr>
        <w:ind w:left="6120" w:hanging="360"/>
      </w:pPr>
      <w:rPr>
        <w:rFonts w:ascii="Wingdings" w:hAnsi="Wingdings" w:hint="default"/>
      </w:rPr>
    </w:lvl>
  </w:abstractNum>
  <w:num w:numId="1">
    <w:abstractNumId w:val="30"/>
  </w:num>
  <w:num w:numId="2">
    <w:abstractNumId w:val="33"/>
  </w:num>
  <w:num w:numId="3">
    <w:abstractNumId w:val="14"/>
  </w:num>
  <w:num w:numId="4">
    <w:abstractNumId w:val="3"/>
  </w:num>
  <w:num w:numId="5">
    <w:abstractNumId w:val="4"/>
  </w:num>
  <w:num w:numId="6">
    <w:abstractNumId w:val="8"/>
  </w:num>
  <w:num w:numId="7">
    <w:abstractNumId w:val="17"/>
  </w:num>
  <w:num w:numId="8">
    <w:abstractNumId w:val="7"/>
  </w:num>
  <w:num w:numId="9">
    <w:abstractNumId w:val="27"/>
  </w:num>
  <w:num w:numId="10">
    <w:abstractNumId w:val="32"/>
  </w:num>
  <w:num w:numId="11">
    <w:abstractNumId w:val="1"/>
  </w:num>
  <w:num w:numId="12">
    <w:abstractNumId w:val="15"/>
  </w:num>
  <w:num w:numId="13">
    <w:abstractNumId w:val="29"/>
  </w:num>
  <w:num w:numId="14">
    <w:abstractNumId w:val="21"/>
  </w:num>
  <w:num w:numId="15">
    <w:abstractNumId w:val="23"/>
  </w:num>
  <w:num w:numId="16">
    <w:abstractNumId w:val="23"/>
  </w:num>
  <w:num w:numId="17">
    <w:abstractNumId w:val="23"/>
  </w:num>
  <w:num w:numId="18">
    <w:abstractNumId w:val="23"/>
  </w:num>
  <w:num w:numId="19">
    <w:abstractNumId w:val="23"/>
  </w:num>
  <w:num w:numId="20">
    <w:abstractNumId w:val="23"/>
  </w:num>
  <w:num w:numId="21">
    <w:abstractNumId w:val="23"/>
  </w:num>
  <w:num w:numId="22">
    <w:abstractNumId w:val="23"/>
  </w:num>
  <w:num w:numId="23">
    <w:abstractNumId w:val="23"/>
  </w:num>
  <w:num w:numId="24">
    <w:abstractNumId w:val="19"/>
  </w:num>
  <w:num w:numId="25">
    <w:abstractNumId w:val="5"/>
  </w:num>
  <w:num w:numId="26">
    <w:abstractNumId w:val="0"/>
  </w:num>
  <w:num w:numId="27">
    <w:abstractNumId w:val="26"/>
  </w:num>
  <w:num w:numId="28">
    <w:abstractNumId w:val="9"/>
  </w:num>
  <w:num w:numId="29">
    <w:abstractNumId w:val="12"/>
  </w:num>
  <w:num w:numId="30">
    <w:abstractNumId w:val="2"/>
  </w:num>
  <w:num w:numId="31">
    <w:abstractNumId w:val="16"/>
  </w:num>
  <w:num w:numId="32">
    <w:abstractNumId w:val="31"/>
  </w:num>
  <w:num w:numId="33">
    <w:abstractNumId w:val="20"/>
  </w:num>
  <w:num w:numId="34">
    <w:abstractNumId w:val="24"/>
  </w:num>
  <w:num w:numId="35">
    <w:abstractNumId w:val="34"/>
  </w:num>
  <w:num w:numId="36">
    <w:abstractNumId w:val="28"/>
  </w:num>
  <w:num w:numId="37">
    <w:abstractNumId w:val="11"/>
  </w:num>
  <w:num w:numId="38">
    <w:abstractNumId w:val="13"/>
  </w:num>
  <w:num w:numId="3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3"/>
  </w:num>
  <w:num w:numId="41">
    <w:abstractNumId w:val="23"/>
  </w:num>
  <w:num w:numId="42">
    <w:abstractNumId w:val="10"/>
  </w:num>
  <w:num w:numId="43">
    <w:abstractNumId w:val="22"/>
  </w:num>
  <w:num w:numId="44">
    <w:abstractNumId w:val="25"/>
  </w:num>
  <w:num w:numId="45">
    <w:abstractNumId w:val="6"/>
  </w:num>
  <w:num w:numId="4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3"/>
  </w:num>
  <w:num w:numId="4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283"/>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2D4F"/>
    <w:rsid w:val="00085F8B"/>
    <w:rsid w:val="000A4530"/>
    <w:rsid w:val="000D4AA4"/>
    <w:rsid w:val="000F0083"/>
    <w:rsid w:val="00113C59"/>
    <w:rsid w:val="001162C9"/>
    <w:rsid w:val="00151982"/>
    <w:rsid w:val="001678F8"/>
    <w:rsid w:val="00184E10"/>
    <w:rsid w:val="001C4BA3"/>
    <w:rsid w:val="001D66CB"/>
    <w:rsid w:val="001D708B"/>
    <w:rsid w:val="001E36DB"/>
    <w:rsid w:val="001E6093"/>
    <w:rsid w:val="00212A6E"/>
    <w:rsid w:val="0028514D"/>
    <w:rsid w:val="00292FF7"/>
    <w:rsid w:val="003301EC"/>
    <w:rsid w:val="003B4EF4"/>
    <w:rsid w:val="0043099F"/>
    <w:rsid w:val="004519AB"/>
    <w:rsid w:val="00457EF6"/>
    <w:rsid w:val="00512993"/>
    <w:rsid w:val="00564152"/>
    <w:rsid w:val="005738AE"/>
    <w:rsid w:val="005B4261"/>
    <w:rsid w:val="005C6A92"/>
    <w:rsid w:val="00645411"/>
    <w:rsid w:val="00650C44"/>
    <w:rsid w:val="006974F2"/>
    <w:rsid w:val="006D67F0"/>
    <w:rsid w:val="00720020"/>
    <w:rsid w:val="00726943"/>
    <w:rsid w:val="00733EDB"/>
    <w:rsid w:val="00774551"/>
    <w:rsid w:val="007C60DA"/>
    <w:rsid w:val="007C718D"/>
    <w:rsid w:val="007D564F"/>
    <w:rsid w:val="007F4963"/>
    <w:rsid w:val="007F4A56"/>
    <w:rsid w:val="007F7B63"/>
    <w:rsid w:val="00850ED4"/>
    <w:rsid w:val="008604DE"/>
    <w:rsid w:val="008644FE"/>
    <w:rsid w:val="00924596"/>
    <w:rsid w:val="00925257"/>
    <w:rsid w:val="0093657F"/>
    <w:rsid w:val="009820B0"/>
    <w:rsid w:val="00994403"/>
    <w:rsid w:val="009D30EA"/>
    <w:rsid w:val="00A16AA0"/>
    <w:rsid w:val="00A34021"/>
    <w:rsid w:val="00A41D39"/>
    <w:rsid w:val="00AA007C"/>
    <w:rsid w:val="00AB274C"/>
    <w:rsid w:val="00B20C87"/>
    <w:rsid w:val="00B46055"/>
    <w:rsid w:val="00B72C2D"/>
    <w:rsid w:val="00B86620"/>
    <w:rsid w:val="00B907FE"/>
    <w:rsid w:val="00BB718F"/>
    <w:rsid w:val="00BE6F0A"/>
    <w:rsid w:val="00C53765"/>
    <w:rsid w:val="00C77E81"/>
    <w:rsid w:val="00CA5D3B"/>
    <w:rsid w:val="00CB3657"/>
    <w:rsid w:val="00CD3CB8"/>
    <w:rsid w:val="00D04FCA"/>
    <w:rsid w:val="00D37DA4"/>
    <w:rsid w:val="00D8460B"/>
    <w:rsid w:val="00DA2D4F"/>
    <w:rsid w:val="00DB7CEA"/>
    <w:rsid w:val="00E57847"/>
    <w:rsid w:val="00E7004C"/>
    <w:rsid w:val="00E95673"/>
    <w:rsid w:val="00EE3E55"/>
    <w:rsid w:val="00F00990"/>
    <w:rsid w:val="00F22E2C"/>
    <w:rsid w:val="00F4130E"/>
    <w:rsid w:val="00F76CAD"/>
    <w:rsid w:val="00F925AE"/>
    <w:rsid w:val="00FA1415"/>
    <w:rsid w:val="00FF12D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2D8E4A0-B21B-4420-A5A8-89B12F4E16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F64CA"/>
    <w:pPr>
      <w:spacing w:line="480" w:lineRule="auto"/>
      <w:ind w:firstLine="709"/>
      <w:jc w:val="both"/>
    </w:pPr>
    <w:rPr>
      <w:rFonts w:ascii="Times New Roman" w:eastAsiaTheme="minorEastAsia" w:hAnsi="Times New Roman"/>
      <w:sz w:val="24"/>
      <w:lang w:eastAsia="it-IT"/>
    </w:rPr>
  </w:style>
  <w:style w:type="paragraph" w:styleId="Ttulo1">
    <w:name w:val="heading 1"/>
    <w:basedOn w:val="Normal"/>
    <w:next w:val="Normal"/>
    <w:link w:val="Heading1Char"/>
    <w:uiPriority w:val="9"/>
    <w:qFormat/>
    <w:rsid w:val="007A6A01"/>
    <w:pPr>
      <w:numPr>
        <w:numId w:val="23"/>
      </w:numPr>
      <w:spacing w:before="300" w:after="40"/>
      <w:outlineLvl w:val="0"/>
    </w:pPr>
    <w:rPr>
      <w:rFonts w:eastAsiaTheme="majorEastAsia" w:cstheme="majorBidi"/>
      <w:b/>
      <w:spacing w:val="5"/>
      <w:sz w:val="20"/>
      <w:szCs w:val="20"/>
    </w:rPr>
  </w:style>
  <w:style w:type="paragraph" w:styleId="Ttulo2">
    <w:name w:val="heading 2"/>
    <w:basedOn w:val="Normal"/>
    <w:next w:val="Normal"/>
    <w:link w:val="Heading2Char"/>
    <w:uiPriority w:val="9"/>
    <w:unhideWhenUsed/>
    <w:qFormat/>
    <w:rsid w:val="00A462DC"/>
    <w:pPr>
      <w:numPr>
        <w:ilvl w:val="1"/>
        <w:numId w:val="23"/>
      </w:numPr>
      <w:spacing w:after="0"/>
      <w:outlineLvl w:val="1"/>
    </w:pPr>
    <w:rPr>
      <w:rFonts w:eastAsia="Times New Roman" w:cstheme="majorBidi"/>
      <w:i/>
      <w:spacing w:val="5"/>
      <w:sz w:val="20"/>
    </w:rPr>
  </w:style>
  <w:style w:type="paragraph" w:styleId="Ttulo3">
    <w:name w:val="heading 3"/>
    <w:basedOn w:val="Normal"/>
    <w:next w:val="Normal"/>
    <w:link w:val="Heading3Char"/>
    <w:uiPriority w:val="9"/>
    <w:semiHidden/>
    <w:unhideWhenUsed/>
    <w:qFormat/>
    <w:rsid w:val="002F64CA"/>
    <w:pPr>
      <w:keepNext/>
      <w:keepLines/>
      <w:numPr>
        <w:ilvl w:val="2"/>
        <w:numId w:val="23"/>
      </w:numPr>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Heading4Char"/>
    <w:uiPriority w:val="9"/>
    <w:semiHidden/>
    <w:unhideWhenUsed/>
    <w:qFormat/>
    <w:rsid w:val="002F64CA"/>
    <w:pPr>
      <w:keepNext/>
      <w:keepLines/>
      <w:numPr>
        <w:ilvl w:val="3"/>
        <w:numId w:val="23"/>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Heading5Char"/>
    <w:uiPriority w:val="9"/>
    <w:semiHidden/>
    <w:unhideWhenUsed/>
    <w:qFormat/>
    <w:rsid w:val="002F64CA"/>
    <w:pPr>
      <w:keepNext/>
      <w:keepLines/>
      <w:numPr>
        <w:ilvl w:val="4"/>
        <w:numId w:val="23"/>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Heading6Char"/>
    <w:uiPriority w:val="9"/>
    <w:semiHidden/>
    <w:unhideWhenUsed/>
    <w:qFormat/>
    <w:rsid w:val="002F64CA"/>
    <w:pPr>
      <w:keepNext/>
      <w:keepLines/>
      <w:numPr>
        <w:ilvl w:val="5"/>
        <w:numId w:val="23"/>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Heading7Char"/>
    <w:uiPriority w:val="9"/>
    <w:semiHidden/>
    <w:unhideWhenUsed/>
    <w:qFormat/>
    <w:rsid w:val="002F64CA"/>
    <w:pPr>
      <w:keepNext/>
      <w:keepLines/>
      <w:numPr>
        <w:ilvl w:val="6"/>
        <w:numId w:val="23"/>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Heading8Char"/>
    <w:uiPriority w:val="9"/>
    <w:semiHidden/>
    <w:unhideWhenUsed/>
    <w:qFormat/>
    <w:rsid w:val="002F64CA"/>
    <w:pPr>
      <w:keepNext/>
      <w:keepLines/>
      <w:numPr>
        <w:ilvl w:val="7"/>
        <w:numId w:val="23"/>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Heading9Char"/>
    <w:uiPriority w:val="9"/>
    <w:semiHidden/>
    <w:unhideWhenUsed/>
    <w:qFormat/>
    <w:rsid w:val="002F64CA"/>
    <w:pPr>
      <w:keepNext/>
      <w:keepLines/>
      <w:numPr>
        <w:ilvl w:val="8"/>
        <w:numId w:val="29"/>
      </w:numPr>
      <w:spacing w:before="200" w:after="0"/>
      <w:ind w:left="1584" w:hanging="1584"/>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Heading1Char">
    <w:name w:val="Heading 1 Char"/>
    <w:basedOn w:val="Fuentedeprrafopredeter"/>
    <w:link w:val="Ttulo1"/>
    <w:uiPriority w:val="9"/>
    <w:rsid w:val="007A6A01"/>
    <w:rPr>
      <w:rFonts w:ascii="Times New Roman" w:eastAsiaTheme="majorEastAsia" w:hAnsi="Times New Roman" w:cstheme="majorBidi"/>
      <w:b/>
      <w:spacing w:val="5"/>
      <w:sz w:val="20"/>
      <w:szCs w:val="20"/>
      <w:lang w:eastAsia="it-IT"/>
    </w:rPr>
  </w:style>
  <w:style w:type="paragraph" w:styleId="Puesto">
    <w:name w:val="Title"/>
    <w:basedOn w:val="Normal"/>
    <w:next w:val="Normal"/>
    <w:link w:val="TitleChar"/>
    <w:uiPriority w:val="10"/>
    <w:qFormat/>
    <w:rsid w:val="002F64CA"/>
    <w:pPr>
      <w:spacing w:after="480" w:line="240" w:lineRule="auto"/>
      <w:jc w:val="center"/>
    </w:pPr>
    <w:rPr>
      <w:smallCaps/>
      <w:noProof/>
      <w:sz w:val="48"/>
      <w:szCs w:val="48"/>
      <w:lang w:eastAsia="en-US" w:bidi="en-US"/>
    </w:rPr>
  </w:style>
  <w:style w:type="character" w:customStyle="1" w:styleId="TitleChar">
    <w:name w:val="Title Char"/>
    <w:basedOn w:val="Fuentedeprrafopredeter"/>
    <w:link w:val="Puesto"/>
    <w:uiPriority w:val="10"/>
    <w:rsid w:val="002F64CA"/>
    <w:rPr>
      <w:rFonts w:ascii="Times New Roman" w:eastAsiaTheme="minorEastAsia" w:hAnsi="Times New Roman"/>
      <w:smallCaps/>
      <w:noProof/>
      <w:sz w:val="48"/>
      <w:szCs w:val="48"/>
      <w:lang w:bidi="en-US"/>
    </w:rPr>
  </w:style>
  <w:style w:type="paragraph" w:styleId="Prrafodelista">
    <w:name w:val="List Paragraph"/>
    <w:basedOn w:val="Normal"/>
    <w:uiPriority w:val="34"/>
    <w:qFormat/>
    <w:rsid w:val="002F64CA"/>
    <w:pPr>
      <w:ind w:left="720"/>
      <w:contextualSpacing/>
    </w:pPr>
    <w:rPr>
      <w:szCs w:val="20"/>
      <w:lang w:eastAsia="en-US" w:bidi="en-US"/>
    </w:rPr>
  </w:style>
  <w:style w:type="character" w:customStyle="1" w:styleId="Heading2Char">
    <w:name w:val="Heading 2 Char"/>
    <w:basedOn w:val="Fuentedeprrafopredeter"/>
    <w:link w:val="Ttulo2"/>
    <w:uiPriority w:val="9"/>
    <w:rsid w:val="00A462DC"/>
    <w:rPr>
      <w:rFonts w:ascii="Times New Roman" w:eastAsia="Times New Roman" w:hAnsi="Times New Roman" w:cstheme="majorBidi"/>
      <w:i/>
      <w:spacing w:val="5"/>
      <w:sz w:val="20"/>
      <w:lang w:eastAsia="it-IT"/>
    </w:rPr>
  </w:style>
  <w:style w:type="paragraph" w:styleId="Encabezado">
    <w:name w:val="header"/>
    <w:basedOn w:val="Normal"/>
    <w:link w:val="HeaderChar"/>
    <w:uiPriority w:val="99"/>
    <w:unhideWhenUsed/>
    <w:rsid w:val="00C14F2C"/>
    <w:pPr>
      <w:tabs>
        <w:tab w:val="center" w:pos="4703"/>
        <w:tab w:val="right" w:pos="9406"/>
      </w:tabs>
      <w:spacing w:after="0" w:line="240" w:lineRule="auto"/>
    </w:pPr>
  </w:style>
  <w:style w:type="character" w:customStyle="1" w:styleId="HeaderChar">
    <w:name w:val="Header Char"/>
    <w:basedOn w:val="Fuentedeprrafopredeter"/>
    <w:link w:val="Encabezado"/>
    <w:uiPriority w:val="99"/>
    <w:rsid w:val="00C14F2C"/>
    <w:rPr>
      <w:rFonts w:eastAsiaTheme="minorEastAsia"/>
      <w:sz w:val="20"/>
      <w:szCs w:val="20"/>
    </w:rPr>
  </w:style>
  <w:style w:type="paragraph" w:styleId="Piedepgina">
    <w:name w:val="footer"/>
    <w:basedOn w:val="Normal"/>
    <w:link w:val="FooterChar"/>
    <w:uiPriority w:val="99"/>
    <w:unhideWhenUsed/>
    <w:rsid w:val="00C14F2C"/>
    <w:pPr>
      <w:tabs>
        <w:tab w:val="center" w:pos="4703"/>
        <w:tab w:val="right" w:pos="9406"/>
      </w:tabs>
      <w:spacing w:after="0" w:line="240" w:lineRule="auto"/>
    </w:pPr>
  </w:style>
  <w:style w:type="character" w:customStyle="1" w:styleId="FooterChar">
    <w:name w:val="Footer Char"/>
    <w:basedOn w:val="Fuentedeprrafopredeter"/>
    <w:link w:val="Piedepgina"/>
    <w:uiPriority w:val="99"/>
    <w:rsid w:val="00C14F2C"/>
    <w:rPr>
      <w:rFonts w:eastAsiaTheme="minorEastAsia"/>
      <w:sz w:val="20"/>
      <w:szCs w:val="20"/>
    </w:rPr>
  </w:style>
  <w:style w:type="paragraph" w:styleId="NormalWeb">
    <w:name w:val="Normal (Web)"/>
    <w:basedOn w:val="Normal"/>
    <w:uiPriority w:val="99"/>
    <w:unhideWhenUsed/>
    <w:rsid w:val="00C17FEB"/>
    <w:pPr>
      <w:spacing w:before="100" w:beforeAutospacing="1" w:after="100" w:afterAutospacing="1" w:line="240" w:lineRule="auto"/>
      <w:jc w:val="left"/>
    </w:pPr>
    <w:rPr>
      <w:rFonts w:eastAsia="Times New Roman" w:cs="Times New Roman"/>
      <w:szCs w:val="24"/>
    </w:rPr>
  </w:style>
  <w:style w:type="character" w:customStyle="1" w:styleId="apple-converted-space">
    <w:name w:val="apple-converted-space"/>
    <w:basedOn w:val="Fuentedeprrafopredeter"/>
    <w:rsid w:val="00C17FEB"/>
  </w:style>
  <w:style w:type="table" w:styleId="Tablaconcuadrcula">
    <w:name w:val="Table Grid"/>
    <w:basedOn w:val="Tablanormal"/>
    <w:uiPriority w:val="59"/>
    <w:rsid w:val="00C17F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B1627F"/>
    <w:rPr>
      <w:color w:val="0000FF"/>
      <w:u w:val="single"/>
    </w:rPr>
  </w:style>
  <w:style w:type="character" w:customStyle="1" w:styleId="Heading3Char">
    <w:name w:val="Heading 3 Char"/>
    <w:basedOn w:val="Fuentedeprrafopredeter"/>
    <w:link w:val="Ttulo3"/>
    <w:uiPriority w:val="9"/>
    <w:semiHidden/>
    <w:rsid w:val="002F64CA"/>
    <w:rPr>
      <w:rFonts w:asciiTheme="majorHAnsi" w:eastAsiaTheme="majorEastAsia" w:hAnsiTheme="majorHAnsi" w:cstheme="majorBidi"/>
      <w:b/>
      <w:bCs/>
      <w:color w:val="4F81BD" w:themeColor="accent1"/>
      <w:sz w:val="24"/>
      <w:lang w:eastAsia="it-IT"/>
    </w:rPr>
  </w:style>
  <w:style w:type="character" w:customStyle="1" w:styleId="Heading4Char">
    <w:name w:val="Heading 4 Char"/>
    <w:basedOn w:val="Fuentedeprrafopredeter"/>
    <w:link w:val="Ttulo4"/>
    <w:uiPriority w:val="9"/>
    <w:semiHidden/>
    <w:rsid w:val="002F64CA"/>
    <w:rPr>
      <w:rFonts w:asciiTheme="majorHAnsi" w:eastAsiaTheme="majorEastAsia" w:hAnsiTheme="majorHAnsi" w:cstheme="majorBidi"/>
      <w:b/>
      <w:bCs/>
      <w:i/>
      <w:iCs/>
      <w:color w:val="4F81BD" w:themeColor="accent1"/>
      <w:sz w:val="24"/>
      <w:lang w:eastAsia="it-IT"/>
    </w:rPr>
  </w:style>
  <w:style w:type="character" w:customStyle="1" w:styleId="Heading5Char">
    <w:name w:val="Heading 5 Char"/>
    <w:basedOn w:val="Fuentedeprrafopredeter"/>
    <w:link w:val="Ttulo5"/>
    <w:uiPriority w:val="9"/>
    <w:semiHidden/>
    <w:rsid w:val="002F64CA"/>
    <w:rPr>
      <w:rFonts w:asciiTheme="majorHAnsi" w:eastAsiaTheme="majorEastAsia" w:hAnsiTheme="majorHAnsi" w:cstheme="majorBidi"/>
      <w:color w:val="243F60" w:themeColor="accent1" w:themeShade="7F"/>
      <w:sz w:val="24"/>
      <w:lang w:eastAsia="it-IT"/>
    </w:rPr>
  </w:style>
  <w:style w:type="character" w:customStyle="1" w:styleId="Heading6Char">
    <w:name w:val="Heading 6 Char"/>
    <w:basedOn w:val="Fuentedeprrafopredeter"/>
    <w:link w:val="Ttulo6"/>
    <w:uiPriority w:val="9"/>
    <w:semiHidden/>
    <w:rsid w:val="002F64CA"/>
    <w:rPr>
      <w:rFonts w:asciiTheme="majorHAnsi" w:eastAsiaTheme="majorEastAsia" w:hAnsiTheme="majorHAnsi" w:cstheme="majorBidi"/>
      <w:i/>
      <w:iCs/>
      <w:color w:val="243F60" w:themeColor="accent1" w:themeShade="7F"/>
      <w:sz w:val="24"/>
      <w:lang w:eastAsia="it-IT"/>
    </w:rPr>
  </w:style>
  <w:style w:type="character" w:customStyle="1" w:styleId="Heading7Char">
    <w:name w:val="Heading 7 Char"/>
    <w:basedOn w:val="Fuentedeprrafopredeter"/>
    <w:link w:val="Ttulo7"/>
    <w:uiPriority w:val="9"/>
    <w:semiHidden/>
    <w:rsid w:val="002F64CA"/>
    <w:rPr>
      <w:rFonts w:asciiTheme="majorHAnsi" w:eastAsiaTheme="majorEastAsia" w:hAnsiTheme="majorHAnsi" w:cstheme="majorBidi"/>
      <w:i/>
      <w:iCs/>
      <w:color w:val="404040" w:themeColor="text1" w:themeTint="BF"/>
      <w:sz w:val="24"/>
      <w:lang w:eastAsia="it-IT"/>
    </w:rPr>
  </w:style>
  <w:style w:type="character" w:customStyle="1" w:styleId="Heading8Char">
    <w:name w:val="Heading 8 Char"/>
    <w:basedOn w:val="Fuentedeprrafopredeter"/>
    <w:link w:val="Ttulo8"/>
    <w:uiPriority w:val="9"/>
    <w:semiHidden/>
    <w:rsid w:val="002F64CA"/>
    <w:rPr>
      <w:rFonts w:asciiTheme="majorHAnsi" w:eastAsiaTheme="majorEastAsia" w:hAnsiTheme="majorHAnsi" w:cstheme="majorBidi"/>
      <w:color w:val="404040" w:themeColor="text1" w:themeTint="BF"/>
      <w:sz w:val="20"/>
      <w:szCs w:val="20"/>
      <w:lang w:eastAsia="it-IT"/>
    </w:rPr>
  </w:style>
  <w:style w:type="character" w:customStyle="1" w:styleId="Heading9Char">
    <w:name w:val="Heading 9 Char"/>
    <w:basedOn w:val="Fuentedeprrafopredeter"/>
    <w:link w:val="Ttulo9"/>
    <w:uiPriority w:val="9"/>
    <w:semiHidden/>
    <w:rsid w:val="002F64CA"/>
    <w:rPr>
      <w:rFonts w:asciiTheme="majorHAnsi" w:eastAsiaTheme="majorEastAsia" w:hAnsiTheme="majorHAnsi" w:cstheme="majorBidi"/>
      <w:i/>
      <w:iCs/>
      <w:color w:val="404040" w:themeColor="text1" w:themeTint="BF"/>
      <w:sz w:val="20"/>
      <w:szCs w:val="20"/>
      <w:lang w:eastAsia="it-IT"/>
    </w:rPr>
  </w:style>
  <w:style w:type="paragraph" w:styleId="Descripcin">
    <w:name w:val="caption"/>
    <w:basedOn w:val="Normal"/>
    <w:next w:val="Normal"/>
    <w:uiPriority w:val="35"/>
    <w:unhideWhenUsed/>
    <w:qFormat/>
    <w:rsid w:val="002F64CA"/>
    <w:pPr>
      <w:keepNext/>
      <w:ind w:firstLine="0"/>
      <w:jc w:val="center"/>
    </w:pPr>
    <w:rPr>
      <w:b/>
      <w:bCs/>
      <w:sz w:val="20"/>
      <w:szCs w:val="18"/>
      <w:lang w:eastAsia="en-US" w:bidi="en-US"/>
    </w:rPr>
  </w:style>
  <w:style w:type="paragraph" w:styleId="Subttulo">
    <w:name w:val="Subtitle"/>
    <w:basedOn w:val="Normal"/>
    <w:next w:val="Normal"/>
    <w:link w:val="SubtitleChar"/>
    <w:uiPriority w:val="11"/>
    <w:qFormat/>
    <w:rsid w:val="002F64CA"/>
    <w:pPr>
      <w:spacing w:after="720" w:line="240" w:lineRule="auto"/>
      <w:jc w:val="right"/>
    </w:pPr>
    <w:rPr>
      <w:rFonts w:asciiTheme="majorHAnsi" w:eastAsiaTheme="majorEastAsia" w:hAnsiTheme="majorHAnsi" w:cstheme="majorBidi"/>
      <w:lang w:eastAsia="en-US" w:bidi="en-US"/>
    </w:rPr>
  </w:style>
  <w:style w:type="character" w:customStyle="1" w:styleId="SubtitleChar">
    <w:name w:val="Subtitle Char"/>
    <w:basedOn w:val="Fuentedeprrafopredeter"/>
    <w:link w:val="Subttulo"/>
    <w:uiPriority w:val="11"/>
    <w:rsid w:val="002F64CA"/>
    <w:rPr>
      <w:rFonts w:asciiTheme="majorHAnsi" w:eastAsiaTheme="majorEastAsia" w:hAnsiTheme="majorHAnsi" w:cstheme="majorBidi"/>
      <w:sz w:val="24"/>
      <w:lang w:bidi="en-US"/>
    </w:rPr>
  </w:style>
  <w:style w:type="character" w:styleId="Textoennegrita">
    <w:name w:val="Strong"/>
    <w:uiPriority w:val="22"/>
    <w:qFormat/>
    <w:rsid w:val="002F64CA"/>
    <w:rPr>
      <w:b/>
      <w:color w:val="C0504D" w:themeColor="accent2"/>
    </w:rPr>
  </w:style>
  <w:style w:type="character" w:styleId="nfasis">
    <w:name w:val="Emphasis"/>
    <w:basedOn w:val="Fuentedeprrafopredeter"/>
    <w:uiPriority w:val="20"/>
    <w:qFormat/>
    <w:rsid w:val="002F64CA"/>
    <w:rPr>
      <w:i/>
      <w:iCs/>
    </w:rPr>
  </w:style>
  <w:style w:type="paragraph" w:styleId="Sinespaciado">
    <w:name w:val="No Spacing"/>
    <w:basedOn w:val="Normal"/>
    <w:link w:val="NoSpacingChar"/>
    <w:uiPriority w:val="1"/>
    <w:qFormat/>
    <w:rsid w:val="002F64CA"/>
    <w:pPr>
      <w:spacing w:after="0" w:line="240" w:lineRule="auto"/>
    </w:pPr>
    <w:rPr>
      <w:szCs w:val="20"/>
      <w:lang w:eastAsia="en-US" w:bidi="en-US"/>
    </w:rPr>
  </w:style>
  <w:style w:type="paragraph" w:styleId="Cita">
    <w:name w:val="Quote"/>
    <w:basedOn w:val="Normal"/>
    <w:next w:val="Normal"/>
    <w:link w:val="QuoteChar"/>
    <w:uiPriority w:val="29"/>
    <w:qFormat/>
    <w:rsid w:val="002F64CA"/>
    <w:rPr>
      <w:i/>
      <w:szCs w:val="20"/>
      <w:lang w:eastAsia="en-US" w:bidi="en-US"/>
    </w:rPr>
  </w:style>
  <w:style w:type="character" w:customStyle="1" w:styleId="QuoteChar">
    <w:name w:val="Quote Char"/>
    <w:basedOn w:val="Fuentedeprrafopredeter"/>
    <w:link w:val="Cita"/>
    <w:uiPriority w:val="29"/>
    <w:rsid w:val="002F64CA"/>
    <w:rPr>
      <w:rFonts w:ascii="Times New Roman" w:eastAsiaTheme="minorEastAsia" w:hAnsi="Times New Roman"/>
      <w:i/>
      <w:sz w:val="24"/>
      <w:szCs w:val="20"/>
      <w:lang w:bidi="en-US"/>
    </w:rPr>
  </w:style>
  <w:style w:type="paragraph" w:styleId="Citadestacada">
    <w:name w:val="Intense Quote"/>
    <w:basedOn w:val="Normal"/>
    <w:next w:val="Normal"/>
    <w:link w:val="IntenseQuoteChar"/>
    <w:uiPriority w:val="30"/>
    <w:qFormat/>
    <w:rsid w:val="002F64CA"/>
    <w:pPr>
      <w:pBdr>
        <w:top w:val="single" w:sz="8" w:space="10" w:color="943634" w:themeColor="accent2" w:themeShade="BF"/>
        <w:left w:val="single" w:sz="8" w:space="10" w:color="943634" w:themeColor="accent2" w:themeShade="BF"/>
        <w:bottom w:val="single" w:sz="8" w:space="10" w:color="943634" w:themeColor="accent2" w:themeShade="BF"/>
        <w:right w:val="single" w:sz="8" w:space="10" w:color="943634" w:themeColor="accent2" w:themeShade="BF"/>
      </w:pBdr>
      <w:shd w:val="clear" w:color="auto" w:fill="C0504D" w:themeFill="accent2"/>
      <w:spacing w:before="140" w:after="140"/>
      <w:ind w:left="1440" w:right="1440"/>
    </w:pPr>
    <w:rPr>
      <w:b/>
      <w:i/>
      <w:color w:val="FFFFFF" w:themeColor="background1"/>
      <w:szCs w:val="20"/>
      <w:lang w:eastAsia="en-US" w:bidi="en-US"/>
    </w:rPr>
  </w:style>
  <w:style w:type="character" w:customStyle="1" w:styleId="IntenseQuoteChar">
    <w:name w:val="Intense Quote Char"/>
    <w:basedOn w:val="Fuentedeprrafopredeter"/>
    <w:link w:val="Citadestacada"/>
    <w:uiPriority w:val="30"/>
    <w:rsid w:val="002F64CA"/>
    <w:rPr>
      <w:rFonts w:ascii="Times New Roman" w:eastAsiaTheme="minorEastAsia" w:hAnsi="Times New Roman"/>
      <w:b/>
      <w:i/>
      <w:color w:val="FFFFFF" w:themeColor="background1"/>
      <w:sz w:val="24"/>
      <w:szCs w:val="20"/>
      <w:shd w:val="clear" w:color="auto" w:fill="C0504D" w:themeFill="accent2"/>
      <w:lang w:bidi="en-US"/>
    </w:rPr>
  </w:style>
  <w:style w:type="character" w:styleId="nfasissutil">
    <w:name w:val="Subtle Emphasis"/>
    <w:uiPriority w:val="19"/>
    <w:qFormat/>
    <w:rsid w:val="002F64CA"/>
    <w:rPr>
      <w:rFonts w:ascii="Times New Roman" w:hAnsi="Times New Roman" w:cs="Times New Roman"/>
      <w:i/>
    </w:rPr>
  </w:style>
  <w:style w:type="character" w:styleId="nfasisintenso">
    <w:name w:val="Intense Emphasis"/>
    <w:uiPriority w:val="21"/>
    <w:qFormat/>
    <w:rsid w:val="002F64CA"/>
    <w:rPr>
      <w:b/>
      <w:i/>
      <w:color w:val="C0504D" w:themeColor="accent2"/>
      <w:spacing w:val="10"/>
    </w:rPr>
  </w:style>
  <w:style w:type="character" w:styleId="Referenciasutil">
    <w:name w:val="Subtle Reference"/>
    <w:uiPriority w:val="31"/>
    <w:qFormat/>
    <w:rsid w:val="002F64CA"/>
    <w:rPr>
      <w:rFonts w:ascii="Times New Roman" w:hAnsi="Times New Roman"/>
      <w:sz w:val="18"/>
    </w:rPr>
  </w:style>
  <w:style w:type="character" w:styleId="Referenciaintensa">
    <w:name w:val="Intense Reference"/>
    <w:uiPriority w:val="32"/>
    <w:qFormat/>
    <w:rsid w:val="002F64CA"/>
    <w:rPr>
      <w:b/>
      <w:bCs/>
      <w:smallCaps/>
      <w:spacing w:val="5"/>
      <w:sz w:val="22"/>
      <w:szCs w:val="22"/>
      <w:u w:val="single"/>
    </w:rPr>
  </w:style>
  <w:style w:type="character" w:styleId="Ttulodellibro">
    <w:name w:val="Book Title"/>
    <w:uiPriority w:val="33"/>
    <w:qFormat/>
    <w:rsid w:val="002F64CA"/>
    <w:rPr>
      <w:rFonts w:asciiTheme="majorHAnsi" w:eastAsiaTheme="majorEastAsia" w:hAnsiTheme="majorHAnsi" w:cstheme="majorBidi"/>
      <w:i/>
      <w:iCs/>
      <w:sz w:val="20"/>
      <w:szCs w:val="20"/>
    </w:rPr>
  </w:style>
  <w:style w:type="paragraph" w:styleId="TtulodeTDC">
    <w:name w:val="TOC Heading"/>
    <w:basedOn w:val="Ttulo1"/>
    <w:next w:val="Normal"/>
    <w:uiPriority w:val="39"/>
    <w:semiHidden/>
    <w:unhideWhenUsed/>
    <w:qFormat/>
    <w:rsid w:val="002F64CA"/>
    <w:pPr>
      <w:numPr>
        <w:numId w:val="0"/>
      </w:numPr>
      <w:outlineLvl w:val="9"/>
    </w:pPr>
    <w:rPr>
      <w:rFonts w:eastAsiaTheme="minorEastAsia"/>
      <w:szCs w:val="26"/>
      <w:lang w:eastAsia="en-US" w:bidi="en-US"/>
    </w:rPr>
  </w:style>
  <w:style w:type="paragraph" w:customStyle="1" w:styleId="Paragrafoelenco1">
    <w:name w:val="Paragrafo elenco1"/>
    <w:basedOn w:val="Normal"/>
    <w:uiPriority w:val="34"/>
    <w:qFormat/>
    <w:rsid w:val="002F64CA"/>
    <w:pPr>
      <w:ind w:left="720"/>
      <w:contextualSpacing/>
    </w:pPr>
    <w:rPr>
      <w:rFonts w:ascii="Calibri" w:eastAsia="Times New Roman" w:hAnsi="Calibri" w:cs="Times New Roman"/>
      <w:szCs w:val="20"/>
      <w:lang w:eastAsia="en-US" w:bidi="en-US"/>
    </w:rPr>
  </w:style>
  <w:style w:type="character" w:customStyle="1" w:styleId="NoSpacingChar">
    <w:name w:val="No Spacing Char"/>
    <w:basedOn w:val="Fuentedeprrafopredeter"/>
    <w:link w:val="Sinespaciado"/>
    <w:uiPriority w:val="1"/>
    <w:rsid w:val="002F64CA"/>
    <w:rPr>
      <w:rFonts w:ascii="Times New Roman" w:eastAsiaTheme="minorEastAsia" w:hAnsi="Times New Roman"/>
      <w:sz w:val="24"/>
      <w:szCs w:val="20"/>
      <w:lang w:bidi="en-US"/>
    </w:rPr>
  </w:style>
  <w:style w:type="paragraph" w:styleId="Mapadeldocumento">
    <w:name w:val="Document Map"/>
    <w:basedOn w:val="Normal"/>
    <w:link w:val="DocumentMapChar"/>
    <w:uiPriority w:val="99"/>
    <w:semiHidden/>
    <w:unhideWhenUsed/>
    <w:rsid w:val="009E2CC1"/>
    <w:pPr>
      <w:spacing w:after="0" w:line="240" w:lineRule="auto"/>
    </w:pPr>
    <w:rPr>
      <w:rFonts w:ascii="Tahoma" w:hAnsi="Tahoma" w:cs="Tahoma"/>
      <w:sz w:val="16"/>
      <w:szCs w:val="16"/>
    </w:rPr>
  </w:style>
  <w:style w:type="character" w:customStyle="1" w:styleId="DocumentMapChar">
    <w:name w:val="Document Map Char"/>
    <w:basedOn w:val="Fuentedeprrafopredeter"/>
    <w:link w:val="Mapadeldocumento"/>
    <w:uiPriority w:val="99"/>
    <w:semiHidden/>
    <w:rsid w:val="009E2CC1"/>
    <w:rPr>
      <w:rFonts w:ascii="Tahoma" w:eastAsiaTheme="minorEastAsia" w:hAnsi="Tahoma" w:cs="Tahoma"/>
      <w:sz w:val="16"/>
      <w:szCs w:val="16"/>
      <w:lang w:eastAsia="it-IT"/>
    </w:rPr>
  </w:style>
  <w:style w:type="paragraph" w:styleId="Textodeglobo">
    <w:name w:val="Balloon Text"/>
    <w:basedOn w:val="Normal"/>
    <w:link w:val="BalloonTextChar"/>
    <w:uiPriority w:val="99"/>
    <w:semiHidden/>
    <w:unhideWhenUsed/>
    <w:rsid w:val="004801BC"/>
    <w:pPr>
      <w:spacing w:after="0" w:line="240" w:lineRule="auto"/>
    </w:pPr>
    <w:rPr>
      <w:rFonts w:ascii="Tahoma" w:hAnsi="Tahoma" w:cs="Tahoma"/>
      <w:sz w:val="16"/>
      <w:szCs w:val="16"/>
    </w:rPr>
  </w:style>
  <w:style w:type="character" w:customStyle="1" w:styleId="BalloonTextChar">
    <w:name w:val="Balloon Text Char"/>
    <w:basedOn w:val="Fuentedeprrafopredeter"/>
    <w:link w:val="Textodeglobo"/>
    <w:uiPriority w:val="99"/>
    <w:semiHidden/>
    <w:rsid w:val="004801BC"/>
    <w:rPr>
      <w:rFonts w:ascii="Tahoma" w:eastAsiaTheme="minorEastAsia" w:hAnsi="Tahoma" w:cs="Tahoma"/>
      <w:sz w:val="16"/>
      <w:szCs w:val="16"/>
      <w:lang w:eastAsia="it-IT"/>
    </w:rPr>
  </w:style>
  <w:style w:type="paragraph" w:styleId="Textonotapie">
    <w:name w:val="footnote text"/>
    <w:aliases w:val="Footnote ak,Footnotes,Schriftart: 10 pt,Schriftart: 8 pt,Schriftart: 9 pt,WB-Fußnotentext,fn"/>
    <w:basedOn w:val="Normal"/>
    <w:link w:val="FootnoteTextChar"/>
    <w:unhideWhenUsed/>
    <w:rsid w:val="0004527F"/>
    <w:pPr>
      <w:spacing w:after="0" w:line="240" w:lineRule="auto"/>
      <w:ind w:firstLine="0"/>
    </w:pPr>
    <w:rPr>
      <w:sz w:val="20"/>
      <w:szCs w:val="20"/>
      <w:lang w:eastAsia="en-US" w:bidi="en-US"/>
    </w:rPr>
  </w:style>
  <w:style w:type="character" w:customStyle="1" w:styleId="FootnoteTextChar">
    <w:name w:val="Footnote Text Char"/>
    <w:aliases w:val="Footnote ak Char,Footnotes Char,Schriftart: 10 pt Char,Schriftart: 8 pt Char,Schriftart: 9 pt Char,WB-Fußnotentext Char,fn Char"/>
    <w:basedOn w:val="Fuentedeprrafopredeter"/>
    <w:link w:val="Textonotapie"/>
    <w:uiPriority w:val="99"/>
    <w:rsid w:val="0004527F"/>
    <w:rPr>
      <w:rFonts w:ascii="Times New Roman" w:eastAsiaTheme="minorEastAsia" w:hAnsi="Times New Roman"/>
      <w:sz w:val="20"/>
      <w:szCs w:val="20"/>
      <w:lang w:bidi="en-US"/>
    </w:rPr>
  </w:style>
  <w:style w:type="character" w:styleId="Refdenotaalpie">
    <w:name w:val="footnote reference"/>
    <w:basedOn w:val="Fuentedeprrafopredeter"/>
    <w:semiHidden/>
    <w:unhideWhenUsed/>
    <w:rsid w:val="0004527F"/>
    <w:rPr>
      <w:vertAlign w:val="superscript"/>
    </w:rPr>
  </w:style>
  <w:style w:type="character" w:styleId="Refdecomentario">
    <w:name w:val="annotation reference"/>
    <w:basedOn w:val="Fuentedeprrafopredeter"/>
    <w:uiPriority w:val="99"/>
    <w:semiHidden/>
    <w:unhideWhenUsed/>
    <w:rsid w:val="00145FCD"/>
    <w:rPr>
      <w:sz w:val="16"/>
      <w:szCs w:val="16"/>
    </w:rPr>
  </w:style>
  <w:style w:type="paragraph" w:styleId="Textocomentario">
    <w:name w:val="annotation text"/>
    <w:basedOn w:val="Normal"/>
    <w:link w:val="CommentTextChar"/>
    <w:uiPriority w:val="99"/>
    <w:semiHidden/>
    <w:unhideWhenUsed/>
    <w:rsid w:val="00145FCD"/>
    <w:pPr>
      <w:spacing w:line="240" w:lineRule="auto"/>
    </w:pPr>
    <w:rPr>
      <w:sz w:val="20"/>
      <w:szCs w:val="20"/>
    </w:rPr>
  </w:style>
  <w:style w:type="character" w:customStyle="1" w:styleId="CommentTextChar">
    <w:name w:val="Comment Text Char"/>
    <w:basedOn w:val="Fuentedeprrafopredeter"/>
    <w:link w:val="Textocomentario"/>
    <w:uiPriority w:val="99"/>
    <w:semiHidden/>
    <w:rsid w:val="00145FCD"/>
    <w:rPr>
      <w:rFonts w:ascii="Times New Roman" w:eastAsiaTheme="minorEastAsia" w:hAnsi="Times New Roman"/>
      <w:sz w:val="20"/>
      <w:szCs w:val="20"/>
      <w:lang w:eastAsia="it-IT"/>
    </w:rPr>
  </w:style>
  <w:style w:type="paragraph" w:styleId="Asuntodelcomentario">
    <w:name w:val="annotation subject"/>
    <w:basedOn w:val="Textocomentario"/>
    <w:next w:val="Textocomentario"/>
    <w:link w:val="CommentSubjectChar"/>
    <w:uiPriority w:val="99"/>
    <w:semiHidden/>
    <w:unhideWhenUsed/>
    <w:rsid w:val="00145FCD"/>
    <w:rPr>
      <w:b/>
      <w:bCs/>
    </w:rPr>
  </w:style>
  <w:style w:type="character" w:customStyle="1" w:styleId="CommentSubjectChar">
    <w:name w:val="Comment Subject Char"/>
    <w:basedOn w:val="CommentTextChar"/>
    <w:link w:val="Asuntodelcomentario"/>
    <w:uiPriority w:val="99"/>
    <w:semiHidden/>
    <w:rsid w:val="00145FCD"/>
    <w:rPr>
      <w:rFonts w:ascii="Times New Roman" w:eastAsiaTheme="minorEastAsia" w:hAnsi="Times New Roman"/>
      <w:b/>
      <w:bCs/>
      <w:sz w:val="20"/>
      <w:szCs w:val="20"/>
      <w:lang w:eastAsia="it-IT"/>
    </w:rPr>
  </w:style>
  <w:style w:type="paragraph" w:styleId="Textonotaalfinal">
    <w:name w:val="endnote text"/>
    <w:basedOn w:val="Normal"/>
    <w:link w:val="EndnoteTextChar"/>
    <w:uiPriority w:val="99"/>
    <w:semiHidden/>
    <w:unhideWhenUsed/>
    <w:rsid w:val="0006070D"/>
    <w:pPr>
      <w:spacing w:after="0" w:line="240" w:lineRule="auto"/>
    </w:pPr>
    <w:rPr>
      <w:sz w:val="20"/>
      <w:szCs w:val="20"/>
    </w:rPr>
  </w:style>
  <w:style w:type="character" w:customStyle="1" w:styleId="EndnoteTextChar">
    <w:name w:val="Endnote Text Char"/>
    <w:basedOn w:val="Fuentedeprrafopredeter"/>
    <w:link w:val="Textonotaalfinal"/>
    <w:uiPriority w:val="99"/>
    <w:semiHidden/>
    <w:rsid w:val="0006070D"/>
    <w:rPr>
      <w:rFonts w:ascii="Times New Roman" w:eastAsiaTheme="minorEastAsia" w:hAnsi="Times New Roman"/>
      <w:sz w:val="20"/>
      <w:szCs w:val="20"/>
      <w:lang w:eastAsia="it-IT"/>
    </w:rPr>
  </w:style>
  <w:style w:type="character" w:styleId="Refdenotaalfinal">
    <w:name w:val="endnote reference"/>
    <w:basedOn w:val="Fuentedeprrafopredeter"/>
    <w:uiPriority w:val="99"/>
    <w:semiHidden/>
    <w:unhideWhenUsed/>
    <w:rsid w:val="0006070D"/>
    <w:rPr>
      <w:vertAlign w:val="superscript"/>
    </w:rPr>
  </w:style>
  <w:style w:type="paragraph" w:styleId="Revisin">
    <w:name w:val="Revision"/>
    <w:hidden/>
    <w:uiPriority w:val="99"/>
    <w:semiHidden/>
    <w:rsid w:val="00D9020D"/>
    <w:pPr>
      <w:spacing w:after="0" w:line="240" w:lineRule="auto"/>
    </w:pPr>
    <w:rPr>
      <w:rFonts w:ascii="Times New Roman" w:eastAsiaTheme="minorEastAsia" w:hAnsi="Times New Roman"/>
      <w:sz w:val="24"/>
      <w:lang w:eastAsia="it-IT"/>
    </w:rPr>
  </w:style>
  <w:style w:type="paragraph" w:customStyle="1" w:styleId="bIBLIO">
    <w:name w:val="bIBLIO"/>
    <w:basedOn w:val="Normal"/>
    <w:rsid w:val="001F11D9"/>
    <w:pPr>
      <w:suppressAutoHyphens/>
      <w:spacing w:after="0" w:line="360" w:lineRule="exact"/>
      <w:ind w:left="567" w:hanging="567"/>
    </w:pPr>
    <w:rPr>
      <w:rFonts w:ascii="Times" w:eastAsia="Times New Roman" w:hAnsi="Times" w:cs="Times New Roman"/>
      <w:szCs w:val="20"/>
      <w:lang w:val="en-GB" w:eastAsia="ar-SA"/>
    </w:rPr>
  </w:style>
  <w:style w:type="paragraph" w:styleId="Textosinformato">
    <w:name w:val="Plain Text"/>
    <w:basedOn w:val="Normal"/>
    <w:link w:val="PlainTextChar"/>
    <w:uiPriority w:val="99"/>
    <w:semiHidden/>
    <w:unhideWhenUsed/>
    <w:rsid w:val="003D3FCA"/>
    <w:pPr>
      <w:spacing w:after="0" w:line="240" w:lineRule="auto"/>
      <w:ind w:firstLine="0"/>
      <w:jc w:val="left"/>
    </w:pPr>
    <w:rPr>
      <w:rFonts w:ascii="Consolas" w:eastAsiaTheme="minorHAnsi" w:hAnsi="Consolas"/>
      <w:sz w:val="21"/>
      <w:szCs w:val="21"/>
      <w:lang w:val="it-IT" w:eastAsia="en-US"/>
    </w:rPr>
  </w:style>
  <w:style w:type="character" w:customStyle="1" w:styleId="PlainTextChar">
    <w:name w:val="Plain Text Char"/>
    <w:basedOn w:val="Fuentedeprrafopredeter"/>
    <w:link w:val="Textosinformato"/>
    <w:uiPriority w:val="99"/>
    <w:semiHidden/>
    <w:rsid w:val="003D3FCA"/>
    <w:rPr>
      <w:rFonts w:ascii="Consolas" w:hAnsi="Consolas"/>
      <w:sz w:val="21"/>
      <w:szCs w:val="21"/>
      <w:lang w:val="it-IT"/>
    </w:rPr>
  </w:style>
  <w:style w:type="character" w:styleId="Textodelmarcadordeposicin">
    <w:name w:val="Placeholder Text"/>
    <w:basedOn w:val="Fuentedeprrafopredeter"/>
    <w:uiPriority w:val="99"/>
    <w:semiHidden/>
    <w:rsid w:val="00075410"/>
    <w:rPr>
      <w:color w:val="808080"/>
    </w:rPr>
  </w:style>
  <w:style w:type="character" w:styleId="Hipervnculovisitado">
    <w:name w:val="FollowedHyperlink"/>
    <w:basedOn w:val="Fuentedeprrafopredeter"/>
    <w:uiPriority w:val="99"/>
    <w:semiHidden/>
    <w:unhideWhenUsed/>
    <w:rsid w:val="0069601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867234">
      <w:bodyDiv w:val="1"/>
      <w:marLeft w:val="0"/>
      <w:marRight w:val="0"/>
      <w:marTop w:val="0"/>
      <w:marBottom w:val="0"/>
      <w:divBdr>
        <w:top w:val="none" w:sz="0" w:space="0" w:color="auto"/>
        <w:left w:val="none" w:sz="0" w:space="0" w:color="auto"/>
        <w:bottom w:val="none" w:sz="0" w:space="0" w:color="auto"/>
        <w:right w:val="none" w:sz="0" w:space="0" w:color="auto"/>
      </w:divBdr>
    </w:div>
    <w:div w:id="51774233">
      <w:bodyDiv w:val="1"/>
      <w:marLeft w:val="0"/>
      <w:marRight w:val="0"/>
      <w:marTop w:val="0"/>
      <w:marBottom w:val="0"/>
      <w:divBdr>
        <w:top w:val="none" w:sz="0" w:space="0" w:color="auto"/>
        <w:left w:val="none" w:sz="0" w:space="0" w:color="auto"/>
        <w:bottom w:val="none" w:sz="0" w:space="0" w:color="auto"/>
        <w:right w:val="none" w:sz="0" w:space="0" w:color="auto"/>
      </w:divBdr>
    </w:div>
    <w:div w:id="70389996">
      <w:bodyDiv w:val="1"/>
      <w:marLeft w:val="0"/>
      <w:marRight w:val="0"/>
      <w:marTop w:val="0"/>
      <w:marBottom w:val="0"/>
      <w:divBdr>
        <w:top w:val="none" w:sz="0" w:space="0" w:color="auto"/>
        <w:left w:val="none" w:sz="0" w:space="0" w:color="auto"/>
        <w:bottom w:val="none" w:sz="0" w:space="0" w:color="auto"/>
        <w:right w:val="none" w:sz="0" w:space="0" w:color="auto"/>
      </w:divBdr>
    </w:div>
    <w:div w:id="84231720">
      <w:bodyDiv w:val="1"/>
      <w:marLeft w:val="0"/>
      <w:marRight w:val="0"/>
      <w:marTop w:val="0"/>
      <w:marBottom w:val="0"/>
      <w:divBdr>
        <w:top w:val="none" w:sz="0" w:space="0" w:color="auto"/>
        <w:left w:val="none" w:sz="0" w:space="0" w:color="auto"/>
        <w:bottom w:val="none" w:sz="0" w:space="0" w:color="auto"/>
        <w:right w:val="none" w:sz="0" w:space="0" w:color="auto"/>
      </w:divBdr>
    </w:div>
    <w:div w:id="91322958">
      <w:bodyDiv w:val="1"/>
      <w:marLeft w:val="0"/>
      <w:marRight w:val="0"/>
      <w:marTop w:val="0"/>
      <w:marBottom w:val="0"/>
      <w:divBdr>
        <w:top w:val="none" w:sz="0" w:space="0" w:color="auto"/>
        <w:left w:val="none" w:sz="0" w:space="0" w:color="auto"/>
        <w:bottom w:val="none" w:sz="0" w:space="0" w:color="auto"/>
        <w:right w:val="none" w:sz="0" w:space="0" w:color="auto"/>
      </w:divBdr>
    </w:div>
    <w:div w:id="91628346">
      <w:bodyDiv w:val="1"/>
      <w:marLeft w:val="0"/>
      <w:marRight w:val="0"/>
      <w:marTop w:val="0"/>
      <w:marBottom w:val="0"/>
      <w:divBdr>
        <w:top w:val="none" w:sz="0" w:space="0" w:color="auto"/>
        <w:left w:val="none" w:sz="0" w:space="0" w:color="auto"/>
        <w:bottom w:val="none" w:sz="0" w:space="0" w:color="auto"/>
        <w:right w:val="none" w:sz="0" w:space="0" w:color="auto"/>
      </w:divBdr>
    </w:div>
    <w:div w:id="92170258">
      <w:bodyDiv w:val="1"/>
      <w:marLeft w:val="0"/>
      <w:marRight w:val="0"/>
      <w:marTop w:val="0"/>
      <w:marBottom w:val="0"/>
      <w:divBdr>
        <w:top w:val="none" w:sz="0" w:space="0" w:color="auto"/>
        <w:left w:val="none" w:sz="0" w:space="0" w:color="auto"/>
        <w:bottom w:val="none" w:sz="0" w:space="0" w:color="auto"/>
        <w:right w:val="none" w:sz="0" w:space="0" w:color="auto"/>
      </w:divBdr>
    </w:div>
    <w:div w:id="124390645">
      <w:bodyDiv w:val="1"/>
      <w:marLeft w:val="0"/>
      <w:marRight w:val="0"/>
      <w:marTop w:val="0"/>
      <w:marBottom w:val="0"/>
      <w:divBdr>
        <w:top w:val="none" w:sz="0" w:space="0" w:color="auto"/>
        <w:left w:val="none" w:sz="0" w:space="0" w:color="auto"/>
        <w:bottom w:val="none" w:sz="0" w:space="0" w:color="auto"/>
        <w:right w:val="none" w:sz="0" w:space="0" w:color="auto"/>
      </w:divBdr>
    </w:div>
    <w:div w:id="125317756">
      <w:bodyDiv w:val="1"/>
      <w:marLeft w:val="0"/>
      <w:marRight w:val="0"/>
      <w:marTop w:val="0"/>
      <w:marBottom w:val="0"/>
      <w:divBdr>
        <w:top w:val="none" w:sz="0" w:space="0" w:color="auto"/>
        <w:left w:val="none" w:sz="0" w:space="0" w:color="auto"/>
        <w:bottom w:val="none" w:sz="0" w:space="0" w:color="auto"/>
        <w:right w:val="none" w:sz="0" w:space="0" w:color="auto"/>
      </w:divBdr>
    </w:div>
    <w:div w:id="140582621">
      <w:bodyDiv w:val="1"/>
      <w:marLeft w:val="0"/>
      <w:marRight w:val="0"/>
      <w:marTop w:val="0"/>
      <w:marBottom w:val="0"/>
      <w:divBdr>
        <w:top w:val="none" w:sz="0" w:space="0" w:color="auto"/>
        <w:left w:val="none" w:sz="0" w:space="0" w:color="auto"/>
        <w:bottom w:val="none" w:sz="0" w:space="0" w:color="auto"/>
        <w:right w:val="none" w:sz="0" w:space="0" w:color="auto"/>
      </w:divBdr>
      <w:divsChild>
        <w:div w:id="376857717">
          <w:marLeft w:val="547"/>
          <w:marRight w:val="0"/>
          <w:marTop w:val="96"/>
          <w:marBottom w:val="0"/>
          <w:divBdr>
            <w:top w:val="none" w:sz="0" w:space="0" w:color="auto"/>
            <w:left w:val="none" w:sz="0" w:space="0" w:color="auto"/>
            <w:bottom w:val="none" w:sz="0" w:space="0" w:color="auto"/>
            <w:right w:val="none" w:sz="0" w:space="0" w:color="auto"/>
          </w:divBdr>
        </w:div>
      </w:divsChild>
    </w:div>
    <w:div w:id="224996048">
      <w:bodyDiv w:val="1"/>
      <w:marLeft w:val="0"/>
      <w:marRight w:val="0"/>
      <w:marTop w:val="0"/>
      <w:marBottom w:val="0"/>
      <w:divBdr>
        <w:top w:val="none" w:sz="0" w:space="0" w:color="auto"/>
        <w:left w:val="none" w:sz="0" w:space="0" w:color="auto"/>
        <w:bottom w:val="none" w:sz="0" w:space="0" w:color="auto"/>
        <w:right w:val="none" w:sz="0" w:space="0" w:color="auto"/>
      </w:divBdr>
    </w:div>
    <w:div w:id="232590802">
      <w:bodyDiv w:val="1"/>
      <w:marLeft w:val="0"/>
      <w:marRight w:val="0"/>
      <w:marTop w:val="0"/>
      <w:marBottom w:val="0"/>
      <w:divBdr>
        <w:top w:val="none" w:sz="0" w:space="0" w:color="auto"/>
        <w:left w:val="none" w:sz="0" w:space="0" w:color="auto"/>
        <w:bottom w:val="none" w:sz="0" w:space="0" w:color="auto"/>
        <w:right w:val="none" w:sz="0" w:space="0" w:color="auto"/>
      </w:divBdr>
    </w:div>
    <w:div w:id="324361904">
      <w:bodyDiv w:val="1"/>
      <w:marLeft w:val="0"/>
      <w:marRight w:val="0"/>
      <w:marTop w:val="0"/>
      <w:marBottom w:val="0"/>
      <w:divBdr>
        <w:top w:val="none" w:sz="0" w:space="0" w:color="auto"/>
        <w:left w:val="none" w:sz="0" w:space="0" w:color="auto"/>
        <w:bottom w:val="none" w:sz="0" w:space="0" w:color="auto"/>
        <w:right w:val="none" w:sz="0" w:space="0" w:color="auto"/>
      </w:divBdr>
    </w:div>
    <w:div w:id="385103689">
      <w:bodyDiv w:val="1"/>
      <w:marLeft w:val="0"/>
      <w:marRight w:val="0"/>
      <w:marTop w:val="0"/>
      <w:marBottom w:val="0"/>
      <w:divBdr>
        <w:top w:val="none" w:sz="0" w:space="0" w:color="auto"/>
        <w:left w:val="none" w:sz="0" w:space="0" w:color="auto"/>
        <w:bottom w:val="none" w:sz="0" w:space="0" w:color="auto"/>
        <w:right w:val="none" w:sz="0" w:space="0" w:color="auto"/>
      </w:divBdr>
    </w:div>
    <w:div w:id="394863986">
      <w:bodyDiv w:val="1"/>
      <w:marLeft w:val="0"/>
      <w:marRight w:val="0"/>
      <w:marTop w:val="0"/>
      <w:marBottom w:val="0"/>
      <w:divBdr>
        <w:top w:val="none" w:sz="0" w:space="0" w:color="auto"/>
        <w:left w:val="none" w:sz="0" w:space="0" w:color="auto"/>
        <w:bottom w:val="none" w:sz="0" w:space="0" w:color="auto"/>
        <w:right w:val="none" w:sz="0" w:space="0" w:color="auto"/>
      </w:divBdr>
    </w:div>
    <w:div w:id="398094157">
      <w:bodyDiv w:val="1"/>
      <w:marLeft w:val="0"/>
      <w:marRight w:val="0"/>
      <w:marTop w:val="0"/>
      <w:marBottom w:val="0"/>
      <w:divBdr>
        <w:top w:val="none" w:sz="0" w:space="0" w:color="auto"/>
        <w:left w:val="none" w:sz="0" w:space="0" w:color="auto"/>
        <w:bottom w:val="none" w:sz="0" w:space="0" w:color="auto"/>
        <w:right w:val="none" w:sz="0" w:space="0" w:color="auto"/>
      </w:divBdr>
    </w:div>
    <w:div w:id="431243055">
      <w:bodyDiv w:val="1"/>
      <w:marLeft w:val="0"/>
      <w:marRight w:val="0"/>
      <w:marTop w:val="0"/>
      <w:marBottom w:val="0"/>
      <w:divBdr>
        <w:top w:val="none" w:sz="0" w:space="0" w:color="auto"/>
        <w:left w:val="none" w:sz="0" w:space="0" w:color="auto"/>
        <w:bottom w:val="none" w:sz="0" w:space="0" w:color="auto"/>
        <w:right w:val="none" w:sz="0" w:space="0" w:color="auto"/>
      </w:divBdr>
    </w:div>
    <w:div w:id="449518611">
      <w:bodyDiv w:val="1"/>
      <w:marLeft w:val="0"/>
      <w:marRight w:val="0"/>
      <w:marTop w:val="0"/>
      <w:marBottom w:val="0"/>
      <w:divBdr>
        <w:top w:val="none" w:sz="0" w:space="0" w:color="auto"/>
        <w:left w:val="none" w:sz="0" w:space="0" w:color="auto"/>
        <w:bottom w:val="none" w:sz="0" w:space="0" w:color="auto"/>
        <w:right w:val="none" w:sz="0" w:space="0" w:color="auto"/>
      </w:divBdr>
    </w:div>
    <w:div w:id="482937763">
      <w:bodyDiv w:val="1"/>
      <w:marLeft w:val="0"/>
      <w:marRight w:val="0"/>
      <w:marTop w:val="0"/>
      <w:marBottom w:val="0"/>
      <w:divBdr>
        <w:top w:val="none" w:sz="0" w:space="0" w:color="auto"/>
        <w:left w:val="none" w:sz="0" w:space="0" w:color="auto"/>
        <w:bottom w:val="none" w:sz="0" w:space="0" w:color="auto"/>
        <w:right w:val="none" w:sz="0" w:space="0" w:color="auto"/>
      </w:divBdr>
    </w:div>
    <w:div w:id="519242004">
      <w:bodyDiv w:val="1"/>
      <w:marLeft w:val="0"/>
      <w:marRight w:val="0"/>
      <w:marTop w:val="0"/>
      <w:marBottom w:val="0"/>
      <w:divBdr>
        <w:top w:val="none" w:sz="0" w:space="0" w:color="auto"/>
        <w:left w:val="none" w:sz="0" w:space="0" w:color="auto"/>
        <w:bottom w:val="none" w:sz="0" w:space="0" w:color="auto"/>
        <w:right w:val="none" w:sz="0" w:space="0" w:color="auto"/>
      </w:divBdr>
    </w:div>
    <w:div w:id="524488539">
      <w:bodyDiv w:val="1"/>
      <w:marLeft w:val="0"/>
      <w:marRight w:val="0"/>
      <w:marTop w:val="0"/>
      <w:marBottom w:val="0"/>
      <w:divBdr>
        <w:top w:val="none" w:sz="0" w:space="0" w:color="auto"/>
        <w:left w:val="none" w:sz="0" w:space="0" w:color="auto"/>
        <w:bottom w:val="none" w:sz="0" w:space="0" w:color="auto"/>
        <w:right w:val="none" w:sz="0" w:space="0" w:color="auto"/>
      </w:divBdr>
      <w:divsChild>
        <w:div w:id="773674089">
          <w:marLeft w:val="0"/>
          <w:marRight w:val="0"/>
          <w:marTop w:val="0"/>
          <w:marBottom w:val="0"/>
          <w:divBdr>
            <w:top w:val="none" w:sz="0" w:space="0" w:color="auto"/>
            <w:left w:val="none" w:sz="0" w:space="0" w:color="auto"/>
            <w:bottom w:val="none" w:sz="0" w:space="0" w:color="auto"/>
            <w:right w:val="none" w:sz="0" w:space="0" w:color="auto"/>
          </w:divBdr>
          <w:divsChild>
            <w:div w:id="826627460">
              <w:marLeft w:val="0"/>
              <w:marRight w:val="0"/>
              <w:marTop w:val="0"/>
              <w:marBottom w:val="0"/>
              <w:divBdr>
                <w:top w:val="none" w:sz="0" w:space="0" w:color="auto"/>
                <w:left w:val="none" w:sz="0" w:space="0" w:color="auto"/>
                <w:bottom w:val="none" w:sz="0" w:space="0" w:color="auto"/>
                <w:right w:val="none" w:sz="0" w:space="0" w:color="auto"/>
              </w:divBdr>
              <w:divsChild>
                <w:div w:id="1001009951">
                  <w:marLeft w:val="0"/>
                  <w:marRight w:val="0"/>
                  <w:marTop w:val="0"/>
                  <w:marBottom w:val="0"/>
                  <w:divBdr>
                    <w:top w:val="none" w:sz="0" w:space="0" w:color="auto"/>
                    <w:left w:val="none" w:sz="0" w:space="0" w:color="auto"/>
                    <w:bottom w:val="none" w:sz="0" w:space="0" w:color="auto"/>
                    <w:right w:val="none" w:sz="0" w:space="0" w:color="auto"/>
                  </w:divBdr>
                  <w:divsChild>
                    <w:div w:id="151064039">
                      <w:marLeft w:val="0"/>
                      <w:marRight w:val="0"/>
                      <w:marTop w:val="0"/>
                      <w:marBottom w:val="0"/>
                      <w:divBdr>
                        <w:top w:val="none" w:sz="0" w:space="0" w:color="auto"/>
                        <w:left w:val="none" w:sz="0" w:space="0" w:color="auto"/>
                        <w:bottom w:val="none" w:sz="0" w:space="0" w:color="auto"/>
                        <w:right w:val="none" w:sz="0" w:space="0" w:color="auto"/>
                      </w:divBdr>
                      <w:divsChild>
                        <w:div w:id="702024852">
                          <w:marLeft w:val="0"/>
                          <w:marRight w:val="0"/>
                          <w:marTop w:val="0"/>
                          <w:marBottom w:val="0"/>
                          <w:divBdr>
                            <w:top w:val="none" w:sz="0" w:space="0" w:color="auto"/>
                            <w:left w:val="none" w:sz="0" w:space="0" w:color="auto"/>
                            <w:bottom w:val="none" w:sz="0" w:space="0" w:color="auto"/>
                            <w:right w:val="none" w:sz="0" w:space="0" w:color="auto"/>
                          </w:divBdr>
                          <w:divsChild>
                            <w:div w:id="1896039642">
                              <w:marLeft w:val="0"/>
                              <w:marRight w:val="0"/>
                              <w:marTop w:val="0"/>
                              <w:marBottom w:val="0"/>
                              <w:divBdr>
                                <w:top w:val="none" w:sz="0" w:space="0" w:color="auto"/>
                                <w:left w:val="none" w:sz="0" w:space="0" w:color="auto"/>
                                <w:bottom w:val="none" w:sz="0" w:space="0" w:color="auto"/>
                                <w:right w:val="none" w:sz="0" w:space="0" w:color="auto"/>
                              </w:divBdr>
                              <w:divsChild>
                                <w:div w:id="1147091476">
                                  <w:marLeft w:val="0"/>
                                  <w:marRight w:val="0"/>
                                  <w:marTop w:val="0"/>
                                  <w:marBottom w:val="0"/>
                                  <w:divBdr>
                                    <w:top w:val="none" w:sz="0" w:space="0" w:color="auto"/>
                                    <w:left w:val="none" w:sz="0" w:space="0" w:color="auto"/>
                                    <w:bottom w:val="none" w:sz="0" w:space="0" w:color="auto"/>
                                    <w:right w:val="none" w:sz="0" w:space="0" w:color="auto"/>
                                  </w:divBdr>
                                  <w:divsChild>
                                    <w:div w:id="940142232">
                                      <w:marLeft w:val="0"/>
                                      <w:marRight w:val="0"/>
                                      <w:marTop w:val="0"/>
                                      <w:marBottom w:val="0"/>
                                      <w:divBdr>
                                        <w:top w:val="none" w:sz="0" w:space="0" w:color="auto"/>
                                        <w:left w:val="none" w:sz="0" w:space="0" w:color="auto"/>
                                        <w:bottom w:val="none" w:sz="0" w:space="0" w:color="auto"/>
                                        <w:right w:val="none" w:sz="0" w:space="0" w:color="auto"/>
                                      </w:divBdr>
                                      <w:divsChild>
                                        <w:div w:id="1652557068">
                                          <w:marLeft w:val="0"/>
                                          <w:marRight w:val="0"/>
                                          <w:marTop w:val="0"/>
                                          <w:marBottom w:val="0"/>
                                          <w:divBdr>
                                            <w:top w:val="none" w:sz="0" w:space="0" w:color="auto"/>
                                            <w:left w:val="none" w:sz="0" w:space="0" w:color="auto"/>
                                            <w:bottom w:val="none" w:sz="0" w:space="0" w:color="auto"/>
                                            <w:right w:val="none" w:sz="0" w:space="0" w:color="auto"/>
                                          </w:divBdr>
                                          <w:divsChild>
                                            <w:div w:id="531647757">
                                              <w:marLeft w:val="0"/>
                                              <w:marRight w:val="0"/>
                                              <w:marTop w:val="0"/>
                                              <w:marBottom w:val="0"/>
                                              <w:divBdr>
                                                <w:top w:val="none" w:sz="0" w:space="0" w:color="auto"/>
                                                <w:left w:val="none" w:sz="0" w:space="0" w:color="auto"/>
                                                <w:bottom w:val="none" w:sz="0" w:space="0" w:color="auto"/>
                                                <w:right w:val="none" w:sz="0" w:space="0" w:color="auto"/>
                                              </w:divBdr>
                                              <w:divsChild>
                                                <w:div w:id="1249269981">
                                                  <w:marLeft w:val="0"/>
                                                  <w:marRight w:val="0"/>
                                                  <w:marTop w:val="0"/>
                                                  <w:marBottom w:val="0"/>
                                                  <w:divBdr>
                                                    <w:top w:val="none" w:sz="0" w:space="0" w:color="auto"/>
                                                    <w:left w:val="none" w:sz="0" w:space="0" w:color="auto"/>
                                                    <w:bottom w:val="none" w:sz="0" w:space="0" w:color="auto"/>
                                                    <w:right w:val="none" w:sz="0" w:space="0" w:color="auto"/>
                                                  </w:divBdr>
                                                  <w:divsChild>
                                                    <w:div w:id="2143694714">
                                                      <w:marLeft w:val="0"/>
                                                      <w:marRight w:val="0"/>
                                                      <w:marTop w:val="0"/>
                                                      <w:marBottom w:val="0"/>
                                                      <w:divBdr>
                                                        <w:top w:val="none" w:sz="0" w:space="0" w:color="auto"/>
                                                        <w:left w:val="none" w:sz="0" w:space="0" w:color="auto"/>
                                                        <w:bottom w:val="none" w:sz="0" w:space="0" w:color="auto"/>
                                                        <w:right w:val="none" w:sz="0" w:space="0" w:color="auto"/>
                                                      </w:divBdr>
                                                      <w:divsChild>
                                                        <w:div w:id="757291789">
                                                          <w:marLeft w:val="0"/>
                                                          <w:marRight w:val="0"/>
                                                          <w:marTop w:val="0"/>
                                                          <w:marBottom w:val="0"/>
                                                          <w:divBdr>
                                                            <w:top w:val="none" w:sz="0" w:space="0" w:color="auto"/>
                                                            <w:left w:val="none" w:sz="0" w:space="0" w:color="auto"/>
                                                            <w:bottom w:val="none" w:sz="0" w:space="0" w:color="auto"/>
                                                            <w:right w:val="none" w:sz="0" w:space="0" w:color="auto"/>
                                                          </w:divBdr>
                                                          <w:divsChild>
                                                            <w:div w:id="2132240490">
                                                              <w:marLeft w:val="0"/>
                                                              <w:marRight w:val="0"/>
                                                              <w:marTop w:val="0"/>
                                                              <w:marBottom w:val="0"/>
                                                              <w:divBdr>
                                                                <w:top w:val="none" w:sz="0" w:space="0" w:color="auto"/>
                                                                <w:left w:val="none" w:sz="0" w:space="0" w:color="auto"/>
                                                                <w:bottom w:val="none" w:sz="0" w:space="0" w:color="auto"/>
                                                                <w:right w:val="none" w:sz="0" w:space="0" w:color="auto"/>
                                                              </w:divBdr>
                                                              <w:divsChild>
                                                                <w:div w:id="1175919338">
                                                                  <w:marLeft w:val="0"/>
                                                                  <w:marRight w:val="0"/>
                                                                  <w:marTop w:val="0"/>
                                                                  <w:marBottom w:val="0"/>
                                                                  <w:divBdr>
                                                                    <w:top w:val="none" w:sz="0" w:space="0" w:color="auto"/>
                                                                    <w:left w:val="none" w:sz="0" w:space="0" w:color="auto"/>
                                                                    <w:bottom w:val="none" w:sz="0" w:space="0" w:color="auto"/>
                                                                    <w:right w:val="none" w:sz="0" w:space="0" w:color="auto"/>
                                                                  </w:divBdr>
                                                                  <w:divsChild>
                                                                    <w:div w:id="1556043794">
                                                                      <w:marLeft w:val="0"/>
                                                                      <w:marRight w:val="0"/>
                                                                      <w:marTop w:val="0"/>
                                                                      <w:marBottom w:val="0"/>
                                                                      <w:divBdr>
                                                                        <w:top w:val="none" w:sz="0" w:space="0" w:color="auto"/>
                                                                        <w:left w:val="none" w:sz="0" w:space="0" w:color="auto"/>
                                                                        <w:bottom w:val="none" w:sz="0" w:space="0" w:color="auto"/>
                                                                        <w:right w:val="none" w:sz="0" w:space="0" w:color="auto"/>
                                                                      </w:divBdr>
                                                                      <w:divsChild>
                                                                        <w:div w:id="1533609574">
                                                                          <w:marLeft w:val="0"/>
                                                                          <w:marRight w:val="0"/>
                                                                          <w:marTop w:val="0"/>
                                                                          <w:marBottom w:val="0"/>
                                                                          <w:divBdr>
                                                                            <w:top w:val="none" w:sz="0" w:space="0" w:color="auto"/>
                                                                            <w:left w:val="none" w:sz="0" w:space="0" w:color="auto"/>
                                                                            <w:bottom w:val="none" w:sz="0" w:space="0" w:color="auto"/>
                                                                            <w:right w:val="none" w:sz="0" w:space="0" w:color="auto"/>
                                                                          </w:divBdr>
                                                                          <w:divsChild>
                                                                            <w:div w:id="846334974">
                                                                              <w:marLeft w:val="0"/>
                                                                              <w:marRight w:val="0"/>
                                                                              <w:marTop w:val="0"/>
                                                                              <w:marBottom w:val="0"/>
                                                                              <w:divBdr>
                                                                                <w:top w:val="none" w:sz="0" w:space="0" w:color="auto"/>
                                                                                <w:left w:val="none" w:sz="0" w:space="0" w:color="auto"/>
                                                                                <w:bottom w:val="none" w:sz="0" w:space="0" w:color="auto"/>
                                                                                <w:right w:val="none" w:sz="0" w:space="0" w:color="auto"/>
                                                                              </w:divBdr>
                                                                              <w:divsChild>
                                                                                <w:div w:id="790780209">
                                                                                  <w:marLeft w:val="0"/>
                                                                                  <w:marRight w:val="0"/>
                                                                                  <w:marTop w:val="0"/>
                                                                                  <w:marBottom w:val="0"/>
                                                                                  <w:divBdr>
                                                                                    <w:top w:val="none" w:sz="0" w:space="0" w:color="auto"/>
                                                                                    <w:left w:val="none" w:sz="0" w:space="0" w:color="auto"/>
                                                                                    <w:bottom w:val="none" w:sz="0" w:space="0" w:color="auto"/>
                                                                                    <w:right w:val="none" w:sz="0" w:space="0" w:color="auto"/>
                                                                                  </w:divBdr>
                                                                                  <w:divsChild>
                                                                                    <w:div w:id="1460996365">
                                                                                      <w:marLeft w:val="0"/>
                                                                                      <w:marRight w:val="0"/>
                                                                                      <w:marTop w:val="0"/>
                                                                                      <w:marBottom w:val="0"/>
                                                                                      <w:divBdr>
                                                                                        <w:top w:val="none" w:sz="0" w:space="0" w:color="auto"/>
                                                                                        <w:left w:val="none" w:sz="0" w:space="0" w:color="auto"/>
                                                                                        <w:bottom w:val="none" w:sz="0" w:space="0" w:color="auto"/>
                                                                                        <w:right w:val="none" w:sz="0" w:space="0" w:color="auto"/>
                                                                                      </w:divBdr>
                                                                                      <w:divsChild>
                                                                                        <w:div w:id="1950119988">
                                                                                          <w:marLeft w:val="0"/>
                                                                                          <w:marRight w:val="0"/>
                                                                                          <w:marTop w:val="0"/>
                                                                                          <w:marBottom w:val="0"/>
                                                                                          <w:divBdr>
                                                                                            <w:top w:val="none" w:sz="0" w:space="0" w:color="auto"/>
                                                                                            <w:left w:val="none" w:sz="0" w:space="0" w:color="auto"/>
                                                                                            <w:bottom w:val="none" w:sz="0" w:space="0" w:color="auto"/>
                                                                                            <w:right w:val="none" w:sz="0" w:space="0" w:color="auto"/>
                                                                                          </w:divBdr>
                                                                                          <w:divsChild>
                                                                                            <w:div w:id="339237615">
                                                                                              <w:marLeft w:val="0"/>
                                                                                              <w:marRight w:val="0"/>
                                                                                              <w:marTop w:val="0"/>
                                                                                              <w:marBottom w:val="0"/>
                                                                                              <w:divBdr>
                                                                                                <w:top w:val="none" w:sz="0" w:space="0" w:color="auto"/>
                                                                                                <w:left w:val="none" w:sz="0" w:space="0" w:color="auto"/>
                                                                                                <w:bottom w:val="none" w:sz="0" w:space="0" w:color="auto"/>
                                                                                                <w:right w:val="none" w:sz="0" w:space="0" w:color="auto"/>
                                                                                              </w:divBdr>
                                                                                              <w:divsChild>
                                                                                                <w:div w:id="70473957">
                                                                                                  <w:marLeft w:val="0"/>
                                                                                                  <w:marRight w:val="0"/>
                                                                                                  <w:marTop w:val="0"/>
                                                                                                  <w:marBottom w:val="0"/>
                                                                                                  <w:divBdr>
                                                                                                    <w:top w:val="none" w:sz="0" w:space="0" w:color="auto"/>
                                                                                                    <w:left w:val="none" w:sz="0" w:space="0" w:color="auto"/>
                                                                                                    <w:bottom w:val="none" w:sz="0" w:space="0" w:color="auto"/>
                                                                                                    <w:right w:val="none" w:sz="0" w:space="0" w:color="auto"/>
                                                                                                  </w:divBdr>
                                                                                                  <w:divsChild>
                                                                                                    <w:div w:id="151218525">
                                                                                                      <w:marLeft w:val="0"/>
                                                                                                      <w:marRight w:val="0"/>
                                                                                                      <w:marTop w:val="0"/>
                                                                                                      <w:marBottom w:val="0"/>
                                                                                                      <w:divBdr>
                                                                                                        <w:top w:val="none" w:sz="0" w:space="0" w:color="auto"/>
                                                                                                        <w:left w:val="none" w:sz="0" w:space="0" w:color="auto"/>
                                                                                                        <w:bottom w:val="none" w:sz="0" w:space="0" w:color="auto"/>
                                                                                                        <w:right w:val="none" w:sz="0" w:space="0" w:color="auto"/>
                                                                                                      </w:divBdr>
                                                                                                      <w:divsChild>
                                                                                                        <w:div w:id="994919851">
                                                                                                          <w:marLeft w:val="0"/>
                                                                                                          <w:marRight w:val="0"/>
                                                                                                          <w:marTop w:val="0"/>
                                                                                                          <w:marBottom w:val="0"/>
                                                                                                          <w:divBdr>
                                                                                                            <w:top w:val="none" w:sz="0" w:space="0" w:color="auto"/>
                                                                                                            <w:left w:val="none" w:sz="0" w:space="0" w:color="auto"/>
                                                                                                            <w:bottom w:val="none" w:sz="0" w:space="0" w:color="auto"/>
                                                                                                            <w:right w:val="none" w:sz="0" w:space="0" w:color="auto"/>
                                                                                                          </w:divBdr>
                                                                                                          <w:divsChild>
                                                                                                            <w:div w:id="434904851">
                                                                                                              <w:marLeft w:val="0"/>
                                                                                                              <w:marRight w:val="0"/>
                                                                                                              <w:marTop w:val="0"/>
                                                                                                              <w:marBottom w:val="0"/>
                                                                                                              <w:divBdr>
                                                                                                                <w:top w:val="none" w:sz="0" w:space="0" w:color="auto"/>
                                                                                                                <w:left w:val="none" w:sz="0" w:space="0" w:color="auto"/>
                                                                                                                <w:bottom w:val="none" w:sz="0" w:space="0" w:color="auto"/>
                                                                                                                <w:right w:val="none" w:sz="0" w:space="0" w:color="auto"/>
                                                                                                              </w:divBdr>
                                                                                                              <w:divsChild>
                                                                                                                <w:div w:id="1508134773">
                                                                                                                  <w:marLeft w:val="0"/>
                                                                                                                  <w:marRight w:val="0"/>
                                                                                                                  <w:marTop w:val="0"/>
                                                                                                                  <w:marBottom w:val="0"/>
                                                                                                                  <w:divBdr>
                                                                                                                    <w:top w:val="none" w:sz="0" w:space="0" w:color="auto"/>
                                                                                                                    <w:left w:val="none" w:sz="0" w:space="0" w:color="auto"/>
                                                                                                                    <w:bottom w:val="none" w:sz="0" w:space="0" w:color="auto"/>
                                                                                                                    <w:right w:val="none" w:sz="0" w:space="0" w:color="auto"/>
                                                                                                                  </w:divBdr>
                                                                                                                  <w:divsChild>
                                                                                                                    <w:div w:id="791821517">
                                                                                                                      <w:marLeft w:val="0"/>
                                                                                                                      <w:marRight w:val="0"/>
                                                                                                                      <w:marTop w:val="0"/>
                                                                                                                      <w:marBottom w:val="0"/>
                                                                                                                      <w:divBdr>
                                                                                                                        <w:top w:val="none" w:sz="0" w:space="0" w:color="auto"/>
                                                                                                                        <w:left w:val="none" w:sz="0" w:space="0" w:color="auto"/>
                                                                                                                        <w:bottom w:val="none" w:sz="0" w:space="0" w:color="auto"/>
                                                                                                                        <w:right w:val="none" w:sz="0" w:space="0" w:color="auto"/>
                                                                                                                      </w:divBdr>
                                                                                                                      <w:divsChild>
                                                                                                                        <w:div w:id="431318841">
                                                                                                                          <w:marLeft w:val="0"/>
                                                                                                                          <w:marRight w:val="0"/>
                                                                                                                          <w:marTop w:val="0"/>
                                                                                                                          <w:marBottom w:val="0"/>
                                                                                                                          <w:divBdr>
                                                                                                                            <w:top w:val="none" w:sz="0" w:space="0" w:color="auto"/>
                                                                                                                            <w:left w:val="none" w:sz="0" w:space="0" w:color="auto"/>
                                                                                                                            <w:bottom w:val="none" w:sz="0" w:space="0" w:color="auto"/>
                                                                                                                            <w:right w:val="none" w:sz="0" w:space="0" w:color="auto"/>
                                                                                                                          </w:divBdr>
                                                                                                                          <w:divsChild>
                                                                                                                            <w:div w:id="1511678768">
                                                                                                                              <w:marLeft w:val="0"/>
                                                                                                                              <w:marRight w:val="0"/>
                                                                                                                              <w:marTop w:val="0"/>
                                                                                                                              <w:marBottom w:val="0"/>
                                                                                                                              <w:divBdr>
                                                                                                                                <w:top w:val="none" w:sz="0" w:space="0" w:color="auto"/>
                                                                                                                                <w:left w:val="none" w:sz="0" w:space="0" w:color="auto"/>
                                                                                                                                <w:bottom w:val="none" w:sz="0" w:space="0" w:color="auto"/>
                                                                                                                                <w:right w:val="none" w:sz="0" w:space="0" w:color="auto"/>
                                                                                                                              </w:divBdr>
                                                                                                                              <w:divsChild>
                                                                                                                                <w:div w:id="599216012">
                                                                                                                                  <w:marLeft w:val="0"/>
                                                                                                                                  <w:marRight w:val="0"/>
                                                                                                                                  <w:marTop w:val="0"/>
                                                                                                                                  <w:marBottom w:val="0"/>
                                                                                                                                  <w:divBdr>
                                                                                                                                    <w:top w:val="none" w:sz="0" w:space="0" w:color="auto"/>
                                                                                                                                    <w:left w:val="none" w:sz="0" w:space="0" w:color="auto"/>
                                                                                                                                    <w:bottom w:val="none" w:sz="0" w:space="0" w:color="auto"/>
                                                                                                                                    <w:right w:val="none" w:sz="0" w:space="0" w:color="auto"/>
                                                                                                                                  </w:divBdr>
                                                                                                                                  <w:divsChild>
                                                                                                                                    <w:div w:id="787940542">
                                                                                                                                      <w:marLeft w:val="0"/>
                                                                                                                                      <w:marRight w:val="0"/>
                                                                                                                                      <w:marTop w:val="0"/>
                                                                                                                                      <w:marBottom w:val="0"/>
                                                                                                                                      <w:divBdr>
                                                                                                                                        <w:top w:val="none" w:sz="0" w:space="0" w:color="auto"/>
                                                                                                                                        <w:left w:val="none" w:sz="0" w:space="0" w:color="auto"/>
                                                                                                                                        <w:bottom w:val="none" w:sz="0" w:space="0" w:color="auto"/>
                                                                                                                                        <w:right w:val="none" w:sz="0" w:space="0" w:color="auto"/>
                                                                                                                                      </w:divBdr>
                                                                                                                                      <w:divsChild>
                                                                                                                                        <w:div w:id="1305157108">
                                                                                                                                          <w:marLeft w:val="0"/>
                                                                                                                                          <w:marRight w:val="0"/>
                                                                                                                                          <w:marTop w:val="0"/>
                                                                                                                                          <w:marBottom w:val="0"/>
                                                                                                                                          <w:divBdr>
                                                                                                                                            <w:top w:val="none" w:sz="0" w:space="0" w:color="auto"/>
                                                                                                                                            <w:left w:val="none" w:sz="0" w:space="0" w:color="auto"/>
                                                                                                                                            <w:bottom w:val="none" w:sz="0" w:space="0" w:color="auto"/>
                                                                                                                                            <w:right w:val="none" w:sz="0" w:space="0" w:color="auto"/>
                                                                                                                                          </w:divBdr>
                                                                                                                                          <w:divsChild>
                                                                                                                                            <w:div w:id="211043341">
                                                                                                                                              <w:marLeft w:val="0"/>
                                                                                                                                              <w:marRight w:val="0"/>
                                                                                                                                              <w:marTop w:val="0"/>
                                                                                                                                              <w:marBottom w:val="0"/>
                                                                                                                                              <w:divBdr>
                                                                                                                                                <w:top w:val="none" w:sz="0" w:space="0" w:color="auto"/>
                                                                                                                                                <w:left w:val="none" w:sz="0" w:space="0" w:color="auto"/>
                                                                                                                                                <w:bottom w:val="none" w:sz="0" w:space="0" w:color="auto"/>
                                                                                                                                                <w:right w:val="none" w:sz="0" w:space="0" w:color="auto"/>
                                                                                                                                              </w:divBdr>
                                                                                                                                              <w:divsChild>
                                                                                                                                                <w:div w:id="1499610213">
                                                                                                                                                  <w:marLeft w:val="0"/>
                                                                                                                                                  <w:marRight w:val="0"/>
                                                                                                                                                  <w:marTop w:val="0"/>
                                                                                                                                                  <w:marBottom w:val="0"/>
                                                                                                                                                  <w:divBdr>
                                                                                                                                                    <w:top w:val="none" w:sz="0" w:space="0" w:color="auto"/>
                                                                                                                                                    <w:left w:val="none" w:sz="0" w:space="0" w:color="auto"/>
                                                                                                                                                    <w:bottom w:val="none" w:sz="0" w:space="0" w:color="auto"/>
                                                                                                                                                    <w:right w:val="none" w:sz="0" w:space="0" w:color="auto"/>
                                                                                                                                                  </w:divBdr>
                                                                                                                                                  <w:divsChild>
                                                                                                                                                    <w:div w:id="166293848">
                                                                                                                                                      <w:marLeft w:val="0"/>
                                                                                                                                                      <w:marRight w:val="0"/>
                                                                                                                                                      <w:marTop w:val="0"/>
                                                                                                                                                      <w:marBottom w:val="0"/>
                                                                                                                                                      <w:divBdr>
                                                                                                                                                        <w:top w:val="none" w:sz="0" w:space="0" w:color="auto"/>
                                                                                                                                                        <w:left w:val="none" w:sz="0" w:space="0" w:color="auto"/>
                                                                                                                                                        <w:bottom w:val="none" w:sz="0" w:space="0" w:color="auto"/>
                                                                                                                                                        <w:right w:val="none" w:sz="0" w:space="0" w:color="auto"/>
                                                                                                                                                      </w:divBdr>
                                                                                                                                                      <w:divsChild>
                                                                                                                                                        <w:div w:id="2103989998">
                                                                                                                                                          <w:marLeft w:val="0"/>
                                                                                                                                                          <w:marRight w:val="0"/>
                                                                                                                                                          <w:marTop w:val="0"/>
                                                                                                                                                          <w:marBottom w:val="0"/>
                                                                                                                                                          <w:divBdr>
                                                                                                                                                            <w:top w:val="none" w:sz="0" w:space="0" w:color="auto"/>
                                                                                                                                                            <w:left w:val="none" w:sz="0" w:space="0" w:color="auto"/>
                                                                                                                                                            <w:bottom w:val="none" w:sz="0" w:space="0" w:color="auto"/>
                                                                                                                                                            <w:right w:val="none" w:sz="0" w:space="0" w:color="auto"/>
                                                                                                                                                          </w:divBdr>
                                                                                                                                                          <w:divsChild>
                                                                                                                                                            <w:div w:id="905183351">
                                                                                                                                                              <w:marLeft w:val="0"/>
                                                                                                                                                              <w:marRight w:val="0"/>
                                                                                                                                                              <w:marTop w:val="0"/>
                                                                                                                                                              <w:marBottom w:val="0"/>
                                                                                                                                                              <w:divBdr>
                                                                                                                                                                <w:top w:val="none" w:sz="0" w:space="0" w:color="auto"/>
                                                                                                                                                                <w:left w:val="none" w:sz="0" w:space="0" w:color="auto"/>
                                                                                                                                                                <w:bottom w:val="none" w:sz="0" w:space="0" w:color="auto"/>
                                                                                                                                                                <w:right w:val="none" w:sz="0" w:space="0" w:color="auto"/>
                                                                                                                                                              </w:divBdr>
                                                                                                                                                              <w:divsChild>
                                                                                                                                                                <w:div w:id="123012887">
                                                                                                                                                                  <w:marLeft w:val="0"/>
                                                                                                                                                                  <w:marRight w:val="0"/>
                                                                                                                                                                  <w:marTop w:val="0"/>
                                                                                                                                                                  <w:marBottom w:val="0"/>
                                                                                                                                                                  <w:divBdr>
                                                                                                                                                                    <w:top w:val="none" w:sz="0" w:space="0" w:color="auto"/>
                                                                                                                                                                    <w:left w:val="none" w:sz="0" w:space="0" w:color="auto"/>
                                                                                                                                                                    <w:bottom w:val="none" w:sz="0" w:space="0" w:color="auto"/>
                                                                                                                                                                    <w:right w:val="none" w:sz="0" w:space="0" w:color="auto"/>
                                                                                                                                                                  </w:divBdr>
                                                                                                                                                                  <w:divsChild>
                                                                                                                                                                    <w:div w:id="1539514788">
                                                                                                                                                                      <w:marLeft w:val="0"/>
                                                                                                                                                                      <w:marRight w:val="0"/>
                                                                                                                                                                      <w:marTop w:val="0"/>
                                                                                                                                                                      <w:marBottom w:val="0"/>
                                                                                                                                                                      <w:divBdr>
                                                                                                                                                                        <w:top w:val="none" w:sz="0" w:space="0" w:color="auto"/>
                                                                                                                                                                        <w:left w:val="none" w:sz="0" w:space="0" w:color="auto"/>
                                                                                                                                                                        <w:bottom w:val="none" w:sz="0" w:space="0" w:color="auto"/>
                                                                                                                                                                        <w:right w:val="none" w:sz="0" w:space="0" w:color="auto"/>
                                                                                                                                                                      </w:divBdr>
                                                                                                                                                                      <w:divsChild>
                                                                                                                                                                        <w:div w:id="1958288831">
                                                                                                                                                                          <w:marLeft w:val="0"/>
                                                                                                                                                                          <w:marRight w:val="0"/>
                                                                                                                                                                          <w:marTop w:val="0"/>
                                                                                                                                                                          <w:marBottom w:val="0"/>
                                                                                                                                                                          <w:divBdr>
                                                                                                                                                                            <w:top w:val="none" w:sz="0" w:space="0" w:color="auto"/>
                                                                                                                                                                            <w:left w:val="none" w:sz="0" w:space="0" w:color="auto"/>
                                                                                                                                                                            <w:bottom w:val="none" w:sz="0" w:space="0" w:color="auto"/>
                                                                                                                                                                            <w:right w:val="none" w:sz="0" w:space="0" w:color="auto"/>
                                                                                                                                                                          </w:divBdr>
                                                                                                                                                                          <w:divsChild>
                                                                                                                                                                            <w:div w:id="1559781860">
                                                                                                                                                                              <w:marLeft w:val="0"/>
                                                                                                                                                                              <w:marRight w:val="0"/>
                                                                                                                                                                              <w:marTop w:val="0"/>
                                                                                                                                                                              <w:marBottom w:val="0"/>
                                                                                                                                                                              <w:divBdr>
                                                                                                                                                                                <w:top w:val="none" w:sz="0" w:space="0" w:color="auto"/>
                                                                                                                                                                                <w:left w:val="none" w:sz="0" w:space="0" w:color="auto"/>
                                                                                                                                                                                <w:bottom w:val="none" w:sz="0" w:space="0" w:color="auto"/>
                                                                                                                                                                                <w:right w:val="none" w:sz="0" w:space="0" w:color="auto"/>
                                                                                                                                                                              </w:divBdr>
                                                                                                                                                                              <w:divsChild>
                                                                                                                                                                                <w:div w:id="1987666020">
                                                                                                                                                                                  <w:marLeft w:val="0"/>
                                                                                                                                                                                  <w:marRight w:val="0"/>
                                                                                                                                                                                  <w:marTop w:val="0"/>
                                                                                                                                                                                  <w:marBottom w:val="0"/>
                                                                                                                                                                                  <w:divBdr>
                                                                                                                                                                                    <w:top w:val="none" w:sz="0" w:space="0" w:color="auto"/>
                                                                                                                                                                                    <w:left w:val="none" w:sz="0" w:space="0" w:color="auto"/>
                                                                                                                                                                                    <w:bottom w:val="none" w:sz="0" w:space="0" w:color="auto"/>
                                                                                                                                                                                    <w:right w:val="none" w:sz="0" w:space="0" w:color="auto"/>
                                                                                                                                                                                  </w:divBdr>
                                                                                                                                                                                  <w:divsChild>
                                                                                                                                                                                    <w:div w:id="1531993413">
                                                                                                                                                                                      <w:marLeft w:val="0"/>
                                                                                                                                                                                      <w:marRight w:val="0"/>
                                                                                                                                                                                      <w:marTop w:val="0"/>
                                                                                                                                                                                      <w:marBottom w:val="0"/>
                                                                                                                                                                                      <w:divBdr>
                                                                                                                                                                                        <w:top w:val="none" w:sz="0" w:space="0" w:color="auto"/>
                                                                                                                                                                                        <w:left w:val="none" w:sz="0" w:space="0" w:color="auto"/>
                                                                                                                                                                                        <w:bottom w:val="none" w:sz="0" w:space="0" w:color="auto"/>
                                                                                                                                                                                        <w:right w:val="none" w:sz="0" w:space="0" w:color="auto"/>
                                                                                                                                                                                      </w:divBdr>
                                                                                                                                                                                      <w:divsChild>
                                                                                                                                                                                        <w:div w:id="1355035998">
                                                                                                                                                                                          <w:marLeft w:val="0"/>
                                                                                                                                                                                          <w:marRight w:val="0"/>
                                                                                                                                                                                          <w:marTop w:val="0"/>
                                                                                                                                                                                          <w:marBottom w:val="0"/>
                                                                                                                                                                                          <w:divBdr>
                                                                                                                                                                                            <w:top w:val="none" w:sz="0" w:space="0" w:color="auto"/>
                                                                                                                                                                                            <w:left w:val="none" w:sz="0" w:space="0" w:color="auto"/>
                                                                                                                                                                                            <w:bottom w:val="none" w:sz="0" w:space="0" w:color="auto"/>
                                                                                                                                                                                            <w:right w:val="none" w:sz="0" w:space="0" w:color="auto"/>
                                                                                                                                                                                          </w:divBdr>
                                                                                                                                                                                          <w:divsChild>
                                                                                                                                                                                            <w:div w:id="1054818147">
                                                                                                                                                                                              <w:marLeft w:val="0"/>
                                                                                                                                                                                              <w:marRight w:val="0"/>
                                                                                                                                                                                              <w:marTop w:val="0"/>
                                                                                                                                                                                              <w:marBottom w:val="0"/>
                                                                                                                                                                                              <w:divBdr>
                                                                                                                                                                                                <w:top w:val="none" w:sz="0" w:space="0" w:color="auto"/>
                                                                                                                                                                                                <w:left w:val="none" w:sz="0" w:space="0" w:color="auto"/>
                                                                                                                                                                                                <w:bottom w:val="none" w:sz="0" w:space="0" w:color="auto"/>
                                                                                                                                                                                                <w:right w:val="none" w:sz="0" w:space="0" w:color="auto"/>
                                                                                                                                                                                              </w:divBdr>
                                                                                                                                                                                              <w:divsChild>
                                                                                                                                                                                                <w:div w:id="1759133033">
                                                                                                                                                                                                  <w:marLeft w:val="0"/>
                                                                                                                                                                                                  <w:marRight w:val="0"/>
                                                                                                                                                                                                  <w:marTop w:val="0"/>
                                                                                                                                                                                                  <w:marBottom w:val="0"/>
                                                                                                                                                                                                  <w:divBdr>
                                                                                                                                                                                                    <w:top w:val="none" w:sz="0" w:space="0" w:color="auto"/>
                                                                                                                                                                                                    <w:left w:val="none" w:sz="0" w:space="0" w:color="auto"/>
                                                                                                                                                                                                    <w:bottom w:val="none" w:sz="0" w:space="0" w:color="auto"/>
                                                                                                                                                                                                    <w:right w:val="none" w:sz="0" w:space="0" w:color="auto"/>
                                                                                                                                                                                                  </w:divBdr>
                                                                                                                                                                                                  <w:divsChild>
                                                                                                                                                                                                    <w:div w:id="2119789180">
                                                                                                                                                                                                      <w:marLeft w:val="0"/>
                                                                                                                                                                                                      <w:marRight w:val="0"/>
                                                                                                                                                                                                      <w:marTop w:val="0"/>
                                                                                                                                                                                                      <w:marBottom w:val="0"/>
                                                                                                                                                                                                      <w:divBdr>
                                                                                                                                                                                                        <w:top w:val="none" w:sz="0" w:space="0" w:color="auto"/>
                                                                                                                                                                                                        <w:left w:val="none" w:sz="0" w:space="0" w:color="auto"/>
                                                                                                                                                                                                        <w:bottom w:val="none" w:sz="0" w:space="0" w:color="auto"/>
                                                                                                                                                                                                        <w:right w:val="none" w:sz="0" w:space="0" w:color="auto"/>
                                                                                                                                                                                                      </w:divBdr>
                                                                                                                                                                                                      <w:divsChild>
                                                                                                                                                                                                        <w:div w:id="2124879945">
                                                                                                                                                                                                          <w:marLeft w:val="0"/>
                                                                                                                                                                                                          <w:marRight w:val="0"/>
                                                                                                                                                                                                          <w:marTop w:val="0"/>
                                                                                                                                                                                                          <w:marBottom w:val="0"/>
                                                                                                                                                                                                          <w:divBdr>
                                                                                                                                                                                                            <w:top w:val="none" w:sz="0" w:space="0" w:color="auto"/>
                                                                                                                                                                                                            <w:left w:val="none" w:sz="0" w:space="0" w:color="auto"/>
                                                                                                                                                                                                            <w:bottom w:val="none" w:sz="0" w:space="0" w:color="auto"/>
                                                                                                                                                                                                            <w:right w:val="none" w:sz="0" w:space="0" w:color="auto"/>
                                                                                                                                                                                                          </w:divBdr>
                                                                                                                                                                                                          <w:divsChild>
                                                                                                                                                                                                            <w:div w:id="614875288">
                                                                                                                                                                                                              <w:marLeft w:val="0"/>
                                                                                                                                                                                                              <w:marRight w:val="0"/>
                                                                                                                                                                                                              <w:marTop w:val="0"/>
                                                                                                                                                                                                              <w:marBottom w:val="0"/>
                                                                                                                                                                                                              <w:divBdr>
                                                                                                                                                                                                                <w:top w:val="none" w:sz="0" w:space="0" w:color="auto"/>
                                                                                                                                                                                                                <w:left w:val="none" w:sz="0" w:space="0" w:color="auto"/>
                                                                                                                                                                                                                <w:bottom w:val="none" w:sz="0" w:space="0" w:color="auto"/>
                                                                                                                                                                                                                <w:right w:val="none" w:sz="0" w:space="0" w:color="auto"/>
                                                                                                                                                                                                              </w:divBdr>
                                                                                                                                                                                                              <w:divsChild>
                                                                                                                                                                                                                <w:div w:id="440734271">
                                                                                                                                                                                                                  <w:marLeft w:val="0"/>
                                                                                                                                                                                                                  <w:marRight w:val="0"/>
                                                                                                                                                                                                                  <w:marTop w:val="0"/>
                                                                                                                                                                                                                  <w:marBottom w:val="0"/>
                                                                                                                                                                                                                  <w:divBdr>
                                                                                                                                                                                                                    <w:top w:val="none" w:sz="0" w:space="0" w:color="auto"/>
                                                                                                                                                                                                                    <w:left w:val="none" w:sz="0" w:space="0" w:color="auto"/>
                                                                                                                                                                                                                    <w:bottom w:val="none" w:sz="0" w:space="0" w:color="auto"/>
                                                                                                                                                                                                                    <w:right w:val="none" w:sz="0" w:space="0" w:color="auto"/>
                                                                                                                                                                                                                  </w:divBdr>
                                                                                                                                                                                                                  <w:divsChild>
                                                                                                                                                                                                                    <w:div w:id="647174613">
                                                                                                                                                                                                                      <w:marLeft w:val="0"/>
                                                                                                                                                                                                                      <w:marRight w:val="0"/>
                                                                                                                                                                                                                      <w:marTop w:val="0"/>
                                                                                                                                                                                                                      <w:marBottom w:val="0"/>
                                                                                                                                                                                                                      <w:divBdr>
                                                                                                                                                                                                                        <w:top w:val="none" w:sz="0" w:space="0" w:color="auto"/>
                                                                                                                                                                                                                        <w:left w:val="none" w:sz="0" w:space="0" w:color="auto"/>
                                                                                                                                                                                                                        <w:bottom w:val="none" w:sz="0" w:space="0" w:color="auto"/>
                                                                                                                                                                                                                        <w:right w:val="none" w:sz="0" w:space="0" w:color="auto"/>
                                                                                                                                                                                                                      </w:divBdr>
                                                                                                                                                                                                                      <w:divsChild>
                                                                                                                                                                                                                        <w:div w:id="307170968">
                                                                                                                                                                                                                          <w:marLeft w:val="0"/>
                                                                                                                                                                                                                          <w:marRight w:val="0"/>
                                                                                                                                                                                                                          <w:marTop w:val="0"/>
                                                                                                                                                                                                                          <w:marBottom w:val="0"/>
                                                                                                                                                                                                                          <w:divBdr>
                                                                                                                                                                                                                            <w:top w:val="none" w:sz="0" w:space="0" w:color="auto"/>
                                                                                                                                                                                                                            <w:left w:val="none" w:sz="0" w:space="0" w:color="auto"/>
                                                                                                                                                                                                                            <w:bottom w:val="none" w:sz="0" w:space="0" w:color="auto"/>
                                                                                                                                                                                                                            <w:right w:val="none" w:sz="0" w:space="0" w:color="auto"/>
                                                                                                                                                                                                                          </w:divBdr>
                                                                                                                                                                                                                          <w:divsChild>
                                                                                                                                                                                                                            <w:div w:id="696931297">
                                                                                                                                                                                                                              <w:marLeft w:val="0"/>
                                                                                                                                                                                                                              <w:marRight w:val="0"/>
                                                                                                                                                                                                                              <w:marTop w:val="0"/>
                                                                                                                                                                                                                              <w:marBottom w:val="0"/>
                                                                                                                                                                                                                              <w:divBdr>
                                                                                                                                                                                                                                <w:top w:val="none" w:sz="0" w:space="0" w:color="auto"/>
                                                                                                                                                                                                                                <w:left w:val="none" w:sz="0" w:space="0" w:color="auto"/>
                                                                                                                                                                                                                                <w:bottom w:val="none" w:sz="0" w:space="0" w:color="auto"/>
                                                                                                                                                                                                                                <w:right w:val="none" w:sz="0" w:space="0" w:color="auto"/>
                                                                                                                                                                                                                              </w:divBdr>
                                                                                                                                                                                                                              <w:divsChild>
                                                                                                                                                                                                                                <w:div w:id="2020084434">
                                                                                                                                                                                                                                  <w:marLeft w:val="0"/>
                                                                                                                                                                                                                                  <w:marRight w:val="0"/>
                                                                                                                                                                                                                                  <w:marTop w:val="0"/>
                                                                                                                                                                                                                                  <w:marBottom w:val="0"/>
                                                                                                                                                                                                                                  <w:divBdr>
                                                                                                                                                                                                                                    <w:top w:val="none" w:sz="0" w:space="0" w:color="auto"/>
                                                                                                                                                                                                                                    <w:left w:val="none" w:sz="0" w:space="0" w:color="auto"/>
                                                                                                                                                                                                                                    <w:bottom w:val="none" w:sz="0" w:space="0" w:color="auto"/>
                                                                                                                                                                                                                                    <w:right w:val="none" w:sz="0" w:space="0" w:color="auto"/>
                                                                                                                                                                                                                                  </w:divBdr>
                                                                                                                                                                                                                                  <w:divsChild>
                                                                                                                                                                                                                                    <w:div w:id="1887571199">
                                                                                                                                                                                                                                      <w:marLeft w:val="0"/>
                                                                                                                                                                                                                                      <w:marRight w:val="0"/>
                                                                                                                                                                                                                                      <w:marTop w:val="0"/>
                                                                                                                                                                                                                                      <w:marBottom w:val="0"/>
                                                                                                                                                                                                                                      <w:divBdr>
                                                                                                                                                                                                                                        <w:top w:val="none" w:sz="0" w:space="0" w:color="auto"/>
                                                                                                                                                                                                                                        <w:left w:val="none" w:sz="0" w:space="0" w:color="auto"/>
                                                                                                                                                                                                                                        <w:bottom w:val="none" w:sz="0" w:space="0" w:color="auto"/>
                                                                                                                                                                                                                                        <w:right w:val="none" w:sz="0" w:space="0" w:color="auto"/>
                                                                                                                                                                                                                                      </w:divBdr>
                                                                                                                                                                                                                                      <w:divsChild>
                                                                                                                                                                                                                                        <w:div w:id="322858739">
                                                                                                                                                                                                                                          <w:marLeft w:val="0"/>
                                                                                                                                                                                                                                          <w:marRight w:val="0"/>
                                                                                                                                                                                                                                          <w:marTop w:val="0"/>
                                                                                                                                                                                                                                          <w:marBottom w:val="0"/>
                                                                                                                                                                                                                                          <w:divBdr>
                                                                                                                                                                                                                                            <w:top w:val="none" w:sz="0" w:space="0" w:color="auto"/>
                                                                                                                                                                                                                                            <w:left w:val="none" w:sz="0" w:space="0" w:color="auto"/>
                                                                                                                                                                                                                                            <w:bottom w:val="none" w:sz="0" w:space="0" w:color="auto"/>
                                                                                                                                                                                                                                            <w:right w:val="none" w:sz="0" w:space="0" w:color="auto"/>
                                                                                                                                                                                                                                          </w:divBdr>
                                                                                                                                                                                                                                          <w:divsChild>
                                                                                                                                                                                                                                            <w:div w:id="1390877832">
                                                                                                                                                                                                                                              <w:marLeft w:val="0"/>
                                                                                                                                                                                                                                              <w:marRight w:val="0"/>
                                                                                                                                                                                                                                              <w:marTop w:val="0"/>
                                                                                                                                                                                                                                              <w:marBottom w:val="0"/>
                                                                                                                                                                                                                                              <w:divBdr>
                                                                                                                                                                                                                                                <w:top w:val="none" w:sz="0" w:space="0" w:color="auto"/>
                                                                                                                                                                                                                                                <w:left w:val="none" w:sz="0" w:space="0" w:color="auto"/>
                                                                                                                                                                                                                                                <w:bottom w:val="none" w:sz="0" w:space="0" w:color="auto"/>
                                                                                                                                                                                                                                                <w:right w:val="none" w:sz="0" w:space="0" w:color="auto"/>
                                                                                                                                                                                                                                              </w:divBdr>
                                                                                                                                                                                                                                              <w:divsChild>
                                                                                                                                                                                                                                                <w:div w:id="1341658933">
                                                                                                                                                                                                                                                  <w:marLeft w:val="0"/>
                                                                                                                                                                                                                                                  <w:marRight w:val="0"/>
                                                                                                                                                                                                                                                  <w:marTop w:val="0"/>
                                                                                                                                                                                                                                                  <w:marBottom w:val="0"/>
                                                                                                                                                                                                                                                  <w:divBdr>
                                                                                                                                                                                                                                                    <w:top w:val="none" w:sz="0" w:space="0" w:color="auto"/>
                                                                                                                                                                                                                                                    <w:left w:val="none" w:sz="0" w:space="0" w:color="auto"/>
                                                                                                                                                                                                                                                    <w:bottom w:val="none" w:sz="0" w:space="0" w:color="auto"/>
                                                                                                                                                                                                                                                    <w:right w:val="none" w:sz="0" w:space="0" w:color="auto"/>
                                                                                                                                                                                                                                                  </w:divBdr>
                                                                                                                                                                                                                                                  <w:divsChild>
                                                                                                                                                                                                                                                    <w:div w:id="2067800431">
                                                                                                                                                                                                                                                      <w:marLeft w:val="0"/>
                                                                                                                                                                                                                                                      <w:marRight w:val="0"/>
                                                                                                                                                                                                                                                      <w:marTop w:val="0"/>
                                                                                                                                                                                                                                                      <w:marBottom w:val="0"/>
                                                                                                                                                                                                                                                      <w:divBdr>
                                                                                                                                                                                                                                                        <w:top w:val="none" w:sz="0" w:space="0" w:color="auto"/>
                                                                                                                                                                                                                                                        <w:left w:val="none" w:sz="0" w:space="0" w:color="auto"/>
                                                                                                                                                                                                                                                        <w:bottom w:val="none" w:sz="0" w:space="0" w:color="auto"/>
                                                                                                                                                                                                                                                        <w:right w:val="none" w:sz="0" w:space="0" w:color="auto"/>
                                                                                                                                                                                                                                                      </w:divBdr>
                                                                                                                                                                                                                                                      <w:divsChild>
                                                                                                                                                                                                                                                        <w:div w:id="1561671559">
                                                                                                                                                                                                                                                          <w:marLeft w:val="0"/>
                                                                                                                                                                                                                                                          <w:marRight w:val="0"/>
                                                                                                                                                                                                                                                          <w:marTop w:val="0"/>
                                                                                                                                                                                                                                                          <w:marBottom w:val="0"/>
                                                                                                                                                                                                                                                          <w:divBdr>
                                                                                                                                                                                                                                                            <w:top w:val="none" w:sz="0" w:space="0" w:color="auto"/>
                                                                                                                                                                                                                                                            <w:left w:val="none" w:sz="0" w:space="0" w:color="auto"/>
                                                                                                                                                                                                                                                            <w:bottom w:val="none" w:sz="0" w:space="0" w:color="auto"/>
                                                                                                                                                                                                                                                            <w:right w:val="none" w:sz="0" w:space="0" w:color="auto"/>
                                                                                                                                                                                                                                                          </w:divBdr>
                                                                                                                                                                                                                                                          <w:divsChild>
                                                                                                                                                                                                                                                            <w:div w:id="1267614996">
                                                                                                                                                                                                                                                              <w:marLeft w:val="0"/>
                                                                                                                                                                                                                                                              <w:marRight w:val="0"/>
                                                                                                                                                                                                                                                              <w:marTop w:val="0"/>
                                                                                                                                                                                                                                                              <w:marBottom w:val="0"/>
                                                                                                                                                                                                                                                              <w:divBdr>
                                                                                                                                                                                                                                                                <w:top w:val="none" w:sz="0" w:space="0" w:color="auto"/>
                                                                                                                                                                                                                                                                <w:left w:val="none" w:sz="0" w:space="0" w:color="auto"/>
                                                                                                                                                                                                                                                                <w:bottom w:val="none" w:sz="0" w:space="0" w:color="auto"/>
                                                                                                                                                                                                                                                                <w:right w:val="none" w:sz="0" w:space="0" w:color="auto"/>
                                                                                                                                                                                                                                                              </w:divBdr>
                                                                                                                                                                                                                                                              <w:divsChild>
                                                                                                                                                                                                                                                                <w:div w:id="848789388">
                                                                                                                                                                                                                                                                  <w:marLeft w:val="0"/>
                                                                                                                                                                                                                                                                  <w:marRight w:val="0"/>
                                                                                                                                                                                                                                                                  <w:marTop w:val="0"/>
                                                                                                                                                                                                                                                                  <w:marBottom w:val="0"/>
                                                                                                                                                                                                                                                                  <w:divBdr>
                                                                                                                                                                                                                                                                    <w:top w:val="none" w:sz="0" w:space="0" w:color="auto"/>
                                                                                                                                                                                                                                                                    <w:left w:val="none" w:sz="0" w:space="0" w:color="auto"/>
                                                                                                                                                                                                                                                                    <w:bottom w:val="none" w:sz="0" w:space="0" w:color="auto"/>
                                                                                                                                                                                                                                                                    <w:right w:val="none" w:sz="0" w:space="0" w:color="auto"/>
                                                                                                                                                                                                                                                                  </w:divBdr>
                                                                                                                                                                                                                                                                  <w:divsChild>
                                                                                                                                                                                                                                                                    <w:div w:id="1659964216">
                                                                                                                                                                                                                                                                      <w:marLeft w:val="0"/>
                                                                                                                                                                                                                                                                      <w:marRight w:val="0"/>
                                                                                                                                                                                                                                                                      <w:marTop w:val="0"/>
                                                                                                                                                                                                                                                                      <w:marBottom w:val="0"/>
                                                                                                                                                                                                                                                                      <w:divBdr>
                                                                                                                                                                                                                                                                        <w:top w:val="none" w:sz="0" w:space="0" w:color="auto"/>
                                                                                                                                                                                                                                                                        <w:left w:val="none" w:sz="0" w:space="0" w:color="auto"/>
                                                                                                                                                                                                                                                                        <w:bottom w:val="none" w:sz="0" w:space="0" w:color="auto"/>
                                                                                                                                                                                                                                                                        <w:right w:val="none" w:sz="0" w:space="0" w:color="auto"/>
                                                                                                                                                                                                                                                                      </w:divBdr>
                                                                                                                                                                                                                                                                      <w:divsChild>
                                                                                                                                                                                                                                                                        <w:div w:id="297607344">
                                                                                                                                                                                                                                                                          <w:marLeft w:val="0"/>
                                                                                                                                                                                                                                                                          <w:marRight w:val="0"/>
                                                                                                                                                                                                                                                                          <w:marTop w:val="0"/>
                                                                                                                                                                                                                                                                          <w:marBottom w:val="0"/>
                                                                                                                                                                                                                                                                          <w:divBdr>
                                                                                                                                                                                                                                                                            <w:top w:val="none" w:sz="0" w:space="0" w:color="auto"/>
                                                                                                                                                                                                                                                                            <w:left w:val="none" w:sz="0" w:space="0" w:color="auto"/>
                                                                                                                                                                                                                                                                            <w:bottom w:val="none" w:sz="0" w:space="0" w:color="auto"/>
                                                                                                                                                                                                                                                                            <w:right w:val="none" w:sz="0" w:space="0" w:color="auto"/>
                                                                                                                                                                                                                                                                          </w:divBdr>
                                                                                                                                                                                                                                                                          <w:divsChild>
                                                                                                                                                                                                                                                                            <w:div w:id="1858900">
                                                                                                                                                                                                                                                                              <w:marLeft w:val="0"/>
                                                                                                                                                                                                                                                                              <w:marRight w:val="0"/>
                                                                                                                                                                                                                                                                              <w:marTop w:val="0"/>
                                                                                                                                                                                                                                                                              <w:marBottom w:val="0"/>
                                                                                                                                                                                                                                                                              <w:divBdr>
                                                                                                                                                                                                                                                                                <w:top w:val="none" w:sz="0" w:space="0" w:color="auto"/>
                                                                                                                                                                                                                                                                                <w:left w:val="none" w:sz="0" w:space="0" w:color="auto"/>
                                                                                                                                                                                                                                                                                <w:bottom w:val="none" w:sz="0" w:space="0" w:color="auto"/>
                                                                                                                                                                                                                                                                                <w:right w:val="none" w:sz="0" w:space="0" w:color="auto"/>
                                                                                                                                                                                                                                                                              </w:divBdr>
                                                                                                                                                                                                                                                                              <w:divsChild>
                                                                                                                                                                                                                                                                                <w:div w:id="268783131">
                                                                                                                                                                                                                                                                                  <w:marLeft w:val="0"/>
                                                                                                                                                                                                                                                                                  <w:marRight w:val="0"/>
                                                                                                                                                                                                                                                                                  <w:marTop w:val="0"/>
                                                                                                                                                                                                                                                                                  <w:marBottom w:val="0"/>
                                                                                                                                                                                                                                                                                  <w:divBdr>
                                                                                                                                                                                                                                                                                    <w:top w:val="none" w:sz="0" w:space="0" w:color="auto"/>
                                                                                                                                                                                                                                                                                    <w:left w:val="none" w:sz="0" w:space="0" w:color="auto"/>
                                                                                                                                                                                                                                                                                    <w:bottom w:val="none" w:sz="0" w:space="0" w:color="auto"/>
                                                                                                                                                                                                                                                                                    <w:right w:val="none" w:sz="0" w:space="0" w:color="auto"/>
                                                                                                                                                                                                                                                                                  </w:divBdr>
                                                                                                                                                                                                                                                                                  <w:divsChild>
                                                                                                                                                                                                                                                                                    <w:div w:id="1952663006">
                                                                                                                                                                                                                                                                                      <w:marLeft w:val="0"/>
                                                                                                                                                                                                                                                                                      <w:marRight w:val="0"/>
                                                                                                                                                                                                                                                                                      <w:marTop w:val="0"/>
                                                                                                                                                                                                                                                                                      <w:marBottom w:val="0"/>
                                                                                                                                                                                                                                                                                      <w:divBdr>
                                                                                                                                                                                                                                                                                        <w:top w:val="none" w:sz="0" w:space="0" w:color="auto"/>
                                                                                                                                                                                                                                                                                        <w:left w:val="none" w:sz="0" w:space="0" w:color="auto"/>
                                                                                                                                                                                                                                                                                        <w:bottom w:val="none" w:sz="0" w:space="0" w:color="auto"/>
                                                                                                                                                                                                                                                                                        <w:right w:val="none" w:sz="0" w:space="0" w:color="auto"/>
                                                                                                                                                                                                                                                                                      </w:divBdr>
                                                                                                                                                                                                                                                                                      <w:divsChild>
                                                                                                                                                                                                                                                                                        <w:div w:id="1915507594">
                                                                                                                                                                                                                                                                                          <w:marLeft w:val="0"/>
                                                                                                                                                                                                                                                                                          <w:marRight w:val="0"/>
                                                                                                                                                                                                                                                                                          <w:marTop w:val="0"/>
                                                                                                                                                                                                                                                                                          <w:marBottom w:val="0"/>
                                                                                                                                                                                                                                                                                          <w:divBdr>
                                                                                                                                                                                                                                                                                            <w:top w:val="none" w:sz="0" w:space="0" w:color="auto"/>
                                                                                                                                                                                                                                                                                            <w:left w:val="none" w:sz="0" w:space="0" w:color="auto"/>
                                                                                                                                                                                                                                                                                            <w:bottom w:val="none" w:sz="0" w:space="0" w:color="auto"/>
                                                                                                                                                                                                                                                                                            <w:right w:val="none" w:sz="0" w:space="0" w:color="auto"/>
                                                                                                                                                                                                                                                                                          </w:divBdr>
                                                                                                                                                                                                                                                                                          <w:divsChild>
                                                                                                                                                                                                                                                                                            <w:div w:id="922907809">
                                                                                                                                                                                                                                                                                              <w:marLeft w:val="0"/>
                                                                                                                                                                                                                                                                                              <w:marRight w:val="0"/>
                                                                                                                                                                                                                                                                                              <w:marTop w:val="0"/>
                                                                                                                                                                                                                                                                                              <w:marBottom w:val="0"/>
                                                                                                                                                                                                                                                                                              <w:divBdr>
                                                                                                                                                                                                                                                                                                <w:top w:val="none" w:sz="0" w:space="0" w:color="auto"/>
                                                                                                                                                                                                                                                                                                <w:left w:val="none" w:sz="0" w:space="0" w:color="auto"/>
                                                                                                                                                                                                                                                                                                <w:bottom w:val="none" w:sz="0" w:space="0" w:color="auto"/>
                                                                                                                                                                                                                                                                                                <w:right w:val="none" w:sz="0" w:space="0" w:color="auto"/>
                                                                                                                                                                                                                                                                                              </w:divBdr>
                                                                                                                                                                                                                                                                                              <w:divsChild>
                                                                                                                                                                                                                                                                                                <w:div w:id="288823013">
                                                                                                                                                                                                                                                                                                  <w:marLeft w:val="0"/>
                                                                                                                                                                                                                                                                                                  <w:marRight w:val="0"/>
                                                                                                                                                                                                                                                                                                  <w:marTop w:val="0"/>
                                                                                                                                                                                                                                                                                                  <w:marBottom w:val="0"/>
                                                                                                                                                                                                                                                                                                  <w:divBdr>
                                                                                                                                                                                                                                                                                                    <w:top w:val="none" w:sz="0" w:space="0" w:color="auto"/>
                                                                                                                                                                                                                                                                                                    <w:left w:val="none" w:sz="0" w:space="0" w:color="auto"/>
                                                                                                                                                                                                                                                                                                    <w:bottom w:val="none" w:sz="0" w:space="0" w:color="auto"/>
                                                                                                                                                                                                                                                                                                    <w:right w:val="none" w:sz="0" w:space="0" w:color="auto"/>
                                                                                                                                                                                                                                                                                                  </w:divBdr>
                                                                                                                                                                                                                                                                                                  <w:divsChild>
                                                                                                                                                                                                                                                                                                    <w:div w:id="10374989">
                                                                                                                                                                                                                                                                                                      <w:marLeft w:val="0"/>
                                                                                                                                                                                                                                                                                                      <w:marRight w:val="0"/>
                                                                                                                                                                                                                                                                                                      <w:marTop w:val="0"/>
                                                                                                                                                                                                                                                                                                      <w:marBottom w:val="0"/>
                                                                                                                                                                                                                                                                                                      <w:divBdr>
                                                                                                                                                                                                                                                                                                        <w:top w:val="none" w:sz="0" w:space="0" w:color="auto"/>
                                                                                                                                                                                                                                                                                                        <w:left w:val="none" w:sz="0" w:space="0" w:color="auto"/>
                                                                                                                                                                                                                                                                                                        <w:bottom w:val="none" w:sz="0" w:space="0" w:color="auto"/>
                                                                                                                                                                                                                                                                                                        <w:right w:val="none" w:sz="0" w:space="0" w:color="auto"/>
                                                                                                                                                                                                                                                                                                      </w:divBdr>
                                                                                                                                                                                                                                                                                                      <w:divsChild>
                                                                                                                                                                                                                                                                                                        <w:div w:id="1003585265">
                                                                                                                                                                                                                                                                                                          <w:marLeft w:val="0"/>
                                                                                                                                                                                                                                                                                                          <w:marRight w:val="0"/>
                                                                                                                                                                                                                                                                                                          <w:marTop w:val="0"/>
                                                                                                                                                                                                                                                                                                          <w:marBottom w:val="0"/>
                                                                                                                                                                                                                                                                                                          <w:divBdr>
                                                                                                                                                                                                                                                                                                            <w:top w:val="none" w:sz="0" w:space="0" w:color="auto"/>
                                                                                                                                                                                                                                                                                                            <w:left w:val="none" w:sz="0" w:space="0" w:color="auto"/>
                                                                                                                                                                                                                                                                                                            <w:bottom w:val="none" w:sz="0" w:space="0" w:color="auto"/>
                                                                                                                                                                                                                                                                                                            <w:right w:val="none" w:sz="0" w:space="0" w:color="auto"/>
                                                                                                                                                                                                                                                                                                          </w:divBdr>
                                                                                                                                                                                                                                                                                                          <w:divsChild>
                                                                                                                                                                                                                                                                                                            <w:div w:id="657659137">
                                                                                                                                                                                                                                                                                                              <w:marLeft w:val="0"/>
                                                                                                                                                                                                                                                                                                              <w:marRight w:val="0"/>
                                                                                                                                                                                                                                                                                                              <w:marTop w:val="0"/>
                                                                                                                                                                                                                                                                                                              <w:marBottom w:val="0"/>
                                                                                                                                                                                                                                                                                                              <w:divBdr>
                                                                                                                                                                                                                                                                                                                <w:top w:val="none" w:sz="0" w:space="0" w:color="auto"/>
                                                                                                                                                                                                                                                                                                                <w:left w:val="none" w:sz="0" w:space="0" w:color="auto"/>
                                                                                                                                                                                                                                                                                                                <w:bottom w:val="none" w:sz="0" w:space="0" w:color="auto"/>
                                                                                                                                                                                                                                                                                                                <w:right w:val="none" w:sz="0" w:space="0" w:color="auto"/>
                                                                                                                                                                                                                                                                                                              </w:divBdr>
                                                                                                                                                                                                                                                                                                              <w:divsChild>
                                                                                                                                                                                                                                                                                                                <w:div w:id="1735542307">
                                                                                                                                                                                                                                                                                                                  <w:marLeft w:val="0"/>
                                                                                                                                                                                                                                                                                                                  <w:marRight w:val="0"/>
                                                                                                                                                                                                                                                                                                                  <w:marTop w:val="0"/>
                                                                                                                                                                                                                                                                                                                  <w:marBottom w:val="0"/>
                                                                                                                                                                                                                                                                                                                  <w:divBdr>
                                                                                                                                                                                                                                                                                                                    <w:top w:val="none" w:sz="0" w:space="0" w:color="auto"/>
                                                                                                                                                                                                                                                                                                                    <w:left w:val="none" w:sz="0" w:space="0" w:color="auto"/>
                                                                                                                                                                                                                                                                                                                    <w:bottom w:val="none" w:sz="0" w:space="0" w:color="auto"/>
                                                                                                                                                                                                                                                                                                                    <w:right w:val="none" w:sz="0" w:space="0" w:color="auto"/>
                                                                                                                                                                                                                                                                                                                  </w:divBdr>
                                                                                                                                                                                                                                                                                                                  <w:divsChild>
                                                                                                                                                                                                                                                                                                                    <w:div w:id="1723870656">
                                                                                                                                                                                                                                                                                                                      <w:marLeft w:val="0"/>
                                                                                                                                                                                                                                                                                                                      <w:marRight w:val="0"/>
                                                                                                                                                                                                                                                                                                                      <w:marTop w:val="0"/>
                                                                                                                                                                                                                                                                                                                      <w:marBottom w:val="0"/>
                                                                                                                                                                                                                                                                                                                      <w:divBdr>
                                                                                                                                                                                                                                                                                                                        <w:top w:val="none" w:sz="0" w:space="0" w:color="auto"/>
                                                                                                                                                                                                                                                                                                                        <w:left w:val="none" w:sz="0" w:space="0" w:color="auto"/>
                                                                                                                                                                                                                                                                                                                        <w:bottom w:val="none" w:sz="0" w:space="0" w:color="auto"/>
                                                                                                                                                                                                                                                                                                                        <w:right w:val="none" w:sz="0" w:space="0" w:color="auto"/>
                                                                                                                                                                                                                                                                                                                      </w:divBdr>
                                                                                                                                                                                                                                                                                                                      <w:divsChild>
                                                                                                                                                                                                                                                                                                                        <w:div w:id="344090063">
                                                                                                                                                                                                                                                                                                                          <w:marLeft w:val="0"/>
                                                                                                                                                                                                                                                                                                                          <w:marRight w:val="0"/>
                                                                                                                                                                                                                                                                                                                          <w:marTop w:val="0"/>
                                                                                                                                                                                                                                                                                                                          <w:marBottom w:val="0"/>
                                                                                                                                                                                                                                                                                                                          <w:divBdr>
                                                                                                                                                                                                                                                                                                                            <w:top w:val="none" w:sz="0" w:space="0" w:color="auto"/>
                                                                                                                                                                                                                                                                                                                            <w:left w:val="none" w:sz="0" w:space="0" w:color="auto"/>
                                                                                                                                                                                                                                                                                                                            <w:bottom w:val="none" w:sz="0" w:space="0" w:color="auto"/>
                                                                                                                                                                                                                                                                                                                            <w:right w:val="none" w:sz="0" w:space="0" w:color="auto"/>
                                                                                                                                                                                                                                                                                                                          </w:divBdr>
                                                                                                                                                                                                                                                                                                                          <w:divsChild>
                                                                                                                                                                                                                                                                                                                            <w:div w:id="1313094144">
                                                                                                                                                                                                                                                                                                                              <w:marLeft w:val="0"/>
                                                                                                                                                                                                                                                                                                                              <w:marRight w:val="0"/>
                                                                                                                                                                                                                                                                                                                              <w:marTop w:val="0"/>
                                                                                                                                                                                                                                                                                                                              <w:marBottom w:val="0"/>
                                                                                                                                                                                                                                                                                                                              <w:divBdr>
                                                                                                                                                                                                                                                                                                                                <w:top w:val="none" w:sz="0" w:space="0" w:color="auto"/>
                                                                                                                                                                                                                                                                                                                                <w:left w:val="none" w:sz="0" w:space="0" w:color="auto"/>
                                                                                                                                                                                                                                                                                                                                <w:bottom w:val="none" w:sz="0" w:space="0" w:color="auto"/>
                                                                                                                                                                                                                                                                                                                                <w:right w:val="none" w:sz="0" w:space="0" w:color="auto"/>
                                                                                                                                                                                                                                                                                                                              </w:divBdr>
                                                                                                                                                                                                                                                                                                                              <w:divsChild>
                                                                                                                                                                                                                                                                                                                                <w:div w:id="278536077">
                                                                                                                                                                                                                                                                                                                                  <w:marLeft w:val="0"/>
                                                                                                                                                                                                                                                                                                                                  <w:marRight w:val="0"/>
                                                                                                                                                                                                                                                                                                                                  <w:marTop w:val="0"/>
                                                                                                                                                                                                                                                                                                                                  <w:marBottom w:val="0"/>
                                                                                                                                                                                                                                                                                                                                  <w:divBdr>
                                                                                                                                                                                                                                                                                                                                    <w:top w:val="none" w:sz="0" w:space="0" w:color="auto"/>
                                                                                                                                                                                                                                                                                                                                    <w:left w:val="none" w:sz="0" w:space="0" w:color="auto"/>
                                                                                                                                                                                                                                                                                                                                    <w:bottom w:val="none" w:sz="0" w:space="0" w:color="auto"/>
                                                                                                                                                                                                                                                                                                                                    <w:right w:val="none" w:sz="0" w:space="0" w:color="auto"/>
                                                                                                                                                                                                                                                                                                                                  </w:divBdr>
                                                                                                                                                                                                                                                                                                                                  <w:divsChild>
                                                                                                                                                                                                                                                                                                                                    <w:div w:id="1517428386">
                                                                                                                                                                                                                                                                                                                                      <w:marLeft w:val="0"/>
                                                                                                                                                                                                                                                                                                                                      <w:marRight w:val="0"/>
                                                                                                                                                                                                                                                                                                                                      <w:marTop w:val="0"/>
                                                                                                                                                                                                                                                                                                                                      <w:marBottom w:val="0"/>
                                                                                                                                                                                                                                                                                                                                      <w:divBdr>
                                                                                                                                                                                                                                                                                                                                        <w:top w:val="none" w:sz="0" w:space="0" w:color="auto"/>
                                                                                                                                                                                                                                                                                                                                        <w:left w:val="none" w:sz="0" w:space="0" w:color="auto"/>
                                                                                                                                                                                                                                                                                                                                        <w:bottom w:val="none" w:sz="0" w:space="0" w:color="auto"/>
                                                                                                                                                                                                                                                                                                                                        <w:right w:val="none" w:sz="0" w:space="0" w:color="auto"/>
                                                                                                                                                                                                                                                                                                                                      </w:divBdr>
                                                                                                                                                                                                                                                                                                                                      <w:divsChild>
                                                                                                                                                                                                                                                                                                                                        <w:div w:id="1462528198">
                                                                                                                                                                                                                                                                                                                                          <w:marLeft w:val="0"/>
                                                                                                                                                                                                                                                                                                                                          <w:marRight w:val="0"/>
                                                                                                                                                                                                                                                                                                                                          <w:marTop w:val="0"/>
                                                                                                                                                                                                                                                                                                                                          <w:marBottom w:val="0"/>
                                                                                                                                                                                                                                                                                                                                          <w:divBdr>
                                                                                                                                                                                                                                                                                                                                            <w:top w:val="none" w:sz="0" w:space="0" w:color="auto"/>
                                                                                                                                                                                                                                                                                                                                            <w:left w:val="none" w:sz="0" w:space="0" w:color="auto"/>
                                                                                                                                                                                                                                                                                                                                            <w:bottom w:val="none" w:sz="0" w:space="0" w:color="auto"/>
                                                                                                                                                                                                                                                                                                                                            <w:right w:val="none" w:sz="0" w:space="0" w:color="auto"/>
                                                                                                                                                                                                                                                                                                                                          </w:divBdr>
                                                                                                                                                                                                                                                                                                                                          <w:divsChild>
                                                                                                                                                                                                                                                                                                                                            <w:div w:id="1667706730">
                                                                                                                                                                                                                                                                                                                                              <w:marLeft w:val="0"/>
                                                                                                                                                                                                                                                                                                                                              <w:marRight w:val="0"/>
                                                                                                                                                                                                                                                                                                                                              <w:marTop w:val="0"/>
                                                                                                                                                                                                                                                                                                                                              <w:marBottom w:val="0"/>
                                                                                                                                                                                                                                                                                                                                              <w:divBdr>
                                                                                                                                                                                                                                                                                                                                                <w:top w:val="none" w:sz="0" w:space="0" w:color="auto"/>
                                                                                                                                                                                                                                                                                                                                                <w:left w:val="none" w:sz="0" w:space="0" w:color="auto"/>
                                                                                                                                                                                                                                                                                                                                                <w:bottom w:val="none" w:sz="0" w:space="0" w:color="auto"/>
                                                                                                                                                                                                                                                                                                                                                <w:right w:val="none" w:sz="0" w:space="0" w:color="auto"/>
                                                                                                                                                                                                                                                                                                                                              </w:divBdr>
                                                                                                                                                                                                                                                                                                                                              <w:divsChild>
                                                                                                                                                                                                                                                                                                                                                <w:div w:id="228417645">
                                                                                                                                                                                                                                                                                                                                                  <w:marLeft w:val="0"/>
                                                                                                                                                                                                                                                                                                                                                  <w:marRight w:val="0"/>
                                                                                                                                                                                                                                                                                                                                                  <w:marTop w:val="0"/>
                                                                                                                                                                                                                                                                                                                                                  <w:marBottom w:val="0"/>
                                                                                                                                                                                                                                                                                                                                                  <w:divBdr>
                                                                                                                                                                                                                                                                                                                                                    <w:top w:val="none" w:sz="0" w:space="0" w:color="auto"/>
                                                                                                                                                                                                                                                                                                                                                    <w:left w:val="none" w:sz="0" w:space="0" w:color="auto"/>
                                                                                                                                                                                                                                                                                                                                                    <w:bottom w:val="none" w:sz="0" w:space="0" w:color="auto"/>
                                                                                                                                                                                                                                                                                                                                                    <w:right w:val="none" w:sz="0" w:space="0" w:color="auto"/>
                                                                                                                                                                                                                                                                                                                                                  </w:divBdr>
                                                                                                                                                                                                                                                                                                                                                  <w:divsChild>
                                                                                                                                                                                                                                                                                                                                                    <w:div w:id="368606423">
                                                                                                                                                                                                                                                                                                                                                      <w:marLeft w:val="0"/>
                                                                                                                                                                                                                                                                                                                                                      <w:marRight w:val="0"/>
                                                                                                                                                                                                                                                                                                                                                      <w:marTop w:val="0"/>
                                                                                                                                                                                                                                                                                                                                                      <w:marBottom w:val="0"/>
                                                                                                                                                                                                                                                                                                                                                      <w:divBdr>
                                                                                                                                                                                                                                                                                                                                                        <w:top w:val="none" w:sz="0" w:space="0" w:color="auto"/>
                                                                                                                                                                                                                                                                                                                                                        <w:left w:val="none" w:sz="0" w:space="0" w:color="auto"/>
                                                                                                                                                                                                                                                                                                                                                        <w:bottom w:val="none" w:sz="0" w:space="0" w:color="auto"/>
                                                                                                                                                                                                                                                                                                                                                        <w:right w:val="none" w:sz="0" w:space="0" w:color="auto"/>
                                                                                                                                                                                                                                                                                                                                                      </w:divBdr>
                                                                                                                                                                                                                                                                                                                                                      <w:divsChild>
                                                                                                                                                                                                                                                                                                                                                        <w:div w:id="296648324">
                                                                                                                                                                                                                                                                                                                                                          <w:marLeft w:val="0"/>
                                                                                                                                                                                                                                                                                                                                                          <w:marRight w:val="0"/>
                                                                                                                                                                                                                                                                                                                                                          <w:marTop w:val="0"/>
                                                                                                                                                                                                                                                                                                                                                          <w:marBottom w:val="0"/>
                                                                                                                                                                                                                                                                                                                                                          <w:divBdr>
                                                                                                                                                                                                                                                                                                                                                            <w:top w:val="none" w:sz="0" w:space="0" w:color="auto"/>
                                                                                                                                                                                                                                                                                                                                                            <w:left w:val="none" w:sz="0" w:space="0" w:color="auto"/>
                                                                                                                                                                                                                                                                                                                                                            <w:bottom w:val="none" w:sz="0" w:space="0" w:color="auto"/>
                                                                                                                                                                                                                                                                                                                                                            <w:right w:val="none" w:sz="0" w:space="0" w:color="auto"/>
                                                                                                                                                                                                                                                                                                                                                          </w:divBdr>
                                                                                                                                                                                                                                                                                                                                                          <w:divsChild>
                                                                                                                                                                                                                                                                                                                                                            <w:div w:id="1552111846">
                                                                                                                                                                                                                                                                                                                                                              <w:marLeft w:val="0"/>
                                                                                                                                                                                                                                                                                                                                                              <w:marRight w:val="0"/>
                                                                                                                                                                                                                                                                                                                                                              <w:marTop w:val="0"/>
                                                                                                                                                                                                                                                                                                                                                              <w:marBottom w:val="0"/>
                                                                                                                                                                                                                                                                                                                                                              <w:divBdr>
                                                                                                                                                                                                                                                                                                                                                                <w:top w:val="none" w:sz="0" w:space="0" w:color="auto"/>
                                                                                                                                                                                                                                                                                                                                                                <w:left w:val="none" w:sz="0" w:space="0" w:color="auto"/>
                                                                                                                                                                                                                                                                                                                                                                <w:bottom w:val="none" w:sz="0" w:space="0" w:color="auto"/>
                                                                                                                                                                                                                                                                                                                                                                <w:right w:val="none" w:sz="0" w:space="0" w:color="auto"/>
                                                                                                                                                                                                                                                                                                                                                              </w:divBdr>
                                                                                                                                                                                                                                                                                                                                                              <w:divsChild>
                                                                                                                                                                                                                                                                                                                                                                <w:div w:id="288249703">
                                                                                                                                                                                                                                                                                                                                                                  <w:marLeft w:val="0"/>
                                                                                                                                                                                                                                                                                                                                                                  <w:marRight w:val="0"/>
                                                                                                                                                                                                                                                                                                                                                                  <w:marTop w:val="0"/>
                                                                                                                                                                                                                                                                                                                                                                  <w:marBottom w:val="0"/>
                                                                                                                                                                                                                                                                                                                                                                  <w:divBdr>
                                                                                                                                                                                                                                                                                                                                                                    <w:top w:val="none" w:sz="0" w:space="0" w:color="auto"/>
                                                                                                                                                                                                                                                                                                                                                                    <w:left w:val="none" w:sz="0" w:space="0" w:color="auto"/>
                                                                                                                                                                                                                                                                                                                                                                    <w:bottom w:val="none" w:sz="0" w:space="0" w:color="auto"/>
                                                                                                                                                                                                                                                                                                                                                                    <w:right w:val="none" w:sz="0" w:space="0" w:color="auto"/>
                                                                                                                                                                                                                                                                                                                                                                  </w:divBdr>
                                                                                                                                                                                                                                                                                                                                                                  <w:divsChild>
                                                                                                                                                                                                                                                                                                                                                                    <w:div w:id="885415078">
                                                                                                                                                                                                                                                                                                                                                                      <w:marLeft w:val="0"/>
                                                                                                                                                                                                                                                                                                                                                                      <w:marRight w:val="0"/>
                                                                                                                                                                                                                                                                                                                                                                      <w:marTop w:val="0"/>
                                                                                                                                                                                                                                                                                                                                                                      <w:marBottom w:val="0"/>
                                                                                                                                                                                                                                                                                                                                                                      <w:divBdr>
                                                                                                                                                                                                                                                                                                                                                                        <w:top w:val="none" w:sz="0" w:space="0" w:color="auto"/>
                                                                                                                                                                                                                                                                                                                                                                        <w:left w:val="none" w:sz="0" w:space="0" w:color="auto"/>
                                                                                                                                                                                                                                                                                                                                                                        <w:bottom w:val="none" w:sz="0" w:space="0" w:color="auto"/>
                                                                                                                                                                                                                                                                                                                                                                        <w:right w:val="none" w:sz="0" w:space="0" w:color="auto"/>
                                                                                                                                                                                                                                                                                                                                                                      </w:divBdr>
                                                                                                                                                                                                                                                                                                                                                                      <w:divsChild>
                                                                                                                                                                                                                                                                                                                                                                        <w:div w:id="1323239059">
                                                                                                                                                                                                                                                                                                                                                                          <w:marLeft w:val="0"/>
                                                                                                                                                                                                                                                                                                                                                                          <w:marRight w:val="0"/>
                                                                                                                                                                                                                                                                                                                                                                          <w:marTop w:val="0"/>
                                                                                                                                                                                                                                                                                                                                                                          <w:marBottom w:val="0"/>
                                                                                                                                                                                                                                                                                                                                                                          <w:divBdr>
                                                                                                                                                                                                                                                                                                                                                                            <w:top w:val="none" w:sz="0" w:space="0" w:color="auto"/>
                                                                                                                                                                                                                                                                                                                                                                            <w:left w:val="none" w:sz="0" w:space="0" w:color="auto"/>
                                                                                                                                                                                                                                                                                                                                                                            <w:bottom w:val="none" w:sz="0" w:space="0" w:color="auto"/>
                                                                                                                                                                                                                                                                                                                                                                            <w:right w:val="none" w:sz="0" w:space="0" w:color="auto"/>
                                                                                                                                                                                                                                                                                                                                                                          </w:divBdr>
                                                                                                                                                                                                                                                                                                                                                                          <w:divsChild>
                                                                                                                                                                                                                                                                                                                                                                            <w:div w:id="1375932247">
                                                                                                                                                                                                                                                                                                                                                                              <w:marLeft w:val="0"/>
                                                                                                                                                                                                                                                                                                                                                                              <w:marRight w:val="0"/>
                                                                                                                                                                                                                                                                                                                                                                              <w:marTop w:val="0"/>
                                                                                                                                                                                                                                                                                                                                                                              <w:marBottom w:val="0"/>
                                                                                                                                                                                                                                                                                                                                                                              <w:divBdr>
                                                                                                                                                                                                                                                                                                                                                                                <w:top w:val="none" w:sz="0" w:space="0" w:color="auto"/>
                                                                                                                                                                                                                                                                                                                                                                                <w:left w:val="none" w:sz="0" w:space="0" w:color="auto"/>
                                                                                                                                                                                                                                                                                                                                                                                <w:bottom w:val="none" w:sz="0" w:space="0" w:color="auto"/>
                                                                                                                                                                                                                                                                                                                                                                                <w:right w:val="none" w:sz="0" w:space="0" w:color="auto"/>
                                                                                                                                                                                                                                                                                                                                                                              </w:divBdr>
                                                                                                                                                                                                                                                                                                                                                                              <w:divsChild>
                                                                                                                                                                                                                                                                                                                                                                                <w:div w:id="580453107">
                                                                                                                                                                                                                                                                                                                                                                                  <w:marLeft w:val="0"/>
                                                                                                                                                                                                                                                                                                                                                                                  <w:marRight w:val="0"/>
                                                                                                                                                                                                                                                                                                                                                                                  <w:marTop w:val="0"/>
                                                                                                                                                                                                                                                                                                                                                                                  <w:marBottom w:val="0"/>
                                                                                                                                                                                                                                                                                                                                                                                  <w:divBdr>
                                                                                                                                                                                                                                                                                                                                                                                    <w:top w:val="none" w:sz="0" w:space="0" w:color="auto"/>
                                                                                                                                                                                                                                                                                                                                                                                    <w:left w:val="none" w:sz="0" w:space="0" w:color="auto"/>
                                                                                                                                                                                                                                                                                                                                                                                    <w:bottom w:val="none" w:sz="0" w:space="0" w:color="auto"/>
                                                                                                                                                                                                                                                                                                                                                                                    <w:right w:val="none" w:sz="0" w:space="0" w:color="auto"/>
                                                                                                                                                                                                                                                                                                                                                                                  </w:divBdr>
                                                                                                                                                                                                                                                                                                                                                                                  <w:divsChild>
                                                                                                                                                                                                                                                                                                                                                                                    <w:div w:id="1708026845">
                                                                                                                                                                                                                                                                                                                                                                                      <w:marLeft w:val="0"/>
                                                                                                                                                                                                                                                                                                                                                                                      <w:marRight w:val="0"/>
                                                                                                                                                                                                                                                                                                                                                                                      <w:marTop w:val="0"/>
                                                                                                                                                                                                                                                                                                                                                                                      <w:marBottom w:val="0"/>
                                                                                                                                                                                                                                                                                                                                                                                      <w:divBdr>
                                                                                                                                                                                                                                                                                                                                                                                        <w:top w:val="none" w:sz="0" w:space="0" w:color="auto"/>
                                                                                                                                                                                                                                                                                                                                                                                        <w:left w:val="none" w:sz="0" w:space="0" w:color="auto"/>
                                                                                                                                                                                                                                                                                                                                                                                        <w:bottom w:val="none" w:sz="0" w:space="0" w:color="auto"/>
                                                                                                                                                                                                                                                                                                                                                                                        <w:right w:val="none" w:sz="0" w:space="0" w:color="auto"/>
                                                                                                                                                                                                                                                                                                                                                                                      </w:divBdr>
                                                                                                                                                                                                                                                                                                                                                                                      <w:divsChild>
                                                                                                                                                                                                                                                                                                                                                                                        <w:div w:id="1512724908">
                                                                                                                                                                                                                                                                                                                                                                                          <w:marLeft w:val="0"/>
                                                                                                                                                                                                                                                                                                                                                                                          <w:marRight w:val="0"/>
                                                                                                                                                                                                                                                                                                                                                                                          <w:marTop w:val="0"/>
                                                                                                                                                                                                                                                                                                                                                                                          <w:marBottom w:val="0"/>
                                                                                                                                                                                                                                                                                                                                                                                          <w:divBdr>
                                                                                                                                                                                                                                                                                                                                                                                            <w:top w:val="none" w:sz="0" w:space="0" w:color="auto"/>
                                                                                                                                                                                                                                                                                                                                                                                            <w:left w:val="none" w:sz="0" w:space="0" w:color="auto"/>
                                                                                                                                                                                                                                                                                                                                                                                            <w:bottom w:val="none" w:sz="0" w:space="0" w:color="auto"/>
                                                                                                                                                                                                                                                                                                                                                                                            <w:right w:val="none" w:sz="0" w:space="0" w:color="auto"/>
                                                                                                                                                                                                                                                                                                                                                                                          </w:divBdr>
                                                                                                                                                                                                                                                                                                                                                                                          <w:divsChild>
                                                                                                                                                                                                                                                                                                                                                                                            <w:div w:id="1073577470">
                                                                                                                                                                                                                                                                                                                                                                                              <w:marLeft w:val="0"/>
                                                                                                                                                                                                                                                                                                                                                                                              <w:marRight w:val="0"/>
                                                                                                                                                                                                                                                                                                                                                                                              <w:marTop w:val="0"/>
                                                                                                                                                                                                                                                                                                                                                                                              <w:marBottom w:val="0"/>
                                                                                                                                                                                                                                                                                                                                                                                              <w:divBdr>
                                                                                                                                                                                                                                                                                                                                                                                                <w:top w:val="none" w:sz="0" w:space="0" w:color="auto"/>
                                                                                                                                                                                                                                                                                                                                                                                                <w:left w:val="none" w:sz="0" w:space="0" w:color="auto"/>
                                                                                                                                                                                                                                                                                                                                                                                                <w:bottom w:val="none" w:sz="0" w:space="0" w:color="auto"/>
                                                                                                                                                                                                                                                                                                                                                                                                <w:right w:val="none" w:sz="0" w:space="0" w:color="auto"/>
                                                                                                                                                                                                                                                                                                                                                                                              </w:divBdr>
                                                                                                                                                                                                                                                                                                                                                                                              <w:divsChild>
                                                                                                                                                                                                                                                                                                                                                                                                <w:div w:id="247690536">
                                                                                                                                                                                                                                                                                                                                                                                                  <w:marLeft w:val="0"/>
                                                                                                                                                                                                                                                                                                                                                                                                  <w:marRight w:val="0"/>
                                                                                                                                                                                                                                                                                                                                                                                                  <w:marTop w:val="0"/>
                                                                                                                                                                                                                                                                                                                                                                                                  <w:marBottom w:val="0"/>
                                                                                                                                                                                                                                                                                                                                                                                                  <w:divBdr>
                                                                                                                                                                                                                                                                                                                                                                                                    <w:top w:val="none" w:sz="0" w:space="0" w:color="auto"/>
                                                                                                                                                                                                                                                                                                                                                                                                    <w:left w:val="none" w:sz="0" w:space="0" w:color="auto"/>
                                                                                                                                                                                                                                                                                                                                                                                                    <w:bottom w:val="none" w:sz="0" w:space="0" w:color="auto"/>
                                                                                                                                                                                                                                                                                                                                                                                                    <w:right w:val="none" w:sz="0" w:space="0" w:color="auto"/>
                                                                                                                                                                                                                                                                                                                                                                                                  </w:divBdr>
                                                                                                                                                                                                                                                                                                                                                                                                  <w:divsChild>
                                                                                                                                                                                                                                                                                                                                                                                                    <w:div w:id="1767992563">
                                                                                                                                                                                                                                                                                                                                                                                                      <w:marLeft w:val="0"/>
                                                                                                                                                                                                                                                                                                                                                                                                      <w:marRight w:val="0"/>
                                                                                                                                                                                                                                                                                                                                                                                                      <w:marTop w:val="0"/>
                                                                                                                                                                                                                                                                                                                                                                                                      <w:marBottom w:val="0"/>
                                                                                                                                                                                                                                                                                                                                                                                                      <w:divBdr>
                                                                                                                                                                                                                                                                                                                                                                                                        <w:top w:val="none" w:sz="0" w:space="0" w:color="auto"/>
                                                                                                                                                                                                                                                                                                                                                                                                        <w:left w:val="none" w:sz="0" w:space="0" w:color="auto"/>
                                                                                                                                                                                                                                                                                                                                                                                                        <w:bottom w:val="none" w:sz="0" w:space="0" w:color="auto"/>
                                                                                                                                                                                                                                                                                                                                                                                                        <w:right w:val="none" w:sz="0" w:space="0" w:color="auto"/>
                                                                                                                                                                                                                                                                                                                                                                                                      </w:divBdr>
                                                                                                                                                                                                                                                                                                                                                                                                      <w:divsChild>
                                                                                                                                                                                                                                                                                                                                                                                                        <w:div w:id="1950509084">
                                                                                                                                                                                                                                                                                                                                                                                                          <w:marLeft w:val="0"/>
                                                                                                                                                                                                                                                                                                                                                                                                          <w:marRight w:val="0"/>
                                                                                                                                                                                                                                                                                                                                                                                                          <w:marTop w:val="0"/>
                                                                                                                                                                                                                                                                                                                                                                                                          <w:marBottom w:val="0"/>
                                                                                                                                                                                                                                                                                                                                                                                                          <w:divBdr>
                                                                                                                                                                                                                                                                                                                                                                                                            <w:top w:val="none" w:sz="0" w:space="0" w:color="auto"/>
                                                                                                                                                                                                                                                                                                                                                                                                            <w:left w:val="none" w:sz="0" w:space="0" w:color="auto"/>
                                                                                                                                                                                                                                                                                                                                                                                                            <w:bottom w:val="none" w:sz="0" w:space="0" w:color="auto"/>
                                                                                                                                                                                                                                                                                                                                                                                                            <w:right w:val="none" w:sz="0" w:space="0" w:color="auto"/>
                                                                                                                                                                                                                                                                                                                                                                                                          </w:divBdr>
                                                                                                                                                                                                                                                                                                                                                                                                          <w:divsChild>
                                                                                                                                                                                                                                                                                                                                                                                                            <w:div w:id="1979339464">
                                                                                                                                                                                                                                                                                                                                                                                                              <w:marLeft w:val="0"/>
                                                                                                                                                                                                                                                                                                                                                                                                              <w:marRight w:val="0"/>
                                                                                                                                                                                                                                                                                                                                                                                                              <w:marTop w:val="0"/>
                                                                                                                                                                                                                                                                                                                                                                                                              <w:marBottom w:val="0"/>
                                                                                                                                                                                                                                                                                                                                                                                                              <w:divBdr>
                                                                                                                                                                                                                                                                                                                                                                                                                <w:top w:val="none" w:sz="0" w:space="0" w:color="auto"/>
                                                                                                                                                                                                                                                                                                                                                                                                                <w:left w:val="none" w:sz="0" w:space="0" w:color="auto"/>
                                                                                                                                                                                                                                                                                                                                                                                                                <w:bottom w:val="none" w:sz="0" w:space="0" w:color="auto"/>
                                                                                                                                                                                                                                                                                                                                                                                                                <w:right w:val="none" w:sz="0" w:space="0" w:color="auto"/>
                                                                                                                                                                                                                                                                                                                                                                                                              </w:divBdr>
                                                                                                                                                                                                                                                                                                                                                                                                              <w:divsChild>
                                                                                                                                                                                                                                                                                                                                                                                                                <w:div w:id="1042943667">
                                                                                                                                                                                                                                                                                                                                                                                                                  <w:marLeft w:val="0"/>
                                                                                                                                                                                                                                                                                                                                                                                                                  <w:marRight w:val="0"/>
                                                                                                                                                                                                                                                                                                                                                                                                                  <w:marTop w:val="0"/>
                                                                                                                                                                                                                                                                                                                                                                                                                  <w:marBottom w:val="0"/>
                                                                                                                                                                                                                                                                                                                                                                                                                  <w:divBdr>
                                                                                                                                                                                                                                                                                                                                                                                                                    <w:top w:val="none" w:sz="0" w:space="0" w:color="auto"/>
                                                                                                                                                                                                                                                                                                                                                                                                                    <w:left w:val="none" w:sz="0" w:space="0" w:color="auto"/>
                                                                                                                                                                                                                                                                                                                                                                                                                    <w:bottom w:val="none" w:sz="0" w:space="0" w:color="auto"/>
                                                                                                                                                                                                                                                                                                                                                                                                                    <w:right w:val="none" w:sz="0" w:space="0" w:color="auto"/>
                                                                                                                                                                                                                                                                                                                                                                                                                  </w:divBdr>
                                                                                                                                                                                                                                                                                                                                                                                                                  <w:divsChild>
                                                                                                                                                                                                                                                                                                                                                                                                                    <w:div w:id="1775398689">
                                                                                                                                                                                                                                                                                                                                                                                                                      <w:marLeft w:val="0"/>
                                                                                                                                                                                                                                                                                                                                                                                                                      <w:marRight w:val="0"/>
                                                                                                                                                                                                                                                                                                                                                                                                                      <w:marTop w:val="0"/>
                                                                                                                                                                                                                                                                                                                                                                                                                      <w:marBottom w:val="0"/>
                                                                                                                                                                                                                                                                                                                                                                                                                      <w:divBdr>
                                                                                                                                                                                                                                                                                                                                                                                                                        <w:top w:val="none" w:sz="0" w:space="0" w:color="auto"/>
                                                                                                                                                                                                                                                                                                                                                                                                                        <w:left w:val="none" w:sz="0" w:space="0" w:color="auto"/>
                                                                                                                                                                                                                                                                                                                                                                                                                        <w:bottom w:val="none" w:sz="0" w:space="0" w:color="auto"/>
                                                                                                                                                                                                                                                                                                                                                                                                                        <w:right w:val="none" w:sz="0" w:space="0" w:color="auto"/>
                                                                                                                                                                                                                                                                                                                                                                                                                      </w:divBdr>
                                                                                                                                                                                                                                                                                                                                                                                                                      <w:divsChild>
                                                                                                                                                                                                                                                                                                                                                                                                                        <w:div w:id="1346439699">
                                                                                                                                                                                                                                                                                                                                                                                                                          <w:marLeft w:val="0"/>
                                                                                                                                                                                                                                                                                                                                                                                                                          <w:marRight w:val="0"/>
                                                                                                                                                                                                                                                                                                                                                                                                                          <w:marTop w:val="0"/>
                                                                                                                                                                                                                                                                                                                                                                                                                          <w:marBottom w:val="0"/>
                                                                                                                                                                                                                                                                                                                                                                                                                          <w:divBdr>
                                                                                                                                                                                                                                                                                                                                                                                                                            <w:top w:val="none" w:sz="0" w:space="0" w:color="auto"/>
                                                                                                                                                                                                                                                                                                                                                                                                                            <w:left w:val="none" w:sz="0" w:space="0" w:color="auto"/>
                                                                                                                                                                                                                                                                                                                                                                                                                            <w:bottom w:val="none" w:sz="0" w:space="0" w:color="auto"/>
                                                                                                                                                                                                                                                                                                                                                                                                                            <w:right w:val="none" w:sz="0" w:space="0" w:color="auto"/>
                                                                                                                                                                                                                                                                                                                                                                                                                          </w:divBdr>
                                                                                                                                                                                                                                                                                                                                                                                                                          <w:divsChild>
                                                                                                                                                                                                                                                                                                                                                                                                                            <w:div w:id="837691325">
                                                                                                                                                                                                                                                                                                                                                                                                                              <w:marLeft w:val="0"/>
                                                                                                                                                                                                                                                                                                                                                                                                                              <w:marRight w:val="0"/>
                                                                                                                                                                                                                                                                                                                                                                                                                              <w:marTop w:val="0"/>
                                                                                                                                                                                                                                                                                                                                                                                                                              <w:marBottom w:val="0"/>
                                                                                                                                                                                                                                                                                                                                                                                                                              <w:divBdr>
                                                                                                                                                                                                                                                                                                                                                                                                                                <w:top w:val="none" w:sz="0" w:space="0" w:color="auto"/>
                                                                                                                                                                                                                                                                                                                                                                                                                                <w:left w:val="none" w:sz="0" w:space="0" w:color="auto"/>
                                                                                                                                                                                                                                                                                                                                                                                                                                <w:bottom w:val="none" w:sz="0" w:space="0" w:color="auto"/>
                                                                                                                                                                                                                                                                                                                                                                                                                                <w:right w:val="none" w:sz="0" w:space="0" w:color="auto"/>
                                                                                                                                                                                                                                                                                                                                                                                                                              </w:divBdr>
                                                                                                                                                                                                                                                                                                                                                                                                                              <w:divsChild>
                                                                                                                                                                                                                                                                                                                                                                                                                                <w:div w:id="2098136274">
                                                                                                                                                                                                                                                                                                                                                                                                                                  <w:marLeft w:val="0"/>
                                                                                                                                                                                                                                                                                                                                                                                                                                  <w:marRight w:val="0"/>
                                                                                                                                                                                                                                                                                                                                                                                                                                  <w:marTop w:val="0"/>
                                                                                                                                                                                                                                                                                                                                                                                                                                  <w:marBottom w:val="0"/>
                                                                                                                                                                                                                                                                                                                                                                                                                                  <w:divBdr>
                                                                                                                                                                                                                                                                                                                                                                                                                                    <w:top w:val="none" w:sz="0" w:space="0" w:color="auto"/>
                                                                                                                                                                                                                                                                                                                                                                                                                                    <w:left w:val="none" w:sz="0" w:space="0" w:color="auto"/>
                                                                                                                                                                                                                                                                                                                                                                                                                                    <w:bottom w:val="none" w:sz="0" w:space="0" w:color="auto"/>
                                                                                                                                                                                                                                                                                                                                                                                                                                    <w:right w:val="none" w:sz="0" w:space="0" w:color="auto"/>
                                                                                                                                                                                                                                                                                                                                                                                                                                  </w:divBdr>
                                                                                                                                                                                                                                                                                                                                                                                                                                  <w:divsChild>
                                                                                                                                                                                                                                                                                                                                                                                                                                    <w:div w:id="738402151">
                                                                                                                                                                                                                                                                                                                                                                                                                                      <w:marLeft w:val="0"/>
                                                                                                                                                                                                                                                                                                                                                                                                                                      <w:marRight w:val="0"/>
                                                                                                                                                                                                                                                                                                                                                                                                                                      <w:marTop w:val="0"/>
                                                                                                                                                                                                                                                                                                                                                                                                                                      <w:marBottom w:val="0"/>
                                                                                                                                                                                                                                                                                                                                                                                                                                      <w:divBdr>
                                                                                                                                                                                                                                                                                                                                                                                                                                        <w:top w:val="none" w:sz="0" w:space="0" w:color="auto"/>
                                                                                                                                                                                                                                                                                                                                                                                                                                        <w:left w:val="none" w:sz="0" w:space="0" w:color="auto"/>
                                                                                                                                                                                                                                                                                                                                                                                                                                        <w:bottom w:val="none" w:sz="0" w:space="0" w:color="auto"/>
                                                                                                                                                                                                                                                                                                                                                                                                                                        <w:right w:val="none" w:sz="0" w:space="0" w:color="auto"/>
                                                                                                                                                                                                                                                                                                                                                                                                                                      </w:divBdr>
                                                                                                                                                                                                                                                                                                                                                                                                                                      <w:divsChild>
                                                                                                                                                                                                                                                                                                                                                                                                                                        <w:div w:id="467281554">
                                                                                                                                                                                                                                                                                                                                                                                                                                          <w:marLeft w:val="0"/>
                                                                                                                                                                                                                                                                                                                                                                                                                                          <w:marRight w:val="0"/>
                                                                                                                                                                                                                                                                                                                                                                                                                                          <w:marTop w:val="0"/>
                                                                                                                                                                                                                                                                                                                                                                                                                                          <w:marBottom w:val="0"/>
                                                                                                                                                                                                                                                                                                                                                                                                                                          <w:divBdr>
                                                                                                                                                                                                                                                                                                                                                                                                                                            <w:top w:val="none" w:sz="0" w:space="0" w:color="auto"/>
                                                                                                                                                                                                                                                                                                                                                                                                                                            <w:left w:val="none" w:sz="0" w:space="0" w:color="auto"/>
                                                                                                                                                                                                                                                                                                                                                                                                                                            <w:bottom w:val="none" w:sz="0" w:space="0" w:color="auto"/>
                                                                                                                                                                                                                                                                                                                                                                                                                                            <w:right w:val="none" w:sz="0" w:space="0" w:color="auto"/>
                                                                                                                                                                                                                                                                                                                                                                                                                                          </w:divBdr>
                                                                                                                                                                                                                                                                                                                                                                                                                                          <w:divsChild>
                                                                                                                                                                                                                                                                                                                                                                                                                                            <w:div w:id="843865385">
                                                                                                                                                                                                                                                                                                                                                                                                                                              <w:marLeft w:val="0"/>
                                                                                                                                                                                                                                                                                                                                                                                                                                              <w:marRight w:val="0"/>
                                                                                                                                                                                                                                                                                                                                                                                                                                              <w:marTop w:val="0"/>
                                                                                                                                                                                                                                                                                                                                                                                                                                              <w:marBottom w:val="0"/>
                                                                                                                                                                                                                                                                                                                                                                                                                                              <w:divBdr>
                                                                                                                                                                                                                                                                                                                                                                                                                                                <w:top w:val="none" w:sz="0" w:space="0" w:color="auto"/>
                                                                                                                                                                                                                                                                                                                                                                                                                                                <w:left w:val="none" w:sz="0" w:space="0" w:color="auto"/>
                                                                                                                                                                                                                                                                                                                                                                                                                                                <w:bottom w:val="none" w:sz="0" w:space="0" w:color="auto"/>
                                                                                                                                                                                                                                                                                                                                                                                                                                                <w:right w:val="none" w:sz="0" w:space="0" w:color="auto"/>
                                                                                                                                                                                                                                                                                                                                                                                                                                              </w:divBdr>
                                                                                                                                                                                                                                                                                                                                                                                                                                              <w:divsChild>
                                                                                                                                                                                                                                                                                                                                                                                                                                                <w:div w:id="591663968">
                                                                                                                                                                                                                                                                                                                                                                                                                                                  <w:marLeft w:val="0"/>
                                                                                                                                                                                                                                                                                                                                                                                                                                                  <w:marRight w:val="0"/>
                                                                                                                                                                                                                                                                                                                                                                                                                                                  <w:marTop w:val="0"/>
                                                                                                                                                                                                                                                                                                                                                                                                                                                  <w:marBottom w:val="0"/>
                                                                                                                                                                                                                                                                                                                                                                                                                                                  <w:divBdr>
                                                                                                                                                                                                                                                                                                                                                                                                                                                    <w:top w:val="none" w:sz="0" w:space="0" w:color="auto"/>
                                                                                                                                                                                                                                                                                                                                                                                                                                                    <w:left w:val="none" w:sz="0" w:space="0" w:color="auto"/>
                                                                                                                                                                                                                                                                                                                                                                                                                                                    <w:bottom w:val="none" w:sz="0" w:space="0" w:color="auto"/>
                                                                                                                                                                                                                                                                                                                                                                                                                                                    <w:right w:val="none" w:sz="0" w:space="0" w:color="auto"/>
                                                                                                                                                                                                                                                                                                                                                                                                                                                  </w:divBdr>
                                                                                                                                                                                                                                                                                                                                                                                                                                                  <w:divsChild>
                                                                                                                                                                                                                                                                                                                                                                                                                                                    <w:div w:id="1083456049">
                                                                                                                                                                                                                                                                                                                                                                                                                                                      <w:marLeft w:val="0"/>
                                                                                                                                                                                                                                                                                                                                                                                                                                                      <w:marRight w:val="0"/>
                                                                                                                                                                                                                                                                                                                                                                                                                                                      <w:marTop w:val="0"/>
                                                                                                                                                                                                                                                                                                                                                                                                                                                      <w:marBottom w:val="0"/>
                                                                                                                                                                                                                                                                                                                                                                                                                                                      <w:divBdr>
                                                                                                                                                                                                                                                                                                                                                                                                                                                        <w:top w:val="none" w:sz="0" w:space="0" w:color="auto"/>
                                                                                                                                                                                                                                                                                                                                                                                                                                                        <w:left w:val="none" w:sz="0" w:space="0" w:color="auto"/>
                                                                                                                                                                                                                                                                                                                                                                                                                                                        <w:bottom w:val="none" w:sz="0" w:space="0" w:color="auto"/>
                                                                                                                                                                                                                                                                                                                                                                                                                                                        <w:right w:val="none" w:sz="0" w:space="0" w:color="auto"/>
                                                                                                                                                                                                                                                                                                                                                                                                                                                      </w:divBdr>
                                                                                                                                                                                                                                                                                                                                                                                                                                                      <w:divsChild>
                                                                                                                                                                                                                                                                                                                                                                                                                                                        <w:div w:id="527303533">
                                                                                                                                                                                                                                                                                                                                                                                                                                                          <w:marLeft w:val="0"/>
                                                                                                                                                                                                                                                                                                                                                                                                                                                          <w:marRight w:val="0"/>
                                                                                                                                                                                                                                                                                                                                                                                                                                                          <w:marTop w:val="0"/>
                                                                                                                                                                                                                                                                                                                                                                                                                                                          <w:marBottom w:val="0"/>
                                                                                                                                                                                                                                                                                                                                                                                                                                                          <w:divBdr>
                                                                                                                                                                                                                                                                                                                                                                                                                                                            <w:top w:val="none" w:sz="0" w:space="0" w:color="auto"/>
                                                                                                                                                                                                                                                                                                                                                                                                                                                            <w:left w:val="none" w:sz="0" w:space="0" w:color="auto"/>
                                                                                                                                                                                                                                                                                                                                                                                                                                                            <w:bottom w:val="none" w:sz="0" w:space="0" w:color="auto"/>
                                                                                                                                                                                                                                                                                                                                                                                                                                                            <w:right w:val="none" w:sz="0" w:space="0" w:color="auto"/>
                                                                                                                                                                                                                                                                                                                                                                                                                                                          </w:divBdr>
                                                                                                                                                                                                                                                                                                                                                                                                                                                          <w:divsChild>
                                                                                                                                                                                                                                                                                                                                                                                                                                                            <w:div w:id="1051611372">
                                                                                                                                                                                                                                                                                                                                                                                                                                                              <w:marLeft w:val="0"/>
                                                                                                                                                                                                                                                                                                                                                                                                                                                              <w:marRight w:val="0"/>
                                                                                                                                                                                                                                                                                                                                                                                                                                                              <w:marTop w:val="0"/>
                                                                                                                                                                                                                                                                                                                                                                                                                                                              <w:marBottom w:val="0"/>
                                                                                                                                                                                                                                                                                                                                                                                                                                                              <w:divBdr>
                                                                                                                                                                                                                                                                                                                                                                                                                                                                <w:top w:val="none" w:sz="0" w:space="0" w:color="auto"/>
                                                                                                                                                                                                                                                                                                                                                                                                                                                                <w:left w:val="none" w:sz="0" w:space="0" w:color="auto"/>
                                                                                                                                                                                                                                                                                                                                                                                                                                                                <w:bottom w:val="none" w:sz="0" w:space="0" w:color="auto"/>
                                                                                                                                                                                                                                                                                                                                                                                                                                                                <w:right w:val="none" w:sz="0" w:space="0" w:color="auto"/>
                                                                                                                                                                                                                                                                                                                                                                                                                                                              </w:divBdr>
                                                                                                                                                                                                                                                                                                                                                                                                                                                              <w:divsChild>
                                                                                                                                                                                                                                                                                                                                                                                                                                                                <w:div w:id="1639263364">
                                                                                                                                                                                                                                                                                                                                                                                                                                                                  <w:marLeft w:val="0"/>
                                                                                                                                                                                                                                                                                                                                                                                                                                                                  <w:marRight w:val="0"/>
                                                                                                                                                                                                                                                                                                                                                                                                                                                                  <w:marTop w:val="0"/>
                                                                                                                                                                                                                                                                                                                                                                                                                                                                  <w:marBottom w:val="0"/>
                                                                                                                                                                                                                                                                                                                                                                                                                                                                  <w:divBdr>
                                                                                                                                                                                                                                                                                                                                                                                                                                                                    <w:top w:val="none" w:sz="0" w:space="0" w:color="auto"/>
                                                                                                                                                                                                                                                                                                                                                                                                                                                                    <w:left w:val="none" w:sz="0" w:space="0" w:color="auto"/>
                                                                                                                                                                                                                                                                                                                                                                                                                                                                    <w:bottom w:val="none" w:sz="0" w:space="0" w:color="auto"/>
                                                                                                                                                                                                                                                                                                                                                                                                                                                                    <w:right w:val="none" w:sz="0" w:space="0" w:color="auto"/>
                                                                                                                                                                                                                                                                                                                                                                                                                                                                  </w:divBdr>
                                                                                                                                                                                                                                                                                                                                                                                                                                                                  <w:divsChild>
                                                                                                                                                                                                                                                                                                                                                                                                                                                                    <w:div w:id="2063868259">
                                                                                                                                                                                                                                                                                                                                                                                                                                                                      <w:marLeft w:val="0"/>
                                                                                                                                                                                                                                                                                                                                                                                                                                                                      <w:marRight w:val="0"/>
                                                                                                                                                                                                                                                                                                                                                                                                                                                                      <w:marTop w:val="0"/>
                                                                                                                                                                                                                                                                                                                                                                                                                                                                      <w:marBottom w:val="0"/>
                                                                                                                                                                                                                                                                                                                                                                                                                                                                      <w:divBdr>
                                                                                                                                                                                                                                                                                                                                                                                                                                                                        <w:top w:val="none" w:sz="0" w:space="0" w:color="auto"/>
                                                                                                                                                                                                                                                                                                                                                                                                                                                                        <w:left w:val="none" w:sz="0" w:space="0" w:color="auto"/>
                                                                                                                                                                                                                                                                                                                                                                                                                                                                        <w:bottom w:val="none" w:sz="0" w:space="0" w:color="auto"/>
                                                                                                                                                                                                                                                                                                                                                                                                                                                                        <w:right w:val="none" w:sz="0" w:space="0" w:color="auto"/>
                                                                                                                                                                                                                                                                                                                                                                                                                                                                      </w:divBdr>
                                                                                                                                                                                                                                                                                                                                                                                                                                                                      <w:divsChild>
                                                                                                                                                                                                                                                                                                                                                                                                                                                                        <w:div w:id="1385980403">
                                                                                                                                                                                                                                                                                                                                                                                                                                                                          <w:marLeft w:val="0"/>
                                                                                                                                                                                                                                                                                                                                                                                                                                                                          <w:marRight w:val="0"/>
                                                                                                                                                                                                                                                                                                                                                                                                                                                                          <w:marTop w:val="0"/>
                                                                                                                                                                                                                                                                                                                                                                                                                                                                          <w:marBottom w:val="0"/>
                                                                                                                                                                                                                                                                                                                                                                                                                                                                          <w:divBdr>
                                                                                                                                                                                                                                                                                                                                                                                                                                                                            <w:top w:val="none" w:sz="0" w:space="0" w:color="auto"/>
                                                                                                                                                                                                                                                                                                                                                                                                                                                                            <w:left w:val="none" w:sz="0" w:space="0" w:color="auto"/>
                                                                                                                                                                                                                                                                                                                                                                                                                                                                            <w:bottom w:val="none" w:sz="0" w:space="0" w:color="auto"/>
                                                                                                                                                                                                                                                                                                                                                                                                                                                                            <w:right w:val="none" w:sz="0" w:space="0" w:color="auto"/>
                                                                                                                                                                                                                                                                                                                                                                                                                                                                          </w:divBdr>
                                                                                                                                                                                                                                                                                                                                                                                                                                                                          <w:divsChild>
                                                                                                                                                                                                                                                                                                                                                                                                                                                                            <w:div w:id="1752004691">
                                                                                                                                                                                                                                                                                                                                                                                                                                                                              <w:marLeft w:val="0"/>
                                                                                                                                                                                                                                                                                                                                                                                                                                                                              <w:marRight w:val="0"/>
                                                                                                                                                                                                                                                                                                                                                                                                                                                                              <w:marTop w:val="0"/>
                                                                                                                                                                                                                                                                                                                                                                                                                                                                              <w:marBottom w:val="0"/>
                                                                                                                                                                                                                                                                                                                                                                                                                                                                              <w:divBdr>
                                                                                                                                                                                                                                                                                                                                                                                                                                                                                <w:top w:val="none" w:sz="0" w:space="0" w:color="auto"/>
                                                                                                                                                                                                                                                                                                                                                                                                                                                                                <w:left w:val="none" w:sz="0" w:space="0" w:color="auto"/>
                                                                                                                                                                                                                                                                                                                                                                                                                                                                                <w:bottom w:val="none" w:sz="0" w:space="0" w:color="auto"/>
                                                                                                                                                                                                                                                                                                                                                                                                                                                                                <w:right w:val="none" w:sz="0" w:space="0" w:color="auto"/>
                                                                                                                                                                                                                                                                                                                                                                                                                                                                              </w:divBdr>
                                                                                                                                                                                                                                                                                                                                                                                                                                                                              <w:divsChild>
                                                                                                                                                                                                                                                                                                                                                                                                                                                                                <w:div w:id="1142700698">
                                                                                                                                                                                                                                                                                                                                                                                                                                                                                  <w:marLeft w:val="0"/>
                                                                                                                                                                                                                                                                                                                                                                                                                                                                                  <w:marRight w:val="0"/>
                                                                                                                                                                                                                                                                                                                                                                                                                                                                                  <w:marTop w:val="0"/>
                                                                                                                                                                                                                                                                                                                                                                                                                                                                                  <w:marBottom w:val="0"/>
                                                                                                                                                                                                                                                                                                                                                                                                                                                                                  <w:divBdr>
                                                                                                                                                                                                                                                                                                                                                                                                                                                                                    <w:top w:val="none" w:sz="0" w:space="0" w:color="auto"/>
                                                                                                                                                                                                                                                                                                                                                                                                                                                                                    <w:left w:val="none" w:sz="0" w:space="0" w:color="auto"/>
                                                                                                                                                                                                                                                                                                                                                                                                                                                                                    <w:bottom w:val="none" w:sz="0" w:space="0" w:color="auto"/>
                                                                                                                                                                                                                                                                                                                                                                                                                                                                                    <w:right w:val="none" w:sz="0" w:space="0" w:color="auto"/>
                                                                                                                                                                                                                                                                                                                                                                                                                                                                                  </w:divBdr>
                                                                                                                                                                                                                                                                                                                                                                                                                                                                                  <w:divsChild>
                                                                                                                                                                                                                                                                                                                                                                                                                                                                                    <w:div w:id="293946306">
                                                                                                                                                                                                                                                                                                                                                                                                                                                                                      <w:marLeft w:val="0"/>
                                                                                                                                                                                                                                                                                                                                                                                                                                                                                      <w:marRight w:val="0"/>
                                                                                                                                                                                                                                                                                                                                                                                                                                                                                      <w:marTop w:val="0"/>
                                                                                                                                                                                                                                                                                                                                                                                                                                                                                      <w:marBottom w:val="0"/>
                                                                                                                                                                                                                                                                                                                                                                                                                                                                                      <w:divBdr>
                                                                                                                                                                                                                                                                                                                                                                                                                                                                                        <w:top w:val="none" w:sz="0" w:space="0" w:color="auto"/>
                                                                                                                                                                                                                                                                                                                                                                                                                                                                                        <w:left w:val="none" w:sz="0" w:space="0" w:color="auto"/>
                                                                                                                                                                                                                                                                                                                                                                                                                                                                                        <w:bottom w:val="none" w:sz="0" w:space="0" w:color="auto"/>
                                                                                                                                                                                                                                                                                                                                                                                                                                                                                        <w:right w:val="none" w:sz="0" w:space="0" w:color="auto"/>
                                                                                                                                                                                                                                                                                                                                                                                                                                                                                      </w:divBdr>
                                                                                                                                                                                                                                                                                                                                                                                                                                                                                      <w:divsChild>
                                                                                                                                                                                                                                                                                                                                                                                                                                                                                        <w:div w:id="642541433">
                                                                                                                                                                                                                                                                                                                                                                                                                                                                                          <w:marLeft w:val="0"/>
                                                                                                                                                                                                                                                                                                                                                                                                                                                                                          <w:marRight w:val="0"/>
                                                                                                                                                                                                                                                                                                                                                                                                                                                                                          <w:marTop w:val="0"/>
                                                                                                                                                                                                                                                                                                                                                                                                                                                                                          <w:marBottom w:val="0"/>
                                                                                                                                                                                                                                                                                                                                                                                                                                                                                          <w:divBdr>
                                                                                                                                                                                                                                                                                                                                                                                                                                                                                            <w:top w:val="none" w:sz="0" w:space="0" w:color="auto"/>
                                                                                                                                                                                                                                                                                                                                                                                                                                                                                            <w:left w:val="none" w:sz="0" w:space="0" w:color="auto"/>
                                                                                                                                                                                                                                                                                                                                                                                                                                                                                            <w:bottom w:val="none" w:sz="0" w:space="0" w:color="auto"/>
                                                                                                                                                                                                                                                                                                                                                                                                                                                                                            <w:right w:val="none" w:sz="0" w:space="0" w:color="auto"/>
                                                                                                                                                                                                                                                                                                                                                                                                                                                                                          </w:divBdr>
                                                                                                                                                                                                                                                                                                                                                                                                                                                                                          <w:divsChild>
                                                                                                                                                                                                                                                                                                                                                                                                                                                                                            <w:div w:id="479003432">
                                                                                                                                                                                                                                                                                                                                                                                                                                                                                              <w:marLeft w:val="0"/>
                                                                                                                                                                                                                                                                                                                                                                                                                                                                                              <w:marRight w:val="0"/>
                                                                                                                                                                                                                                                                                                                                                                                                                                                                                              <w:marTop w:val="0"/>
                                                                                                                                                                                                                                                                                                                                                                                                                                                                                              <w:marBottom w:val="0"/>
                                                                                                                                                                                                                                                                                                                                                                                                                                                                                              <w:divBdr>
                                                                                                                                                                                                                                                                                                                                                                                                                                                                                                <w:top w:val="none" w:sz="0" w:space="0" w:color="auto"/>
                                                                                                                                                                                                                                                                                                                                                                                                                                                                                                <w:left w:val="none" w:sz="0" w:space="0" w:color="auto"/>
                                                                                                                                                                                                                                                                                                                                                                                                                                                                                                <w:bottom w:val="none" w:sz="0" w:space="0" w:color="auto"/>
                                                                                                                                                                                                                                                                                                                                                                                                                                                                                                <w:right w:val="none" w:sz="0" w:space="0" w:color="auto"/>
                                                                                                                                                                                                                                                                                                                                                                                                                                                                                              </w:divBdr>
                                                                                                                                                                                                                                                                                                                                                                                                                                                                                              <w:divsChild>
                                                                                                                                                                                                                                                                                                                                                                                                                                                                                                <w:div w:id="1634753720">
                                                                                                                                                                                                                                                                                                                                                                                                                                                                                                  <w:marLeft w:val="0"/>
                                                                                                                                                                                                                                                                                                                                                                                                                                                                                                  <w:marRight w:val="0"/>
                                                                                                                                                                                                                                                                                                                                                                                                                                                                                                  <w:marTop w:val="0"/>
                                                                                                                                                                                                                                                                                                                                                                                                                                                                                                  <w:marBottom w:val="0"/>
                                                                                                                                                                                                                                                                                                                                                                                                                                                                                                  <w:divBdr>
                                                                                                                                                                                                                                                                                                                                                                                                                                                                                                    <w:top w:val="none" w:sz="0" w:space="0" w:color="auto"/>
                                                                                                                                                                                                                                                                                                                                                                                                                                                                                                    <w:left w:val="none" w:sz="0" w:space="0" w:color="auto"/>
                                                                                                                                                                                                                                                                                                                                                                                                                                                                                                    <w:bottom w:val="none" w:sz="0" w:space="0" w:color="auto"/>
                                                                                                                                                                                                                                                                                                                                                                                                                                                                                                    <w:right w:val="none" w:sz="0" w:space="0" w:color="auto"/>
                                                                                                                                                                                                                                                                                                                                                                                                                                                                                                  </w:divBdr>
                                                                                                                                                                                                                                                                                                                                                                                                                                                                                                  <w:divsChild>
                                                                                                                                                                                                                                                                                                                                                                                                                                                                                                    <w:div w:id="1199975931">
                                                                                                                                                                                                                                                                                                                                                                                                                                                                                                      <w:marLeft w:val="0"/>
                                                                                                                                                                                                                                                                                                                                                                                                                                                                                                      <w:marRight w:val="0"/>
                                                                                                                                                                                                                                                                                                                                                                                                                                                                                                      <w:marTop w:val="0"/>
                                                                                                                                                                                                                                                                                                                                                                                                                                                                                                      <w:marBottom w:val="0"/>
                                                                                                                                                                                                                                                                                                                                                                                                                                                                                                      <w:divBdr>
                                                                                                                                                                                                                                                                                                                                                                                                                                                                                                        <w:top w:val="none" w:sz="0" w:space="0" w:color="auto"/>
                                                                                                                                                                                                                                                                                                                                                                                                                                                                                                        <w:left w:val="none" w:sz="0" w:space="0" w:color="auto"/>
                                                                                                                                                                                                                                                                                                                                                                                                                                                                                                        <w:bottom w:val="none" w:sz="0" w:space="0" w:color="auto"/>
                                                                                                                                                                                                                                                                                                                                                                                                                                                                                                        <w:right w:val="none" w:sz="0" w:space="0" w:color="auto"/>
                                                                                                                                                                                                                                                                                                                                                                                                                                                                                                      </w:divBdr>
                                                                                                                                                                                                                                                                                                                                                                                                                                                                                                      <w:divsChild>
                                                                                                                                                                                                                                                                                                                                                                                                                                                                                                        <w:div w:id="239292279">
                                                                                                                                                                                                                                                                                                                                                                                                                                                                                                          <w:marLeft w:val="0"/>
                                                                                                                                                                                                                                                                                                                                                                                                                                                                                                          <w:marRight w:val="0"/>
                                                                                                                                                                                                                                                                                                                                                                                                                                                                                                          <w:marTop w:val="0"/>
                                                                                                                                                                                                                                                                                                                                                                                                                                                                                                          <w:marBottom w:val="0"/>
                                                                                                                                                                                                                                                                                                                                                                                                                                                                                                          <w:divBdr>
                                                                                                                                                                                                                                                                                                                                                                                                                                                                                                            <w:top w:val="none" w:sz="0" w:space="0" w:color="auto"/>
                                                                                                                                                                                                                                                                                                                                                                                                                                                                                                            <w:left w:val="none" w:sz="0" w:space="0" w:color="auto"/>
                                                                                                                                                                                                                                                                                                                                                                                                                                                                                                            <w:bottom w:val="none" w:sz="0" w:space="0" w:color="auto"/>
                                                                                                                                                                                                                                                                                                                                                                                                                                                                                                            <w:right w:val="none" w:sz="0" w:space="0" w:color="auto"/>
                                                                                                                                                                                                                                                                                                                                                                                                                                                                                                          </w:divBdr>
                                                                                                                                                                                                                                                                                                                                                                                                                                                                                                          <w:divsChild>
                                                                                                                                                                                                                                                                                                                                                                                                                                                                                                            <w:div w:id="1003095540">
                                                                                                                                                                                                                                                                                                                                                                                                                                                                                                              <w:marLeft w:val="0"/>
                                                                                                                                                                                                                                                                                                                                                                                                                                                                                                              <w:marRight w:val="0"/>
                                                                                                                                                                                                                                                                                                                                                                                                                                                                                                              <w:marTop w:val="0"/>
                                                                                                                                                                                                                                                                                                                                                                                                                                                                                                              <w:marBottom w:val="0"/>
                                                                                                                                                                                                                                                                                                                                                                                                                                                                                                              <w:divBdr>
                                                                                                                                                                                                                                                                                                                                                                                                                                                                                                                <w:top w:val="none" w:sz="0" w:space="0" w:color="auto"/>
                                                                                                                                                                                                                                                                                                                                                                                                                                                                                                                <w:left w:val="none" w:sz="0" w:space="0" w:color="auto"/>
                                                                                                                                                                                                                                                                                                                                                                                                                                                                                                                <w:bottom w:val="none" w:sz="0" w:space="0" w:color="auto"/>
                                                                                                                                                                                                                                                                                                                                                                                                                                                                                                                <w:right w:val="none" w:sz="0" w:space="0" w:color="auto"/>
                                                                                                                                                                                                                                                                                                                                                                                                                                                                                                              </w:divBdr>
                                                                                                                                                                                                                                                                                                                                                                                                                                                                                                              <w:divsChild>
                                                                                                                                                                                                                                                                                                                                                                                                                                                                                                                <w:div w:id="1868055576">
                                                                                                                                                                                                                                                                                                                                                                                                                                                                                                                  <w:marLeft w:val="0"/>
                                                                                                                                                                                                                                                                                                                                                                                                                                                                                                                  <w:marRight w:val="0"/>
                                                                                                                                                                                                                                                                                                                                                                                                                                                                                                                  <w:marTop w:val="0"/>
                                                                                                                                                                                                                                                                                                                                                                                                                                                                                                                  <w:marBottom w:val="0"/>
                                                                                                                                                                                                                                                                                                                                                                                                                                                                                                                  <w:divBdr>
                                                                                                                                                                                                                                                                                                                                                                                                                                                                                                                    <w:top w:val="none" w:sz="0" w:space="0" w:color="auto"/>
                                                                                                                                                                                                                                                                                                                                                                                                                                                                                                                    <w:left w:val="none" w:sz="0" w:space="0" w:color="auto"/>
                                                                                                                                                                                                                                                                                                                                                                                                                                                                                                                    <w:bottom w:val="none" w:sz="0" w:space="0" w:color="auto"/>
                                                                                                                                                                                                                                                                                                                                                                                                                                                                                                                    <w:right w:val="none" w:sz="0" w:space="0" w:color="auto"/>
                                                                                                                                                                                                                                                                                                                                                                                                                                                                                                                  </w:divBdr>
                                                                                                                                                                                                                                                                                                                                                                                                                                                                                                                  <w:divsChild>
                                                                                                                                                                                                                                                                                                                                                                                                                                                                                                                    <w:div w:id="2061859856">
                                                                                                                                                                                                                                                                                                                                                                                                                                                                                                                      <w:marLeft w:val="0"/>
                                                                                                                                                                                                                                                                                                                                                                                                                                                                                                                      <w:marRight w:val="0"/>
                                                                                                                                                                                                                                                                                                                                                                                                                                                                                                                      <w:marTop w:val="0"/>
                                                                                                                                                                                                                                                                                                                                                                                                                                                                                                                      <w:marBottom w:val="0"/>
                                                                                                                                                                                                                                                                                                                                                                                                                                                                                                                      <w:divBdr>
                                                                                                                                                                                                                                                                                                                                                                                                                                                                                                                        <w:top w:val="none" w:sz="0" w:space="0" w:color="auto"/>
                                                                                                                                                                                                                                                                                                                                                                                                                                                                                                                        <w:left w:val="none" w:sz="0" w:space="0" w:color="auto"/>
                                                                                                                                                                                                                                                                                                                                                                                                                                                                                                                        <w:bottom w:val="none" w:sz="0" w:space="0" w:color="auto"/>
                                                                                                                                                                                                                                                                                                                                                                                                                                                                                                                        <w:right w:val="none" w:sz="0" w:space="0" w:color="auto"/>
                                                                                                                                                                                                                                                                                                                                                                                                                                                                                                                      </w:divBdr>
                                                                                                                                                                                                                                                                                                                                                                                                                                                                                                                      <w:divsChild>
                                                                                                                                                                                                                                                                                                                                                                                                                                                                                                                        <w:div w:id="1117212435">
                                                                                                                                                                                                                                                                                                                                                                                                                                                                                                                          <w:marLeft w:val="0"/>
                                                                                                                                                                                                                                                                                                                                                                                                                                                                                                                          <w:marRight w:val="0"/>
                                                                                                                                                                                                                                                                                                                                                                                                                                                                                                                          <w:marTop w:val="0"/>
                                                                                                                                                                                                                                                                                                                                                                                                                                                                                                                          <w:marBottom w:val="0"/>
                                                                                                                                                                                                                                                                                                                                                                                                                                                                                                                          <w:divBdr>
                                                                                                                                                                                                                                                                                                                                                                                                                                                                                                                            <w:top w:val="none" w:sz="0" w:space="0" w:color="auto"/>
                                                                                                                                                                                                                                                                                                                                                                                                                                                                                                                            <w:left w:val="none" w:sz="0" w:space="0" w:color="auto"/>
                                                                                                                                                                                                                                                                                                                                                                                                                                                                                                                            <w:bottom w:val="none" w:sz="0" w:space="0" w:color="auto"/>
                                                                                                                                                                                                                                                                                                                                                                                                                                                                                                                            <w:right w:val="none" w:sz="0" w:space="0" w:color="auto"/>
                                                                                                                                                                                                                                                                                                                                                                                                                                                                                                                          </w:divBdr>
                                                                                                                                                                                                                                                                                                                                                                                                                                                                                                                          <w:divsChild>
                                                                                                                                                                                                                                                                                                                                                                                                                                                                                                                            <w:div w:id="1832721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17D953-47BB-4452-AD19-CCBF7CF8AE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29</Pages>
  <Words>29073</Words>
  <Characters>159904</Characters>
  <Application>Microsoft Office Word</Application>
  <DocSecurity>0</DocSecurity>
  <Lines>1332</Lines>
  <Paragraphs>377</Paragraphs>
  <ScaleCrop>false</ScaleCrop>
  <HeadingPairs>
    <vt:vector size="6" baseType="variant">
      <vt:variant>
        <vt:lpstr>Título</vt:lpstr>
      </vt:variant>
      <vt:variant>
        <vt:i4>1</vt:i4>
      </vt:variant>
      <vt:variant>
        <vt:lpstr>Title</vt:lpstr>
      </vt:variant>
      <vt:variant>
        <vt:i4>1</vt:i4>
      </vt:variant>
      <vt:variant>
        <vt:lpstr>Titolo</vt:lpstr>
      </vt:variant>
      <vt:variant>
        <vt:i4>1</vt:i4>
      </vt:variant>
    </vt:vector>
  </HeadingPairs>
  <TitlesOfParts>
    <vt:vector size="3" baseType="lpstr">
      <vt:lpstr/>
      <vt:lpstr/>
      <vt:lpstr/>
    </vt:vector>
  </TitlesOfParts>
  <Company>EM LYON</Company>
  <LinksUpToDate>false</LinksUpToDate>
  <CharactersWithSpaces>188600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QUAS Anita</dc:creator>
  <cp:lastModifiedBy>Cuenta Microsoft</cp:lastModifiedBy>
  <cp:revision>1</cp:revision>
  <cp:lastPrinted>2016-01-13T17:23:00Z</cp:lastPrinted>
  <dcterms:created xsi:type="dcterms:W3CDTF">2016-09-15T06:50:00Z</dcterms:created>
  <dcterms:modified xsi:type="dcterms:W3CDTF">2023-12-20T16:54:00Z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Citation Style_1">
    <vt:lpwstr>http://www.zotero.org/styles/small-business-economics</vt:lpwstr>
  </property>
  <property fmtid="{D5CDD505-2E9C-101B-9397-08002B2CF9AE}" pid="3" name="Mendeley Document_1">
    <vt:lpwstr>True</vt:lpwstr>
  </property>
  <property fmtid="{D5CDD505-2E9C-101B-9397-08002B2CF9AE}" pid="4" name="Mendeley Recent Style Id 0_1">
    <vt:lpwstr>http://www.zotero.org/styles/apa</vt:lpwstr>
  </property>
  <property fmtid="{D5CDD505-2E9C-101B-9397-08002B2CF9AE}" pid="5" name="Mendeley Recent Style Id 1_1">
    <vt:lpwstr>http://www.zotero.org/styles/american-sociological-association</vt:lpwstr>
  </property>
  <property fmtid="{D5CDD505-2E9C-101B-9397-08002B2CF9AE}" pid="6" name="Mendeley Recent Style Id 2_1">
    <vt:lpwstr>http://www.zotero.org/styles/chicago-author-date</vt:lpwstr>
  </property>
  <property fmtid="{D5CDD505-2E9C-101B-9397-08002B2CF9AE}" pid="7" name="Mendeley Recent Style Id 3_1">
    <vt:lpwstr>http://www.zotero.org/styles/harvard1</vt:lpwstr>
  </property>
  <property fmtid="{D5CDD505-2E9C-101B-9397-08002B2CF9AE}" pid="8" name="Mendeley Recent Style Id 4_1">
    <vt:lpwstr>http://www.zotero.org/styles/ieee</vt:lpwstr>
  </property>
  <property fmtid="{D5CDD505-2E9C-101B-9397-08002B2CF9AE}" pid="9" name="Mendeley Recent Style Id 5_1">
    <vt:lpwstr>http://www.zotero.org/styles/journal-of-corporate-finance</vt:lpwstr>
  </property>
  <property fmtid="{D5CDD505-2E9C-101B-9397-08002B2CF9AE}" pid="10" name="Mendeley Recent Style Id 6_1">
    <vt:lpwstr>http://www.zotero.org/styles/modern-humanities-research-association</vt:lpwstr>
  </property>
  <property fmtid="{D5CDD505-2E9C-101B-9397-08002B2CF9AE}" pid="11" name="Mendeley Recent Style Id 7_1">
    <vt:lpwstr>http://www.zotero.org/styles/modern-language-association</vt:lpwstr>
  </property>
  <property fmtid="{D5CDD505-2E9C-101B-9397-08002B2CF9AE}" pid="12" name="Mendeley Recent Style Id 8_1">
    <vt:lpwstr>http://www.zotero.org/styles/nature</vt:lpwstr>
  </property>
  <property fmtid="{D5CDD505-2E9C-101B-9397-08002B2CF9AE}" pid="13" name="Mendeley Recent Style Id 9_1">
    <vt:lpwstr>http://www.zotero.org/styles/small-business-economics</vt:lpwstr>
  </property>
  <property fmtid="{D5CDD505-2E9C-101B-9397-08002B2CF9AE}" pid="14" name="Mendeley Recent Style Name 0_1">
    <vt:lpwstr>American Psychological Association 6th edition</vt:lpwstr>
  </property>
  <property fmtid="{D5CDD505-2E9C-101B-9397-08002B2CF9AE}" pid="15" name="Mendeley Recent Style Name 1_1">
    <vt:lpwstr>American Sociological Association</vt:lpwstr>
  </property>
  <property fmtid="{D5CDD505-2E9C-101B-9397-08002B2CF9AE}" pid="16" name="Mendeley Recent Style Name 2_1">
    <vt:lpwstr>Chicago Manual of Style 16th edition (author-date)</vt:lpwstr>
  </property>
  <property fmtid="{D5CDD505-2E9C-101B-9397-08002B2CF9AE}" pid="17" name="Mendeley Recent Style Name 3_1">
    <vt:lpwstr>Harvard Reference format 1 (author-date)</vt:lpwstr>
  </property>
  <property fmtid="{D5CDD505-2E9C-101B-9397-08002B2CF9AE}" pid="18" name="Mendeley Recent Style Name 4_1">
    <vt:lpwstr>IEEE</vt:lpwstr>
  </property>
  <property fmtid="{D5CDD505-2E9C-101B-9397-08002B2CF9AE}" pid="19" name="Mendeley Recent Style Name 5_1">
    <vt:lpwstr>Journal of Corporate Finance</vt:lpwstr>
  </property>
  <property fmtid="{D5CDD505-2E9C-101B-9397-08002B2CF9AE}" pid="20" name="Mendeley Recent Style Name 6_1">
    <vt:lpwstr>Modern Humanities Research Association 3rd edition (note with bibliography)</vt:lpwstr>
  </property>
  <property fmtid="{D5CDD505-2E9C-101B-9397-08002B2CF9AE}" pid="21" name="Mendeley Recent Style Name 7_1">
    <vt:lpwstr>Modern Language Association 7th edition</vt:lpwstr>
  </property>
  <property fmtid="{D5CDD505-2E9C-101B-9397-08002B2CF9AE}" pid="22" name="Mendeley Recent Style Name 8_1">
    <vt:lpwstr>Nature</vt:lpwstr>
  </property>
  <property fmtid="{D5CDD505-2E9C-101B-9397-08002B2CF9AE}" pid="23" name="Mendeley Recent Style Name 9_1">
    <vt:lpwstr>Small Business Economics</vt:lpwstr>
  </property>
  <property fmtid="{D5CDD505-2E9C-101B-9397-08002B2CF9AE}" pid="24" name="Mendeley Unique User Id_1">
    <vt:lpwstr>7b5ddd25-48a3-3c2e-b7d8-c59e902666a0</vt:lpwstr>
  </property>
</Properties>
</file>