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A512D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06691214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07E73DDE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4D3D34C1" w14:textId="77777777" w:rsidR="00C774B2" w:rsidRDefault="00C774B2">
      <w:pPr>
        <w:pStyle w:val="Textoindependiente"/>
        <w:spacing w:before="3"/>
        <w:rPr>
          <w:rFonts w:ascii="Arial MT"/>
          <w:sz w:val="18"/>
        </w:rPr>
      </w:pPr>
    </w:p>
    <w:p w14:paraId="401DB86A" w14:textId="77777777" w:rsidR="00C774B2" w:rsidRDefault="00000000">
      <w:pPr>
        <w:pStyle w:val="Ttulo4"/>
        <w:ind w:left="2064" w:right="2003" w:hanging="5"/>
      </w:pPr>
      <w:r>
        <w:t>The role of psychological variables in improving resilience: Comparison of an online</w:t>
      </w:r>
      <w:r>
        <w:rPr>
          <w:spacing w:val="1"/>
        </w:rPr>
        <w:t xml:space="preserve"> </w:t>
      </w:r>
      <w:r>
        <w:t>intervention with a face-to-face intervention. A randomised controlled clinical trial in</w:t>
      </w:r>
      <w:r>
        <w:rPr>
          <w:spacing w:val="-47"/>
        </w:rPr>
        <w:t xml:space="preserve"> </w:t>
      </w:r>
      <w:r>
        <w:t>students</w:t>
      </w:r>
      <w:r>
        <w:rPr>
          <w:spacing w:val="-1"/>
        </w:rPr>
        <w:t xml:space="preserve"> </w:t>
      </w:r>
      <w:r>
        <w:t>of health</w:t>
      </w:r>
      <w:r>
        <w:rPr>
          <w:spacing w:val="-1"/>
        </w:rPr>
        <w:t xml:space="preserve"> </w:t>
      </w:r>
      <w:r>
        <w:t>sciences</w:t>
      </w:r>
    </w:p>
    <w:p w14:paraId="4F388E5A" w14:textId="77777777" w:rsidR="00C774B2" w:rsidRDefault="00C774B2">
      <w:pPr>
        <w:pStyle w:val="Textoindependiente"/>
        <w:spacing w:before="1"/>
        <w:rPr>
          <w:b/>
          <w:sz w:val="23"/>
        </w:rPr>
      </w:pPr>
    </w:p>
    <w:p w14:paraId="47B9F65A" w14:textId="77777777" w:rsidR="00C774B2" w:rsidRDefault="00000000">
      <w:pPr>
        <w:spacing w:before="1"/>
        <w:ind w:left="1700" w:right="1638"/>
        <w:jc w:val="center"/>
        <w:rPr>
          <w:b/>
        </w:rPr>
      </w:pPr>
      <w:r>
        <w:rPr>
          <w:b/>
        </w:rPr>
        <w:t>ABSTRACT</w:t>
      </w:r>
    </w:p>
    <w:p w14:paraId="442CA480" w14:textId="77777777" w:rsidR="00C774B2" w:rsidRDefault="00C774B2">
      <w:pPr>
        <w:pStyle w:val="Textoindependiente"/>
        <w:spacing w:before="9"/>
        <w:rPr>
          <w:b/>
        </w:rPr>
      </w:pPr>
    </w:p>
    <w:p w14:paraId="7FAF991D" w14:textId="77777777" w:rsidR="00C774B2" w:rsidRDefault="00000000">
      <w:pPr>
        <w:pStyle w:val="Textoindependiente"/>
        <w:spacing w:before="1"/>
        <w:ind w:left="1702" w:right="1634"/>
        <w:jc w:val="both"/>
      </w:pPr>
      <w:r>
        <w:rPr>
          <w:b/>
        </w:rPr>
        <w:t xml:space="preserve">Background: </w:t>
      </w:r>
      <w:r>
        <w:t>Most studies on improving resilience lack representative samples and pre- and</w:t>
      </w:r>
      <w:r>
        <w:rPr>
          <w:spacing w:val="1"/>
        </w:rPr>
        <w:t xml:space="preserve"> </w:t>
      </w:r>
      <w:r>
        <w:t>post-intervention</w:t>
      </w:r>
      <w:r>
        <w:rPr>
          <w:spacing w:val="1"/>
        </w:rPr>
        <w:t xml:space="preserve"> </w:t>
      </w:r>
      <w:r>
        <w:t>assessments.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regarding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versus</w:t>
      </w:r>
      <w:r>
        <w:rPr>
          <w:spacing w:val="-1"/>
        </w:rPr>
        <w:t xml:space="preserve"> </w:t>
      </w:r>
      <w:r>
        <w:t>face-to-face</w:t>
      </w:r>
      <w:r>
        <w:rPr>
          <w:spacing w:val="1"/>
        </w:rPr>
        <w:t xml:space="preserve"> </w:t>
      </w:r>
      <w:r>
        <w:t>interventions are mixed.</w:t>
      </w:r>
    </w:p>
    <w:p w14:paraId="0E91ECD7" w14:textId="77777777" w:rsidR="00C774B2" w:rsidRDefault="00C774B2">
      <w:pPr>
        <w:pStyle w:val="Textoindependiente"/>
        <w:rPr>
          <w:sz w:val="23"/>
        </w:rPr>
      </w:pPr>
    </w:p>
    <w:p w14:paraId="0F37BEF6" w14:textId="77777777" w:rsidR="00C774B2" w:rsidRDefault="00000000">
      <w:pPr>
        <w:pStyle w:val="Textoindependiente"/>
        <w:ind w:left="1702" w:right="1637"/>
        <w:jc w:val="both"/>
      </w:pPr>
      <w:r>
        <w:rPr>
          <w:b/>
        </w:rPr>
        <w:t>Objectives:</w:t>
      </w:r>
      <w:r>
        <w:rPr>
          <w:b/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evaluate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face-to-face</w:t>
      </w:r>
      <w:r>
        <w:rPr>
          <w:spacing w:val="1"/>
        </w:rPr>
        <w:t xml:space="preserve"> </w:t>
      </w:r>
      <w:r>
        <w:t>programmes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improvement of coping strategies to develop resilience to stressful situations, and to assess</w:t>
      </w:r>
      <w:r>
        <w:rPr>
          <w:spacing w:val="1"/>
        </w:rPr>
        <w:t xml:space="preserve"> </w:t>
      </w:r>
      <w:r>
        <w:t>their</w:t>
      </w:r>
      <w:r>
        <w:rPr>
          <w:spacing w:val="-1"/>
        </w:rPr>
        <w:t xml:space="preserve"> </w:t>
      </w:r>
      <w:r>
        <w:t>relationship</w:t>
      </w:r>
      <w:r>
        <w:rPr>
          <w:spacing w:val="-3"/>
        </w:rPr>
        <w:t xml:space="preserve"> </w:t>
      </w:r>
      <w:r>
        <w:t>with personality traits,</w:t>
      </w:r>
      <w:r>
        <w:rPr>
          <w:spacing w:val="-2"/>
        </w:rPr>
        <w:t xml:space="preserve"> </w:t>
      </w:r>
      <w:r>
        <w:t>mood,</w:t>
      </w:r>
      <w:r>
        <w:rPr>
          <w:spacing w:val="-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academic</w:t>
      </w:r>
      <w:r>
        <w:rPr>
          <w:spacing w:val="-3"/>
        </w:rPr>
        <w:t xml:space="preserve"> </w:t>
      </w:r>
      <w:r>
        <w:t>stressors.</w:t>
      </w:r>
    </w:p>
    <w:p w14:paraId="68A5A873" w14:textId="77777777" w:rsidR="00C774B2" w:rsidRDefault="00C774B2">
      <w:pPr>
        <w:pStyle w:val="Textoindependiente"/>
        <w:spacing w:before="11"/>
      </w:pPr>
    </w:p>
    <w:p w14:paraId="363C2FC0" w14:textId="77777777" w:rsidR="00C774B2" w:rsidRDefault="00000000">
      <w:pPr>
        <w:pStyle w:val="Textoindependiente"/>
        <w:ind w:left="1702"/>
        <w:jc w:val="both"/>
      </w:pPr>
      <w:r>
        <w:rPr>
          <w:b/>
        </w:rPr>
        <w:t>Design:</w:t>
      </w:r>
      <w:r>
        <w:rPr>
          <w:b/>
          <w:spacing w:val="-3"/>
        </w:rPr>
        <w:t xml:space="preserve"> </w:t>
      </w:r>
      <w:r>
        <w:t>Randomised</w:t>
      </w:r>
      <w:r>
        <w:rPr>
          <w:spacing w:val="-4"/>
        </w:rPr>
        <w:t xml:space="preserve"> </w:t>
      </w:r>
      <w:r>
        <w:t>controlled</w:t>
      </w:r>
      <w:r>
        <w:rPr>
          <w:spacing w:val="-1"/>
        </w:rPr>
        <w:t xml:space="preserve"> </w:t>
      </w:r>
      <w:r>
        <w:t>clinical</w:t>
      </w:r>
      <w:r>
        <w:rPr>
          <w:spacing w:val="-4"/>
        </w:rPr>
        <w:t xml:space="preserve"> </w:t>
      </w:r>
      <w:r>
        <w:t>trial.</w:t>
      </w:r>
      <w:r>
        <w:rPr>
          <w:spacing w:val="-2"/>
        </w:rPr>
        <w:t xml:space="preserve"> </w:t>
      </w:r>
      <w:r>
        <w:t>Three-armed parallel</w:t>
      </w:r>
      <w:r>
        <w:rPr>
          <w:spacing w:val="-1"/>
        </w:rPr>
        <w:t xml:space="preserve"> </w:t>
      </w:r>
      <w:r>
        <w:t>design.</w:t>
      </w:r>
    </w:p>
    <w:p w14:paraId="3E00A8C6" w14:textId="77777777" w:rsidR="00C774B2" w:rsidRDefault="00C774B2">
      <w:pPr>
        <w:pStyle w:val="Textoindependiente"/>
        <w:spacing w:before="1"/>
        <w:rPr>
          <w:sz w:val="23"/>
        </w:rPr>
      </w:pPr>
    </w:p>
    <w:p w14:paraId="3A578D78" w14:textId="77777777" w:rsidR="00C774B2" w:rsidRDefault="00000000">
      <w:pPr>
        <w:pStyle w:val="Textoindependiente"/>
        <w:ind w:left="1702"/>
        <w:jc w:val="both"/>
      </w:pPr>
      <w:r>
        <w:rPr>
          <w:b/>
        </w:rPr>
        <w:t>Participants:</w:t>
      </w:r>
      <w:r>
        <w:rPr>
          <w:b/>
          <w:spacing w:val="-4"/>
        </w:rPr>
        <w:t xml:space="preserve"> </w:t>
      </w:r>
      <w:r>
        <w:t>245 students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Nursing</w:t>
      </w:r>
      <w:r>
        <w:rPr>
          <w:spacing w:val="-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Physical</w:t>
      </w:r>
      <w:r>
        <w:rPr>
          <w:spacing w:val="-3"/>
        </w:rPr>
        <w:t xml:space="preserve"> </w:t>
      </w:r>
      <w:r>
        <w:t>Therapy</w:t>
      </w:r>
      <w:r>
        <w:rPr>
          <w:spacing w:val="-3"/>
        </w:rPr>
        <w:t xml:space="preserve"> </w:t>
      </w:r>
      <w:r>
        <w:t>Degree.</w:t>
      </w:r>
    </w:p>
    <w:p w14:paraId="4BDB10C1" w14:textId="77777777" w:rsidR="00C774B2" w:rsidRDefault="00C774B2">
      <w:pPr>
        <w:pStyle w:val="Textoindependiente"/>
        <w:spacing w:before="10"/>
      </w:pPr>
    </w:p>
    <w:p w14:paraId="2E1EA5FD" w14:textId="77777777" w:rsidR="00C774B2" w:rsidRDefault="00000000">
      <w:pPr>
        <w:pStyle w:val="Textoindependiente"/>
        <w:ind w:left="1702" w:right="1637"/>
        <w:jc w:val="both"/>
      </w:pPr>
      <w:r>
        <w:rPr>
          <w:b/>
        </w:rPr>
        <w:t xml:space="preserve">Methods: </w:t>
      </w:r>
      <w:r>
        <w:t>Students were randomly assigned to the control group (CG), intervention group 1</w:t>
      </w:r>
      <w:r>
        <w:rPr>
          <w:spacing w:val="1"/>
        </w:rPr>
        <w:t xml:space="preserve"> </w:t>
      </w:r>
      <w:r>
        <w:t>(IG-1,</w:t>
      </w:r>
      <w:r>
        <w:rPr>
          <w:spacing w:val="1"/>
        </w:rPr>
        <w:t xml:space="preserve"> </w:t>
      </w:r>
      <w:r>
        <w:t>face-to-face)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(IG-2,</w:t>
      </w:r>
      <w:r>
        <w:rPr>
          <w:spacing w:val="1"/>
        </w:rPr>
        <w:t xml:space="preserve"> </w:t>
      </w:r>
      <w:r>
        <w:t>online).</w:t>
      </w:r>
      <w:r>
        <w:rPr>
          <w:spacing w:val="1"/>
        </w:rPr>
        <w:t xml:space="preserve"> </w:t>
      </w:r>
      <w:r>
        <w:t>They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assessed</w:t>
      </w:r>
      <w:r>
        <w:rPr>
          <w:spacing w:val="1"/>
        </w:rPr>
        <w:t xml:space="preserve"> </w:t>
      </w:r>
      <w:r>
        <w:t>after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</w:t>
      </w:r>
      <w:r>
        <w:rPr>
          <w:spacing w:val="1"/>
        </w:rPr>
        <w:t xml:space="preserve"> </w:t>
      </w:r>
      <w:r>
        <w:t>instruments: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Affect</w:t>
      </w:r>
      <w:r>
        <w:rPr>
          <w:spacing w:val="1"/>
        </w:rPr>
        <w:t xml:space="preserve"> </w:t>
      </w:r>
      <w:r>
        <w:t>Schedule</w:t>
      </w:r>
      <w:r>
        <w:rPr>
          <w:spacing w:val="1"/>
        </w:rPr>
        <w:t xml:space="preserve"> </w:t>
      </w:r>
      <w:r>
        <w:t>(PANAS),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Academic</w:t>
      </w:r>
      <w:r>
        <w:rPr>
          <w:spacing w:val="1"/>
        </w:rPr>
        <w:t xml:space="preserve"> </w:t>
      </w:r>
      <w:r>
        <w:t>Stressors</w:t>
      </w:r>
      <w:r>
        <w:rPr>
          <w:spacing w:val="1"/>
        </w:rPr>
        <w:t xml:space="preserve"> </w:t>
      </w:r>
      <w:r>
        <w:t>Scale,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Coping</w:t>
      </w:r>
      <w:r>
        <w:rPr>
          <w:spacing w:val="1"/>
        </w:rPr>
        <w:t xml:space="preserve"> </w:t>
      </w:r>
      <w:r>
        <w:t>Orientation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Problems</w:t>
      </w:r>
      <w:r>
        <w:rPr>
          <w:spacing w:val="1"/>
        </w:rPr>
        <w:t xml:space="preserve"> </w:t>
      </w:r>
      <w:r>
        <w:t>Experienced</w:t>
      </w:r>
      <w:r>
        <w:rPr>
          <w:spacing w:val="1"/>
        </w:rPr>
        <w:t xml:space="preserve"> </w:t>
      </w:r>
      <w:r>
        <w:t>(COPE), the</w:t>
      </w:r>
      <w:r>
        <w:rPr>
          <w:spacing w:val="1"/>
        </w:rPr>
        <w:t xml:space="preserve"> </w:t>
      </w:r>
      <w:r>
        <w:t>Connor-Davidson</w:t>
      </w:r>
      <w:r>
        <w:rPr>
          <w:spacing w:val="-2"/>
        </w:rPr>
        <w:t xml:space="preserve"> </w:t>
      </w:r>
      <w:r>
        <w:t>Resilience</w:t>
      </w:r>
      <w:r>
        <w:rPr>
          <w:spacing w:val="-2"/>
        </w:rPr>
        <w:t xml:space="preserve"> </w:t>
      </w:r>
      <w:r>
        <w:t>Scale,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NEO-FFI</w:t>
      </w:r>
      <w:r>
        <w:rPr>
          <w:spacing w:val="-1"/>
        </w:rPr>
        <w:t xml:space="preserve"> </w:t>
      </w:r>
      <w:r>
        <w:t>scale.</w:t>
      </w:r>
    </w:p>
    <w:p w14:paraId="68D2A7A2" w14:textId="77777777" w:rsidR="00C774B2" w:rsidRDefault="00C774B2">
      <w:pPr>
        <w:pStyle w:val="Textoindependiente"/>
        <w:spacing w:before="11"/>
      </w:pPr>
    </w:p>
    <w:p w14:paraId="7475F20D" w14:textId="77777777" w:rsidR="00C774B2" w:rsidRDefault="00000000">
      <w:pPr>
        <w:pStyle w:val="Textoindependiente"/>
        <w:ind w:left="1702" w:right="1634"/>
        <w:jc w:val="both"/>
      </w:pPr>
      <w:r>
        <w:rPr>
          <w:b/>
        </w:rPr>
        <w:t>Results:</w:t>
      </w:r>
      <w:r>
        <w:rPr>
          <w:b/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affect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IG-1</w:t>
      </w:r>
      <w:r>
        <w:rPr>
          <w:spacing w:val="1"/>
        </w:rPr>
        <w:t xml:space="preserve"> </w:t>
      </w:r>
      <w:r>
        <w:t>(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0.12).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greatest</w:t>
      </w:r>
      <w:r>
        <w:rPr>
          <w:spacing w:val="1"/>
        </w:rPr>
        <w:t xml:space="preserve"> </w:t>
      </w:r>
      <w:r>
        <w:t>stressors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methodological</w:t>
      </w:r>
      <w:r>
        <w:rPr>
          <w:spacing w:val="1"/>
        </w:rPr>
        <w:t xml:space="preserve"> </w:t>
      </w:r>
      <w:r>
        <w:t>deficiencies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teaching</w:t>
      </w:r>
      <w:r>
        <w:rPr>
          <w:spacing w:val="1"/>
        </w:rPr>
        <w:t xml:space="preserve"> </w:t>
      </w:r>
      <w:r>
        <w:t>staff,</w:t>
      </w:r>
      <w:r>
        <w:rPr>
          <w:spacing w:val="1"/>
        </w:rPr>
        <w:t xml:space="preserve"> </w:t>
      </w:r>
      <w:r>
        <w:t>academic</w:t>
      </w:r>
      <w:r>
        <w:rPr>
          <w:spacing w:val="1"/>
        </w:rPr>
        <w:t xml:space="preserve"> </w:t>
      </w:r>
      <w:r>
        <w:t>overload,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beliefs</w:t>
      </w:r>
      <w:r>
        <w:rPr>
          <w:spacing w:val="1"/>
        </w:rPr>
        <w:t xml:space="preserve"> </w:t>
      </w:r>
      <w:r>
        <w:t>about</w:t>
      </w:r>
      <w:r>
        <w:rPr>
          <w:spacing w:val="1"/>
        </w:rPr>
        <w:t xml:space="preserve"> </w:t>
      </w:r>
      <w:r>
        <w:t>academic performance. The most widely used coping strategies were “Active Problem-Focused</w:t>
      </w:r>
      <w:r>
        <w:rPr>
          <w:spacing w:val="-47"/>
        </w:rPr>
        <w:t xml:space="preserve"> </w:t>
      </w:r>
      <w:r>
        <w:t>Coping” and “Seeking Social Support”. There were differences between IG-1 and IG-2 only</w:t>
      </w:r>
      <w:r>
        <w:rPr>
          <w:spacing w:val="1"/>
        </w:rPr>
        <w:t xml:space="preserve"> </w:t>
      </w:r>
      <w:r>
        <w:t>regarding</w:t>
      </w:r>
      <w:r>
        <w:rPr>
          <w:spacing w:val="1"/>
        </w:rPr>
        <w:t xml:space="preserve"> </w:t>
      </w:r>
      <w:r>
        <w:t>“Focus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Venting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Emotions”</w:t>
      </w:r>
      <w:r>
        <w:rPr>
          <w:spacing w:val="1"/>
        </w:rPr>
        <w:t xml:space="preserve"> </w:t>
      </w:r>
      <w:r>
        <w:t>(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t>=</w:t>
      </w:r>
      <w:r>
        <w:rPr>
          <w:spacing w:val="1"/>
        </w:rPr>
        <w:t xml:space="preserve"> </w:t>
      </w:r>
      <w:r>
        <w:t>0.086).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Resilience</w:t>
      </w:r>
      <w:r>
        <w:rPr>
          <w:spacing w:val="1"/>
        </w:rPr>
        <w:t xml:space="preserve"> </w:t>
      </w:r>
      <w:r>
        <w:t>scale,</w:t>
      </w:r>
      <w:r>
        <w:rPr>
          <w:spacing w:val="1"/>
        </w:rPr>
        <w:t xml:space="preserve"> </w:t>
      </w:r>
      <w:r>
        <w:t>“Persistence, Tenacity, and Self-Efficacy” was higher in the CG, and there were differences with</w:t>
      </w:r>
      <w:r>
        <w:rPr>
          <w:spacing w:val="-47"/>
        </w:rPr>
        <w:t xml:space="preserve"> </w:t>
      </w:r>
      <w:r>
        <w:t>IG-1 (</w:t>
      </w:r>
      <w:r>
        <w:rPr>
          <w:i/>
        </w:rPr>
        <w:t xml:space="preserve">p </w:t>
      </w:r>
      <w:r>
        <w:t>= 0.06). With respect to the traits measured by the NEO-FFI questionnaire, higher levels</w:t>
      </w:r>
      <w:r>
        <w:rPr>
          <w:spacing w:val="-47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emotional instability (neuroticism)</w:t>
      </w:r>
      <w:r>
        <w:rPr>
          <w:spacing w:val="-1"/>
        </w:rPr>
        <w:t xml:space="preserve"> </w:t>
      </w:r>
      <w:r>
        <w:t>were</w:t>
      </w:r>
      <w:r>
        <w:rPr>
          <w:spacing w:val="-3"/>
        </w:rPr>
        <w:t xml:space="preserve"> </w:t>
      </w:r>
      <w:r>
        <w:t>observed in</w:t>
      </w:r>
      <w:r>
        <w:rPr>
          <w:spacing w:val="-2"/>
        </w:rPr>
        <w:t xml:space="preserve"> </w:t>
      </w:r>
      <w:r>
        <w:t>IG-1 than</w:t>
      </w:r>
      <w:r>
        <w:rPr>
          <w:spacing w:val="-2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the CG</w:t>
      </w:r>
      <w:r>
        <w:rPr>
          <w:spacing w:val="-3"/>
        </w:rPr>
        <w:t xml:space="preserve"> </w:t>
      </w:r>
      <w:r>
        <w:t>(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=</w:t>
      </w:r>
      <w:r>
        <w:rPr>
          <w:spacing w:val="-3"/>
        </w:rPr>
        <w:t xml:space="preserve"> </w:t>
      </w:r>
      <w:r>
        <w:t>0.06).</w:t>
      </w:r>
    </w:p>
    <w:p w14:paraId="6BD3D4C1" w14:textId="77777777" w:rsidR="00C774B2" w:rsidRDefault="00C774B2">
      <w:pPr>
        <w:pStyle w:val="Textoindependiente"/>
        <w:rPr>
          <w:sz w:val="23"/>
        </w:rPr>
      </w:pPr>
    </w:p>
    <w:p w14:paraId="3895F004" w14:textId="77777777" w:rsidR="00C774B2" w:rsidRDefault="00000000">
      <w:pPr>
        <w:pStyle w:val="Textoindependiente"/>
        <w:ind w:left="1702" w:right="1635"/>
        <w:jc w:val="both"/>
      </w:pPr>
      <w:r>
        <w:rPr>
          <w:b/>
        </w:rPr>
        <w:t xml:space="preserve">Conclusions: </w:t>
      </w:r>
      <w:r>
        <w:t>The results of both interventions are similar, with increased self-awareness of</w:t>
      </w:r>
      <w:r>
        <w:rPr>
          <w:spacing w:val="1"/>
        </w:rPr>
        <w:t xml:space="preserve"> </w:t>
      </w:r>
      <w:r>
        <w:t>negative personality traits, which is useful for those ignoring their areas for improvement. In</w:t>
      </w:r>
      <w:r>
        <w:rPr>
          <w:spacing w:val="1"/>
        </w:rPr>
        <w:t xml:space="preserve"> </w:t>
      </w:r>
      <w:r>
        <w:t>addition, these factors are further increased in individuals with high levels of neuroticism and</w:t>
      </w:r>
      <w:r>
        <w:rPr>
          <w:spacing w:val="1"/>
        </w:rPr>
        <w:t xml:space="preserve"> </w:t>
      </w:r>
      <w:r>
        <w:t>low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extraversion.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effective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face-to-face</w:t>
      </w:r>
      <w:r>
        <w:rPr>
          <w:spacing w:val="1"/>
        </w:rPr>
        <w:t xml:space="preserve"> </w:t>
      </w:r>
      <w:r>
        <w:t>intervention.</w:t>
      </w:r>
    </w:p>
    <w:p w14:paraId="6B25A5B0" w14:textId="77777777" w:rsidR="00C774B2" w:rsidRDefault="00C774B2">
      <w:pPr>
        <w:pStyle w:val="Textoindependiente"/>
        <w:spacing w:before="11"/>
      </w:pPr>
    </w:p>
    <w:p w14:paraId="1E5241C8" w14:textId="77777777" w:rsidR="00C774B2" w:rsidRDefault="00000000">
      <w:pPr>
        <w:pStyle w:val="Ttulo4"/>
        <w:ind w:left="1702" w:right="1634"/>
        <w:jc w:val="both"/>
      </w:pPr>
      <w:r>
        <w:t>KEYWORDS: Resilience; Nursing Students; Physical Therapy Students; Personality; Coping;</w:t>
      </w:r>
      <w:r>
        <w:rPr>
          <w:spacing w:val="1"/>
        </w:rPr>
        <w:t xml:space="preserve"> </w:t>
      </w:r>
      <w:r>
        <w:t>Stress.</w:t>
      </w:r>
    </w:p>
    <w:p w14:paraId="54B25E69" w14:textId="77777777" w:rsidR="00C774B2" w:rsidRDefault="00C774B2">
      <w:pPr>
        <w:jc w:val="both"/>
        <w:sectPr w:rsidR="00C774B2" w:rsidSect="003D4159">
          <w:pgSz w:w="11910" w:h="16840"/>
          <w:pgMar w:top="0" w:right="60" w:bottom="280" w:left="0" w:header="720" w:footer="720" w:gutter="0"/>
          <w:cols w:space="720"/>
        </w:sectPr>
      </w:pPr>
    </w:p>
    <w:p w14:paraId="59DCCA4B" w14:textId="77777777" w:rsidR="00C774B2" w:rsidRDefault="00000000">
      <w:pPr>
        <w:spacing w:before="34"/>
        <w:ind w:left="1700" w:right="1640"/>
        <w:jc w:val="center"/>
        <w:rPr>
          <w:b/>
        </w:rPr>
      </w:pPr>
      <w:r>
        <w:rPr>
          <w:b/>
        </w:rPr>
        <w:lastRenderedPageBreak/>
        <w:t>INTRODUCTION</w:t>
      </w:r>
    </w:p>
    <w:p w14:paraId="06498B85" w14:textId="77777777" w:rsidR="00C774B2" w:rsidRDefault="00C774B2">
      <w:pPr>
        <w:pStyle w:val="Textoindependiente"/>
        <w:spacing w:before="1"/>
        <w:rPr>
          <w:b/>
          <w:sz w:val="23"/>
        </w:rPr>
      </w:pPr>
    </w:p>
    <w:p w14:paraId="4E7A32D9" w14:textId="77777777" w:rsidR="00C774B2" w:rsidRDefault="00000000">
      <w:pPr>
        <w:pStyle w:val="Textoindependiente"/>
        <w:ind w:left="1702" w:right="1636"/>
        <w:jc w:val="both"/>
      </w:pPr>
      <w:r>
        <w:t>In the context of the international health crisis caused by the novel coronavirus, building</w:t>
      </w:r>
      <w:r>
        <w:rPr>
          <w:spacing w:val="1"/>
        </w:rPr>
        <w:t xml:space="preserve"> </w:t>
      </w:r>
      <w:r>
        <w:t>resilience in health students is of paramount importance (Zhuang Shuang, &amp; Hasson, 2020).</w:t>
      </w:r>
      <w:r>
        <w:rPr>
          <w:spacing w:val="1"/>
        </w:rPr>
        <w:t xml:space="preserve"> </w:t>
      </w:r>
      <w:r>
        <w:t>There are no known examples of randomised controlled trials (RCTs) in Spain in this regard,</w:t>
      </w:r>
      <w:r>
        <w:rPr>
          <w:spacing w:val="1"/>
        </w:rPr>
        <w:t xml:space="preserve"> </w:t>
      </w:r>
      <w:r>
        <w:t>and,</w:t>
      </w:r>
      <w:r>
        <w:rPr>
          <w:spacing w:val="25"/>
        </w:rPr>
        <w:t xml:space="preserve"> </w:t>
      </w:r>
      <w:r>
        <w:t>at</w:t>
      </w:r>
      <w:r>
        <w:rPr>
          <w:spacing w:val="25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international</w:t>
      </w:r>
      <w:r>
        <w:rPr>
          <w:spacing w:val="24"/>
        </w:rPr>
        <w:t xml:space="preserve"> </w:t>
      </w:r>
      <w:r>
        <w:t>level,</w:t>
      </w:r>
      <w:r>
        <w:rPr>
          <w:spacing w:val="23"/>
        </w:rPr>
        <w:t xml:space="preserve"> </w:t>
      </w:r>
      <w:r>
        <w:t>Cleary</w:t>
      </w:r>
      <w:r>
        <w:rPr>
          <w:spacing w:val="25"/>
        </w:rPr>
        <w:t xml:space="preserve"> </w:t>
      </w:r>
      <w:r>
        <w:t>et</w:t>
      </w:r>
      <w:r>
        <w:rPr>
          <w:spacing w:val="26"/>
        </w:rPr>
        <w:t xml:space="preserve"> </w:t>
      </w:r>
      <w:r>
        <w:t>al.</w:t>
      </w:r>
      <w:r>
        <w:rPr>
          <w:spacing w:val="24"/>
        </w:rPr>
        <w:t xml:space="preserve"> </w:t>
      </w:r>
      <w:r>
        <w:t>(2018)</w:t>
      </w:r>
      <w:r>
        <w:rPr>
          <w:spacing w:val="26"/>
        </w:rPr>
        <w:t xml:space="preserve"> </w:t>
      </w:r>
      <w:r>
        <w:t>conclude</w:t>
      </w:r>
      <w:r>
        <w:rPr>
          <w:spacing w:val="25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there</w:t>
      </w:r>
      <w:r>
        <w:rPr>
          <w:spacing w:val="25"/>
        </w:rPr>
        <w:t xml:space="preserve"> </w:t>
      </w:r>
      <w:r>
        <w:t>is</w:t>
      </w:r>
      <w:r>
        <w:rPr>
          <w:spacing w:val="25"/>
        </w:rPr>
        <w:t xml:space="preserve"> </w:t>
      </w:r>
      <w:r>
        <w:t>a</w:t>
      </w:r>
      <w:r>
        <w:rPr>
          <w:spacing w:val="24"/>
        </w:rPr>
        <w:t xml:space="preserve"> </w:t>
      </w:r>
      <w:r>
        <w:t>need</w:t>
      </w:r>
      <w:r>
        <w:rPr>
          <w:spacing w:val="26"/>
        </w:rPr>
        <w:t xml:space="preserve"> </w:t>
      </w:r>
      <w:r>
        <w:t>for</w:t>
      </w:r>
      <w:r>
        <w:rPr>
          <w:spacing w:val="25"/>
        </w:rPr>
        <w:t xml:space="preserve"> </w:t>
      </w:r>
      <w:r>
        <w:t>further</w:t>
      </w:r>
      <w:r>
        <w:rPr>
          <w:spacing w:val="-47"/>
        </w:rPr>
        <w:t xml:space="preserve"> </w:t>
      </w:r>
      <w:r>
        <w:t>RCTs</w:t>
      </w:r>
      <w:r>
        <w:rPr>
          <w:spacing w:val="-3"/>
        </w:rPr>
        <w:t xml:space="preserve"> </w:t>
      </w:r>
      <w:r>
        <w:t>with representative</w:t>
      </w:r>
      <w:r>
        <w:rPr>
          <w:spacing w:val="1"/>
        </w:rPr>
        <w:t xml:space="preserve"> </w:t>
      </w:r>
      <w:r>
        <w:t>samples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better pre-</w:t>
      </w:r>
      <w:r>
        <w:rPr>
          <w:spacing w:val="-4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post-intervention</w:t>
      </w:r>
      <w:r>
        <w:rPr>
          <w:spacing w:val="-3"/>
        </w:rPr>
        <w:t xml:space="preserve"> </w:t>
      </w:r>
      <w:r>
        <w:t>assessments.</w:t>
      </w:r>
    </w:p>
    <w:p w14:paraId="40FD9E40" w14:textId="77777777" w:rsidR="00C774B2" w:rsidRDefault="00C774B2">
      <w:pPr>
        <w:pStyle w:val="Textoindependiente"/>
        <w:spacing w:before="11"/>
      </w:pPr>
    </w:p>
    <w:p w14:paraId="5CACDAE9" w14:textId="77777777" w:rsidR="00C774B2" w:rsidRDefault="00000000">
      <w:pPr>
        <w:pStyle w:val="Textoindependiente"/>
        <w:ind w:left="1702" w:right="1635"/>
        <w:jc w:val="both"/>
      </w:pPr>
      <w:r>
        <w:t>The data suggest that online interventions are effective</w:t>
      </w:r>
      <w:r>
        <w:rPr>
          <w:spacing w:val="49"/>
        </w:rPr>
        <w:t xml:space="preserve"> </w:t>
      </w:r>
      <w:r>
        <w:t>for use in resilience building (Kemper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Khirallah,</w:t>
      </w:r>
      <w:r>
        <w:rPr>
          <w:spacing w:val="1"/>
        </w:rPr>
        <w:t xml:space="preserve"> </w:t>
      </w:r>
      <w:r>
        <w:t>2015;</w:t>
      </w:r>
      <w:r>
        <w:rPr>
          <w:spacing w:val="1"/>
        </w:rPr>
        <w:t xml:space="preserve"> </w:t>
      </w:r>
      <w:hyperlink r:id="rId5" w:anchor="bb0130">
        <w:r>
          <w:t>Kemper</w:t>
        </w:r>
        <w:r>
          <w:rPr>
            <w:spacing w:val="1"/>
          </w:rPr>
          <w:t xml:space="preserve"> </w:t>
        </w:r>
        <w:r>
          <w:t>&amp;</w:t>
        </w:r>
        <w:r>
          <w:rPr>
            <w:spacing w:val="1"/>
          </w:rPr>
          <w:t xml:space="preserve"> </w:t>
        </w:r>
        <w:r>
          <w:t>Rao,</w:t>
        </w:r>
        <w:r>
          <w:rPr>
            <w:spacing w:val="1"/>
          </w:rPr>
          <w:t xml:space="preserve"> </w:t>
        </w:r>
        <w:r>
          <w:t>2017</w:t>
        </w:r>
      </w:hyperlink>
      <w:r>
        <w:t>;</w:t>
      </w:r>
      <w:r>
        <w:rPr>
          <w:spacing w:val="1"/>
        </w:rPr>
        <w:t xml:space="preserve"> </w:t>
      </w:r>
      <w:r>
        <w:t>Magtibay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2017).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should be</w:t>
      </w:r>
      <w:r>
        <w:rPr>
          <w:spacing w:val="1"/>
        </w:rPr>
        <w:t xml:space="preserve"> </w:t>
      </w:r>
      <w:r>
        <w:t>noted</w:t>
      </w:r>
      <w:r>
        <w:rPr>
          <w:spacing w:val="49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different interventions use different tools and that there is insufficient literature in which</w:t>
      </w:r>
      <w:r>
        <w:rPr>
          <w:spacing w:val="1"/>
        </w:rPr>
        <w:t xml:space="preserve"> </w:t>
      </w:r>
      <w:r>
        <w:t>different</w:t>
      </w:r>
      <w:r>
        <w:rPr>
          <w:spacing w:val="1"/>
        </w:rPr>
        <w:t xml:space="preserve"> </w:t>
      </w:r>
      <w:r>
        <w:t>modalities</w:t>
      </w:r>
      <w:r>
        <w:rPr>
          <w:spacing w:val="1"/>
        </w:rPr>
        <w:t xml:space="preserve"> </w:t>
      </w:r>
      <w:r>
        <w:t>(e.g.</w:t>
      </w:r>
      <w:r>
        <w:rPr>
          <w:spacing w:val="1"/>
        </w:rPr>
        <w:t xml:space="preserve"> </w:t>
      </w:r>
      <w:r>
        <w:t>online</w:t>
      </w:r>
      <w:r>
        <w:rPr>
          <w:spacing w:val="1"/>
        </w:rPr>
        <w:t xml:space="preserve"> </w:t>
      </w:r>
      <w:r>
        <w:t>versus</w:t>
      </w:r>
      <w:r>
        <w:rPr>
          <w:spacing w:val="1"/>
        </w:rPr>
        <w:t xml:space="preserve"> </w:t>
      </w:r>
      <w:r>
        <w:t>face-to-face)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compared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the</w:t>
      </w:r>
      <w:r>
        <w:rPr>
          <w:spacing w:val="50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intervention. Such literature would be useful as it would permit the differentiation of the</w:t>
      </w:r>
      <w:r>
        <w:rPr>
          <w:spacing w:val="1"/>
        </w:rPr>
        <w:t xml:space="preserve"> </w:t>
      </w:r>
      <w:r>
        <w:t>effects of intervention content and route of administration. Furthermore, it could facilitate the</w:t>
      </w:r>
      <w:r>
        <w:rPr>
          <w:spacing w:val="1"/>
        </w:rPr>
        <w:t xml:space="preserve"> </w:t>
      </w:r>
      <w:r>
        <w:t>determination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specific</w:t>
      </w:r>
      <w:r>
        <w:rPr>
          <w:spacing w:val="-3"/>
        </w:rPr>
        <w:t xml:space="preserve"> </w:t>
      </w:r>
      <w:r>
        <w:t>weights of</w:t>
      </w:r>
      <w:r>
        <w:rPr>
          <w:spacing w:val="-3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two intervention</w:t>
      </w:r>
      <w:r>
        <w:rPr>
          <w:spacing w:val="-2"/>
        </w:rPr>
        <w:t xml:space="preserve"> </w:t>
      </w:r>
      <w:r>
        <w:t>components.</w:t>
      </w:r>
    </w:p>
    <w:p w14:paraId="6E56F86E" w14:textId="77777777" w:rsidR="00C774B2" w:rsidRDefault="00C774B2">
      <w:pPr>
        <w:pStyle w:val="Textoindependiente"/>
        <w:rPr>
          <w:sz w:val="23"/>
        </w:rPr>
      </w:pPr>
    </w:p>
    <w:p w14:paraId="1985815C" w14:textId="77777777" w:rsidR="00C774B2" w:rsidRDefault="00000000">
      <w:pPr>
        <w:pStyle w:val="Textoindependiente"/>
        <w:ind w:left="1702" w:right="1635"/>
        <w:jc w:val="both"/>
      </w:pPr>
      <w:r>
        <w:t>In addition, better results are observed when using individual interventions to build resilience</w:t>
      </w:r>
      <w:r>
        <w:rPr>
          <w:spacing w:val="1"/>
        </w:rPr>
        <w:t xml:space="preserve"> </w:t>
      </w:r>
      <w:r>
        <w:t>rather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(Sood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2011).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therefore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interest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determine which psychological factors influence the effectiveness of one intervention over</w:t>
      </w:r>
      <w:r>
        <w:rPr>
          <w:spacing w:val="1"/>
        </w:rPr>
        <w:t xml:space="preserve"> </w:t>
      </w:r>
      <w:r>
        <w:t>another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order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identify</w:t>
      </w:r>
      <w:r>
        <w:rPr>
          <w:spacing w:val="1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adaptable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students,</w:t>
      </w:r>
      <w:r>
        <w:rPr>
          <w:spacing w:val="1"/>
        </w:rPr>
        <w:t xml:space="preserve"> </w:t>
      </w:r>
      <w:r>
        <w:t>while</w:t>
      </w:r>
      <w:r>
        <w:rPr>
          <w:spacing w:val="1"/>
        </w:rPr>
        <w:t xml:space="preserve"> </w:t>
      </w:r>
      <w:r>
        <w:t>preserving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cost-related</w:t>
      </w:r>
      <w:r>
        <w:rPr>
          <w:spacing w:val="1"/>
        </w:rPr>
        <w:t xml:space="preserve"> </w:t>
      </w:r>
      <w:r>
        <w:t>benefits</w:t>
      </w:r>
      <w:r>
        <w:rPr>
          <w:spacing w:val="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types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would</w:t>
      </w:r>
      <w:r>
        <w:rPr>
          <w:spacing w:val="1"/>
        </w:rPr>
        <w:t xml:space="preserve"> </w:t>
      </w:r>
      <w:r>
        <w:t>have</w:t>
      </w:r>
      <w:r>
        <w:rPr>
          <w:spacing w:val="1"/>
        </w:rPr>
        <w:t xml:space="preserve"> </w:t>
      </w:r>
      <w:r>
        <w:t>over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fully</w:t>
      </w:r>
      <w:r>
        <w:rPr>
          <w:spacing w:val="1"/>
        </w:rPr>
        <w:t xml:space="preserve"> </w:t>
      </w:r>
      <w:r>
        <w:t>individualised</w:t>
      </w:r>
      <w:r>
        <w:rPr>
          <w:spacing w:val="-1"/>
        </w:rPr>
        <w:t xml:space="preserve"> </w:t>
      </w:r>
      <w:r>
        <w:t>approach.</w:t>
      </w:r>
    </w:p>
    <w:p w14:paraId="31C06164" w14:textId="77777777" w:rsidR="00C774B2" w:rsidRDefault="00C774B2">
      <w:pPr>
        <w:pStyle w:val="Textoindependiente"/>
        <w:spacing w:before="11"/>
      </w:pPr>
    </w:p>
    <w:p w14:paraId="3C65114B" w14:textId="77777777" w:rsidR="00C774B2" w:rsidRDefault="00000000">
      <w:pPr>
        <w:pStyle w:val="Textoindependiente"/>
        <w:ind w:left="1702" w:right="1634"/>
        <w:jc w:val="both"/>
      </w:pPr>
      <w:r>
        <w:t>For all these reasons, the present study aims to assess the effectiveness of a brief programme</w:t>
      </w:r>
      <w:r>
        <w:rPr>
          <w:spacing w:val="1"/>
        </w:rPr>
        <w:t xml:space="preserve"> </w:t>
      </w:r>
      <w:r>
        <w:t>(both online and face-to-face) on coping strategies in the development of resilience to stress,</w:t>
      </w:r>
      <w:r>
        <w:rPr>
          <w:spacing w:val="1"/>
        </w:rPr>
        <w:t xml:space="preserve"> </w:t>
      </w:r>
      <w:r>
        <w:t>and also to assess the relationship between this programme and personality traits and mood in</w:t>
      </w:r>
      <w:r>
        <w:rPr>
          <w:spacing w:val="-47"/>
        </w:rPr>
        <w:t xml:space="preserve"> </w:t>
      </w:r>
      <w:r>
        <w:t>health</w:t>
      </w:r>
      <w:r>
        <w:rPr>
          <w:spacing w:val="-1"/>
        </w:rPr>
        <w:t xml:space="preserve"> </w:t>
      </w:r>
      <w:r>
        <w:t>science</w:t>
      </w:r>
      <w:r>
        <w:rPr>
          <w:spacing w:val="1"/>
        </w:rPr>
        <w:t xml:space="preserve"> </w:t>
      </w:r>
      <w:r>
        <w:t>students.</w:t>
      </w:r>
    </w:p>
    <w:p w14:paraId="0C554D88" w14:textId="77777777" w:rsidR="00C774B2" w:rsidRDefault="00C774B2">
      <w:pPr>
        <w:pStyle w:val="Textoindependiente"/>
        <w:spacing w:before="11"/>
      </w:pPr>
    </w:p>
    <w:p w14:paraId="3F8C015F" w14:textId="77777777" w:rsidR="00C774B2" w:rsidRDefault="00000000">
      <w:pPr>
        <w:pStyle w:val="Ttulo4"/>
        <w:ind w:right="1641"/>
      </w:pPr>
      <w:r>
        <w:rPr>
          <w:u w:val="single"/>
        </w:rPr>
        <w:t>MATERIALS</w:t>
      </w:r>
      <w:r>
        <w:rPr>
          <w:spacing w:val="-3"/>
          <w:u w:val="single"/>
        </w:rPr>
        <w:t xml:space="preserve"> </w:t>
      </w:r>
      <w:r>
        <w:rPr>
          <w:u w:val="single"/>
        </w:rPr>
        <w:t>AND</w:t>
      </w:r>
      <w:r>
        <w:rPr>
          <w:spacing w:val="-1"/>
          <w:u w:val="single"/>
        </w:rPr>
        <w:t xml:space="preserve"> </w:t>
      </w:r>
      <w:r>
        <w:rPr>
          <w:u w:val="single"/>
        </w:rPr>
        <w:t>METHODS</w:t>
      </w:r>
    </w:p>
    <w:p w14:paraId="791D5E5E" w14:textId="77777777" w:rsidR="00C774B2" w:rsidRDefault="00C774B2">
      <w:pPr>
        <w:pStyle w:val="Textoindependiente"/>
        <w:spacing w:before="5"/>
        <w:rPr>
          <w:b/>
          <w:sz w:val="18"/>
        </w:rPr>
      </w:pPr>
    </w:p>
    <w:p w14:paraId="76BA3993" w14:textId="77777777" w:rsidR="00C774B2" w:rsidRDefault="00000000">
      <w:pPr>
        <w:spacing w:before="57"/>
        <w:ind w:left="1702"/>
        <w:rPr>
          <w:b/>
        </w:rPr>
      </w:pPr>
      <w:r>
        <w:rPr>
          <w:b/>
          <w:u w:val="single"/>
        </w:rPr>
        <w:t>Study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design,</w:t>
      </w:r>
      <w:r>
        <w:rPr>
          <w:b/>
          <w:spacing w:val="-2"/>
          <w:u w:val="single"/>
        </w:rPr>
        <w:t xml:space="preserve"> </w:t>
      </w:r>
      <w:r>
        <w:rPr>
          <w:b/>
          <w:u w:val="single"/>
        </w:rPr>
        <w:t>population,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and</w:t>
      </w:r>
      <w:r>
        <w:rPr>
          <w:b/>
          <w:spacing w:val="-3"/>
          <w:u w:val="single"/>
        </w:rPr>
        <w:t xml:space="preserve"> </w:t>
      </w:r>
      <w:r>
        <w:rPr>
          <w:b/>
          <w:u w:val="single"/>
        </w:rPr>
        <w:t>participants</w:t>
      </w:r>
    </w:p>
    <w:p w14:paraId="613FBF4D" w14:textId="77777777" w:rsidR="00C774B2" w:rsidRDefault="00C774B2">
      <w:pPr>
        <w:pStyle w:val="Textoindependiente"/>
        <w:spacing w:before="5"/>
        <w:rPr>
          <w:b/>
          <w:sz w:val="18"/>
        </w:rPr>
      </w:pPr>
    </w:p>
    <w:p w14:paraId="659AD366" w14:textId="77777777" w:rsidR="00C774B2" w:rsidRDefault="00000000">
      <w:pPr>
        <w:pStyle w:val="Textoindependiente"/>
        <w:spacing w:before="56"/>
        <w:ind w:left="1702" w:right="1635"/>
        <w:jc w:val="both"/>
      </w:pPr>
      <w:r>
        <w:t>A randomised controlled trial with a three-armed parallel design was conducted in October</w:t>
      </w:r>
      <w:r>
        <w:rPr>
          <w:spacing w:val="1"/>
        </w:rPr>
        <w:t xml:space="preserve"> </w:t>
      </w:r>
      <w:r>
        <w:t>2019.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design,</w:t>
      </w:r>
      <w:r>
        <w:rPr>
          <w:spacing w:val="1"/>
        </w:rPr>
        <w:t xml:space="preserve"> </w:t>
      </w:r>
      <w:r>
        <w:t>implementation,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followed</w:t>
      </w:r>
      <w:r>
        <w:rPr>
          <w:spacing w:val="5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recommendations</w:t>
      </w:r>
      <w:r>
        <w:rPr>
          <w:spacing w:val="-3"/>
        </w:rPr>
        <w:t xml:space="preserve"> </w:t>
      </w:r>
      <w:r>
        <w:t>established by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CONSORT statement</w:t>
      </w:r>
      <w:r>
        <w:rPr>
          <w:spacing w:val="-1"/>
        </w:rPr>
        <w:t xml:space="preserve"> </w:t>
      </w:r>
      <w:r>
        <w:t>(Dwan et al.,</w:t>
      </w:r>
      <w:r>
        <w:rPr>
          <w:spacing w:val="-3"/>
        </w:rPr>
        <w:t xml:space="preserve"> </w:t>
      </w:r>
      <w:r>
        <w:t>2019).</w:t>
      </w:r>
    </w:p>
    <w:p w14:paraId="7FACD581" w14:textId="77777777" w:rsidR="00C774B2" w:rsidRDefault="00C774B2">
      <w:pPr>
        <w:pStyle w:val="Textoindependiente"/>
        <w:spacing w:before="11"/>
        <w:rPr>
          <w:sz w:val="21"/>
        </w:rPr>
      </w:pPr>
    </w:p>
    <w:p w14:paraId="2487B3D2" w14:textId="77777777" w:rsidR="00C774B2" w:rsidRDefault="00000000">
      <w:pPr>
        <w:pStyle w:val="Textoindependiente"/>
        <w:ind w:left="1702" w:right="1635"/>
        <w:jc w:val="both"/>
      </w:pPr>
      <w:r>
        <w:t>The</w:t>
      </w:r>
      <w:r>
        <w:rPr>
          <w:spacing w:val="1"/>
        </w:rPr>
        <w:t xml:space="preserve"> </w:t>
      </w:r>
      <w:r>
        <w:t>eligibility</w:t>
      </w:r>
      <w:r>
        <w:rPr>
          <w:spacing w:val="1"/>
        </w:rPr>
        <w:t xml:space="preserve"> </w:t>
      </w:r>
      <w:r>
        <w:t>criterion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being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first-year</w:t>
      </w:r>
      <w:r>
        <w:rPr>
          <w:spacing w:val="1"/>
        </w:rPr>
        <w:t xml:space="preserve"> </w:t>
      </w:r>
      <w:r>
        <w:t>student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Nursing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Physical</w:t>
      </w:r>
      <w:r>
        <w:rPr>
          <w:spacing w:val="49"/>
        </w:rPr>
        <w:t xml:space="preserve"> </w:t>
      </w:r>
      <w:r>
        <w:t>Therapy</w:t>
      </w:r>
      <w:r>
        <w:rPr>
          <w:spacing w:val="1"/>
        </w:rPr>
        <w:t xml:space="preserve"> </w:t>
      </w:r>
      <w:r>
        <w:t>degree. The exclusion criteria were the following: students who did not accept the conditions</w:t>
      </w:r>
      <w:r>
        <w:rPr>
          <w:spacing w:val="1"/>
        </w:rPr>
        <w:t xml:space="preserve"> </w:t>
      </w:r>
      <w:r>
        <w:t>of the study; students who did not return a signed informed consent form; students who left</w:t>
      </w:r>
      <w:r>
        <w:rPr>
          <w:spacing w:val="1"/>
        </w:rPr>
        <w:t xml:space="preserve"> </w:t>
      </w:r>
      <w:r>
        <w:t>the session before its completion; students who returned an invalid questionnaire; students</w:t>
      </w:r>
      <w:r>
        <w:rPr>
          <w:spacing w:val="1"/>
        </w:rPr>
        <w:t xml:space="preserve"> </w:t>
      </w:r>
      <w:r>
        <w:t>who gave</w:t>
      </w:r>
      <w:r>
        <w:rPr>
          <w:spacing w:val="1"/>
        </w:rPr>
        <w:t xml:space="preserve"> </w:t>
      </w:r>
      <w:r>
        <w:t>personal</w:t>
      </w:r>
      <w:r>
        <w:rPr>
          <w:spacing w:val="-3"/>
        </w:rPr>
        <w:t xml:space="preserve"> </w:t>
      </w:r>
      <w:r>
        <w:t>health reasons</w:t>
      </w:r>
      <w:r>
        <w:rPr>
          <w:spacing w:val="-3"/>
        </w:rPr>
        <w:t xml:space="preserve"> </w:t>
      </w:r>
      <w:r>
        <w:t>for</w:t>
      </w:r>
      <w:r>
        <w:rPr>
          <w:spacing w:val="-3"/>
        </w:rPr>
        <w:t xml:space="preserve"> </w:t>
      </w:r>
      <w:r>
        <w:t>not</w:t>
      </w:r>
      <w:r>
        <w:rPr>
          <w:spacing w:val="-2"/>
        </w:rPr>
        <w:t xml:space="preserve"> </w:t>
      </w:r>
      <w:r>
        <w:t>participating.</w:t>
      </w:r>
    </w:p>
    <w:p w14:paraId="050A3FCE" w14:textId="77777777" w:rsidR="00C774B2" w:rsidRDefault="00C774B2">
      <w:pPr>
        <w:pStyle w:val="Textoindependiente"/>
        <w:spacing w:before="1"/>
      </w:pPr>
    </w:p>
    <w:p w14:paraId="753E845F" w14:textId="77777777" w:rsidR="00C774B2" w:rsidRDefault="00000000">
      <w:pPr>
        <w:pStyle w:val="Textoindependiente"/>
        <w:ind w:left="1702" w:right="1634"/>
        <w:jc w:val="both"/>
      </w:pPr>
      <w:r>
        <w:t>The study population (</w:t>
      </w:r>
      <w:r>
        <w:rPr>
          <w:i/>
        </w:rPr>
        <w:t xml:space="preserve">N </w:t>
      </w:r>
      <w:r>
        <w:t>= 370) consisted of the first-year students enrolled in the Nursing</w:t>
      </w:r>
      <w:r>
        <w:rPr>
          <w:spacing w:val="1"/>
        </w:rPr>
        <w:t xml:space="preserve"> </w:t>
      </w:r>
      <w:r>
        <w:t>Degree (</w:t>
      </w:r>
      <w:r>
        <w:rPr>
          <w:i/>
        </w:rPr>
        <w:t xml:space="preserve">N </w:t>
      </w:r>
      <w:r>
        <w:t>= 300) and in the Physical Therapy Degree (</w:t>
      </w:r>
      <w:r>
        <w:rPr>
          <w:i/>
        </w:rPr>
        <w:t xml:space="preserve">N </w:t>
      </w:r>
      <w:r>
        <w:t>= 70). The participants were randomly</w:t>
      </w:r>
      <w:r>
        <w:rPr>
          <w:spacing w:val="1"/>
        </w:rPr>
        <w:t xml:space="preserve"> </w:t>
      </w:r>
      <w:r>
        <w:t>assigned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one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three conditions: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(CG),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1</w:t>
      </w:r>
      <w:r>
        <w:rPr>
          <w:spacing w:val="1"/>
        </w:rPr>
        <w:t xml:space="preserve"> </w:t>
      </w:r>
      <w:r>
        <w:t>(IG-1),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(IG-2).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groups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equally</w:t>
      </w:r>
      <w:r>
        <w:rPr>
          <w:spacing w:val="1"/>
        </w:rPr>
        <w:t xml:space="preserve"> </w:t>
      </w:r>
      <w:r>
        <w:t>sized</w:t>
      </w:r>
      <w:r>
        <w:rPr>
          <w:spacing w:val="1"/>
        </w:rPr>
        <w:t xml:space="preserve"> </w:t>
      </w:r>
      <w:r>
        <w:t>(ratio</w:t>
      </w:r>
      <w:r>
        <w:rPr>
          <w:spacing w:val="1"/>
        </w:rPr>
        <w:t xml:space="preserve"> </w:t>
      </w:r>
      <w:r>
        <w:t>1:1:1).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randomisation, a list of random numbers was generated using the statistical-epidemiological</w:t>
      </w:r>
      <w:r>
        <w:rPr>
          <w:spacing w:val="1"/>
        </w:rPr>
        <w:t xml:space="preserve"> </w:t>
      </w:r>
      <w:r>
        <w:t>program</w:t>
      </w:r>
      <w:r>
        <w:rPr>
          <w:spacing w:val="-2"/>
        </w:rPr>
        <w:t xml:space="preserve"> </w:t>
      </w:r>
      <w:r>
        <w:t>Epidat</w:t>
      </w:r>
      <w:r>
        <w:rPr>
          <w:spacing w:val="-2"/>
        </w:rPr>
        <w:t xml:space="preserve"> </w:t>
      </w:r>
      <w:r>
        <w:t>v.</w:t>
      </w:r>
      <w:r>
        <w:rPr>
          <w:spacing w:val="-1"/>
        </w:rPr>
        <w:t xml:space="preserve"> </w:t>
      </w:r>
      <w:r>
        <w:t>4.2.</w:t>
      </w:r>
    </w:p>
    <w:p w14:paraId="7A6915BD" w14:textId="77777777" w:rsidR="00C774B2" w:rsidRDefault="00000000">
      <w:pPr>
        <w:pStyle w:val="Textoindependiente"/>
        <w:ind w:left="1702" w:right="1637"/>
        <w:jc w:val="both"/>
      </w:pPr>
      <w:r>
        <w:t>For a population of 370 students, with an expected standard deviation of 14.5 (Dong et al.,</w:t>
      </w:r>
      <w:r>
        <w:rPr>
          <w:spacing w:val="1"/>
        </w:rPr>
        <w:t xml:space="preserve"> </w:t>
      </w:r>
      <w:r>
        <w:t>2020), a 3% level of accuracy, and a 95% confidence level, the necessary sample size was</w:t>
      </w:r>
      <w:r>
        <w:rPr>
          <w:spacing w:val="1"/>
        </w:rPr>
        <w:t xml:space="preserve"> </w:t>
      </w:r>
      <w:r>
        <w:t>estimated</w:t>
      </w:r>
      <w:r>
        <w:rPr>
          <w:spacing w:val="-4"/>
        </w:rPr>
        <w:t xml:space="preserve"> </w:t>
      </w:r>
      <w:r>
        <w:t>to</w:t>
      </w:r>
      <w:r>
        <w:rPr>
          <w:spacing w:val="-1"/>
        </w:rPr>
        <w:t xml:space="preserve"> </w:t>
      </w:r>
      <w:r>
        <w:t>be</w:t>
      </w:r>
      <w:r>
        <w:rPr>
          <w:spacing w:val="-2"/>
        </w:rPr>
        <w:t xml:space="preserve"> </w:t>
      </w:r>
      <w:r>
        <w:t>73</w:t>
      </w:r>
      <w:r>
        <w:rPr>
          <w:spacing w:val="-2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per study</w:t>
      </w:r>
      <w:r>
        <w:rPr>
          <w:spacing w:val="-1"/>
        </w:rPr>
        <w:t xml:space="preserve"> </w:t>
      </w:r>
      <w:r>
        <w:t>group.”</w:t>
      </w:r>
    </w:p>
    <w:p w14:paraId="2C73DCC9" w14:textId="77777777" w:rsidR="00C774B2" w:rsidRDefault="00C774B2">
      <w:pPr>
        <w:jc w:val="both"/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73E9DEDD" w14:textId="77777777" w:rsidR="00C774B2" w:rsidRDefault="00000000">
      <w:pPr>
        <w:pStyle w:val="Textoindependiente"/>
        <w:spacing w:before="34"/>
        <w:ind w:left="1702" w:right="1634"/>
        <w:jc w:val="both"/>
      </w:pPr>
      <w:r>
        <w:lastRenderedPageBreak/>
        <w:t>All 370 students were sent an email inviting them to participate in a research study called</w:t>
      </w:r>
      <w:r>
        <w:rPr>
          <w:spacing w:val="1"/>
        </w:rPr>
        <w:t xml:space="preserve"> </w:t>
      </w:r>
      <w:r>
        <w:t>“Improving coping strategies to cope with stress”, with the characteristics of the study and the</w:t>
      </w:r>
      <w:r>
        <w:rPr>
          <w:spacing w:val="1"/>
        </w:rPr>
        <w:t xml:space="preserve"> </w:t>
      </w:r>
      <w:r>
        <w:t>informed</w:t>
      </w:r>
      <w:r>
        <w:rPr>
          <w:spacing w:val="15"/>
        </w:rPr>
        <w:t xml:space="preserve"> </w:t>
      </w:r>
      <w:r>
        <w:t>consent</w:t>
      </w:r>
      <w:r>
        <w:rPr>
          <w:spacing w:val="16"/>
        </w:rPr>
        <w:t xml:space="preserve"> </w:t>
      </w:r>
      <w:r>
        <w:t>form</w:t>
      </w:r>
      <w:r>
        <w:rPr>
          <w:spacing w:val="15"/>
        </w:rPr>
        <w:t xml:space="preserve"> </w:t>
      </w:r>
      <w:r>
        <w:t>attached</w:t>
      </w:r>
      <w:r>
        <w:rPr>
          <w:spacing w:val="15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said</w:t>
      </w:r>
      <w:r>
        <w:rPr>
          <w:spacing w:val="15"/>
        </w:rPr>
        <w:t xml:space="preserve"> </w:t>
      </w:r>
      <w:r>
        <w:t>email.</w:t>
      </w:r>
      <w:r>
        <w:rPr>
          <w:spacing w:val="15"/>
        </w:rPr>
        <w:t xml:space="preserve"> </w:t>
      </w:r>
      <w:r>
        <w:t>Seventy-six</w:t>
      </w:r>
      <w:r>
        <w:rPr>
          <w:spacing w:val="16"/>
        </w:rPr>
        <w:t xml:space="preserve"> </w:t>
      </w:r>
      <w:r>
        <w:t>(20.5%)</w:t>
      </w:r>
      <w:r>
        <w:rPr>
          <w:spacing w:val="15"/>
        </w:rPr>
        <w:t xml:space="preserve"> </w:t>
      </w:r>
      <w:r>
        <w:t>students</w:t>
      </w:r>
      <w:r>
        <w:rPr>
          <w:spacing w:val="16"/>
        </w:rPr>
        <w:t xml:space="preserve"> </w:t>
      </w:r>
      <w:r>
        <w:t>did</w:t>
      </w:r>
      <w:r>
        <w:rPr>
          <w:spacing w:val="12"/>
        </w:rPr>
        <w:t xml:space="preserve"> </w:t>
      </w:r>
      <w:r>
        <w:t>not</w:t>
      </w:r>
      <w:r>
        <w:rPr>
          <w:spacing w:val="16"/>
        </w:rPr>
        <w:t xml:space="preserve"> </w:t>
      </w:r>
      <w:r>
        <w:t>respond,</w:t>
      </w:r>
    </w:p>
    <w:p w14:paraId="6E17A7F0" w14:textId="77777777" w:rsidR="00C774B2" w:rsidRDefault="00000000">
      <w:pPr>
        <w:pStyle w:val="Textoindependiente"/>
        <w:spacing w:before="1"/>
        <w:ind w:left="1702" w:right="1634"/>
        <w:jc w:val="both"/>
      </w:pPr>
      <w:r>
        <w:t>17</w:t>
      </w:r>
      <w:r>
        <w:rPr>
          <w:spacing w:val="1"/>
        </w:rPr>
        <w:t xml:space="preserve"> </w:t>
      </w:r>
      <w:r>
        <w:t>(4.6%)</w:t>
      </w:r>
      <w:r>
        <w:rPr>
          <w:spacing w:val="1"/>
        </w:rPr>
        <w:t xml:space="preserve"> </w:t>
      </w:r>
      <w:r>
        <w:t>refused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participate,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7</w:t>
      </w:r>
      <w:r>
        <w:rPr>
          <w:spacing w:val="1"/>
        </w:rPr>
        <w:t xml:space="preserve"> </w:t>
      </w:r>
      <w:r>
        <w:t>(1.9%)</w:t>
      </w:r>
      <w:r>
        <w:rPr>
          <w:spacing w:val="1"/>
        </w:rPr>
        <w:t xml:space="preserve"> </w:t>
      </w:r>
      <w:r>
        <w:t>cited</w:t>
      </w:r>
      <w:r>
        <w:rPr>
          <w:spacing w:val="1"/>
        </w:rPr>
        <w:t xml:space="preserve"> </w:t>
      </w:r>
      <w:r>
        <w:t>personal</w:t>
      </w:r>
      <w:r>
        <w:rPr>
          <w:spacing w:val="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reasons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participating.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result,</w:t>
      </w:r>
      <w:r>
        <w:rPr>
          <w:spacing w:val="1"/>
        </w:rPr>
        <w:t xml:space="preserve"> </w:t>
      </w:r>
      <w:r>
        <w:t>270</w:t>
      </w:r>
      <w:r>
        <w:rPr>
          <w:spacing w:val="1"/>
        </w:rPr>
        <w:t xml:space="preserve"> </w:t>
      </w:r>
      <w:r>
        <w:t>students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available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random</w:t>
      </w:r>
      <w:r>
        <w:rPr>
          <w:spacing w:val="1"/>
        </w:rPr>
        <w:t xml:space="preserve"> </w:t>
      </w:r>
      <w:r>
        <w:t>allocation.</w:t>
      </w:r>
      <w:r>
        <w:rPr>
          <w:spacing w:val="1"/>
        </w:rPr>
        <w:t xml:space="preserve"> </w:t>
      </w:r>
      <w:r>
        <w:t>Post-</w:t>
      </w:r>
      <w:r>
        <w:rPr>
          <w:spacing w:val="1"/>
        </w:rPr>
        <w:t xml:space="preserve"> </w:t>
      </w:r>
      <w:r>
        <w:t>randomisation,</w:t>
      </w:r>
      <w:r>
        <w:rPr>
          <w:spacing w:val="1"/>
        </w:rPr>
        <w:t xml:space="preserve"> </w:t>
      </w:r>
      <w:r>
        <w:t>some</w:t>
      </w:r>
      <w:r>
        <w:rPr>
          <w:spacing w:val="1"/>
        </w:rPr>
        <w:t xml:space="preserve"> </w:t>
      </w:r>
      <w:r>
        <w:t>sample</w:t>
      </w:r>
      <w:r>
        <w:rPr>
          <w:spacing w:val="1"/>
        </w:rPr>
        <w:t xml:space="preserve"> </w:t>
      </w:r>
      <w:r>
        <w:t>attrition</w:t>
      </w:r>
      <w:r>
        <w:rPr>
          <w:spacing w:val="1"/>
        </w:rPr>
        <w:t xml:space="preserve"> </w:t>
      </w:r>
      <w:r>
        <w:t>occurred</w:t>
      </w:r>
      <w:r>
        <w:rPr>
          <w:spacing w:val="1"/>
        </w:rPr>
        <w:t xml:space="preserve"> </w:t>
      </w:r>
      <w:r>
        <w:t>due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withdrawing</w:t>
      </w:r>
      <w:r>
        <w:rPr>
          <w:spacing w:val="49"/>
        </w:rPr>
        <w:t xml:space="preserve"> </w:t>
      </w:r>
      <w:r>
        <w:t>from</w:t>
      </w:r>
      <w:r>
        <w:rPr>
          <w:spacing w:val="50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 or submitting invalid questionnaire responses, rendering the data provided from such</w:t>
      </w:r>
      <w:r>
        <w:rPr>
          <w:spacing w:val="1"/>
        </w:rPr>
        <w:t xml:space="preserve"> </w:t>
      </w:r>
      <w:r>
        <w:t>participants incomplete (</w:t>
      </w:r>
      <w:r>
        <w:rPr>
          <w:i/>
        </w:rPr>
        <w:t xml:space="preserve">n </w:t>
      </w:r>
      <w:r>
        <w:t>= 25). Figure 1 is a flowchart detailing sample selection and group</w:t>
      </w:r>
      <w:r>
        <w:rPr>
          <w:spacing w:val="1"/>
        </w:rPr>
        <w:t xml:space="preserve"> </w:t>
      </w:r>
      <w:r>
        <w:t>allocation.</w:t>
      </w:r>
    </w:p>
    <w:p w14:paraId="1C929282" w14:textId="77777777" w:rsidR="00C774B2" w:rsidRDefault="00C774B2">
      <w:pPr>
        <w:pStyle w:val="Textoindependiente"/>
      </w:pPr>
    </w:p>
    <w:p w14:paraId="3E0B437E" w14:textId="77777777" w:rsidR="00C774B2" w:rsidRDefault="00000000">
      <w:pPr>
        <w:pStyle w:val="Ttulo4"/>
        <w:spacing w:before="182"/>
        <w:ind w:left="1702"/>
        <w:jc w:val="both"/>
      </w:pPr>
      <w:r>
        <w:rPr>
          <w:u w:val="single"/>
        </w:rPr>
        <w:t>Measurement</w:t>
      </w:r>
      <w:r>
        <w:rPr>
          <w:spacing w:val="-3"/>
          <w:u w:val="single"/>
        </w:rPr>
        <w:t xml:space="preserve"> </w:t>
      </w:r>
      <w:r>
        <w:rPr>
          <w:u w:val="single"/>
        </w:rPr>
        <w:t>scales</w:t>
      </w:r>
      <w:r>
        <w:rPr>
          <w:spacing w:val="-1"/>
          <w:u w:val="single"/>
        </w:rPr>
        <w:t xml:space="preserve"> </w:t>
      </w:r>
      <w:r>
        <w:rPr>
          <w:u w:val="single"/>
        </w:rPr>
        <w:t>and</w:t>
      </w:r>
      <w:r>
        <w:rPr>
          <w:spacing w:val="-6"/>
          <w:u w:val="single"/>
        </w:rPr>
        <w:t xml:space="preserve"> </w:t>
      </w:r>
      <w:r>
        <w:rPr>
          <w:u w:val="single"/>
        </w:rPr>
        <w:t>variables</w:t>
      </w:r>
    </w:p>
    <w:p w14:paraId="51291070" w14:textId="77777777" w:rsidR="00C774B2" w:rsidRDefault="00C774B2">
      <w:pPr>
        <w:pStyle w:val="Textoindependiente"/>
        <w:spacing w:before="3"/>
        <w:rPr>
          <w:b/>
          <w:sz w:val="18"/>
        </w:rPr>
      </w:pPr>
    </w:p>
    <w:p w14:paraId="2F688675" w14:textId="77777777" w:rsidR="00C774B2" w:rsidRDefault="00000000">
      <w:pPr>
        <w:pStyle w:val="Textoindependiente"/>
        <w:spacing w:before="56"/>
        <w:ind w:left="1702" w:right="1478"/>
      </w:pPr>
      <w:r>
        <w:t>The</w:t>
      </w:r>
      <w:r>
        <w:rPr>
          <w:spacing w:val="20"/>
        </w:rPr>
        <w:t xml:space="preserve"> </w:t>
      </w:r>
      <w:r>
        <w:t>following</w:t>
      </w:r>
      <w:r>
        <w:rPr>
          <w:spacing w:val="19"/>
        </w:rPr>
        <w:t xml:space="preserve"> </w:t>
      </w:r>
      <w:r>
        <w:t>socio-demographic</w:t>
      </w:r>
      <w:r>
        <w:rPr>
          <w:spacing w:val="21"/>
        </w:rPr>
        <w:t xml:space="preserve"> </w:t>
      </w:r>
      <w:r>
        <w:t>variables</w:t>
      </w:r>
      <w:r>
        <w:rPr>
          <w:spacing w:val="21"/>
        </w:rPr>
        <w:t xml:space="preserve"> </w:t>
      </w:r>
      <w:r>
        <w:t>were</w:t>
      </w:r>
      <w:r>
        <w:rPr>
          <w:spacing w:val="21"/>
        </w:rPr>
        <w:t xml:space="preserve"> </w:t>
      </w:r>
      <w:r>
        <w:t>recorded:</w:t>
      </w:r>
      <w:r>
        <w:rPr>
          <w:spacing w:val="21"/>
        </w:rPr>
        <w:t xml:space="preserve"> </w:t>
      </w:r>
      <w:r>
        <w:t>sex</w:t>
      </w:r>
      <w:r>
        <w:rPr>
          <w:spacing w:val="21"/>
        </w:rPr>
        <w:t xml:space="preserve"> </w:t>
      </w:r>
      <w:r>
        <w:t>(male</w:t>
      </w:r>
      <w:r>
        <w:rPr>
          <w:spacing w:val="20"/>
        </w:rPr>
        <w:t xml:space="preserve"> </w:t>
      </w:r>
      <w:r>
        <w:t>or</w:t>
      </w:r>
      <w:r>
        <w:rPr>
          <w:spacing w:val="20"/>
        </w:rPr>
        <w:t xml:space="preserve"> </w:t>
      </w:r>
      <w:r>
        <w:t>female),</w:t>
      </w:r>
      <w:r>
        <w:rPr>
          <w:spacing w:val="21"/>
        </w:rPr>
        <w:t xml:space="preserve"> </w:t>
      </w:r>
      <w:r>
        <w:t>age</w:t>
      </w:r>
      <w:r>
        <w:rPr>
          <w:spacing w:val="21"/>
        </w:rPr>
        <w:t xml:space="preserve"> </w:t>
      </w:r>
      <w:r>
        <w:t>(years),</w:t>
      </w:r>
      <w:r>
        <w:rPr>
          <w:spacing w:val="-47"/>
        </w:rPr>
        <w:t xml:space="preserve"> </w:t>
      </w:r>
      <w:r>
        <w:t>degree</w:t>
      </w:r>
      <w:r>
        <w:rPr>
          <w:spacing w:val="-1"/>
        </w:rPr>
        <w:t xml:space="preserve"> </w:t>
      </w:r>
      <w:r>
        <w:t>(Nursing</w:t>
      </w:r>
      <w:r>
        <w:rPr>
          <w:spacing w:val="-3"/>
        </w:rPr>
        <w:t xml:space="preserve"> </w:t>
      </w:r>
      <w:r>
        <w:t>or</w:t>
      </w:r>
      <w:r>
        <w:rPr>
          <w:spacing w:val="-3"/>
        </w:rPr>
        <w:t xml:space="preserve"> </w:t>
      </w:r>
      <w:r>
        <w:t>Physical Therapy),</w:t>
      </w:r>
      <w:r>
        <w:rPr>
          <w:spacing w:val="-1"/>
        </w:rPr>
        <w:t xml:space="preserve"> </w:t>
      </w:r>
      <w:r>
        <w:t>employment</w:t>
      </w:r>
      <w:r>
        <w:rPr>
          <w:spacing w:val="-2"/>
        </w:rPr>
        <w:t xml:space="preserve"> </w:t>
      </w:r>
      <w:r>
        <w:t>status</w:t>
      </w:r>
      <w:r>
        <w:rPr>
          <w:spacing w:val="-1"/>
        </w:rPr>
        <w:t xml:space="preserve"> </w:t>
      </w:r>
      <w:r>
        <w:t>(working, studying).</w:t>
      </w:r>
    </w:p>
    <w:p w14:paraId="57FB1450" w14:textId="77777777" w:rsidR="00C774B2" w:rsidRDefault="00C774B2">
      <w:pPr>
        <w:pStyle w:val="Textoindependiente"/>
        <w:spacing w:before="1"/>
        <w:rPr>
          <w:sz w:val="23"/>
        </w:rPr>
      </w:pPr>
    </w:p>
    <w:p w14:paraId="56472AC9" w14:textId="77777777" w:rsidR="00C774B2" w:rsidRDefault="00000000">
      <w:pPr>
        <w:pStyle w:val="Textoindependiente"/>
        <w:ind w:left="1702" w:right="1478"/>
      </w:pPr>
      <w:r>
        <w:t>One</w:t>
      </w:r>
      <w:r>
        <w:rPr>
          <w:spacing w:val="26"/>
        </w:rPr>
        <w:t xml:space="preserve"> </w:t>
      </w:r>
      <w:r>
        <w:t>week</w:t>
      </w:r>
      <w:r>
        <w:rPr>
          <w:spacing w:val="27"/>
        </w:rPr>
        <w:t xml:space="preserve"> </w:t>
      </w:r>
      <w:r>
        <w:t>after</w:t>
      </w:r>
      <w:r>
        <w:rPr>
          <w:spacing w:val="24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intervention</w:t>
      </w:r>
      <w:r>
        <w:rPr>
          <w:spacing w:val="27"/>
        </w:rPr>
        <w:t xml:space="preserve"> </w:t>
      </w:r>
      <w:r>
        <w:t>a</w:t>
      </w:r>
      <w:r>
        <w:rPr>
          <w:spacing w:val="26"/>
        </w:rPr>
        <w:t xml:space="preserve"> </w:t>
      </w:r>
      <w:r>
        <w:t>series</w:t>
      </w:r>
      <w:r>
        <w:rPr>
          <w:spacing w:val="24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validated,</w:t>
      </w:r>
      <w:r>
        <w:rPr>
          <w:spacing w:val="26"/>
        </w:rPr>
        <w:t xml:space="preserve"> </w:t>
      </w:r>
      <w:r>
        <w:t>self-report</w:t>
      </w:r>
      <w:r>
        <w:rPr>
          <w:spacing w:val="27"/>
        </w:rPr>
        <w:t xml:space="preserve"> </w:t>
      </w:r>
      <w:r>
        <w:t>questionnaires</w:t>
      </w:r>
      <w:r>
        <w:rPr>
          <w:spacing w:val="27"/>
        </w:rPr>
        <w:t xml:space="preserve"> </w:t>
      </w:r>
      <w:r>
        <w:t>were</w:t>
      </w:r>
      <w:r>
        <w:rPr>
          <w:spacing w:val="-47"/>
        </w:rPr>
        <w:t xml:space="preserve"> </w:t>
      </w:r>
      <w:r>
        <w:t>administrated</w:t>
      </w:r>
      <w:r>
        <w:rPr>
          <w:spacing w:val="-1"/>
        </w:rPr>
        <w:t xml:space="preserve"> </w:t>
      </w:r>
      <w:r>
        <w:t>to all</w:t>
      </w:r>
      <w:r>
        <w:rPr>
          <w:spacing w:val="-1"/>
        </w:rPr>
        <w:t xml:space="preserve"> </w:t>
      </w:r>
      <w:r>
        <w:t>participants.</w:t>
      </w:r>
      <w:r>
        <w:rPr>
          <w:spacing w:val="-2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questionnaires</w:t>
      </w:r>
      <w:r>
        <w:rPr>
          <w:spacing w:val="-3"/>
        </w:rPr>
        <w:t xml:space="preserve"> </w:t>
      </w:r>
      <w:r>
        <w:t>assessed</w:t>
      </w:r>
      <w:r>
        <w:rPr>
          <w:spacing w:val="-5"/>
        </w:rPr>
        <w:t xml:space="preserve"> </w:t>
      </w:r>
      <w:r>
        <w:t>various</w:t>
      </w:r>
      <w:r>
        <w:rPr>
          <w:spacing w:val="-1"/>
        </w:rPr>
        <w:t xml:space="preserve"> </w:t>
      </w:r>
      <w:r>
        <w:t>psychological</w:t>
      </w:r>
      <w:r>
        <w:rPr>
          <w:spacing w:val="-2"/>
        </w:rPr>
        <w:t xml:space="preserve"> </w:t>
      </w:r>
      <w:r>
        <w:t>factors:</w:t>
      </w:r>
    </w:p>
    <w:p w14:paraId="0341462D" w14:textId="77777777" w:rsidR="00C774B2" w:rsidRDefault="00C774B2">
      <w:pPr>
        <w:pStyle w:val="Textoindependiente"/>
        <w:spacing w:before="10"/>
      </w:pPr>
    </w:p>
    <w:p w14:paraId="7A2DE810" w14:textId="77777777" w:rsidR="00C774B2" w:rsidRDefault="00000000">
      <w:pPr>
        <w:pStyle w:val="Prrafodelista"/>
        <w:numPr>
          <w:ilvl w:val="0"/>
          <w:numId w:val="1"/>
        </w:numPr>
        <w:tabs>
          <w:tab w:val="left" w:pos="2269"/>
        </w:tabs>
        <w:ind w:right="1634"/>
        <w:jc w:val="both"/>
      </w:pPr>
      <w:r>
        <w:rPr>
          <w:u w:val="single"/>
        </w:rPr>
        <w:t>The Positive and Negative Affect Schedule (PANAS)</w:t>
      </w:r>
      <w:r>
        <w:t xml:space="preserve"> assesses, separately, the positive and</w:t>
      </w:r>
      <w:r>
        <w:rPr>
          <w:spacing w:val="-47"/>
        </w:rPr>
        <w:t xml:space="preserve"> </w:t>
      </w:r>
      <w:r>
        <w:t>negative emotional experiences lived recently (López-Gómez et al., 2015). This is a 20-</w:t>
      </w:r>
      <w:r>
        <w:rPr>
          <w:spacing w:val="1"/>
        </w:rPr>
        <w:t xml:space="preserve"> </w:t>
      </w:r>
      <w:r>
        <w:t>item</w:t>
      </w:r>
      <w:r>
        <w:rPr>
          <w:spacing w:val="1"/>
        </w:rPr>
        <w:t xml:space="preserve"> </w:t>
      </w:r>
      <w:r>
        <w:t>questionnaire</w:t>
      </w:r>
      <w:r>
        <w:rPr>
          <w:spacing w:val="1"/>
        </w:rPr>
        <w:t xml:space="preserve"> </w:t>
      </w:r>
      <w:r>
        <w:t>where</w:t>
      </w:r>
      <w:r>
        <w:rPr>
          <w:spacing w:val="1"/>
        </w:rPr>
        <w:t xml:space="preserve"> </w:t>
      </w:r>
      <w:r>
        <w:t>participants</w:t>
      </w:r>
      <w:r>
        <w:rPr>
          <w:spacing w:val="1"/>
        </w:rPr>
        <w:t xml:space="preserve"> </w:t>
      </w:r>
      <w:r>
        <w:t>respond</w:t>
      </w:r>
      <w:r>
        <w:rPr>
          <w:spacing w:val="1"/>
        </w:rPr>
        <w:t xml:space="preserve"> </w:t>
      </w:r>
      <w:r>
        <w:t>using</w:t>
      </w:r>
      <w:r>
        <w:rPr>
          <w:spacing w:val="1"/>
        </w:rPr>
        <w:t xml:space="preserve"> </w:t>
      </w:r>
      <w:r>
        <w:t>Likert</w:t>
      </w:r>
      <w:r>
        <w:rPr>
          <w:spacing w:val="1"/>
        </w:rPr>
        <w:t xml:space="preserve"> </w:t>
      </w:r>
      <w:r>
        <w:t>scales.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organised into two groups: 10 items refer to positive aspects, and 10 refer to negative</w:t>
      </w:r>
      <w:r>
        <w:rPr>
          <w:spacing w:val="1"/>
        </w:rPr>
        <w:t xml:space="preserve"> </w:t>
      </w:r>
      <w:r>
        <w:t>aspects. The Likert scales have a range from 1 to 5, where 1 = slightly or almost nothing</w:t>
      </w:r>
      <w:r>
        <w:rPr>
          <w:spacing w:val="1"/>
        </w:rPr>
        <w:t xml:space="preserve"> </w:t>
      </w:r>
      <w:r>
        <w:t>and 5 = extremely. The scale scores range from a minimum of 10 to a maximum of 50,</w:t>
      </w:r>
      <w:r>
        <w:rPr>
          <w:spacing w:val="1"/>
        </w:rPr>
        <w:t xml:space="preserve"> </w:t>
      </w:r>
      <w:r>
        <w:t>with no categories. The Spanish version has good construct validity and a good reliability</w:t>
      </w:r>
      <w:r>
        <w:rPr>
          <w:spacing w:val="-47"/>
        </w:rPr>
        <w:t xml:space="preserve"> </w:t>
      </w:r>
      <w:r>
        <w:t>index</w:t>
      </w:r>
      <w:r>
        <w:rPr>
          <w:spacing w:val="1"/>
        </w:rPr>
        <w:t xml:space="preserve"> </w:t>
      </w:r>
      <w:r>
        <w:t>(Cronbach’s</w:t>
      </w:r>
      <w:r>
        <w:rPr>
          <w:spacing w:val="1"/>
        </w:rPr>
        <w:t xml:space="preserve"> </w:t>
      </w:r>
      <w:r>
        <w:t>alpha:</w:t>
      </w:r>
      <w:r>
        <w:rPr>
          <w:spacing w:val="1"/>
        </w:rPr>
        <w:t xml:space="preserve"> </w:t>
      </w:r>
      <w:r>
        <w:t>&gt;0.87)</w:t>
      </w:r>
      <w:r>
        <w:rPr>
          <w:spacing w:val="1"/>
        </w:rPr>
        <w:t xml:space="preserve"> </w:t>
      </w:r>
      <w:r>
        <w:t>(Sandín,</w:t>
      </w:r>
      <w:r>
        <w:rPr>
          <w:spacing w:val="1"/>
        </w:rPr>
        <w:t xml:space="preserve"> </w:t>
      </w:r>
      <w:r>
        <w:t>Chorot,</w:t>
      </w:r>
      <w:r>
        <w:rPr>
          <w:spacing w:val="1"/>
        </w:rPr>
        <w:t xml:space="preserve"> </w:t>
      </w:r>
      <w:r>
        <w:t>Lostao,</w:t>
      </w:r>
      <w:r>
        <w:rPr>
          <w:spacing w:val="1"/>
        </w:rPr>
        <w:t xml:space="preserve"> </w:t>
      </w:r>
      <w:r>
        <w:t>Joiner,</w:t>
      </w:r>
      <w:r>
        <w:rPr>
          <w:spacing w:val="1"/>
        </w:rPr>
        <w:t xml:space="preserve"> </w:t>
      </w:r>
      <w:r>
        <w:t>Santed,</w:t>
      </w:r>
      <w:r>
        <w:rPr>
          <w:spacing w:val="1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Valiente,</w:t>
      </w:r>
      <w:r>
        <w:rPr>
          <w:spacing w:val="-47"/>
        </w:rPr>
        <w:t xml:space="preserve"> </w:t>
      </w:r>
      <w:r>
        <w:t>1999).</w:t>
      </w:r>
    </w:p>
    <w:p w14:paraId="4E2CA51A" w14:textId="77777777" w:rsidR="00C774B2" w:rsidRDefault="00C774B2">
      <w:pPr>
        <w:pStyle w:val="Textoindependiente"/>
        <w:spacing w:before="6"/>
        <w:rPr>
          <w:sz w:val="16"/>
        </w:rPr>
      </w:pPr>
    </w:p>
    <w:p w14:paraId="21C6A798" w14:textId="77777777" w:rsidR="00C774B2" w:rsidRDefault="00000000">
      <w:pPr>
        <w:pStyle w:val="Prrafodelista"/>
        <w:numPr>
          <w:ilvl w:val="0"/>
          <w:numId w:val="1"/>
        </w:numPr>
        <w:tabs>
          <w:tab w:val="left" w:pos="2269"/>
        </w:tabs>
        <w:spacing w:before="1"/>
        <w:ind w:right="1634"/>
        <w:jc w:val="both"/>
      </w:pPr>
      <w:r>
        <w:rPr>
          <w:u w:val="single"/>
        </w:rPr>
        <w:t>The</w:t>
      </w:r>
      <w:r>
        <w:rPr>
          <w:spacing w:val="1"/>
          <w:u w:val="single"/>
        </w:rPr>
        <w:t xml:space="preserve"> </w:t>
      </w:r>
      <w:r>
        <w:rPr>
          <w:u w:val="single"/>
        </w:rPr>
        <w:t>Academic</w:t>
      </w:r>
      <w:r>
        <w:rPr>
          <w:spacing w:val="1"/>
          <w:u w:val="single"/>
        </w:rPr>
        <w:t xml:space="preserve"> </w:t>
      </w:r>
      <w:r>
        <w:rPr>
          <w:u w:val="single"/>
        </w:rPr>
        <w:t>Stressors</w:t>
      </w:r>
      <w:r>
        <w:rPr>
          <w:spacing w:val="1"/>
          <w:u w:val="single"/>
        </w:rPr>
        <w:t xml:space="preserve"> </w:t>
      </w:r>
      <w:r>
        <w:rPr>
          <w:u w:val="single"/>
        </w:rPr>
        <w:t>Scale</w:t>
      </w:r>
      <w:r>
        <w:rPr>
          <w:spacing w:val="1"/>
          <w:u w:val="single"/>
        </w:rPr>
        <w:t xml:space="preserve"> </w:t>
      </w:r>
      <w:r>
        <w:rPr>
          <w:u w:val="single"/>
        </w:rPr>
        <w:t>(ECEA)</w:t>
      </w:r>
      <w:r>
        <w:rPr>
          <w:spacing w:val="1"/>
        </w:rPr>
        <w:t xml:space="preserve"> </w:t>
      </w:r>
      <w:r>
        <w:t>measures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potential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cause</w:t>
      </w:r>
      <w:r>
        <w:rPr>
          <w:spacing w:val="1"/>
        </w:rPr>
        <w:t xml:space="preserve"> </w:t>
      </w:r>
      <w:r>
        <w:t>stress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different circumstances pertinent to the academic setting have (Cabanach et al., 2016).</w:t>
      </w:r>
      <w:r>
        <w:rPr>
          <w:spacing w:val="1"/>
        </w:rPr>
        <w:t xml:space="preserve"> </w:t>
      </w:r>
      <w:r>
        <w:t>Participants respond by way of Likert scales which have a range from 1 (never) to 5</w:t>
      </w:r>
      <w:r>
        <w:rPr>
          <w:spacing w:val="1"/>
        </w:rPr>
        <w:t xml:space="preserve"> </w:t>
      </w:r>
      <w:r>
        <w:t>(always). This scale is composed of 7 dimensions: Methodological Deficiencies of the</w:t>
      </w:r>
      <w:r>
        <w:rPr>
          <w:spacing w:val="1"/>
        </w:rPr>
        <w:t xml:space="preserve"> </w:t>
      </w:r>
      <w:r>
        <w:t>Teaching Staff (METDEF); Student Academic Overload (ACAOL); Beliefs about Academic</w:t>
      </w:r>
      <w:r>
        <w:rPr>
          <w:spacing w:val="1"/>
        </w:rPr>
        <w:t xml:space="preserve"> </w:t>
      </w:r>
      <w:r>
        <w:t>Performance</w:t>
      </w:r>
      <w:r>
        <w:rPr>
          <w:spacing w:val="1"/>
        </w:rPr>
        <w:t xml:space="preserve"> </w:t>
      </w:r>
      <w:r>
        <w:t>(BELACP);</w:t>
      </w:r>
      <w:r>
        <w:rPr>
          <w:spacing w:val="1"/>
        </w:rPr>
        <w:t xml:space="preserve"> </w:t>
      </w:r>
      <w:r>
        <w:t>Speaking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Public</w:t>
      </w:r>
      <w:r>
        <w:rPr>
          <w:spacing w:val="1"/>
        </w:rPr>
        <w:t xml:space="preserve"> </w:t>
      </w:r>
      <w:r>
        <w:t>(SPKPUB);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Environment</w:t>
      </w:r>
      <w:r>
        <w:rPr>
          <w:spacing w:val="1"/>
        </w:rPr>
        <w:t xml:space="preserve"> </w:t>
      </w:r>
      <w:r>
        <w:t>(NSENV);</w:t>
      </w:r>
      <w:r>
        <w:rPr>
          <w:spacing w:val="13"/>
        </w:rPr>
        <w:t xml:space="preserve"> </w:t>
      </w:r>
      <w:r>
        <w:t>Examinations</w:t>
      </w:r>
      <w:r>
        <w:rPr>
          <w:spacing w:val="14"/>
        </w:rPr>
        <w:t xml:space="preserve"> </w:t>
      </w:r>
      <w:r>
        <w:t>(EXAM);</w:t>
      </w:r>
      <w:r>
        <w:rPr>
          <w:spacing w:val="14"/>
        </w:rPr>
        <w:t xml:space="preserve"> </w:t>
      </w:r>
      <w:r>
        <w:t>Lack</w:t>
      </w:r>
      <w:r>
        <w:rPr>
          <w:spacing w:val="13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Value</w:t>
      </w:r>
      <w:r>
        <w:rPr>
          <w:spacing w:val="13"/>
        </w:rPr>
        <w:t xml:space="preserve"> </w:t>
      </w:r>
      <w:r>
        <w:t>of</w:t>
      </w:r>
      <w:r>
        <w:rPr>
          <w:spacing w:val="15"/>
        </w:rPr>
        <w:t xml:space="preserve"> </w:t>
      </w:r>
      <w:r>
        <w:t>Course</w:t>
      </w:r>
      <w:r>
        <w:rPr>
          <w:spacing w:val="13"/>
        </w:rPr>
        <w:t xml:space="preserve"> </w:t>
      </w:r>
      <w:r>
        <w:t>Content</w:t>
      </w:r>
      <w:r>
        <w:rPr>
          <w:spacing w:val="13"/>
        </w:rPr>
        <w:t xml:space="preserve"> </w:t>
      </w:r>
      <w:r>
        <w:t>(LACKVAL);</w:t>
      </w:r>
      <w:r>
        <w:rPr>
          <w:spacing w:val="11"/>
        </w:rPr>
        <w:t xml:space="preserve"> </w:t>
      </w:r>
      <w:r>
        <w:t>Difficulties</w:t>
      </w:r>
      <w:r>
        <w:rPr>
          <w:spacing w:val="-47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Participating</w:t>
      </w:r>
      <w:r>
        <w:rPr>
          <w:spacing w:val="12"/>
        </w:rPr>
        <w:t xml:space="preserve"> </w:t>
      </w:r>
      <w:r>
        <w:t>(DIFPAR).</w:t>
      </w:r>
      <w:r>
        <w:rPr>
          <w:spacing w:val="13"/>
        </w:rPr>
        <w:t xml:space="preserve"> </w:t>
      </w:r>
      <w:r>
        <w:t>Internal</w:t>
      </w:r>
      <w:r>
        <w:rPr>
          <w:spacing w:val="11"/>
        </w:rPr>
        <w:t xml:space="preserve"> </w:t>
      </w:r>
      <w:r>
        <w:t>consistency,</w:t>
      </w:r>
      <w:r>
        <w:rPr>
          <w:spacing w:val="12"/>
        </w:rPr>
        <w:t xml:space="preserve"> </w:t>
      </w:r>
      <w:r>
        <w:t>as</w:t>
      </w:r>
      <w:r>
        <w:rPr>
          <w:spacing w:val="9"/>
        </w:rPr>
        <w:t xml:space="preserve"> </w:t>
      </w:r>
      <w:r>
        <w:t>measured</w:t>
      </w:r>
      <w:r>
        <w:rPr>
          <w:spacing w:val="12"/>
        </w:rPr>
        <w:t xml:space="preserve"> </w:t>
      </w:r>
      <w:r>
        <w:t>with</w:t>
      </w:r>
      <w:r>
        <w:rPr>
          <w:spacing w:val="11"/>
        </w:rPr>
        <w:t xml:space="preserve"> </w:t>
      </w:r>
      <w:r>
        <w:t>Cronbach’s</w:t>
      </w:r>
      <w:r>
        <w:rPr>
          <w:spacing w:val="12"/>
        </w:rPr>
        <w:t xml:space="preserve"> </w:t>
      </w:r>
      <w:r>
        <w:t>alpha,</w:t>
      </w:r>
      <w:r>
        <w:rPr>
          <w:spacing w:val="12"/>
        </w:rPr>
        <w:t xml:space="preserve"> </w:t>
      </w:r>
      <w:r>
        <w:t>was</w:t>
      </w:r>
    </w:p>
    <w:p w14:paraId="5D184131" w14:textId="77777777" w:rsidR="00C774B2" w:rsidRDefault="00000000">
      <w:pPr>
        <w:pStyle w:val="Textoindependiente"/>
        <w:spacing w:before="2"/>
        <w:ind w:left="2268"/>
        <w:jc w:val="both"/>
      </w:pPr>
      <w:r>
        <w:t>0.96</w:t>
      </w:r>
      <w:r>
        <w:rPr>
          <w:spacing w:val="-3"/>
        </w:rPr>
        <w:t xml:space="preserve"> </w:t>
      </w:r>
      <w:r>
        <w:t>(Cabanach</w:t>
      </w:r>
      <w:r>
        <w:rPr>
          <w:spacing w:val="-4"/>
        </w:rPr>
        <w:t xml:space="preserve"> </w:t>
      </w:r>
      <w:r>
        <w:t>et</w:t>
      </w:r>
      <w:r>
        <w:rPr>
          <w:spacing w:val="-1"/>
        </w:rPr>
        <w:t xml:space="preserve"> </w:t>
      </w:r>
      <w:r>
        <w:t>al.,</w:t>
      </w:r>
      <w:r>
        <w:rPr>
          <w:spacing w:val="-4"/>
        </w:rPr>
        <w:t xml:space="preserve"> </w:t>
      </w:r>
      <w:r>
        <w:t>2016).</w:t>
      </w:r>
    </w:p>
    <w:p w14:paraId="0689DFE1" w14:textId="77777777" w:rsidR="00C774B2" w:rsidRDefault="00000000">
      <w:pPr>
        <w:pStyle w:val="Prrafodelista"/>
        <w:numPr>
          <w:ilvl w:val="0"/>
          <w:numId w:val="1"/>
        </w:numPr>
        <w:tabs>
          <w:tab w:val="left" w:pos="2269"/>
        </w:tabs>
        <w:spacing w:before="197"/>
        <w:ind w:right="1634"/>
        <w:jc w:val="both"/>
      </w:pPr>
      <w:r>
        <w:rPr>
          <w:u w:val="single"/>
        </w:rPr>
        <w:t>The COPE (Coping Orientation to Problems Experienced)</w:t>
      </w:r>
      <w:r>
        <w:t>. The Spanish version of the</w:t>
      </w:r>
      <w:r>
        <w:rPr>
          <w:spacing w:val="1"/>
        </w:rPr>
        <w:t xml:space="preserve"> </w:t>
      </w:r>
      <w:r>
        <w:t>COPE-48 scale (Martínez Ortega et al., 2016) assesses the following 8 coping strategies</w:t>
      </w:r>
      <w:r>
        <w:rPr>
          <w:spacing w:val="1"/>
        </w:rPr>
        <w:t xml:space="preserve"> </w:t>
      </w:r>
      <w:r>
        <w:t>using a</w:t>
      </w:r>
      <w:r>
        <w:rPr>
          <w:spacing w:val="1"/>
        </w:rPr>
        <w:t xml:space="preserve"> </w:t>
      </w:r>
      <w:r>
        <w:t>Likert scale ranging from 1 = “I never do that” to 4 = “I do</w:t>
      </w:r>
      <w:r>
        <w:rPr>
          <w:spacing w:val="49"/>
        </w:rPr>
        <w:t xml:space="preserve"> </w:t>
      </w:r>
      <w:r>
        <w:t>that</w:t>
      </w:r>
      <w:r>
        <w:rPr>
          <w:spacing w:val="50"/>
        </w:rPr>
        <w:t xml:space="preserve"> </w:t>
      </w:r>
      <w:r>
        <w:t>frequently”:</w:t>
      </w:r>
      <w:r>
        <w:rPr>
          <w:spacing w:val="1"/>
        </w:rPr>
        <w:t xml:space="preserve"> </w:t>
      </w:r>
      <w:r>
        <w:t>Active Problem-Focused Coping; Alcohol/Drug Disengagement; Focus on and Venting of</w:t>
      </w:r>
      <w:r>
        <w:rPr>
          <w:spacing w:val="1"/>
        </w:rPr>
        <w:t xml:space="preserve"> </w:t>
      </w:r>
      <w:r>
        <w:t>Emotions; Seeking Social Support; Humour; Turning to Religion; Denial; Restraint Coping.</w:t>
      </w:r>
      <w:r>
        <w:rPr>
          <w:spacing w:val="-47"/>
        </w:rPr>
        <w:t xml:space="preserve"> </w:t>
      </w:r>
      <w:r>
        <w:t>The mean internal consistency value for the Spanish version was 0.81 (Martínez, Gomà-</w:t>
      </w:r>
      <w:r>
        <w:rPr>
          <w:spacing w:val="1"/>
        </w:rPr>
        <w:t xml:space="preserve"> </w:t>
      </w:r>
      <w:r>
        <w:t>i-Freixanet,</w:t>
      </w:r>
      <w:r>
        <w:rPr>
          <w:spacing w:val="-3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Fornieles, 2016).</w:t>
      </w:r>
    </w:p>
    <w:p w14:paraId="725E5D81" w14:textId="77777777" w:rsidR="00C774B2" w:rsidRDefault="00C774B2">
      <w:pPr>
        <w:pStyle w:val="Textoindependiente"/>
        <w:spacing w:before="6"/>
        <w:rPr>
          <w:sz w:val="16"/>
        </w:rPr>
      </w:pPr>
    </w:p>
    <w:p w14:paraId="2936027E" w14:textId="77777777" w:rsidR="00C774B2" w:rsidRDefault="00000000">
      <w:pPr>
        <w:pStyle w:val="Prrafodelista"/>
        <w:numPr>
          <w:ilvl w:val="0"/>
          <w:numId w:val="1"/>
        </w:numPr>
        <w:tabs>
          <w:tab w:val="left" w:pos="2269"/>
        </w:tabs>
        <w:spacing w:line="259" w:lineRule="auto"/>
        <w:ind w:right="1635"/>
        <w:jc w:val="both"/>
      </w:pPr>
      <w:r>
        <w:rPr>
          <w:u w:val="single"/>
        </w:rPr>
        <w:t>The</w:t>
      </w:r>
      <w:r>
        <w:rPr>
          <w:spacing w:val="1"/>
          <w:u w:val="single"/>
        </w:rPr>
        <w:t xml:space="preserve"> </w:t>
      </w:r>
      <w:r>
        <w:rPr>
          <w:u w:val="single"/>
        </w:rPr>
        <w:t>Connor-Davidson</w:t>
      </w:r>
      <w:r>
        <w:rPr>
          <w:spacing w:val="1"/>
          <w:u w:val="single"/>
        </w:rPr>
        <w:t xml:space="preserve"> </w:t>
      </w:r>
      <w:r>
        <w:rPr>
          <w:u w:val="single"/>
        </w:rPr>
        <w:t>Resilience</w:t>
      </w:r>
      <w:r>
        <w:rPr>
          <w:spacing w:val="1"/>
          <w:u w:val="single"/>
        </w:rPr>
        <w:t xml:space="preserve"> </w:t>
      </w:r>
      <w:r>
        <w:rPr>
          <w:u w:val="single"/>
        </w:rPr>
        <w:t>Scale</w:t>
      </w:r>
      <w:r>
        <w:t>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Spanish</w:t>
      </w:r>
      <w:r>
        <w:rPr>
          <w:spacing w:val="1"/>
        </w:rPr>
        <w:t xml:space="preserve"> </w:t>
      </w:r>
      <w:r>
        <w:t>adaptation</w:t>
      </w:r>
      <w:r>
        <w:rPr>
          <w:spacing w:val="1"/>
        </w:rPr>
        <w:t xml:space="preserve"> </w:t>
      </w:r>
      <w:r>
        <w:t>consists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25</w:t>
      </w:r>
      <w:r>
        <w:rPr>
          <w:spacing w:val="49"/>
        </w:rPr>
        <w:t xml:space="preserve"> </w:t>
      </w:r>
      <w:r>
        <w:t>items</w:t>
      </w:r>
      <w:r>
        <w:rPr>
          <w:spacing w:val="1"/>
        </w:rPr>
        <w:t xml:space="preserve"> </w:t>
      </w:r>
      <w:r>
        <w:t>which participants evaluate using Likert scales ranging from 0 (not at all) to 4 (almost</w:t>
      </w:r>
      <w:r>
        <w:rPr>
          <w:spacing w:val="1"/>
        </w:rPr>
        <w:t xml:space="preserve"> </w:t>
      </w:r>
      <w:r>
        <w:t>always). The items are grouped into 5 dimensions: Persistence-Tenacity-Self-Efficacy;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Pressure;</w:t>
      </w:r>
      <w:r>
        <w:rPr>
          <w:spacing w:val="1"/>
        </w:rPr>
        <w:t xml:space="preserve"> </w:t>
      </w:r>
      <w:r>
        <w:t>Adaptability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Support</w:t>
      </w:r>
      <w:r>
        <w:rPr>
          <w:spacing w:val="1"/>
        </w:rPr>
        <w:t xml:space="preserve"> </w:t>
      </w:r>
      <w:r>
        <w:t>Networks;</w:t>
      </w:r>
      <w:r>
        <w:rPr>
          <w:spacing w:val="1"/>
        </w:rPr>
        <w:t xml:space="preserve"> </w:t>
      </w:r>
      <w:r>
        <w:t>Control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Meaning;</w:t>
      </w:r>
      <w:r>
        <w:rPr>
          <w:spacing w:val="1"/>
        </w:rPr>
        <w:t xml:space="preserve"> </w:t>
      </w:r>
      <w:r>
        <w:t>Spirituality.</w:t>
      </w:r>
      <w:r>
        <w:rPr>
          <w:spacing w:val="29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sum</w:t>
      </w:r>
      <w:r>
        <w:rPr>
          <w:spacing w:val="31"/>
        </w:rPr>
        <w:t xml:space="preserve"> </w:t>
      </w:r>
      <w:r>
        <w:t>of</w:t>
      </w:r>
      <w:r>
        <w:rPr>
          <w:spacing w:val="30"/>
        </w:rPr>
        <w:t xml:space="preserve"> </w:t>
      </w:r>
      <w:r>
        <w:t>these</w:t>
      </w:r>
      <w:r>
        <w:rPr>
          <w:spacing w:val="31"/>
        </w:rPr>
        <w:t xml:space="preserve"> </w:t>
      </w:r>
      <w:r>
        <w:t>values</w:t>
      </w:r>
      <w:r>
        <w:rPr>
          <w:spacing w:val="32"/>
        </w:rPr>
        <w:t xml:space="preserve"> </w:t>
      </w:r>
      <w:r>
        <w:t>constitutes</w:t>
      </w:r>
      <w:r>
        <w:rPr>
          <w:spacing w:val="31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total</w:t>
      </w:r>
      <w:r>
        <w:rPr>
          <w:spacing w:val="27"/>
        </w:rPr>
        <w:t xml:space="preserve"> </w:t>
      </w:r>
      <w:r>
        <w:t>value</w:t>
      </w:r>
      <w:r>
        <w:rPr>
          <w:spacing w:val="32"/>
        </w:rPr>
        <w:t xml:space="preserve"> </w:t>
      </w:r>
      <w:r>
        <w:t>for</w:t>
      </w:r>
      <w:r>
        <w:rPr>
          <w:spacing w:val="31"/>
        </w:rPr>
        <w:t xml:space="preserve"> </w:t>
      </w:r>
      <w:r>
        <w:t>Resilience,</w:t>
      </w:r>
      <w:r>
        <w:rPr>
          <w:spacing w:val="29"/>
        </w:rPr>
        <w:t xml:space="preserve"> </w:t>
      </w:r>
      <w:r>
        <w:t>whose</w:t>
      </w:r>
    </w:p>
    <w:p w14:paraId="180A7384" w14:textId="77777777" w:rsidR="00C774B2" w:rsidRDefault="00C774B2">
      <w:pPr>
        <w:spacing w:line="259" w:lineRule="auto"/>
        <w:jc w:val="both"/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63FE5D54" w14:textId="77777777" w:rsidR="00C774B2" w:rsidRDefault="00000000">
      <w:pPr>
        <w:pStyle w:val="Textoindependiente"/>
        <w:spacing w:before="34" w:line="259" w:lineRule="auto"/>
        <w:ind w:left="2268" w:right="1638"/>
        <w:jc w:val="both"/>
      </w:pPr>
      <w:r>
        <w:lastRenderedPageBreak/>
        <w:t>thresholds are: less than 70 (low); 70 to 87 (intermediate); greater than 88 (high). The</w:t>
      </w:r>
      <w:r>
        <w:rPr>
          <w:spacing w:val="1"/>
        </w:rPr>
        <w:t xml:space="preserve"> </w:t>
      </w:r>
      <w:r>
        <w:t>internal consistency of the Spanish version was optimal, with a Cronbach’s alpha of 0.86</w:t>
      </w:r>
      <w:r>
        <w:rPr>
          <w:spacing w:val="1"/>
        </w:rPr>
        <w:t xml:space="preserve"> </w:t>
      </w:r>
      <w:r>
        <w:t>(García-León</w:t>
      </w:r>
      <w:r>
        <w:rPr>
          <w:spacing w:val="-4"/>
        </w:rPr>
        <w:t xml:space="preserve"> </w:t>
      </w:r>
      <w:r>
        <w:t>et al.,</w:t>
      </w:r>
      <w:r>
        <w:rPr>
          <w:spacing w:val="-3"/>
        </w:rPr>
        <w:t xml:space="preserve"> </w:t>
      </w:r>
      <w:r>
        <w:t>2019).</w:t>
      </w:r>
    </w:p>
    <w:p w14:paraId="304F3935" w14:textId="77777777" w:rsidR="00C774B2" w:rsidRDefault="00000000">
      <w:pPr>
        <w:pStyle w:val="Prrafodelista"/>
        <w:numPr>
          <w:ilvl w:val="0"/>
          <w:numId w:val="1"/>
        </w:numPr>
        <w:tabs>
          <w:tab w:val="left" w:pos="2269"/>
        </w:tabs>
        <w:spacing w:before="122" w:line="259" w:lineRule="auto"/>
        <w:ind w:right="1637"/>
        <w:jc w:val="both"/>
      </w:pPr>
      <w:r>
        <w:rPr>
          <w:u w:val="single"/>
        </w:rPr>
        <w:t>The NEO-FFI scale</w:t>
      </w:r>
      <w:r>
        <w:t>. The NEO Five Factor Inventory is a questionnaire consisting of five</w:t>
      </w:r>
      <w:r>
        <w:rPr>
          <w:spacing w:val="1"/>
        </w:rPr>
        <w:t xml:space="preserve"> </w:t>
      </w:r>
      <w:r>
        <w:t>factors designed to assess personality in different contexts (Avia, 2000). It is made up of</w:t>
      </w:r>
      <w:r>
        <w:rPr>
          <w:spacing w:val="1"/>
        </w:rPr>
        <w:t xml:space="preserve"> </w:t>
      </w:r>
      <w:r>
        <w:t>60</w:t>
      </w:r>
      <w:r>
        <w:rPr>
          <w:spacing w:val="2"/>
        </w:rPr>
        <w:t xml:space="preserve"> </w:t>
      </w:r>
      <w:r>
        <w:t>sentences, which are evaluated</w:t>
      </w:r>
      <w:r>
        <w:rPr>
          <w:spacing w:val="1"/>
        </w:rPr>
        <w:t xml:space="preserve"> </w:t>
      </w:r>
      <w:r>
        <w:t>using</w:t>
      </w:r>
      <w:r>
        <w:rPr>
          <w:spacing w:val="2"/>
        </w:rPr>
        <w:t xml:space="preserve"> </w:t>
      </w:r>
      <w:r>
        <w:t>a</w:t>
      </w:r>
      <w:r>
        <w:rPr>
          <w:spacing w:val="2"/>
        </w:rPr>
        <w:t xml:space="preserve"> </w:t>
      </w:r>
      <w:r>
        <w:t>Likert</w:t>
      </w:r>
      <w:r>
        <w:rPr>
          <w:spacing w:val="2"/>
        </w:rPr>
        <w:t xml:space="preserve"> </w:t>
      </w:r>
      <w:r>
        <w:t>scale which ranges</w:t>
      </w:r>
      <w:r>
        <w:rPr>
          <w:spacing w:val="6"/>
        </w:rPr>
        <w:t xml:space="preserve"> </w:t>
      </w:r>
      <w:r>
        <w:t>from</w:t>
      </w:r>
      <w:r>
        <w:rPr>
          <w:spacing w:val="2"/>
        </w:rPr>
        <w:t xml:space="preserve"> </w:t>
      </w:r>
      <w:r>
        <w:t>0 (not</w:t>
      </w:r>
      <w:r>
        <w:rPr>
          <w:spacing w:val="-3"/>
        </w:rPr>
        <w:t xml:space="preserve"> </w:t>
      </w:r>
      <w:r>
        <w:t>at</w:t>
      </w:r>
      <w:r>
        <w:rPr>
          <w:spacing w:val="3"/>
        </w:rPr>
        <w:t xml:space="preserve"> </w:t>
      </w:r>
      <w:r>
        <w:t>all)</w:t>
      </w:r>
      <w:r>
        <w:rPr>
          <w:spacing w:val="2"/>
        </w:rPr>
        <w:t xml:space="preserve"> </w:t>
      </w:r>
      <w:r>
        <w:t>to</w:t>
      </w:r>
    </w:p>
    <w:p w14:paraId="6A5269FD" w14:textId="77777777" w:rsidR="00C774B2" w:rsidRDefault="00000000">
      <w:pPr>
        <w:pStyle w:val="Textoindependiente"/>
        <w:spacing w:line="259" w:lineRule="auto"/>
        <w:ind w:left="2268" w:right="1636"/>
        <w:jc w:val="both"/>
      </w:pPr>
      <w:r>
        <w:t>4</w:t>
      </w:r>
      <w:r>
        <w:rPr>
          <w:spacing w:val="1"/>
        </w:rPr>
        <w:t xml:space="preserve"> </w:t>
      </w:r>
      <w:r>
        <w:t>(almost</w:t>
      </w:r>
      <w:r>
        <w:rPr>
          <w:spacing w:val="1"/>
        </w:rPr>
        <w:t xml:space="preserve"> </w:t>
      </w:r>
      <w:r>
        <w:t>always).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five</w:t>
      </w:r>
      <w:r>
        <w:rPr>
          <w:spacing w:val="1"/>
        </w:rPr>
        <w:t xml:space="preserve"> </w:t>
      </w:r>
      <w:r>
        <w:t>dimensions</w:t>
      </w:r>
      <w:r>
        <w:rPr>
          <w:spacing w:val="1"/>
        </w:rPr>
        <w:t xml:space="preserve"> </w:t>
      </w:r>
      <w:r>
        <w:t>assessed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following:</w:t>
      </w:r>
      <w:r>
        <w:rPr>
          <w:spacing w:val="1"/>
        </w:rPr>
        <w:t xml:space="preserve"> </w:t>
      </w:r>
      <w:r>
        <w:t>Neuroticism;</w:t>
      </w:r>
      <w:r>
        <w:rPr>
          <w:spacing w:val="1"/>
        </w:rPr>
        <w:t xml:space="preserve"> </w:t>
      </w:r>
      <w:r>
        <w:t>Extraversion; Openness; Agreeableness; Conscientiousness. The internal consistency of</w:t>
      </w:r>
      <w:r>
        <w:rPr>
          <w:spacing w:val="1"/>
        </w:rPr>
        <w:t xml:space="preserve"> </w:t>
      </w:r>
      <w:r>
        <w:t>the Spanish version was optimal, with a Cronbach’s alpha of 0.86 (García-León et al.,</w:t>
      </w:r>
      <w:r>
        <w:rPr>
          <w:spacing w:val="1"/>
        </w:rPr>
        <w:t xml:space="preserve"> </w:t>
      </w:r>
      <w:r>
        <w:t>2019).</w:t>
      </w:r>
    </w:p>
    <w:p w14:paraId="76B8F08A" w14:textId="77777777" w:rsidR="00C774B2" w:rsidRDefault="00C774B2">
      <w:pPr>
        <w:pStyle w:val="Textoindependiente"/>
        <w:spacing w:before="9"/>
      </w:pPr>
    </w:p>
    <w:p w14:paraId="2FF0D1F9" w14:textId="77777777" w:rsidR="00C774B2" w:rsidRDefault="00000000">
      <w:pPr>
        <w:pStyle w:val="Ttulo4"/>
        <w:spacing w:before="1"/>
        <w:ind w:left="1702"/>
        <w:jc w:val="left"/>
      </w:pPr>
      <w:r>
        <w:rPr>
          <w:u w:val="single"/>
        </w:rPr>
        <w:t>Procedure</w:t>
      </w:r>
    </w:p>
    <w:p w14:paraId="44B41067" w14:textId="77777777" w:rsidR="00C774B2" w:rsidRDefault="00C774B2">
      <w:pPr>
        <w:pStyle w:val="Textoindependiente"/>
        <w:spacing w:before="2"/>
        <w:rPr>
          <w:b/>
          <w:sz w:val="18"/>
        </w:rPr>
      </w:pPr>
    </w:p>
    <w:p w14:paraId="4AE61C2E" w14:textId="77777777" w:rsidR="00C774B2" w:rsidRDefault="00000000">
      <w:pPr>
        <w:pStyle w:val="Textoindependiente"/>
        <w:spacing w:before="57"/>
        <w:ind w:left="1702" w:right="1634"/>
        <w:jc w:val="both"/>
      </w:pPr>
      <w:r>
        <w:t>The independent variable, Resilience Gym (RG), is a pedagogical intervention that uses tools</w:t>
      </w:r>
      <w:r>
        <w:rPr>
          <w:spacing w:val="1"/>
        </w:rPr>
        <w:t xml:space="preserve"> </w:t>
      </w:r>
      <w:r>
        <w:t>based on cognitive behavioural therapy for stress inoculation (Meichenbaum, 1985) with good</w:t>
      </w:r>
      <w:r>
        <w:rPr>
          <w:spacing w:val="1"/>
        </w:rPr>
        <w:t xml:space="preserve"> </w:t>
      </w:r>
      <w:r>
        <w:t>results on resilience (Mache et al., 2016; Mache et al., 2015). These tools are adapted to be</w:t>
      </w:r>
      <w:r>
        <w:rPr>
          <w:spacing w:val="1"/>
        </w:rPr>
        <w:t xml:space="preserve"> </w:t>
      </w:r>
      <w:r>
        <w:t>used in a brief intervention and include Lazarus and Folkman’s coping model (1984) and the</w:t>
      </w:r>
      <w:r>
        <w:rPr>
          <w:spacing w:val="1"/>
        </w:rPr>
        <w:t xml:space="preserve"> </w:t>
      </w:r>
      <w:r>
        <w:t>rewording</w:t>
      </w:r>
      <w:r>
        <w:rPr>
          <w:spacing w:val="-2"/>
        </w:rPr>
        <w:t xml:space="preserve"> </w:t>
      </w:r>
      <w:r>
        <w:t>proposed by</w:t>
      </w:r>
      <w:r>
        <w:rPr>
          <w:spacing w:val="-2"/>
        </w:rPr>
        <w:t xml:space="preserve"> </w:t>
      </w:r>
      <w:r>
        <w:t>Connor-Smith</w:t>
      </w:r>
      <w:r>
        <w:rPr>
          <w:spacing w:val="-3"/>
        </w:rPr>
        <w:t xml:space="preserve"> </w:t>
      </w:r>
      <w:r>
        <w:t>&amp;</w:t>
      </w:r>
      <w:r>
        <w:rPr>
          <w:spacing w:val="1"/>
        </w:rPr>
        <w:t xml:space="preserve"> </w:t>
      </w:r>
      <w:r>
        <w:t>Flachsbart</w:t>
      </w:r>
      <w:r>
        <w:rPr>
          <w:spacing w:val="-2"/>
        </w:rPr>
        <w:t xml:space="preserve"> </w:t>
      </w:r>
      <w:r>
        <w:t>(2007).</w:t>
      </w:r>
    </w:p>
    <w:p w14:paraId="78D3E59A" w14:textId="77777777" w:rsidR="00C774B2" w:rsidRDefault="00C774B2">
      <w:pPr>
        <w:pStyle w:val="Textoindependiente"/>
        <w:spacing w:before="11"/>
      </w:pPr>
    </w:p>
    <w:p w14:paraId="741C3D6D" w14:textId="77777777" w:rsidR="00C774B2" w:rsidRDefault="00000000">
      <w:pPr>
        <w:pStyle w:val="Textoindependiente"/>
        <w:ind w:left="1702" w:right="1634"/>
        <w:jc w:val="both"/>
      </w:pPr>
      <w:r>
        <w:t>The strategies used in the RG intervention include those that were found to be used by nurse</w:t>
      </w:r>
      <w:r>
        <w:rPr>
          <w:spacing w:val="1"/>
        </w:rPr>
        <w:t xml:space="preserve"> </w:t>
      </w:r>
      <w:r>
        <w:t>practitioners in the Lim et al. studies (2010). These strategies matched the five dimensions of</w:t>
      </w:r>
      <w:r>
        <w:rPr>
          <w:spacing w:val="1"/>
        </w:rPr>
        <w:t xml:space="preserve"> </w:t>
      </w:r>
      <w:r>
        <w:t>the</w:t>
      </w:r>
      <w:r>
        <w:rPr>
          <w:spacing w:val="-1"/>
        </w:rPr>
        <w:t xml:space="preserve"> </w:t>
      </w:r>
      <w:r>
        <w:t>Connor-Davidson</w:t>
      </w:r>
      <w:r>
        <w:rPr>
          <w:spacing w:val="-1"/>
        </w:rPr>
        <w:t xml:space="preserve"> </w:t>
      </w:r>
      <w:r>
        <w:t>resilience</w:t>
      </w:r>
      <w:r>
        <w:rPr>
          <w:spacing w:val="1"/>
        </w:rPr>
        <w:t xml:space="preserve"> </w:t>
      </w:r>
      <w:r>
        <w:t>scale.</w:t>
      </w:r>
    </w:p>
    <w:p w14:paraId="7A6D81CB" w14:textId="77777777" w:rsidR="00C774B2" w:rsidRDefault="00C774B2">
      <w:pPr>
        <w:pStyle w:val="Textoindependiente"/>
        <w:spacing w:before="1"/>
        <w:rPr>
          <w:sz w:val="23"/>
        </w:rPr>
      </w:pPr>
    </w:p>
    <w:p w14:paraId="56194B0C" w14:textId="77777777" w:rsidR="00C774B2" w:rsidRDefault="00000000">
      <w:pPr>
        <w:pStyle w:val="Textoindependiente"/>
        <w:ind w:left="1702" w:right="1635"/>
        <w:jc w:val="both"/>
      </w:pPr>
      <w:r>
        <w:t>The contents of the RG intervention were agreed upon by a discussion group composed of</w:t>
      </w:r>
      <w:r>
        <w:rPr>
          <w:spacing w:val="1"/>
        </w:rPr>
        <w:t xml:space="preserve"> </w:t>
      </w:r>
      <w:r>
        <w:t>psychologists, nurses, and students. The topics were: identification of negative thoughts and</w:t>
      </w:r>
      <w:r>
        <w:rPr>
          <w:spacing w:val="1"/>
        </w:rPr>
        <w:t xml:space="preserve"> </w:t>
      </w:r>
      <w:r>
        <w:t>emotions;</w:t>
      </w:r>
      <w:r>
        <w:rPr>
          <w:spacing w:val="1"/>
        </w:rPr>
        <w:t xml:space="preserve"> </w:t>
      </w:r>
      <w:r>
        <w:t>application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“thought</w:t>
      </w:r>
      <w:r>
        <w:rPr>
          <w:spacing w:val="1"/>
        </w:rPr>
        <w:t xml:space="preserve"> </w:t>
      </w:r>
      <w:r>
        <w:t>stopping”;</w:t>
      </w:r>
      <w:r>
        <w:rPr>
          <w:spacing w:val="1"/>
        </w:rPr>
        <w:t xml:space="preserve"> </w:t>
      </w:r>
      <w:r>
        <w:t>use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emotions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face</w:t>
      </w:r>
      <w:r>
        <w:rPr>
          <w:spacing w:val="49"/>
        </w:rPr>
        <w:t xml:space="preserve"> </w:t>
      </w:r>
      <w:r>
        <w:t>adversity;</w:t>
      </w:r>
      <w:r>
        <w:rPr>
          <w:spacing w:val="1"/>
        </w:rPr>
        <w:t xml:space="preserve"> </w:t>
      </w:r>
      <w:r>
        <w:t>seeking</w:t>
      </w:r>
      <w:r>
        <w:rPr>
          <w:spacing w:val="1"/>
        </w:rPr>
        <w:t xml:space="preserve"> </w:t>
      </w:r>
      <w:r>
        <w:t>social</w:t>
      </w:r>
      <w:r>
        <w:rPr>
          <w:spacing w:val="1"/>
        </w:rPr>
        <w:t xml:space="preserve"> </w:t>
      </w:r>
      <w:r>
        <w:t>support;</w:t>
      </w:r>
      <w:r>
        <w:rPr>
          <w:spacing w:val="1"/>
        </w:rPr>
        <w:t xml:space="preserve"> </w:t>
      </w:r>
      <w:r>
        <w:t>problem</w:t>
      </w:r>
      <w:r>
        <w:rPr>
          <w:spacing w:val="1"/>
        </w:rPr>
        <w:t xml:space="preserve"> </w:t>
      </w:r>
      <w:r>
        <w:t>solving;</w:t>
      </w:r>
      <w:r>
        <w:rPr>
          <w:spacing w:val="1"/>
        </w:rPr>
        <w:t xml:space="preserve"> </w:t>
      </w:r>
      <w:r>
        <w:t>application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Jacobson’s</w:t>
      </w:r>
      <w:r>
        <w:rPr>
          <w:spacing w:val="1"/>
        </w:rPr>
        <w:t xml:space="preserve"> </w:t>
      </w:r>
      <w:r>
        <w:t>relaxation</w:t>
      </w:r>
      <w:r>
        <w:rPr>
          <w:spacing w:val="1"/>
        </w:rPr>
        <w:t xml:space="preserve"> </w:t>
      </w:r>
      <w:r>
        <w:t>techniques;</w:t>
      </w:r>
      <w:r>
        <w:rPr>
          <w:spacing w:val="1"/>
        </w:rPr>
        <w:t xml:space="preserve"> </w:t>
      </w:r>
      <w:r>
        <w:t>diaphragmatic</w:t>
      </w:r>
      <w:r>
        <w:rPr>
          <w:spacing w:val="-1"/>
        </w:rPr>
        <w:t xml:space="preserve"> </w:t>
      </w:r>
      <w:r>
        <w:t>breathing.</w:t>
      </w:r>
    </w:p>
    <w:p w14:paraId="2360E068" w14:textId="77777777" w:rsidR="00C774B2" w:rsidRDefault="00C774B2">
      <w:pPr>
        <w:pStyle w:val="Textoindependiente"/>
        <w:spacing w:before="11"/>
      </w:pPr>
    </w:p>
    <w:p w14:paraId="568DAF7A" w14:textId="77777777" w:rsidR="00C774B2" w:rsidRDefault="00000000">
      <w:pPr>
        <w:pStyle w:val="Textoindependiente"/>
        <w:spacing w:before="1"/>
        <w:ind w:left="1702" w:right="1635"/>
        <w:jc w:val="both"/>
      </w:pPr>
      <w:r>
        <w:t>Even though the evidence suggests that longer duration improves post-intervention outcomes</w:t>
      </w:r>
      <w:r>
        <w:rPr>
          <w:spacing w:val="1"/>
        </w:rPr>
        <w:t xml:space="preserve"> </w:t>
      </w:r>
      <w:r>
        <w:t>(Cleary</w:t>
      </w:r>
      <w:r>
        <w:rPr>
          <w:spacing w:val="-3"/>
        </w:rPr>
        <w:t xml:space="preserve"> </w:t>
      </w:r>
      <w:r>
        <w:t>et</w:t>
      </w:r>
      <w:r>
        <w:rPr>
          <w:spacing w:val="-3"/>
        </w:rPr>
        <w:t xml:space="preserve"> </w:t>
      </w:r>
      <w:r>
        <w:t>al.,</w:t>
      </w:r>
      <w:r>
        <w:rPr>
          <w:spacing w:val="-1"/>
        </w:rPr>
        <w:t xml:space="preserve"> </w:t>
      </w:r>
      <w:r>
        <w:t>2018),</w:t>
      </w:r>
      <w:r>
        <w:rPr>
          <w:spacing w:val="-4"/>
        </w:rPr>
        <w:t xml:space="preserve"> </w:t>
      </w:r>
      <w:r>
        <w:t>our intervention</w:t>
      </w:r>
      <w:r>
        <w:rPr>
          <w:spacing w:val="-4"/>
        </w:rPr>
        <w:t xml:space="preserve"> </w:t>
      </w:r>
      <w:r>
        <w:t>took place in</w:t>
      </w:r>
      <w:r>
        <w:rPr>
          <w:spacing w:val="-2"/>
        </w:rPr>
        <w:t xml:space="preserve"> </w:t>
      </w:r>
      <w:r>
        <w:t>a</w:t>
      </w:r>
      <w:r>
        <w:rPr>
          <w:spacing w:val="-2"/>
        </w:rPr>
        <w:t xml:space="preserve"> </w:t>
      </w:r>
      <w:r>
        <w:t>single</w:t>
      </w:r>
      <w:r>
        <w:rPr>
          <w:spacing w:val="-1"/>
        </w:rPr>
        <w:t xml:space="preserve"> </w:t>
      </w:r>
      <w:r>
        <w:t>session</w:t>
      </w:r>
      <w:r>
        <w:rPr>
          <w:spacing w:val="-2"/>
        </w:rPr>
        <w:t xml:space="preserve"> </w:t>
      </w:r>
      <w:r>
        <w:t>for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following</w:t>
      </w:r>
      <w:r>
        <w:rPr>
          <w:spacing w:val="-1"/>
        </w:rPr>
        <w:t xml:space="preserve"> </w:t>
      </w:r>
      <w:r>
        <w:t>reasons:</w:t>
      </w:r>
    </w:p>
    <w:p w14:paraId="1491AFEB" w14:textId="77777777" w:rsidR="00C774B2" w:rsidRDefault="00C774B2">
      <w:pPr>
        <w:pStyle w:val="Textoindependiente"/>
        <w:spacing w:before="10"/>
      </w:pPr>
    </w:p>
    <w:p w14:paraId="3416809F" w14:textId="77777777" w:rsidR="00C774B2" w:rsidRDefault="00000000">
      <w:pPr>
        <w:pStyle w:val="Textoindependiente"/>
        <w:ind w:left="1702" w:right="1638"/>
        <w:jc w:val="both"/>
      </w:pPr>
      <w:r>
        <w:t>1.-</w:t>
      </w:r>
      <w:r>
        <w:rPr>
          <w:spacing w:val="1"/>
        </w:rPr>
        <w:t xml:space="preserve"> </w:t>
      </w:r>
      <w:r>
        <w:t>Studies</w:t>
      </w:r>
      <w:r>
        <w:rPr>
          <w:spacing w:val="1"/>
        </w:rPr>
        <w:t xml:space="preserve"> </w:t>
      </w:r>
      <w:r>
        <w:t>demonstrating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effectiveness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longer-term</w:t>
      </w:r>
      <w:r>
        <w:rPr>
          <w:spacing w:val="1"/>
        </w:rPr>
        <w:t xml:space="preserve"> </w:t>
      </w:r>
      <w:r>
        <w:t>interventions</w:t>
      </w:r>
      <w:r>
        <w:rPr>
          <w:spacing w:val="1"/>
        </w:rPr>
        <w:t xml:space="preserve"> </w:t>
      </w:r>
      <w:r>
        <w:t>had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been</w:t>
      </w:r>
      <w:r>
        <w:rPr>
          <w:spacing w:val="1"/>
        </w:rPr>
        <w:t xml:space="preserve"> </w:t>
      </w:r>
      <w:r>
        <w:t>conducted</w:t>
      </w:r>
      <w:r>
        <w:rPr>
          <w:spacing w:val="-3"/>
        </w:rPr>
        <w:t xml:space="preserve"> </w:t>
      </w:r>
      <w:r>
        <w:t>with students.</w:t>
      </w:r>
    </w:p>
    <w:p w14:paraId="5E511AB8" w14:textId="77777777" w:rsidR="00C774B2" w:rsidRDefault="00C774B2">
      <w:pPr>
        <w:pStyle w:val="Textoindependiente"/>
        <w:rPr>
          <w:sz w:val="23"/>
        </w:rPr>
      </w:pPr>
    </w:p>
    <w:p w14:paraId="687ADF35" w14:textId="77777777" w:rsidR="00C774B2" w:rsidRDefault="00000000">
      <w:pPr>
        <w:pStyle w:val="Textoindependiente"/>
        <w:ind w:left="1702" w:right="1635"/>
        <w:jc w:val="both"/>
      </w:pPr>
      <w:r>
        <w:t>2.- A single short session intervention allows us to isolate the variables involved in the results,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many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this</w:t>
      </w:r>
      <w:r>
        <w:rPr>
          <w:spacing w:val="1"/>
        </w:rPr>
        <w:t xml:space="preserve"> </w:t>
      </w:r>
      <w:r>
        <w:t>group</w:t>
      </w:r>
      <w:r>
        <w:rPr>
          <w:spacing w:val="1"/>
        </w:rPr>
        <w:t xml:space="preserve"> </w:t>
      </w:r>
      <w:r>
        <w:t>participate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activities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improve</w:t>
      </w:r>
      <w:r>
        <w:rPr>
          <w:spacing w:val="1"/>
        </w:rPr>
        <w:t xml:space="preserve"> </w:t>
      </w:r>
      <w:r>
        <w:t>their</w:t>
      </w:r>
      <w:r>
        <w:rPr>
          <w:spacing w:val="1"/>
        </w:rPr>
        <w:t xml:space="preserve"> </w:t>
      </w:r>
      <w:r>
        <w:t>resilience</w:t>
      </w:r>
      <w:r>
        <w:rPr>
          <w:spacing w:val="1"/>
        </w:rPr>
        <w:t xml:space="preserve"> </w:t>
      </w:r>
      <w:r>
        <w:t>(e.g.</w:t>
      </w:r>
      <w:r>
        <w:rPr>
          <w:spacing w:val="1"/>
        </w:rPr>
        <w:t xml:space="preserve"> </w:t>
      </w:r>
      <w:r>
        <w:t>volunteering,</w:t>
      </w:r>
      <w:r>
        <w:rPr>
          <w:spacing w:val="-3"/>
        </w:rPr>
        <w:t xml:space="preserve"> </w:t>
      </w:r>
      <w:r>
        <w:t>mentoring) and</w:t>
      </w:r>
      <w:r>
        <w:rPr>
          <w:spacing w:val="-1"/>
        </w:rPr>
        <w:t xml:space="preserve"> </w:t>
      </w:r>
      <w:r>
        <w:t>therefore</w:t>
      </w:r>
      <w:r>
        <w:rPr>
          <w:spacing w:val="-2"/>
        </w:rPr>
        <w:t xml:space="preserve"> </w:t>
      </w:r>
      <w:r>
        <w:t>may influence</w:t>
      </w:r>
      <w:r>
        <w:rPr>
          <w:spacing w:val="-2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outcome.</w:t>
      </w:r>
    </w:p>
    <w:p w14:paraId="4CD1D057" w14:textId="77777777" w:rsidR="00C774B2" w:rsidRDefault="00C774B2">
      <w:pPr>
        <w:pStyle w:val="Textoindependiente"/>
        <w:spacing w:before="11"/>
      </w:pPr>
    </w:p>
    <w:p w14:paraId="28327C83" w14:textId="77777777" w:rsidR="00C774B2" w:rsidRDefault="00000000">
      <w:pPr>
        <w:pStyle w:val="Textoindependiente"/>
        <w:ind w:left="1702" w:right="1636"/>
        <w:jc w:val="both"/>
      </w:pPr>
      <w:r>
        <w:t>3.- Situations such as examinations or concerns about</w:t>
      </w:r>
      <w:r>
        <w:rPr>
          <w:spacing w:val="49"/>
        </w:rPr>
        <w:t xml:space="preserve"> </w:t>
      </w:r>
      <w:r>
        <w:t>workload affect questionnaire scores</w:t>
      </w:r>
      <w:r>
        <w:rPr>
          <w:spacing w:val="1"/>
        </w:rPr>
        <w:t xml:space="preserve"> </w:t>
      </w:r>
      <w:r>
        <w:t>and</w:t>
      </w:r>
      <w:r>
        <w:rPr>
          <w:spacing w:val="-2"/>
        </w:rPr>
        <w:t xml:space="preserve"> </w:t>
      </w:r>
      <w:r>
        <w:t>can</w:t>
      </w:r>
      <w:r>
        <w:rPr>
          <w:spacing w:val="-1"/>
        </w:rPr>
        <w:t xml:space="preserve"> </w:t>
      </w:r>
      <w:r>
        <w:t>lead to</w:t>
      </w:r>
      <w:r>
        <w:rPr>
          <w:spacing w:val="-2"/>
        </w:rPr>
        <w:t xml:space="preserve"> </w:t>
      </w:r>
      <w:r>
        <w:t>withdrawals from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study.</w:t>
      </w:r>
    </w:p>
    <w:p w14:paraId="33DF7E70" w14:textId="77777777" w:rsidR="00C774B2" w:rsidRDefault="00C774B2">
      <w:pPr>
        <w:pStyle w:val="Textoindependiente"/>
        <w:spacing w:before="1"/>
        <w:rPr>
          <w:sz w:val="23"/>
        </w:rPr>
      </w:pPr>
    </w:p>
    <w:p w14:paraId="20026827" w14:textId="77777777" w:rsidR="00C774B2" w:rsidRDefault="00000000">
      <w:pPr>
        <w:pStyle w:val="Textoindependiente"/>
        <w:ind w:left="1702" w:right="1632"/>
        <w:jc w:val="both"/>
      </w:pPr>
      <w:r>
        <w:t>The</w:t>
      </w:r>
      <w:r>
        <w:rPr>
          <w:spacing w:val="1"/>
        </w:rPr>
        <w:t xml:space="preserve"> </w:t>
      </w:r>
      <w:r>
        <w:t>methodology</w:t>
      </w:r>
      <w:r>
        <w:rPr>
          <w:spacing w:val="1"/>
        </w:rPr>
        <w:t xml:space="preserve"> </w:t>
      </w:r>
      <w:r>
        <w:t>consisted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3-minute</w:t>
      </w:r>
      <w:r>
        <w:rPr>
          <w:spacing w:val="1"/>
        </w:rPr>
        <w:t xml:space="preserve"> </w:t>
      </w:r>
      <w:r>
        <w:t>masterclass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each</w:t>
      </w:r>
      <w:r>
        <w:rPr>
          <w:spacing w:val="1"/>
        </w:rPr>
        <w:t xml:space="preserve"> </w:t>
      </w:r>
      <w:r>
        <w:t>module,</w:t>
      </w:r>
      <w:r>
        <w:rPr>
          <w:spacing w:val="1"/>
        </w:rPr>
        <w:t xml:space="preserve"> </w:t>
      </w:r>
      <w:r>
        <w:t>the</w:t>
      </w:r>
      <w:r>
        <w:rPr>
          <w:spacing w:val="49"/>
        </w:rPr>
        <w:t xml:space="preserve"> </w:t>
      </w:r>
      <w:r>
        <w:t>students’</w:t>
      </w:r>
      <w:r>
        <w:rPr>
          <w:spacing w:val="1"/>
        </w:rPr>
        <w:t xml:space="preserve"> </w:t>
      </w:r>
      <w:r>
        <w:t>reflection</w:t>
      </w:r>
      <w:r>
        <w:rPr>
          <w:spacing w:val="10"/>
        </w:rPr>
        <w:t xml:space="preserve"> </w:t>
      </w:r>
      <w:r>
        <w:t>on</w:t>
      </w:r>
      <w:r>
        <w:rPr>
          <w:spacing w:val="9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content</w:t>
      </w:r>
      <w:r>
        <w:rPr>
          <w:spacing w:val="12"/>
        </w:rPr>
        <w:t xml:space="preserve"> </w:t>
      </w:r>
      <w:r>
        <w:t>looking</w:t>
      </w:r>
      <w:r>
        <w:rPr>
          <w:spacing w:val="12"/>
        </w:rPr>
        <w:t xml:space="preserve"> </w:t>
      </w:r>
      <w:r>
        <w:t>to</w:t>
      </w:r>
      <w:r>
        <w:rPr>
          <w:spacing w:val="14"/>
        </w:rPr>
        <w:t xml:space="preserve"> </w:t>
      </w:r>
      <w:r>
        <w:t>be</w:t>
      </w:r>
      <w:r>
        <w:rPr>
          <w:spacing w:val="12"/>
        </w:rPr>
        <w:t xml:space="preserve"> </w:t>
      </w:r>
      <w:r>
        <w:t>able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apply</w:t>
      </w:r>
      <w:r>
        <w:rPr>
          <w:spacing w:val="9"/>
        </w:rPr>
        <w:t xml:space="preserve"> </w:t>
      </w:r>
      <w:r>
        <w:t>it</w:t>
      </w:r>
      <w:r>
        <w:rPr>
          <w:spacing w:val="12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a</w:t>
      </w:r>
      <w:r>
        <w:rPr>
          <w:spacing w:val="9"/>
        </w:rPr>
        <w:t xml:space="preserve"> </w:t>
      </w:r>
      <w:r>
        <w:t>situation</w:t>
      </w:r>
      <w:r>
        <w:rPr>
          <w:spacing w:val="11"/>
        </w:rPr>
        <w:t xml:space="preserve"> </w:t>
      </w:r>
      <w:r>
        <w:t>that</w:t>
      </w:r>
      <w:r>
        <w:rPr>
          <w:spacing w:val="12"/>
        </w:rPr>
        <w:t xml:space="preserve"> </w:t>
      </w:r>
      <w:r>
        <w:t>could</w:t>
      </w:r>
      <w:r>
        <w:rPr>
          <w:spacing w:val="9"/>
        </w:rPr>
        <w:t xml:space="preserve"> </w:t>
      </w:r>
      <w:r>
        <w:t>be</w:t>
      </w:r>
      <w:r>
        <w:rPr>
          <w:spacing w:val="12"/>
        </w:rPr>
        <w:t xml:space="preserve"> </w:t>
      </w:r>
      <w:r>
        <w:t>of</w:t>
      </w:r>
      <w:r>
        <w:rPr>
          <w:spacing w:val="12"/>
        </w:rPr>
        <w:t xml:space="preserve"> </w:t>
      </w:r>
      <w:r>
        <w:t>interest</w:t>
      </w:r>
      <w:r>
        <w:rPr>
          <w:spacing w:val="-48"/>
        </w:rPr>
        <w:t xml:space="preserve"> </w:t>
      </w:r>
      <w:r>
        <w:t>to them by way of completing worksheets, and a practical section using mental and psycho-</w:t>
      </w:r>
      <w:r>
        <w:rPr>
          <w:spacing w:val="1"/>
        </w:rPr>
        <w:t xml:space="preserve"> </w:t>
      </w:r>
      <w:r>
        <w:t>physiological</w:t>
      </w:r>
      <w:r>
        <w:rPr>
          <w:spacing w:val="-2"/>
        </w:rPr>
        <w:t xml:space="preserve"> </w:t>
      </w:r>
      <w:r>
        <w:t>techniques.</w:t>
      </w:r>
    </w:p>
    <w:p w14:paraId="1762755D" w14:textId="77777777" w:rsidR="00C774B2" w:rsidRDefault="00C774B2">
      <w:pPr>
        <w:pStyle w:val="Textoindependiente"/>
        <w:spacing w:before="11"/>
      </w:pPr>
    </w:p>
    <w:p w14:paraId="373D386B" w14:textId="77777777" w:rsidR="00C774B2" w:rsidRDefault="00000000">
      <w:pPr>
        <w:pStyle w:val="Textoindependiente"/>
        <w:ind w:left="1702" w:right="1634"/>
        <w:jc w:val="both"/>
      </w:pPr>
      <w:r>
        <w:t>The</w:t>
      </w:r>
      <w:r>
        <w:rPr>
          <w:spacing w:val="1"/>
        </w:rPr>
        <w:t xml:space="preserve"> </w:t>
      </w:r>
      <w:r>
        <w:t>contents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instructor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taught</w:t>
      </w:r>
      <w:r>
        <w:rPr>
          <w:spacing w:val="1"/>
        </w:rPr>
        <w:t xml:space="preserve"> </w:t>
      </w:r>
      <w:r>
        <w:t>them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same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face-to-face</w:t>
      </w:r>
      <w:r>
        <w:rPr>
          <w:spacing w:val="1"/>
        </w:rPr>
        <w:t xml:space="preserve"> </w:t>
      </w:r>
      <w:r>
        <w:t>intervention group (IG-1) and in the online intervention group (IG-2). In the control group (CG),</w:t>
      </w:r>
      <w:r>
        <w:rPr>
          <w:spacing w:val="-47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students</w:t>
      </w:r>
      <w:r>
        <w:rPr>
          <w:spacing w:val="4"/>
        </w:rPr>
        <w:t xml:space="preserve"> </w:t>
      </w:r>
      <w:r>
        <w:t>were</w:t>
      </w:r>
      <w:r>
        <w:rPr>
          <w:spacing w:val="7"/>
        </w:rPr>
        <w:t xml:space="preserve"> </w:t>
      </w:r>
      <w:r>
        <w:t>asked</w:t>
      </w:r>
      <w:r>
        <w:rPr>
          <w:spacing w:val="5"/>
        </w:rPr>
        <w:t xml:space="preserve"> </w:t>
      </w:r>
      <w:r>
        <w:t>to</w:t>
      </w:r>
      <w:r>
        <w:rPr>
          <w:spacing w:val="6"/>
        </w:rPr>
        <w:t xml:space="preserve"> </w:t>
      </w:r>
      <w:r>
        <w:t>go</w:t>
      </w:r>
      <w:r>
        <w:rPr>
          <w:spacing w:val="7"/>
        </w:rPr>
        <w:t xml:space="preserve"> </w:t>
      </w:r>
      <w:r>
        <w:t>to</w:t>
      </w:r>
      <w:r>
        <w:rPr>
          <w:spacing w:val="7"/>
        </w:rPr>
        <w:t xml:space="preserve"> </w:t>
      </w:r>
      <w:r>
        <w:t>the</w:t>
      </w:r>
      <w:r>
        <w:rPr>
          <w:spacing w:val="6"/>
        </w:rPr>
        <w:t xml:space="preserve"> </w:t>
      </w:r>
      <w:r>
        <w:t>faculty</w:t>
      </w:r>
      <w:r>
        <w:rPr>
          <w:spacing w:val="6"/>
        </w:rPr>
        <w:t xml:space="preserve"> </w:t>
      </w:r>
      <w:r>
        <w:t>library</w:t>
      </w:r>
      <w:r>
        <w:rPr>
          <w:spacing w:val="4"/>
        </w:rPr>
        <w:t xml:space="preserve"> </w:t>
      </w:r>
      <w:r>
        <w:t>without</w:t>
      </w:r>
      <w:r>
        <w:rPr>
          <w:spacing w:val="7"/>
        </w:rPr>
        <w:t xml:space="preserve"> </w:t>
      </w:r>
      <w:r>
        <w:t>receiving</w:t>
      </w:r>
      <w:r>
        <w:rPr>
          <w:spacing w:val="5"/>
        </w:rPr>
        <w:t xml:space="preserve"> </w:t>
      </w:r>
      <w:r>
        <w:t>any</w:t>
      </w:r>
      <w:r>
        <w:rPr>
          <w:spacing w:val="7"/>
        </w:rPr>
        <w:t xml:space="preserve"> </w:t>
      </w:r>
      <w:r>
        <w:t>further</w:t>
      </w:r>
      <w:r>
        <w:rPr>
          <w:spacing w:val="6"/>
        </w:rPr>
        <w:t xml:space="preserve"> </w:t>
      </w:r>
      <w:r>
        <w:t>instructions.</w:t>
      </w:r>
    </w:p>
    <w:p w14:paraId="42AA2D39" w14:textId="77777777" w:rsidR="00C774B2" w:rsidRDefault="00C774B2">
      <w:pPr>
        <w:jc w:val="both"/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1595C112" w14:textId="77777777" w:rsidR="00C774B2" w:rsidRDefault="00000000">
      <w:pPr>
        <w:pStyle w:val="Textoindependiente"/>
        <w:spacing w:before="34" w:line="242" w:lineRule="auto"/>
        <w:ind w:left="1702" w:right="1478"/>
      </w:pPr>
      <w:r>
        <w:lastRenderedPageBreak/>
        <w:t>The</w:t>
      </w:r>
      <w:r>
        <w:rPr>
          <w:spacing w:val="3"/>
        </w:rPr>
        <w:t xml:space="preserve"> </w:t>
      </w:r>
      <w:r>
        <w:t>study</w:t>
      </w:r>
      <w:r>
        <w:rPr>
          <w:spacing w:val="1"/>
        </w:rPr>
        <w:t xml:space="preserve"> </w:t>
      </w:r>
      <w:r>
        <w:t>was</w:t>
      </w:r>
      <w:r>
        <w:rPr>
          <w:spacing w:val="3"/>
        </w:rPr>
        <w:t xml:space="preserve"> </w:t>
      </w:r>
      <w:r>
        <w:t>conducted</w:t>
      </w:r>
      <w:r>
        <w:rPr>
          <w:spacing w:val="49"/>
        </w:rPr>
        <w:t xml:space="preserve"> </w:t>
      </w:r>
      <w:r>
        <w:t>with</w:t>
      </w:r>
      <w:r>
        <w:rPr>
          <w:spacing w:val="3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three</w:t>
      </w:r>
      <w:r>
        <w:rPr>
          <w:spacing w:val="4"/>
        </w:rPr>
        <w:t xml:space="preserve"> </w:t>
      </w:r>
      <w:r>
        <w:t>groups</w:t>
      </w:r>
      <w:r>
        <w:rPr>
          <w:spacing w:val="3"/>
        </w:rPr>
        <w:t xml:space="preserve"> </w:t>
      </w:r>
      <w:r>
        <w:t>on</w:t>
      </w:r>
      <w:r>
        <w:rPr>
          <w:spacing w:val="2"/>
        </w:rPr>
        <w:t xml:space="preserve"> </w:t>
      </w:r>
      <w:r>
        <w:t>the</w:t>
      </w:r>
      <w:r>
        <w:rPr>
          <w:spacing w:val="3"/>
        </w:rPr>
        <w:t xml:space="preserve"> </w:t>
      </w:r>
      <w:r>
        <w:t>same</w:t>
      </w:r>
      <w:r>
        <w:rPr>
          <w:spacing w:val="4"/>
        </w:rPr>
        <w:t xml:space="preserve"> </w:t>
      </w:r>
      <w:r>
        <w:t>day</w:t>
      </w:r>
      <w:r>
        <w:rPr>
          <w:spacing w:val="4"/>
        </w:rPr>
        <w:t xml:space="preserve"> </w:t>
      </w:r>
      <w:r>
        <w:t>(10</w:t>
      </w:r>
      <w:r>
        <w:rPr>
          <w:spacing w:val="4"/>
        </w:rPr>
        <w:t xml:space="preserve"> </w:t>
      </w:r>
      <w:r>
        <w:t>days</w:t>
      </w:r>
      <w:r>
        <w:rPr>
          <w:spacing w:val="1"/>
        </w:rPr>
        <w:t xml:space="preserve"> </w:t>
      </w:r>
      <w:r>
        <w:t>before</w:t>
      </w:r>
      <w:r>
        <w:rPr>
          <w:spacing w:val="1"/>
        </w:rPr>
        <w:t xml:space="preserve"> </w:t>
      </w:r>
      <w:r>
        <w:t>their</w:t>
      </w:r>
      <w:r>
        <w:rPr>
          <w:spacing w:val="-47"/>
        </w:rPr>
        <w:t xml:space="preserve"> </w:t>
      </w:r>
      <w:r>
        <w:t>examinations).</w:t>
      </w:r>
    </w:p>
    <w:p w14:paraId="2D1C8F74" w14:textId="77777777" w:rsidR="00C774B2" w:rsidRDefault="00C774B2">
      <w:pPr>
        <w:pStyle w:val="Textoindependiente"/>
      </w:pPr>
    </w:p>
    <w:p w14:paraId="3BB82CA8" w14:textId="77777777" w:rsidR="00C774B2" w:rsidRDefault="00C774B2">
      <w:pPr>
        <w:pStyle w:val="Textoindependiente"/>
      </w:pPr>
    </w:p>
    <w:p w14:paraId="239608DE" w14:textId="77777777" w:rsidR="00C774B2" w:rsidRDefault="00C774B2">
      <w:pPr>
        <w:pStyle w:val="Textoindependiente"/>
        <w:rPr>
          <w:sz w:val="17"/>
        </w:rPr>
      </w:pPr>
    </w:p>
    <w:p w14:paraId="4DDEEC56" w14:textId="77777777" w:rsidR="00C774B2" w:rsidRDefault="00000000">
      <w:pPr>
        <w:pStyle w:val="Ttulo4"/>
        <w:ind w:left="1702"/>
        <w:jc w:val="left"/>
      </w:pPr>
      <w:r>
        <w:rPr>
          <w:u w:val="single"/>
        </w:rPr>
        <w:t>Ethical</w:t>
      </w:r>
      <w:r>
        <w:rPr>
          <w:spacing w:val="-2"/>
          <w:u w:val="single"/>
        </w:rPr>
        <w:t xml:space="preserve"> </w:t>
      </w:r>
      <w:r>
        <w:rPr>
          <w:u w:val="single"/>
        </w:rPr>
        <w:t>and</w:t>
      </w:r>
      <w:r>
        <w:rPr>
          <w:spacing w:val="-2"/>
          <w:u w:val="single"/>
        </w:rPr>
        <w:t xml:space="preserve"> </w:t>
      </w:r>
      <w:r>
        <w:rPr>
          <w:u w:val="single"/>
        </w:rPr>
        <w:t>legal</w:t>
      </w:r>
      <w:r>
        <w:rPr>
          <w:spacing w:val="-1"/>
          <w:u w:val="single"/>
        </w:rPr>
        <w:t xml:space="preserve"> </w:t>
      </w:r>
      <w:r>
        <w:rPr>
          <w:u w:val="single"/>
        </w:rPr>
        <w:t>aspects</w:t>
      </w:r>
    </w:p>
    <w:p w14:paraId="7C1D8837" w14:textId="77777777" w:rsidR="00C774B2" w:rsidRDefault="00C774B2">
      <w:pPr>
        <w:pStyle w:val="Textoindependiente"/>
        <w:spacing w:before="5"/>
        <w:rPr>
          <w:b/>
          <w:sz w:val="18"/>
        </w:rPr>
      </w:pPr>
    </w:p>
    <w:p w14:paraId="13FF922E" w14:textId="77777777" w:rsidR="00C774B2" w:rsidRDefault="00000000">
      <w:pPr>
        <w:pStyle w:val="Textoindependiente"/>
        <w:spacing w:before="56"/>
        <w:ind w:left="1702" w:right="1634"/>
        <w:jc w:val="both"/>
      </w:pPr>
      <w:r>
        <w:t>The principles enshrined in the Helsinki Declaration on Biomedical Research Involving Human</w:t>
      </w:r>
      <w:r>
        <w:rPr>
          <w:spacing w:val="1"/>
        </w:rPr>
        <w:t xml:space="preserve"> </w:t>
      </w:r>
      <w:r>
        <w:t>Subjects</w:t>
      </w:r>
      <w:r>
        <w:rPr>
          <w:spacing w:val="1"/>
        </w:rPr>
        <w:t xml:space="preserve"> </w:t>
      </w:r>
      <w:r>
        <w:t>were observed</w:t>
      </w:r>
      <w:r>
        <w:rPr>
          <w:spacing w:val="1"/>
        </w:rPr>
        <w:t xml:space="preserve"> </w:t>
      </w:r>
      <w:r>
        <w:t>at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times.</w:t>
      </w:r>
      <w:r>
        <w:rPr>
          <w:spacing w:val="1"/>
        </w:rPr>
        <w:t xml:space="preserve"> </w:t>
      </w:r>
      <w:r>
        <w:t>All</w:t>
      </w:r>
      <w:r>
        <w:rPr>
          <w:spacing w:val="1"/>
        </w:rPr>
        <w:t xml:space="preserve"> </w:t>
      </w:r>
      <w:r>
        <w:t>the students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informed of</w:t>
      </w:r>
      <w:r>
        <w:rPr>
          <w:spacing w:val="1"/>
        </w:rPr>
        <w:t xml:space="preserve"> </w:t>
      </w:r>
      <w:r>
        <w:t>the objectives</w:t>
      </w:r>
      <w:r>
        <w:rPr>
          <w:spacing w:val="49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terms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implementation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signed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informed</w:t>
      </w:r>
      <w:r>
        <w:rPr>
          <w:spacing w:val="1"/>
        </w:rPr>
        <w:t xml:space="preserve"> </w:t>
      </w:r>
      <w:r>
        <w:t>consent</w:t>
      </w:r>
      <w:r>
        <w:rPr>
          <w:spacing w:val="1"/>
        </w:rPr>
        <w:t xml:space="preserve"> </w:t>
      </w:r>
      <w:r>
        <w:t>form</w:t>
      </w:r>
      <w:r>
        <w:rPr>
          <w:spacing w:val="49"/>
        </w:rPr>
        <w:t xml:space="preserve"> </w:t>
      </w:r>
      <w:r>
        <w:t>which</w:t>
      </w:r>
      <w:r>
        <w:rPr>
          <w:spacing w:val="1"/>
        </w:rPr>
        <w:t xml:space="preserve"> </w:t>
      </w:r>
      <w:r>
        <w:t>explained that participation was completely voluntary and anonymous, that they could freely</w:t>
      </w:r>
      <w:r>
        <w:rPr>
          <w:spacing w:val="1"/>
        </w:rPr>
        <w:t xml:space="preserve"> </w:t>
      </w:r>
      <w:r>
        <w:t>withdraw from the study at any time without giving a reason, and that such participation did</w:t>
      </w:r>
      <w:r>
        <w:rPr>
          <w:spacing w:val="1"/>
        </w:rPr>
        <w:t xml:space="preserve"> </w:t>
      </w:r>
      <w:r>
        <w:t>not entail any benefit or harm for students. The confidentiality and privacy of their information</w:t>
      </w:r>
      <w:r>
        <w:rPr>
          <w:spacing w:val="-47"/>
        </w:rPr>
        <w:t xml:space="preserve"> </w:t>
      </w:r>
      <w:r>
        <w:t>were observed in compliance with current regulations on the protection of personal data. 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entered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secure</w:t>
      </w:r>
      <w:r>
        <w:rPr>
          <w:spacing w:val="1"/>
        </w:rPr>
        <w:t xml:space="preserve"> </w:t>
      </w:r>
      <w:r>
        <w:t>databases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access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restricted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researchers. Data analysis was limited to the purposes of this study. The research protocol was</w:t>
      </w:r>
      <w:r>
        <w:rPr>
          <w:spacing w:val="-47"/>
        </w:rPr>
        <w:t xml:space="preserve"> </w:t>
      </w:r>
      <w:r>
        <w:t>approved</w:t>
      </w:r>
      <w:r>
        <w:rPr>
          <w:spacing w:val="-4"/>
        </w:rPr>
        <w:t xml:space="preserve"> </w:t>
      </w:r>
      <w:r>
        <w:t>by the</w:t>
      </w:r>
      <w:r>
        <w:rPr>
          <w:spacing w:val="1"/>
        </w:rPr>
        <w:t xml:space="preserve"> </w:t>
      </w:r>
      <w:r>
        <w:t>faculty’s</w:t>
      </w:r>
      <w:r>
        <w:rPr>
          <w:spacing w:val="-2"/>
        </w:rPr>
        <w:t xml:space="preserve"> </w:t>
      </w:r>
      <w:r>
        <w:t>Research</w:t>
      </w:r>
      <w:r>
        <w:rPr>
          <w:spacing w:val="-3"/>
        </w:rPr>
        <w:t xml:space="preserve"> </w:t>
      </w:r>
      <w:r>
        <w:t>Committee.</w:t>
      </w:r>
    </w:p>
    <w:p w14:paraId="4E97AD47" w14:textId="77777777" w:rsidR="00C774B2" w:rsidRDefault="00C774B2">
      <w:pPr>
        <w:pStyle w:val="Textoindependiente"/>
        <w:spacing w:before="11"/>
      </w:pPr>
    </w:p>
    <w:p w14:paraId="2BDF49F8" w14:textId="77777777" w:rsidR="00C774B2" w:rsidRDefault="00000000">
      <w:pPr>
        <w:pStyle w:val="Ttulo4"/>
        <w:ind w:left="1702"/>
        <w:jc w:val="both"/>
      </w:pPr>
      <w:r>
        <w:rPr>
          <w:u w:val="single"/>
        </w:rPr>
        <w:t>Data</w:t>
      </w:r>
      <w:r>
        <w:rPr>
          <w:spacing w:val="-3"/>
          <w:u w:val="single"/>
        </w:rPr>
        <w:t xml:space="preserve"> </w:t>
      </w:r>
      <w:r>
        <w:rPr>
          <w:u w:val="single"/>
        </w:rPr>
        <w:t>analysis</w:t>
      </w:r>
    </w:p>
    <w:p w14:paraId="30258C61" w14:textId="77777777" w:rsidR="00C774B2" w:rsidRDefault="00C774B2">
      <w:pPr>
        <w:pStyle w:val="Textoindependiente"/>
        <w:spacing w:before="5"/>
        <w:rPr>
          <w:b/>
          <w:sz w:val="18"/>
        </w:rPr>
      </w:pPr>
    </w:p>
    <w:p w14:paraId="2B87448C" w14:textId="77777777" w:rsidR="00C774B2" w:rsidRDefault="00000000">
      <w:pPr>
        <w:pStyle w:val="Textoindependiente"/>
        <w:spacing w:before="56"/>
        <w:ind w:left="1702" w:right="1635"/>
        <w:jc w:val="both"/>
      </w:pPr>
      <w:r>
        <w:t>Means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standard</w:t>
      </w:r>
      <w:r>
        <w:rPr>
          <w:spacing w:val="1"/>
        </w:rPr>
        <w:t xml:space="preserve"> </w:t>
      </w:r>
      <w:r>
        <w:t>deviations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calculated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quantitative</w:t>
      </w:r>
      <w:r>
        <w:rPr>
          <w:spacing w:val="1"/>
        </w:rPr>
        <w:t xml:space="preserve"> </w:t>
      </w:r>
      <w:r>
        <w:t>variables.</w:t>
      </w:r>
      <w:r>
        <w:rPr>
          <w:spacing w:val="1"/>
        </w:rPr>
        <w:t xml:space="preserve"> </w:t>
      </w:r>
      <w:r>
        <w:t>Absolute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relative frequencies (percentages) were calculated for qualitative variables. The assumption of</w:t>
      </w:r>
      <w:r>
        <w:rPr>
          <w:spacing w:val="1"/>
        </w:rPr>
        <w:t xml:space="preserve"> </w:t>
      </w:r>
      <w:r>
        <w:t>normality of the data was checked using graphical representation tests (histograms and Q-Q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P-P</w:t>
      </w:r>
      <w:r>
        <w:rPr>
          <w:spacing w:val="1"/>
        </w:rPr>
        <w:t xml:space="preserve"> </w:t>
      </w:r>
      <w:r>
        <w:t>plots)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significance</w:t>
      </w:r>
      <w:r>
        <w:rPr>
          <w:spacing w:val="1"/>
        </w:rPr>
        <w:t xml:space="preserve"> </w:t>
      </w:r>
      <w:r>
        <w:t>tests</w:t>
      </w:r>
      <w:r>
        <w:rPr>
          <w:spacing w:val="1"/>
        </w:rPr>
        <w:t xml:space="preserve"> </w:t>
      </w:r>
      <w:r>
        <w:t>such</w:t>
      </w:r>
      <w:r>
        <w:rPr>
          <w:spacing w:val="1"/>
        </w:rPr>
        <w:t xml:space="preserve"> </w:t>
      </w:r>
      <w:r>
        <w:t>as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Shapiro-Wilk</w:t>
      </w:r>
      <w:r>
        <w:rPr>
          <w:spacing w:val="1"/>
        </w:rPr>
        <w:t xml:space="preserve"> </w:t>
      </w:r>
      <w:r>
        <w:t>test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Kolmogorov-Smirnov test</w:t>
      </w:r>
      <w:r>
        <w:rPr>
          <w:spacing w:val="-2"/>
        </w:rPr>
        <w:t xml:space="preserve"> </w:t>
      </w:r>
      <w:r>
        <w:t>(with the</w:t>
      </w:r>
      <w:r>
        <w:rPr>
          <w:spacing w:val="-2"/>
        </w:rPr>
        <w:t xml:space="preserve"> </w:t>
      </w:r>
      <w:r>
        <w:t>Lilliefors</w:t>
      </w:r>
      <w:r>
        <w:rPr>
          <w:spacing w:val="-2"/>
        </w:rPr>
        <w:t xml:space="preserve"> </w:t>
      </w:r>
      <w:r>
        <w:t>correction</w:t>
      </w:r>
      <w:r>
        <w:rPr>
          <w:spacing w:val="-2"/>
        </w:rPr>
        <w:t xml:space="preserve"> </w:t>
      </w:r>
      <w:r>
        <w:t>applied).</w:t>
      </w:r>
    </w:p>
    <w:p w14:paraId="7F5D8A7E" w14:textId="77777777" w:rsidR="00C774B2" w:rsidRDefault="00C774B2">
      <w:pPr>
        <w:pStyle w:val="Textoindependiente"/>
        <w:spacing w:before="11"/>
        <w:rPr>
          <w:sz w:val="21"/>
        </w:rPr>
      </w:pPr>
    </w:p>
    <w:p w14:paraId="42970998" w14:textId="77777777" w:rsidR="00C774B2" w:rsidRDefault="00000000">
      <w:pPr>
        <w:pStyle w:val="Textoindependiente"/>
        <w:ind w:left="1702" w:right="1634"/>
        <w:jc w:val="both"/>
      </w:pPr>
      <w:r>
        <w:t>For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comparisons,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rPr>
          <w:i/>
        </w:rPr>
        <w:t>χ</w:t>
      </w:r>
      <w:r>
        <w:t>-squared</w:t>
      </w:r>
      <w:r>
        <w:rPr>
          <w:spacing w:val="1"/>
        </w:rPr>
        <w:t xml:space="preserve"> </w:t>
      </w:r>
      <w:r>
        <w:t>test</w:t>
      </w:r>
      <w:r>
        <w:rPr>
          <w:spacing w:val="1"/>
        </w:rPr>
        <w:t xml:space="preserve"> </w:t>
      </w:r>
      <w:r>
        <w:t>was</w:t>
      </w:r>
      <w:r>
        <w:rPr>
          <w:spacing w:val="1"/>
        </w:rPr>
        <w:t xml:space="preserve"> </w:t>
      </w:r>
      <w:r>
        <w:t>used</w:t>
      </w:r>
      <w:r>
        <w:rPr>
          <w:spacing w:val="1"/>
        </w:rPr>
        <w:t xml:space="preserve"> </w:t>
      </w:r>
      <w:r>
        <w:t>(applying</w:t>
      </w:r>
      <w:r>
        <w:rPr>
          <w:spacing w:val="1"/>
        </w:rPr>
        <w:t xml:space="preserve"> </w:t>
      </w:r>
      <w:r>
        <w:t>Fisher’s</w:t>
      </w:r>
      <w:r>
        <w:rPr>
          <w:spacing w:val="1"/>
        </w:rPr>
        <w:t xml:space="preserve"> </w:t>
      </w:r>
      <w:r>
        <w:t>exact</w:t>
      </w:r>
      <w:r>
        <w:rPr>
          <w:spacing w:val="1"/>
        </w:rPr>
        <w:t xml:space="preserve"> </w:t>
      </w:r>
      <w:r>
        <w:t>test,</w:t>
      </w:r>
      <w:r>
        <w:rPr>
          <w:spacing w:val="1"/>
        </w:rPr>
        <w:t xml:space="preserve"> </w:t>
      </w:r>
      <w:r>
        <w:t>if</w:t>
      </w:r>
      <w:r>
        <w:rPr>
          <w:spacing w:val="1"/>
        </w:rPr>
        <w:t xml:space="preserve"> </w:t>
      </w:r>
      <w:r>
        <w:t xml:space="preserve">indicated) and the </w:t>
      </w:r>
      <w:r>
        <w:rPr>
          <w:i/>
        </w:rPr>
        <w:t>Z</w:t>
      </w:r>
      <w:r>
        <w:t>-test for qualitative variables. For the comparison of two means, Student’s</w:t>
      </w:r>
      <w:r>
        <w:rPr>
          <w:spacing w:val="1"/>
        </w:rPr>
        <w:t xml:space="preserve"> </w:t>
      </w:r>
      <w:r>
        <w:rPr>
          <w:i/>
        </w:rPr>
        <w:t>t</w:t>
      </w:r>
      <w:r>
        <w:t xml:space="preserve">-test or Mann-Whitney’s </w:t>
      </w:r>
      <w:r>
        <w:rPr>
          <w:i/>
        </w:rPr>
        <w:t>U</w:t>
      </w:r>
      <w:r>
        <w:t>-test was used, depending on whether or not the data in question</w:t>
      </w:r>
      <w:r>
        <w:rPr>
          <w:spacing w:val="1"/>
        </w:rPr>
        <w:t xml:space="preserve"> </w:t>
      </w:r>
      <w:r>
        <w:t>were parametric. For the comparison of three arithmetic means, the parametric test ANOVA</w:t>
      </w:r>
      <w:r>
        <w:rPr>
          <w:spacing w:val="1"/>
        </w:rPr>
        <w:t xml:space="preserve"> </w:t>
      </w:r>
      <w:r>
        <w:t>was used, with post-hoc analyses for the pairwise comparison of groups, using the Bonferroni,</w:t>
      </w:r>
      <w:r>
        <w:rPr>
          <w:spacing w:val="1"/>
        </w:rPr>
        <w:t xml:space="preserve"> </w:t>
      </w:r>
      <w:r>
        <w:t>Tukey’s HSD, and Scheffe tests.</w:t>
      </w:r>
      <w:r>
        <w:rPr>
          <w:spacing w:val="1"/>
        </w:rPr>
        <w:t xml:space="preserve"> </w:t>
      </w:r>
      <w:r>
        <w:t>The homoscedasticity of the data was checked using Levene’s</w:t>
      </w:r>
      <w:r>
        <w:rPr>
          <w:spacing w:val="1"/>
        </w:rPr>
        <w:t xml:space="preserve"> </w:t>
      </w:r>
      <w:r>
        <w:t>test.</w:t>
      </w:r>
    </w:p>
    <w:p w14:paraId="3757F5F2" w14:textId="77777777" w:rsidR="00C774B2" w:rsidRDefault="00C774B2">
      <w:pPr>
        <w:pStyle w:val="Textoindependiente"/>
      </w:pPr>
    </w:p>
    <w:p w14:paraId="448303B4" w14:textId="77777777" w:rsidR="00C774B2" w:rsidRDefault="00000000">
      <w:pPr>
        <w:pStyle w:val="Textoindependiente"/>
        <w:ind w:left="1702" w:right="1640"/>
        <w:jc w:val="both"/>
      </w:pPr>
      <w:r>
        <w:t>Blinding criteria were established for the statistical analysis of the data by means of neutral</w:t>
      </w:r>
      <w:r>
        <w:rPr>
          <w:spacing w:val="1"/>
        </w:rPr>
        <w:t xml:space="preserve"> </w:t>
      </w:r>
      <w:r>
        <w:t>coding</w:t>
      </w:r>
      <w:r>
        <w:rPr>
          <w:spacing w:val="-1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which</w:t>
      </w:r>
      <w:r>
        <w:rPr>
          <w:spacing w:val="-1"/>
        </w:rPr>
        <w:t xml:space="preserve"> </w:t>
      </w:r>
      <w:r>
        <w:t>group</w:t>
      </w:r>
      <w:r>
        <w:rPr>
          <w:spacing w:val="-1"/>
        </w:rPr>
        <w:t xml:space="preserve"> </w:t>
      </w:r>
      <w:r>
        <w:t>each</w:t>
      </w:r>
      <w:r>
        <w:rPr>
          <w:spacing w:val="-1"/>
        </w:rPr>
        <w:t xml:space="preserve"> </w:t>
      </w:r>
      <w:r>
        <w:t>student</w:t>
      </w:r>
      <w:r>
        <w:rPr>
          <w:spacing w:val="-1"/>
        </w:rPr>
        <w:t xml:space="preserve"> </w:t>
      </w:r>
      <w:r>
        <w:t>was in.</w:t>
      </w:r>
    </w:p>
    <w:p w14:paraId="7131F278" w14:textId="77777777" w:rsidR="00C774B2" w:rsidRDefault="00C774B2">
      <w:pPr>
        <w:pStyle w:val="Textoindependiente"/>
        <w:spacing w:before="1"/>
      </w:pPr>
    </w:p>
    <w:p w14:paraId="242FDCE2" w14:textId="77777777" w:rsidR="00C774B2" w:rsidRDefault="00000000">
      <w:pPr>
        <w:pStyle w:val="Textoindependiente"/>
        <w:ind w:left="1702" w:right="1636"/>
        <w:jc w:val="both"/>
      </w:pPr>
      <w:r>
        <w:t>All</w:t>
      </w:r>
      <w:r>
        <w:rPr>
          <w:spacing w:val="1"/>
        </w:rPr>
        <w:t xml:space="preserve"> </w:t>
      </w:r>
      <w:r>
        <w:t>hypothesis</w:t>
      </w:r>
      <w:r>
        <w:rPr>
          <w:spacing w:val="1"/>
        </w:rPr>
        <w:t xml:space="preserve"> </w:t>
      </w:r>
      <w:r>
        <w:t>tests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two-tailed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conducted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significance</w:t>
      </w:r>
      <w:r>
        <w:rPr>
          <w:spacing w:val="1"/>
        </w:rPr>
        <w:t xml:space="preserve"> </w:t>
      </w:r>
      <w:r>
        <w:t>threshold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alpha</w:t>
      </w:r>
      <w:r>
        <w:rPr>
          <w:spacing w:val="1"/>
        </w:rPr>
        <w:t xml:space="preserve"> </w:t>
      </w:r>
      <w:r>
        <w:t>error</w:t>
      </w:r>
      <w:r>
        <w:rPr>
          <w:spacing w:val="1"/>
        </w:rPr>
        <w:t xml:space="preserve"> </w:t>
      </w:r>
      <w:r>
        <w:t>&lt;</w:t>
      </w:r>
      <w:r>
        <w:rPr>
          <w:spacing w:val="1"/>
        </w:rPr>
        <w:t xml:space="preserve"> </w:t>
      </w:r>
      <w:r>
        <w:t>5%</w:t>
      </w:r>
      <w:r>
        <w:rPr>
          <w:spacing w:val="1"/>
        </w:rPr>
        <w:t xml:space="preserve"> </w:t>
      </w:r>
      <w:r>
        <w:t>(</w:t>
      </w:r>
      <w:r>
        <w:rPr>
          <w:i/>
        </w:rPr>
        <w:t>p</w:t>
      </w:r>
      <w:r>
        <w:rPr>
          <w:i/>
          <w:spacing w:val="1"/>
        </w:rPr>
        <w:t xml:space="preserve"> </w:t>
      </w:r>
      <w:r>
        <w:t>&lt;</w:t>
      </w:r>
      <w:r>
        <w:rPr>
          <w:spacing w:val="1"/>
        </w:rPr>
        <w:t xml:space="preserve"> </w:t>
      </w:r>
      <w:r>
        <w:t>0.05).</w:t>
      </w:r>
      <w:r>
        <w:rPr>
          <w:spacing w:val="1"/>
        </w:rPr>
        <w:t xml:space="preserve"> </w:t>
      </w:r>
      <w:r>
        <w:t>Confidence</w:t>
      </w:r>
      <w:r>
        <w:rPr>
          <w:spacing w:val="1"/>
        </w:rPr>
        <w:t xml:space="preserve"> </w:t>
      </w:r>
      <w:r>
        <w:t>intervals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calculated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95%</w:t>
      </w:r>
      <w:r>
        <w:rPr>
          <w:spacing w:val="-47"/>
        </w:rPr>
        <w:t xml:space="preserve"> </w:t>
      </w:r>
      <w:r>
        <w:t>certainty.</w:t>
      </w:r>
      <w:r>
        <w:rPr>
          <w:spacing w:val="-2"/>
        </w:rPr>
        <w:t xml:space="preserve"> </w:t>
      </w:r>
      <w:r>
        <w:t>SPSS</w:t>
      </w:r>
      <w:r>
        <w:rPr>
          <w:spacing w:val="-3"/>
        </w:rPr>
        <w:t xml:space="preserve"> </w:t>
      </w:r>
      <w:r>
        <w:t>v.</w:t>
      </w:r>
      <w:r>
        <w:rPr>
          <w:spacing w:val="-3"/>
        </w:rPr>
        <w:t xml:space="preserve"> </w:t>
      </w:r>
      <w:r>
        <w:t>22 and</w:t>
      </w:r>
      <w:r>
        <w:rPr>
          <w:spacing w:val="-3"/>
        </w:rPr>
        <w:t xml:space="preserve"> </w:t>
      </w:r>
      <w:r>
        <w:t>Epidat v.</w:t>
      </w:r>
      <w:r>
        <w:rPr>
          <w:spacing w:val="-4"/>
        </w:rPr>
        <w:t xml:space="preserve"> </w:t>
      </w:r>
      <w:r>
        <w:t>4.2.</w:t>
      </w:r>
      <w:r>
        <w:rPr>
          <w:spacing w:val="-3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used</w:t>
      </w:r>
      <w:r>
        <w:rPr>
          <w:spacing w:val="4"/>
        </w:rPr>
        <w:t xml:space="preserve"> </w:t>
      </w:r>
      <w:r>
        <w:t>for data analysis.</w:t>
      </w:r>
    </w:p>
    <w:p w14:paraId="5B39842B" w14:textId="77777777" w:rsidR="00C774B2" w:rsidRDefault="00C774B2">
      <w:pPr>
        <w:pStyle w:val="Textoindependiente"/>
      </w:pPr>
    </w:p>
    <w:p w14:paraId="48905D0E" w14:textId="77777777" w:rsidR="00C774B2" w:rsidRDefault="00C774B2">
      <w:pPr>
        <w:pStyle w:val="Textoindependiente"/>
        <w:spacing w:before="11"/>
      </w:pPr>
    </w:p>
    <w:p w14:paraId="654ED074" w14:textId="77777777" w:rsidR="00C774B2" w:rsidRDefault="00000000">
      <w:pPr>
        <w:pStyle w:val="Ttulo4"/>
        <w:ind w:right="1636"/>
      </w:pPr>
      <w:r>
        <w:rPr>
          <w:u w:val="single"/>
        </w:rPr>
        <w:t>RESULTS</w:t>
      </w:r>
    </w:p>
    <w:p w14:paraId="1B9FE156" w14:textId="77777777" w:rsidR="00C774B2" w:rsidRDefault="00C774B2">
      <w:pPr>
        <w:pStyle w:val="Textoindependiente"/>
        <w:spacing w:before="5"/>
        <w:rPr>
          <w:b/>
          <w:sz w:val="18"/>
        </w:rPr>
      </w:pPr>
    </w:p>
    <w:p w14:paraId="5F9468FF" w14:textId="77777777" w:rsidR="00C774B2" w:rsidRDefault="00000000">
      <w:pPr>
        <w:spacing w:before="57"/>
        <w:ind w:left="1702"/>
        <w:rPr>
          <w:b/>
        </w:rPr>
      </w:pPr>
      <w:r>
        <w:rPr>
          <w:b/>
          <w:u w:val="single"/>
        </w:rPr>
        <w:t>Sample</w:t>
      </w:r>
      <w:r>
        <w:rPr>
          <w:b/>
          <w:spacing w:val="-4"/>
          <w:u w:val="single"/>
        </w:rPr>
        <w:t xml:space="preserve"> </w:t>
      </w:r>
      <w:r>
        <w:rPr>
          <w:b/>
          <w:u w:val="single"/>
        </w:rPr>
        <w:t>characteristics</w:t>
      </w:r>
    </w:p>
    <w:p w14:paraId="5B8CE6C9" w14:textId="77777777" w:rsidR="00C774B2" w:rsidRDefault="00C774B2">
      <w:pPr>
        <w:pStyle w:val="Textoindependiente"/>
        <w:spacing w:before="2"/>
        <w:rPr>
          <w:b/>
          <w:sz w:val="10"/>
        </w:rPr>
      </w:pPr>
    </w:p>
    <w:p w14:paraId="477E994A" w14:textId="77777777" w:rsidR="00C774B2" w:rsidRDefault="00000000">
      <w:pPr>
        <w:pStyle w:val="Textoindependiente"/>
        <w:spacing w:before="56" w:line="259" w:lineRule="auto"/>
        <w:ind w:left="1702" w:right="1634"/>
        <w:jc w:val="both"/>
      </w:pPr>
      <w:r>
        <w:t>Of the 370 students in the target population, 245 agreed to participate in the study and</w:t>
      </w:r>
      <w:r>
        <w:rPr>
          <w:spacing w:val="1"/>
        </w:rPr>
        <w:t xml:space="preserve"> </w:t>
      </w:r>
      <w:r>
        <w:t>completed</w:t>
      </w:r>
      <w:r>
        <w:rPr>
          <w:spacing w:val="1"/>
        </w:rPr>
        <w:t xml:space="preserve"> </w:t>
      </w:r>
      <w:r>
        <w:t>it</w:t>
      </w:r>
      <w:r>
        <w:rPr>
          <w:spacing w:val="1"/>
        </w:rPr>
        <w:t xml:space="preserve"> </w:t>
      </w:r>
      <w:r>
        <w:t>(66.2%).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these,</w:t>
      </w:r>
      <w:r>
        <w:rPr>
          <w:spacing w:val="1"/>
        </w:rPr>
        <w:t xml:space="preserve"> </w:t>
      </w:r>
      <w:r>
        <w:t>189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women</w:t>
      </w:r>
      <w:r>
        <w:rPr>
          <w:spacing w:val="1"/>
        </w:rPr>
        <w:t xml:space="preserve"> </w:t>
      </w:r>
      <w:r>
        <w:t>(77.1%)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194</w:t>
      </w:r>
      <w:r>
        <w:rPr>
          <w:spacing w:val="1"/>
        </w:rPr>
        <w:t xml:space="preserve"> </w:t>
      </w:r>
      <w:r>
        <w:t>(79.2%)</w:t>
      </w:r>
      <w:r>
        <w:rPr>
          <w:spacing w:val="1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nursing</w:t>
      </w:r>
      <w:r>
        <w:rPr>
          <w:spacing w:val="-47"/>
        </w:rPr>
        <w:t xml:space="preserve"> </w:t>
      </w:r>
      <w:r>
        <w:t>students.</w:t>
      </w:r>
      <w:r>
        <w:rPr>
          <w:spacing w:val="25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overall</w:t>
      </w:r>
      <w:r>
        <w:rPr>
          <w:spacing w:val="25"/>
        </w:rPr>
        <w:t xml:space="preserve"> </w:t>
      </w:r>
      <w:r>
        <w:t>mean</w:t>
      </w:r>
      <w:r>
        <w:rPr>
          <w:spacing w:val="26"/>
        </w:rPr>
        <w:t xml:space="preserve"> </w:t>
      </w:r>
      <w:r>
        <w:t>age</w:t>
      </w:r>
      <w:r>
        <w:rPr>
          <w:spacing w:val="26"/>
        </w:rPr>
        <w:t xml:space="preserve"> </w:t>
      </w:r>
      <w:r>
        <w:t>of</w:t>
      </w:r>
      <w:r>
        <w:rPr>
          <w:spacing w:val="26"/>
        </w:rPr>
        <w:t xml:space="preserve"> </w:t>
      </w:r>
      <w:r>
        <w:t>the</w:t>
      </w:r>
      <w:r>
        <w:rPr>
          <w:spacing w:val="26"/>
        </w:rPr>
        <w:t xml:space="preserve"> </w:t>
      </w:r>
      <w:r>
        <w:t>sample</w:t>
      </w:r>
      <w:r>
        <w:rPr>
          <w:spacing w:val="26"/>
        </w:rPr>
        <w:t xml:space="preserve"> </w:t>
      </w:r>
      <w:r>
        <w:t>was</w:t>
      </w:r>
      <w:r>
        <w:rPr>
          <w:spacing w:val="24"/>
        </w:rPr>
        <w:t xml:space="preserve"> </w:t>
      </w:r>
      <w:r>
        <w:t>19.7</w:t>
      </w:r>
      <w:r>
        <w:rPr>
          <w:spacing w:val="27"/>
        </w:rPr>
        <w:t xml:space="preserve"> </w:t>
      </w:r>
      <w:r>
        <w:t>(SD</w:t>
      </w:r>
      <w:r>
        <w:rPr>
          <w:spacing w:val="27"/>
        </w:rPr>
        <w:t xml:space="preserve"> </w:t>
      </w:r>
      <w:r>
        <w:t>=</w:t>
      </w:r>
      <w:r>
        <w:rPr>
          <w:spacing w:val="27"/>
        </w:rPr>
        <w:t xml:space="preserve"> </w:t>
      </w:r>
      <w:r>
        <w:t>4.9)</w:t>
      </w:r>
      <w:r>
        <w:rPr>
          <w:spacing w:val="26"/>
        </w:rPr>
        <w:t xml:space="preserve"> </w:t>
      </w:r>
      <w:r>
        <w:t>years</w:t>
      </w:r>
      <w:r>
        <w:rPr>
          <w:spacing w:val="26"/>
        </w:rPr>
        <w:t xml:space="preserve"> </w:t>
      </w:r>
      <w:r>
        <w:t>old</w:t>
      </w:r>
      <w:r>
        <w:rPr>
          <w:spacing w:val="25"/>
        </w:rPr>
        <w:t xml:space="preserve"> </w:t>
      </w:r>
      <w:r>
        <w:t>(95%</w:t>
      </w:r>
      <w:r>
        <w:rPr>
          <w:spacing w:val="27"/>
        </w:rPr>
        <w:t xml:space="preserve"> </w:t>
      </w:r>
      <w:r>
        <w:t>CI:</w:t>
      </w:r>
      <w:r>
        <w:rPr>
          <w:spacing w:val="27"/>
        </w:rPr>
        <w:t xml:space="preserve"> </w:t>
      </w:r>
      <w:r>
        <w:t>19.1</w:t>
      </w:r>
      <w:r>
        <w:rPr>
          <w:spacing w:val="24"/>
        </w:rPr>
        <w:t xml:space="preserve"> </w:t>
      </w:r>
      <w:r>
        <w:t>-</w:t>
      </w:r>
      <w:r>
        <w:rPr>
          <w:spacing w:val="-47"/>
        </w:rPr>
        <w:t xml:space="preserve"> </w:t>
      </w:r>
      <w:r>
        <w:t>20.3) and</w:t>
      </w:r>
      <w:r>
        <w:rPr>
          <w:spacing w:val="-3"/>
        </w:rPr>
        <w:t xml:space="preserve"> </w:t>
      </w:r>
      <w:r>
        <w:t>23.7%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studying and</w:t>
      </w:r>
      <w:r>
        <w:rPr>
          <w:spacing w:val="-2"/>
        </w:rPr>
        <w:t xml:space="preserve"> </w:t>
      </w:r>
      <w:r>
        <w:t>working</w:t>
      </w:r>
      <w:r>
        <w:rPr>
          <w:spacing w:val="-1"/>
        </w:rPr>
        <w:t xml:space="preserve"> </w:t>
      </w:r>
      <w:r>
        <w:t>simultaneously</w:t>
      </w:r>
      <w:r>
        <w:rPr>
          <w:spacing w:val="-1"/>
        </w:rPr>
        <w:t xml:space="preserve"> </w:t>
      </w:r>
      <w:r>
        <w:t>(Table 1).</w:t>
      </w:r>
    </w:p>
    <w:p w14:paraId="5ECB97C7" w14:textId="77777777" w:rsidR="00C774B2" w:rsidRDefault="00C774B2">
      <w:pPr>
        <w:spacing w:line="259" w:lineRule="auto"/>
        <w:jc w:val="both"/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438A9CB6" w14:textId="77777777" w:rsidR="00C774B2" w:rsidRDefault="00000000">
      <w:pPr>
        <w:pStyle w:val="Textoindependiente"/>
        <w:spacing w:before="34" w:line="259" w:lineRule="auto"/>
        <w:ind w:left="1702" w:right="1632"/>
        <w:jc w:val="both"/>
      </w:pPr>
      <w:r>
        <w:lastRenderedPageBreak/>
        <w:t>Table</w:t>
      </w:r>
      <w:r>
        <w:rPr>
          <w:spacing w:val="1"/>
        </w:rPr>
        <w:t xml:space="preserve"> </w:t>
      </w:r>
      <w:r>
        <w:t>2</w:t>
      </w:r>
      <w:r>
        <w:rPr>
          <w:spacing w:val="1"/>
        </w:rPr>
        <w:t xml:space="preserve"> </w:t>
      </w:r>
      <w:r>
        <w:t>shows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Positive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Affect</w:t>
      </w:r>
      <w:r>
        <w:rPr>
          <w:spacing w:val="1"/>
        </w:rPr>
        <w:t xml:space="preserve"> </w:t>
      </w:r>
      <w:r>
        <w:t>Schedule</w:t>
      </w:r>
      <w:r>
        <w:rPr>
          <w:spacing w:val="1"/>
        </w:rPr>
        <w:t xml:space="preserve"> </w:t>
      </w:r>
      <w:r>
        <w:t>(PANAS)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-47"/>
        </w:rPr>
        <w:t xml:space="preserve"> </w:t>
      </w:r>
      <w:r>
        <w:t>Academic Stressors Scale (ECEA). The mean score for Positive Affect was higher in the CG than</w:t>
      </w:r>
      <w:r>
        <w:rPr>
          <w:spacing w:val="1"/>
        </w:rPr>
        <w:t xml:space="preserve"> </w:t>
      </w:r>
      <w:r>
        <w:t>in the IGs; however, differences were not statistically significant. The mean score for Negative</w:t>
      </w:r>
      <w:r>
        <w:rPr>
          <w:spacing w:val="1"/>
        </w:rPr>
        <w:t xml:space="preserve"> </w:t>
      </w:r>
      <w:r>
        <w:t>Affect was higher in IG-1 in comparison to the other two study groups (</w:t>
      </w:r>
      <w:r>
        <w:rPr>
          <w:i/>
        </w:rPr>
        <w:t xml:space="preserve">p </w:t>
      </w:r>
      <w:r>
        <w:t>= 0.12), but the post-</w:t>
      </w:r>
      <w:r>
        <w:rPr>
          <w:spacing w:val="1"/>
        </w:rPr>
        <w:t xml:space="preserve"> </w:t>
      </w:r>
      <w:r>
        <w:t>hoc</w:t>
      </w:r>
      <w:r>
        <w:rPr>
          <w:spacing w:val="1"/>
        </w:rPr>
        <w:t xml:space="preserve"> </w:t>
      </w:r>
      <w:r>
        <w:t>analysis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pairwise</w:t>
      </w:r>
      <w:r>
        <w:rPr>
          <w:spacing w:val="1"/>
        </w:rPr>
        <w:t xml:space="preserve"> </w:t>
      </w:r>
      <w:r>
        <w:t>comparisons</w:t>
      </w:r>
      <w:r>
        <w:rPr>
          <w:spacing w:val="1"/>
        </w:rPr>
        <w:t xml:space="preserve"> </w:t>
      </w:r>
      <w:r>
        <w:t>revealed</w:t>
      </w:r>
      <w:r>
        <w:rPr>
          <w:spacing w:val="1"/>
        </w:rPr>
        <w:t xml:space="preserve"> </w:t>
      </w:r>
      <w:r>
        <w:t>no</w:t>
      </w:r>
      <w:r>
        <w:rPr>
          <w:spacing w:val="1"/>
        </w:rPr>
        <w:t xml:space="preserve"> </w:t>
      </w:r>
      <w:r>
        <w:t>statistical</w:t>
      </w:r>
      <w:r>
        <w:rPr>
          <w:spacing w:val="1"/>
        </w:rPr>
        <w:t xml:space="preserve"> </w:t>
      </w:r>
      <w:r>
        <w:t>significance.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regard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academic stressors, no differences were found in the comparison of dimensions between the</w:t>
      </w:r>
      <w:r>
        <w:rPr>
          <w:spacing w:val="1"/>
        </w:rPr>
        <w:t xml:space="preserve"> </w:t>
      </w:r>
      <w:r>
        <w:t>three</w:t>
      </w:r>
      <w:r>
        <w:rPr>
          <w:spacing w:val="-1"/>
        </w:rPr>
        <w:t xml:space="preserve"> </w:t>
      </w:r>
      <w:r>
        <w:t>groups.</w:t>
      </w:r>
    </w:p>
    <w:p w14:paraId="37AACFC7" w14:textId="77777777" w:rsidR="00C774B2" w:rsidRDefault="00000000">
      <w:pPr>
        <w:pStyle w:val="Textoindependiente"/>
        <w:spacing w:before="159" w:line="259" w:lineRule="auto"/>
        <w:ind w:left="1702" w:right="1635"/>
        <w:jc w:val="both"/>
      </w:pPr>
      <w:r>
        <w:t>The</w:t>
      </w:r>
      <w:r>
        <w:rPr>
          <w:spacing w:val="1"/>
        </w:rPr>
        <w:t xml:space="preserve"> </w:t>
      </w:r>
      <w:r>
        <w:t>results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COPE-48</w:t>
      </w:r>
      <w:r>
        <w:rPr>
          <w:spacing w:val="1"/>
        </w:rPr>
        <w:t xml:space="preserve"> </w:t>
      </w:r>
      <w:r>
        <w:t>stress</w:t>
      </w:r>
      <w:r>
        <w:rPr>
          <w:spacing w:val="1"/>
        </w:rPr>
        <w:t xml:space="preserve"> </w:t>
      </w:r>
      <w:r>
        <w:t>coping</w:t>
      </w:r>
      <w:r>
        <w:rPr>
          <w:spacing w:val="1"/>
        </w:rPr>
        <w:t xml:space="preserve"> </w:t>
      </w:r>
      <w:r>
        <w:t>scale</w:t>
      </w:r>
      <w:r>
        <w:rPr>
          <w:spacing w:val="1"/>
        </w:rPr>
        <w:t xml:space="preserve"> </w:t>
      </w:r>
      <w:r>
        <w:t>are</w:t>
      </w:r>
      <w:r>
        <w:rPr>
          <w:spacing w:val="1"/>
        </w:rPr>
        <w:t xml:space="preserve"> </w:t>
      </w:r>
      <w:r>
        <w:t>shown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Table</w:t>
      </w:r>
      <w:r>
        <w:rPr>
          <w:spacing w:val="1"/>
        </w:rPr>
        <w:t xml:space="preserve"> </w:t>
      </w:r>
      <w:r>
        <w:t>3.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dimensions</w:t>
      </w:r>
      <w:r>
        <w:rPr>
          <w:spacing w:val="-47"/>
        </w:rPr>
        <w:t xml:space="preserve"> </w:t>
      </w:r>
      <w:r>
        <w:t>analysed,</w:t>
      </w:r>
      <w:r>
        <w:rPr>
          <w:spacing w:val="11"/>
        </w:rPr>
        <w:t xml:space="preserve"> </w:t>
      </w:r>
      <w:r>
        <w:t>greater</w:t>
      </w:r>
      <w:r>
        <w:rPr>
          <w:spacing w:val="12"/>
        </w:rPr>
        <w:t xml:space="preserve"> </w:t>
      </w:r>
      <w:r>
        <w:t>differences</w:t>
      </w:r>
      <w:r>
        <w:rPr>
          <w:spacing w:val="13"/>
        </w:rPr>
        <w:t xml:space="preserve"> </w:t>
      </w:r>
      <w:r>
        <w:t>were</w:t>
      </w:r>
      <w:r>
        <w:rPr>
          <w:spacing w:val="10"/>
        </w:rPr>
        <w:t xml:space="preserve"> </w:t>
      </w:r>
      <w:r>
        <w:t>observed</w:t>
      </w:r>
      <w:r>
        <w:rPr>
          <w:spacing w:val="12"/>
        </w:rPr>
        <w:t xml:space="preserve"> </w:t>
      </w:r>
      <w:r>
        <w:t>between</w:t>
      </w:r>
      <w:r>
        <w:rPr>
          <w:spacing w:val="11"/>
        </w:rPr>
        <w:t xml:space="preserve"> </w:t>
      </w:r>
      <w:r>
        <w:t>IG-1</w:t>
      </w:r>
      <w:r>
        <w:rPr>
          <w:spacing w:val="12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IG-2</w:t>
      </w:r>
      <w:r>
        <w:rPr>
          <w:spacing w:val="13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“Focus</w:t>
      </w:r>
      <w:r>
        <w:rPr>
          <w:spacing w:val="12"/>
        </w:rPr>
        <w:t xml:space="preserve"> </w:t>
      </w:r>
      <w:r>
        <w:t>on</w:t>
      </w:r>
      <w:r>
        <w:rPr>
          <w:spacing w:val="11"/>
        </w:rPr>
        <w:t xml:space="preserve"> </w:t>
      </w:r>
      <w:r>
        <w:t>and</w:t>
      </w:r>
      <w:r>
        <w:rPr>
          <w:spacing w:val="11"/>
        </w:rPr>
        <w:t xml:space="preserve"> </w:t>
      </w:r>
      <w:r>
        <w:t>Venting</w:t>
      </w:r>
      <w:r>
        <w:rPr>
          <w:spacing w:val="-48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Emotions” (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0.086</w:t>
      </w:r>
      <w:r>
        <w:rPr>
          <w:spacing w:val="-1"/>
        </w:rPr>
        <w:t xml:space="preserve"> </w:t>
      </w:r>
      <w:r>
        <w:t>Tukey’s</w:t>
      </w:r>
      <w:r>
        <w:rPr>
          <w:spacing w:val="-2"/>
        </w:rPr>
        <w:t xml:space="preserve"> </w:t>
      </w:r>
      <w:r>
        <w:t>HSD).</w:t>
      </w:r>
    </w:p>
    <w:p w14:paraId="2EF1E115" w14:textId="77777777" w:rsidR="00C774B2" w:rsidRDefault="00C774B2">
      <w:pPr>
        <w:pStyle w:val="Textoindependiente"/>
        <w:rPr>
          <w:sz w:val="18"/>
        </w:rPr>
      </w:pPr>
    </w:p>
    <w:p w14:paraId="1054A9AA" w14:textId="77777777" w:rsidR="00C774B2" w:rsidRDefault="00000000">
      <w:pPr>
        <w:pStyle w:val="Textoindependiente"/>
        <w:spacing w:line="259" w:lineRule="auto"/>
        <w:ind w:left="1702" w:right="1635"/>
        <w:jc w:val="both"/>
      </w:pPr>
      <w:r>
        <w:t>Table 4 shows the results of the Connor-Davidson Resilience Scale. With respect to the PTS</w:t>
      </w:r>
      <w:r>
        <w:rPr>
          <w:spacing w:val="1"/>
        </w:rPr>
        <w:t xml:space="preserve"> </w:t>
      </w:r>
      <w:r>
        <w:t>(Persistence, Tenacity, and Self-Efficacy) dimension, a higher mean was observed in the CG</w:t>
      </w:r>
      <w:r>
        <w:rPr>
          <w:spacing w:val="1"/>
        </w:rPr>
        <w:t xml:space="preserve"> </w:t>
      </w:r>
      <w:r>
        <w:t>than in the IGs (</w:t>
      </w:r>
      <w:r>
        <w:rPr>
          <w:i/>
        </w:rPr>
        <w:t xml:space="preserve">p </w:t>
      </w:r>
      <w:r>
        <w:t>= 0.08). In post-hoc pairwise comparisons, a greater difference was observed</w:t>
      </w:r>
      <w:r>
        <w:rPr>
          <w:spacing w:val="1"/>
        </w:rPr>
        <w:t xml:space="preserve"> </w:t>
      </w:r>
      <w:r>
        <w:t>between</w:t>
      </w:r>
      <w:r>
        <w:rPr>
          <w:spacing w:val="8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CG</w:t>
      </w:r>
      <w:r>
        <w:rPr>
          <w:spacing w:val="9"/>
        </w:rPr>
        <w:t xml:space="preserve"> </w:t>
      </w:r>
      <w:r>
        <w:t>and</w:t>
      </w:r>
      <w:r>
        <w:rPr>
          <w:spacing w:val="9"/>
        </w:rPr>
        <w:t xml:space="preserve"> </w:t>
      </w:r>
      <w:r>
        <w:t>IG-1</w:t>
      </w:r>
      <w:r>
        <w:rPr>
          <w:spacing w:val="10"/>
        </w:rPr>
        <w:t xml:space="preserve"> </w:t>
      </w:r>
      <w:r>
        <w:t>(</w:t>
      </w:r>
      <w:r>
        <w:rPr>
          <w:i/>
        </w:rPr>
        <w:t>p</w:t>
      </w:r>
      <w:r>
        <w:rPr>
          <w:i/>
          <w:spacing w:val="9"/>
        </w:rPr>
        <w:t xml:space="preserve"> </w:t>
      </w:r>
      <w:r>
        <w:t>=</w:t>
      </w:r>
      <w:r>
        <w:rPr>
          <w:spacing w:val="10"/>
        </w:rPr>
        <w:t xml:space="preserve"> </w:t>
      </w:r>
      <w:r>
        <w:t>0.06).</w:t>
      </w:r>
      <w:r>
        <w:rPr>
          <w:spacing w:val="9"/>
        </w:rPr>
        <w:t xml:space="preserve"> </w:t>
      </w:r>
      <w:r>
        <w:t>For</w:t>
      </w:r>
      <w:r>
        <w:rPr>
          <w:spacing w:val="10"/>
        </w:rPr>
        <w:t xml:space="preserve"> </w:t>
      </w:r>
      <w:r>
        <w:t>the</w:t>
      </w:r>
      <w:r>
        <w:rPr>
          <w:spacing w:val="9"/>
        </w:rPr>
        <w:t xml:space="preserve"> </w:t>
      </w:r>
      <w:r>
        <w:t>rest</w:t>
      </w:r>
      <w:r>
        <w:rPr>
          <w:spacing w:val="10"/>
        </w:rPr>
        <w:t xml:space="preserve"> </w:t>
      </w:r>
      <w:r>
        <w:t>of</w:t>
      </w:r>
      <w:r>
        <w:rPr>
          <w:spacing w:val="9"/>
        </w:rPr>
        <w:t xml:space="preserve"> </w:t>
      </w:r>
      <w:r>
        <w:t>the</w:t>
      </w:r>
      <w:r>
        <w:rPr>
          <w:spacing w:val="10"/>
        </w:rPr>
        <w:t xml:space="preserve"> </w:t>
      </w:r>
      <w:r>
        <w:t>dimensions</w:t>
      </w:r>
      <w:r>
        <w:rPr>
          <w:spacing w:val="10"/>
        </w:rPr>
        <w:t xml:space="preserve"> </w:t>
      </w:r>
      <w:r>
        <w:t>there</w:t>
      </w:r>
      <w:r>
        <w:rPr>
          <w:spacing w:val="10"/>
        </w:rPr>
        <w:t xml:space="preserve"> </w:t>
      </w:r>
      <w:r>
        <w:t>were</w:t>
      </w:r>
      <w:r>
        <w:rPr>
          <w:spacing w:val="10"/>
        </w:rPr>
        <w:t xml:space="preserve"> </w:t>
      </w:r>
      <w:r>
        <w:t>no</w:t>
      </w:r>
      <w:r>
        <w:rPr>
          <w:spacing w:val="11"/>
        </w:rPr>
        <w:t xml:space="preserve"> </w:t>
      </w:r>
      <w:r>
        <w:t>differences</w:t>
      </w:r>
      <w:r>
        <w:rPr>
          <w:spacing w:val="-48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means between</w:t>
      </w:r>
      <w:r>
        <w:rPr>
          <w:spacing w:val="-3"/>
        </w:rPr>
        <w:t xml:space="preserve"> </w:t>
      </w:r>
      <w:r>
        <w:t>the</w:t>
      </w:r>
      <w:r>
        <w:rPr>
          <w:spacing w:val="-2"/>
        </w:rPr>
        <w:t xml:space="preserve"> </w:t>
      </w:r>
      <w:r>
        <w:t>CG</w:t>
      </w:r>
      <w:r>
        <w:rPr>
          <w:spacing w:val="1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the IGs.</w:t>
      </w:r>
    </w:p>
    <w:p w14:paraId="1AFD99BB" w14:textId="77777777" w:rsidR="00C774B2" w:rsidRDefault="00C774B2">
      <w:pPr>
        <w:pStyle w:val="Textoindependiente"/>
      </w:pPr>
    </w:p>
    <w:p w14:paraId="0DFF4C8A" w14:textId="77777777" w:rsidR="00C774B2" w:rsidRDefault="00000000">
      <w:pPr>
        <w:pStyle w:val="Textoindependiente"/>
        <w:ind w:left="1702" w:right="1635"/>
        <w:jc w:val="both"/>
      </w:pPr>
      <w:r>
        <w:t>With regard to the categorical evaluation of participants’ degree of resilience, 11 students</w:t>
      </w:r>
      <w:r>
        <w:rPr>
          <w:spacing w:val="1"/>
        </w:rPr>
        <w:t xml:space="preserve"> </w:t>
      </w:r>
      <w:r>
        <w:t>(4.5%) exhibited high levels of resilience (higher than 88 points): 4 (5.6%) were in the CG, 4</w:t>
      </w:r>
      <w:r>
        <w:rPr>
          <w:spacing w:val="1"/>
        </w:rPr>
        <w:t xml:space="preserve"> </w:t>
      </w:r>
      <w:r>
        <w:t>(4.7%)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IG-1,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(3.4%)</w:t>
      </w:r>
      <w:r>
        <w:rPr>
          <w:spacing w:val="2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IG-2</w:t>
      </w:r>
      <w:r>
        <w:rPr>
          <w:spacing w:val="-2"/>
        </w:rPr>
        <w:t xml:space="preserve"> </w:t>
      </w:r>
      <w:r>
        <w:t>(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0.7).</w:t>
      </w:r>
    </w:p>
    <w:p w14:paraId="1628070D" w14:textId="77777777" w:rsidR="00C774B2" w:rsidRDefault="00C774B2">
      <w:pPr>
        <w:pStyle w:val="Textoindependiente"/>
        <w:spacing w:before="11"/>
      </w:pPr>
    </w:p>
    <w:p w14:paraId="18A34B0D" w14:textId="77777777" w:rsidR="00C774B2" w:rsidRDefault="00000000">
      <w:pPr>
        <w:pStyle w:val="Textoindependiente"/>
        <w:ind w:left="1702" w:right="1636"/>
        <w:jc w:val="both"/>
      </w:pPr>
      <w:r>
        <w:t>Within</w:t>
      </w:r>
      <w:r>
        <w:rPr>
          <w:spacing w:val="13"/>
        </w:rPr>
        <w:t xml:space="preserve"> </w:t>
      </w:r>
      <w:r>
        <w:t>the</w:t>
      </w:r>
      <w:r>
        <w:rPr>
          <w:spacing w:val="15"/>
        </w:rPr>
        <w:t xml:space="preserve"> </w:t>
      </w:r>
      <w:r>
        <w:t>NEO-FFI</w:t>
      </w:r>
      <w:r>
        <w:rPr>
          <w:spacing w:val="14"/>
        </w:rPr>
        <w:t xml:space="preserve"> </w:t>
      </w:r>
      <w:r>
        <w:t>questionnaire</w:t>
      </w:r>
      <w:r>
        <w:rPr>
          <w:spacing w:val="15"/>
        </w:rPr>
        <w:t xml:space="preserve"> </w:t>
      </w:r>
      <w:r>
        <w:t>(Table</w:t>
      </w:r>
      <w:r>
        <w:rPr>
          <w:spacing w:val="14"/>
        </w:rPr>
        <w:t xml:space="preserve"> </w:t>
      </w:r>
      <w:r>
        <w:t>5),</w:t>
      </w:r>
      <w:r>
        <w:rPr>
          <w:spacing w:val="13"/>
        </w:rPr>
        <w:t xml:space="preserve"> </w:t>
      </w:r>
      <w:r>
        <w:t>statistically</w:t>
      </w:r>
      <w:r>
        <w:rPr>
          <w:spacing w:val="15"/>
        </w:rPr>
        <w:t xml:space="preserve"> </w:t>
      </w:r>
      <w:r>
        <w:t>significant</w:t>
      </w:r>
      <w:r>
        <w:rPr>
          <w:spacing w:val="15"/>
        </w:rPr>
        <w:t xml:space="preserve"> </w:t>
      </w:r>
      <w:r>
        <w:t>differences</w:t>
      </w:r>
      <w:r>
        <w:rPr>
          <w:spacing w:val="11"/>
        </w:rPr>
        <w:t xml:space="preserve"> </w:t>
      </w:r>
      <w:r>
        <w:t>were</w:t>
      </w:r>
      <w:r>
        <w:rPr>
          <w:spacing w:val="13"/>
        </w:rPr>
        <w:t xml:space="preserve"> </w:t>
      </w:r>
      <w:r>
        <w:t>observed</w:t>
      </w:r>
      <w:r>
        <w:rPr>
          <w:spacing w:val="-47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two</w:t>
      </w:r>
      <w:r>
        <w:rPr>
          <w:spacing w:val="1"/>
        </w:rPr>
        <w:t xml:space="preserve"> </w:t>
      </w:r>
      <w:r>
        <w:t>dimensions:</w:t>
      </w:r>
      <w:r>
        <w:rPr>
          <w:spacing w:val="1"/>
        </w:rPr>
        <w:t xml:space="preserve"> </w:t>
      </w:r>
      <w:r>
        <w:t>neuroticism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extraversion.</w:t>
      </w:r>
      <w:r>
        <w:rPr>
          <w:spacing w:val="1"/>
        </w:rPr>
        <w:t xml:space="preserve"> </w:t>
      </w:r>
      <w:r>
        <w:t>Higher</w:t>
      </w:r>
      <w:r>
        <w:rPr>
          <w:spacing w:val="1"/>
        </w:rPr>
        <w:t xml:space="preserve"> </w:t>
      </w:r>
      <w:r>
        <w:t>levels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emotional</w:t>
      </w:r>
      <w:r>
        <w:rPr>
          <w:spacing w:val="1"/>
        </w:rPr>
        <w:t xml:space="preserve"> </w:t>
      </w:r>
      <w:r>
        <w:t>instability</w:t>
      </w:r>
      <w:r>
        <w:rPr>
          <w:spacing w:val="1"/>
        </w:rPr>
        <w:t xml:space="preserve"> </w:t>
      </w:r>
      <w:r>
        <w:t>(neuroticism) were observed in IG-1</w:t>
      </w:r>
      <w:r>
        <w:rPr>
          <w:spacing w:val="1"/>
        </w:rPr>
        <w:t xml:space="preserve"> </w:t>
      </w:r>
      <w:r>
        <w:t>than in the CG</w:t>
      </w:r>
      <w:r>
        <w:rPr>
          <w:spacing w:val="1"/>
        </w:rPr>
        <w:t xml:space="preserve"> </w:t>
      </w:r>
      <w:r>
        <w:t>(</w:t>
      </w:r>
      <w:r>
        <w:rPr>
          <w:i/>
        </w:rPr>
        <w:t xml:space="preserve">p </w:t>
      </w:r>
      <w:r>
        <w:t>=</w:t>
      </w:r>
      <w:r>
        <w:rPr>
          <w:spacing w:val="49"/>
        </w:rPr>
        <w:t xml:space="preserve"> </w:t>
      </w:r>
      <w:r>
        <w:t>0.06). Lower levels of extraversion</w:t>
      </w:r>
      <w:r>
        <w:rPr>
          <w:spacing w:val="1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observed in</w:t>
      </w:r>
      <w:r>
        <w:rPr>
          <w:spacing w:val="-1"/>
        </w:rPr>
        <w:t xml:space="preserve"> </w:t>
      </w:r>
      <w:r>
        <w:t>IG-1</w:t>
      </w:r>
      <w:r>
        <w:rPr>
          <w:spacing w:val="-2"/>
        </w:rPr>
        <w:t xml:space="preserve"> </w:t>
      </w:r>
      <w:r>
        <w:t>than</w:t>
      </w:r>
      <w:r>
        <w:rPr>
          <w:spacing w:val="-4"/>
        </w:rPr>
        <w:t xml:space="preserve"> </w:t>
      </w:r>
      <w:r>
        <w:t>in the CG</w:t>
      </w:r>
      <w:r>
        <w:rPr>
          <w:spacing w:val="-2"/>
        </w:rPr>
        <w:t xml:space="preserve"> </w:t>
      </w:r>
      <w:r>
        <w:t>(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0.09)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in</w:t>
      </w:r>
      <w:r>
        <w:rPr>
          <w:spacing w:val="-3"/>
        </w:rPr>
        <w:t xml:space="preserve"> </w:t>
      </w:r>
      <w:r>
        <w:t>IG-2 (</w:t>
      </w:r>
      <w:r>
        <w:rPr>
          <w:i/>
        </w:rPr>
        <w:t xml:space="preserve">p </w:t>
      </w:r>
      <w:r>
        <w:t>&lt;</w:t>
      </w:r>
      <w:r>
        <w:rPr>
          <w:spacing w:val="-2"/>
        </w:rPr>
        <w:t xml:space="preserve"> </w:t>
      </w:r>
      <w:r>
        <w:t>0.05).</w:t>
      </w:r>
    </w:p>
    <w:p w14:paraId="4B82F695" w14:textId="77777777" w:rsidR="00C774B2" w:rsidRDefault="00C774B2">
      <w:pPr>
        <w:pStyle w:val="Textoindependiente"/>
      </w:pPr>
    </w:p>
    <w:p w14:paraId="7A3A8931" w14:textId="77777777" w:rsidR="00C774B2" w:rsidRDefault="00C774B2">
      <w:pPr>
        <w:pStyle w:val="Textoindependiente"/>
        <w:spacing w:before="11"/>
      </w:pPr>
    </w:p>
    <w:p w14:paraId="32AE1F8D" w14:textId="77777777" w:rsidR="00C774B2" w:rsidRDefault="00000000">
      <w:pPr>
        <w:pStyle w:val="Ttulo4"/>
        <w:ind w:right="1637"/>
      </w:pPr>
      <w:r>
        <w:rPr>
          <w:u w:val="single"/>
        </w:rPr>
        <w:t>DISCUSSION</w:t>
      </w:r>
    </w:p>
    <w:p w14:paraId="5CFD3CB6" w14:textId="77777777" w:rsidR="00C774B2" w:rsidRDefault="00C774B2">
      <w:pPr>
        <w:pStyle w:val="Textoindependiente"/>
        <w:spacing w:before="2"/>
        <w:rPr>
          <w:b/>
          <w:sz w:val="20"/>
        </w:rPr>
      </w:pPr>
    </w:p>
    <w:p w14:paraId="7A0EFFCF" w14:textId="77777777" w:rsidR="00C774B2" w:rsidRDefault="00000000">
      <w:pPr>
        <w:pStyle w:val="Textoindependiente"/>
        <w:spacing w:before="57" w:line="259" w:lineRule="auto"/>
        <w:ind w:left="1702" w:right="1635"/>
        <w:jc w:val="both"/>
      </w:pPr>
      <w:r>
        <w:t>The mean value for Positive Affect was higher in all three groups than the mean value for</w:t>
      </w:r>
      <w:r>
        <w:rPr>
          <w:spacing w:val="1"/>
        </w:rPr>
        <w:t xml:space="preserve"> </w:t>
      </w:r>
      <w:r>
        <w:t>Negative Affect, showing no significant differences with the intervention groups. These results</w:t>
      </w:r>
      <w:r>
        <w:rPr>
          <w:spacing w:val="1"/>
        </w:rPr>
        <w:t xml:space="preserve"> </w:t>
      </w:r>
      <w:r>
        <w:t>stand in contrast to those of López-Gómez et al. (2015), where the mean score in the 16-25</w:t>
      </w:r>
      <w:r>
        <w:rPr>
          <w:spacing w:val="1"/>
        </w:rPr>
        <w:t xml:space="preserve"> </w:t>
      </w:r>
      <w:r>
        <w:t>year-old groups was significantly higher in “Negative Affect”. A between-groups comparison</w:t>
      </w:r>
      <w:r>
        <w:rPr>
          <w:spacing w:val="1"/>
        </w:rPr>
        <w:t xml:space="preserve"> </w:t>
      </w:r>
      <w:r>
        <w:t>reveals that the CG score is higher in “Positive Affect” and IG-1 exhibited higher scores for</w:t>
      </w:r>
      <w:r>
        <w:rPr>
          <w:spacing w:val="1"/>
        </w:rPr>
        <w:t xml:space="preserve"> </w:t>
      </w:r>
      <w:r>
        <w:t>“Negative Affect” than the other two study groups (</w:t>
      </w:r>
      <w:r>
        <w:rPr>
          <w:i/>
        </w:rPr>
        <w:t xml:space="preserve">p </w:t>
      </w:r>
      <w:r>
        <w:t>= 0.12). This may suggest that a brief,</w:t>
      </w:r>
      <w:r>
        <w:rPr>
          <w:spacing w:val="1"/>
        </w:rPr>
        <w:t xml:space="preserve"> </w:t>
      </w:r>
      <w:r>
        <w:t>face-to-face intervention on coping strategies may increase awareness of mood more than no</w:t>
      </w:r>
      <w:r>
        <w:rPr>
          <w:spacing w:val="1"/>
        </w:rPr>
        <w:t xml:space="preserve"> </w:t>
      </w:r>
      <w:r>
        <w:t>intervention</w:t>
      </w:r>
      <w:r>
        <w:rPr>
          <w:spacing w:val="-1"/>
        </w:rPr>
        <w:t xml:space="preserve"> </w:t>
      </w:r>
      <w:r>
        <w:t>at all.</w:t>
      </w:r>
    </w:p>
    <w:p w14:paraId="2C78A568" w14:textId="77777777" w:rsidR="00C774B2" w:rsidRDefault="00C774B2">
      <w:pPr>
        <w:pStyle w:val="Textoindependiente"/>
        <w:spacing w:before="10"/>
      </w:pPr>
    </w:p>
    <w:p w14:paraId="2B6E4E57" w14:textId="77777777" w:rsidR="00C774B2" w:rsidRDefault="00000000">
      <w:pPr>
        <w:pStyle w:val="Textoindependiente"/>
        <w:spacing w:line="259" w:lineRule="auto"/>
        <w:ind w:left="1702" w:right="1633"/>
        <w:jc w:val="both"/>
      </w:pPr>
      <w:r>
        <w:t>With regard to academic stressors, the three groups have METDEF as the highest score. These</w:t>
      </w:r>
      <w:r>
        <w:rPr>
          <w:spacing w:val="1"/>
        </w:rPr>
        <w:t xml:space="preserve"> </w:t>
      </w:r>
      <w:r>
        <w:t>results are consistent with the studies by Nerdrum et al. (2009) and Kyndt et al. (2011), which</w:t>
      </w:r>
      <w:r>
        <w:rPr>
          <w:spacing w:val="1"/>
        </w:rPr>
        <w:t xml:space="preserve"> </w:t>
      </w:r>
      <w:r>
        <w:t>explain that a powerful factor that mitigates academic stress is the clarity of the structure of</w:t>
      </w:r>
      <w:r>
        <w:rPr>
          <w:spacing w:val="1"/>
        </w:rPr>
        <w:t xml:space="preserve"> </w:t>
      </w:r>
      <w:r>
        <w:t>the educational curriculum and of the information available regarding the demands of the</w:t>
      </w:r>
      <w:r>
        <w:rPr>
          <w:spacing w:val="1"/>
        </w:rPr>
        <w:t xml:space="preserve"> </w:t>
      </w:r>
      <w:r>
        <w:t>academic</w:t>
      </w:r>
      <w:r>
        <w:rPr>
          <w:spacing w:val="-1"/>
        </w:rPr>
        <w:t xml:space="preserve"> </w:t>
      </w:r>
      <w:r>
        <w:t>environment.</w:t>
      </w:r>
    </w:p>
    <w:p w14:paraId="41C024FD" w14:textId="77777777" w:rsidR="00C774B2" w:rsidRDefault="00C774B2">
      <w:pPr>
        <w:pStyle w:val="Textoindependiente"/>
        <w:spacing w:before="10"/>
      </w:pPr>
    </w:p>
    <w:p w14:paraId="0357DF65" w14:textId="77777777" w:rsidR="00C774B2" w:rsidRDefault="00000000">
      <w:pPr>
        <w:pStyle w:val="Textoindependiente"/>
        <w:spacing w:line="259" w:lineRule="auto"/>
        <w:ind w:left="1702" w:right="1635"/>
        <w:jc w:val="both"/>
      </w:pPr>
      <w:r>
        <w:t>Two other dimensions with a high percentage of high scores, well above the other dimensions,</w:t>
      </w:r>
      <w:r>
        <w:rPr>
          <w:spacing w:val="1"/>
        </w:rPr>
        <w:t xml:space="preserve"> </w:t>
      </w:r>
      <w:r>
        <w:t>are</w:t>
      </w:r>
      <w:r>
        <w:rPr>
          <w:spacing w:val="27"/>
        </w:rPr>
        <w:t xml:space="preserve"> </w:t>
      </w:r>
      <w:r>
        <w:t>“Student</w:t>
      </w:r>
      <w:r>
        <w:rPr>
          <w:spacing w:val="27"/>
        </w:rPr>
        <w:t xml:space="preserve"> </w:t>
      </w:r>
      <w:r>
        <w:t>Academic</w:t>
      </w:r>
      <w:r>
        <w:rPr>
          <w:spacing w:val="27"/>
        </w:rPr>
        <w:t xml:space="preserve"> </w:t>
      </w:r>
      <w:r>
        <w:t>Overload”</w:t>
      </w:r>
      <w:r>
        <w:rPr>
          <w:spacing w:val="28"/>
        </w:rPr>
        <w:t xml:space="preserve"> </w:t>
      </w:r>
      <w:r>
        <w:t>and</w:t>
      </w:r>
      <w:r>
        <w:rPr>
          <w:spacing w:val="25"/>
        </w:rPr>
        <w:t xml:space="preserve"> </w:t>
      </w:r>
      <w:r>
        <w:t>“Beliefs</w:t>
      </w:r>
      <w:r>
        <w:rPr>
          <w:spacing w:val="27"/>
        </w:rPr>
        <w:t xml:space="preserve"> </w:t>
      </w:r>
      <w:r>
        <w:t>about</w:t>
      </w:r>
      <w:r>
        <w:rPr>
          <w:spacing w:val="25"/>
        </w:rPr>
        <w:t xml:space="preserve"> </w:t>
      </w:r>
      <w:r>
        <w:t>Academic</w:t>
      </w:r>
      <w:r>
        <w:rPr>
          <w:spacing w:val="25"/>
        </w:rPr>
        <w:t xml:space="preserve"> </w:t>
      </w:r>
      <w:r>
        <w:t>Performance”.</w:t>
      </w:r>
      <w:r>
        <w:rPr>
          <w:spacing w:val="27"/>
        </w:rPr>
        <w:t xml:space="preserve"> </w:t>
      </w:r>
      <w:r>
        <w:t>These</w:t>
      </w:r>
      <w:r>
        <w:rPr>
          <w:spacing w:val="28"/>
        </w:rPr>
        <w:t xml:space="preserve"> </w:t>
      </w:r>
      <w:r>
        <w:t>results</w:t>
      </w:r>
      <w:r>
        <w:rPr>
          <w:spacing w:val="-48"/>
        </w:rPr>
        <w:t xml:space="preserve"> </w:t>
      </w:r>
      <w:r>
        <w:t>are very different from those of Cabanach et al. (2016), authors of the tool, who indicate 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stressors</w:t>
      </w:r>
      <w:r>
        <w:rPr>
          <w:spacing w:val="1"/>
        </w:rPr>
        <w:t xml:space="preserve"> </w:t>
      </w:r>
      <w:r>
        <w:t>perceived as</w:t>
      </w:r>
      <w:r>
        <w:rPr>
          <w:spacing w:val="-1"/>
        </w:rPr>
        <w:t xml:space="preserve"> </w:t>
      </w:r>
      <w:r>
        <w:t>most</w:t>
      </w:r>
      <w:r>
        <w:rPr>
          <w:spacing w:val="1"/>
        </w:rPr>
        <w:t xml:space="preserve"> </w:t>
      </w:r>
      <w:r>
        <w:t>powerful</w:t>
      </w:r>
      <w:r>
        <w:rPr>
          <w:spacing w:val="1"/>
        </w:rPr>
        <w:t xml:space="preserve"> </w:t>
      </w:r>
      <w:r>
        <w:t>by</w:t>
      </w:r>
      <w:r>
        <w:rPr>
          <w:spacing w:val="1"/>
        </w:rPr>
        <w:t xml:space="preserve"> </w:t>
      </w:r>
      <w:r>
        <w:t>students</w:t>
      </w:r>
      <w:r>
        <w:rPr>
          <w:spacing w:val="-1"/>
        </w:rPr>
        <w:t xml:space="preserve"> </w:t>
      </w:r>
      <w:r>
        <w:t>are “examinations”,</w:t>
      </w:r>
      <w:r>
        <w:rPr>
          <w:spacing w:val="2"/>
        </w:rPr>
        <w:t xml:space="preserve"> </w:t>
      </w:r>
      <w:r>
        <w:t>“the</w:t>
      </w:r>
      <w:r>
        <w:rPr>
          <w:spacing w:val="-2"/>
        </w:rPr>
        <w:t xml:space="preserve"> </w:t>
      </w:r>
      <w:r>
        <w:t>methodological</w:t>
      </w:r>
    </w:p>
    <w:p w14:paraId="5D21E53B" w14:textId="77777777" w:rsidR="00C774B2" w:rsidRDefault="00C774B2">
      <w:pPr>
        <w:spacing w:line="259" w:lineRule="auto"/>
        <w:jc w:val="both"/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7863E378" w14:textId="77777777" w:rsidR="00C774B2" w:rsidRDefault="00000000">
      <w:pPr>
        <w:pStyle w:val="Textoindependiente"/>
        <w:spacing w:before="34" w:line="259" w:lineRule="auto"/>
        <w:ind w:left="1702" w:right="1635"/>
        <w:jc w:val="both"/>
      </w:pPr>
      <w:r>
        <w:lastRenderedPageBreak/>
        <w:t>deficiencies</w:t>
      </w:r>
      <w:r>
        <w:rPr>
          <w:spacing w:val="27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teaching</w:t>
      </w:r>
      <w:r>
        <w:rPr>
          <w:spacing w:val="28"/>
        </w:rPr>
        <w:t xml:space="preserve"> </w:t>
      </w:r>
      <w:r>
        <w:t>staff”,</w:t>
      </w:r>
      <w:r>
        <w:rPr>
          <w:spacing w:val="29"/>
        </w:rPr>
        <w:t xml:space="preserve"> </w:t>
      </w:r>
      <w:r>
        <w:t>and</w:t>
      </w:r>
      <w:r>
        <w:rPr>
          <w:spacing w:val="29"/>
        </w:rPr>
        <w:t xml:space="preserve"> </w:t>
      </w:r>
      <w:r>
        <w:t>“Speaking</w:t>
      </w:r>
      <w:r>
        <w:rPr>
          <w:spacing w:val="28"/>
        </w:rPr>
        <w:t xml:space="preserve"> </w:t>
      </w:r>
      <w:r>
        <w:t>in</w:t>
      </w:r>
      <w:r>
        <w:rPr>
          <w:spacing w:val="31"/>
        </w:rPr>
        <w:t xml:space="preserve"> </w:t>
      </w:r>
      <w:r>
        <w:t>Public”,</w:t>
      </w:r>
      <w:r>
        <w:rPr>
          <w:spacing w:val="30"/>
        </w:rPr>
        <w:t xml:space="preserve"> </w:t>
      </w:r>
      <w:r>
        <w:t>these</w:t>
      </w:r>
      <w:r>
        <w:rPr>
          <w:spacing w:val="30"/>
        </w:rPr>
        <w:t xml:space="preserve"> </w:t>
      </w:r>
      <w:r>
        <w:t>sets</w:t>
      </w:r>
      <w:r>
        <w:rPr>
          <w:spacing w:val="27"/>
        </w:rPr>
        <w:t xml:space="preserve"> </w:t>
      </w:r>
      <w:r>
        <w:t>of</w:t>
      </w:r>
      <w:r>
        <w:rPr>
          <w:spacing w:val="29"/>
        </w:rPr>
        <w:t xml:space="preserve"> </w:t>
      </w:r>
      <w:r>
        <w:t>results</w:t>
      </w:r>
      <w:r>
        <w:rPr>
          <w:spacing w:val="29"/>
        </w:rPr>
        <w:t xml:space="preserve"> </w:t>
      </w:r>
      <w:r>
        <w:t>coinciding</w:t>
      </w:r>
      <w:r>
        <w:rPr>
          <w:spacing w:val="-47"/>
        </w:rPr>
        <w:t xml:space="preserve"> </w:t>
      </w:r>
      <w:r>
        <w:t>only with respect to the power of methodological deficiencies as a stressor. It is important to</w:t>
      </w:r>
      <w:r>
        <w:rPr>
          <w:spacing w:val="1"/>
        </w:rPr>
        <w:t xml:space="preserve"> </w:t>
      </w:r>
      <w:r>
        <w:t>note that in the first year of the Nursing and Physical Therapy degrees, there are not as many</w:t>
      </w:r>
      <w:r>
        <w:rPr>
          <w:spacing w:val="1"/>
        </w:rPr>
        <w:t xml:space="preserve"> </w:t>
      </w:r>
      <w:r>
        <w:t>oral presentations as in other degrees. This assessment was conducted at a time very close to</w:t>
      </w:r>
      <w:r>
        <w:rPr>
          <w:spacing w:val="1"/>
        </w:rPr>
        <w:t xml:space="preserve"> </w:t>
      </w:r>
      <w:r>
        <w:t>their</w:t>
      </w:r>
      <w:r>
        <w:rPr>
          <w:spacing w:val="15"/>
        </w:rPr>
        <w:t xml:space="preserve"> </w:t>
      </w:r>
      <w:r>
        <w:t>examination,</w:t>
      </w:r>
      <w:r>
        <w:rPr>
          <w:spacing w:val="13"/>
        </w:rPr>
        <w:t xml:space="preserve"> </w:t>
      </w:r>
      <w:r>
        <w:t>which</w:t>
      </w:r>
      <w:r>
        <w:rPr>
          <w:spacing w:val="15"/>
        </w:rPr>
        <w:t xml:space="preserve"> </w:t>
      </w:r>
      <w:r>
        <w:t>should</w:t>
      </w:r>
      <w:r>
        <w:rPr>
          <w:spacing w:val="15"/>
        </w:rPr>
        <w:t xml:space="preserve"> </w:t>
      </w:r>
      <w:r>
        <w:t>have</w:t>
      </w:r>
      <w:r>
        <w:rPr>
          <w:spacing w:val="16"/>
        </w:rPr>
        <w:t xml:space="preserve"> </w:t>
      </w:r>
      <w:r>
        <w:t>increased</w:t>
      </w:r>
      <w:r>
        <w:rPr>
          <w:spacing w:val="13"/>
        </w:rPr>
        <w:t xml:space="preserve"> </w:t>
      </w:r>
      <w:r>
        <w:t>these</w:t>
      </w:r>
      <w:r>
        <w:rPr>
          <w:spacing w:val="16"/>
        </w:rPr>
        <w:t xml:space="preserve"> </w:t>
      </w:r>
      <w:r>
        <w:t>scores,</w:t>
      </w:r>
      <w:r>
        <w:rPr>
          <w:spacing w:val="16"/>
        </w:rPr>
        <w:t xml:space="preserve"> </w:t>
      </w:r>
      <w:r>
        <w:t>but</w:t>
      </w:r>
      <w:r>
        <w:rPr>
          <w:spacing w:val="14"/>
        </w:rPr>
        <w:t xml:space="preserve"> </w:t>
      </w:r>
      <w:r>
        <w:t>they</w:t>
      </w:r>
      <w:r>
        <w:rPr>
          <w:spacing w:val="16"/>
        </w:rPr>
        <w:t xml:space="preserve"> </w:t>
      </w:r>
      <w:r>
        <w:t>remained</w:t>
      </w:r>
      <w:r>
        <w:rPr>
          <w:spacing w:val="15"/>
        </w:rPr>
        <w:t xml:space="preserve"> </w:t>
      </w:r>
      <w:r>
        <w:t>the</w:t>
      </w:r>
      <w:r>
        <w:rPr>
          <w:spacing w:val="17"/>
        </w:rPr>
        <w:t xml:space="preserve"> </w:t>
      </w:r>
      <w:r>
        <w:t>same</w:t>
      </w:r>
      <w:r>
        <w:rPr>
          <w:spacing w:val="16"/>
        </w:rPr>
        <w:t xml:space="preserve"> </w:t>
      </w:r>
      <w:r>
        <w:t>in</w:t>
      </w:r>
      <w:r>
        <w:rPr>
          <w:spacing w:val="-48"/>
        </w:rPr>
        <w:t xml:space="preserve"> </w:t>
      </w:r>
      <w:r>
        <w:t>all three groups. This may be explained by three factors: the mean grades required from</w:t>
      </w:r>
      <w:r>
        <w:rPr>
          <w:spacing w:val="1"/>
        </w:rPr>
        <w:t xml:space="preserve"> </w:t>
      </w:r>
      <w:r>
        <w:t>students to be able to enter the degrees in Nursing and Physical Therapy are quite high;</w:t>
      </w:r>
      <w:r>
        <w:rPr>
          <w:spacing w:val="1"/>
        </w:rPr>
        <w:t xml:space="preserve"> </w:t>
      </w:r>
      <w:r>
        <w:t>students have at their disposal an increasing number of forums and social networks providing</w:t>
      </w:r>
      <w:r>
        <w:rPr>
          <w:spacing w:val="1"/>
        </w:rPr>
        <w:t xml:space="preserve"> </w:t>
      </w:r>
      <w:r>
        <w:t>them with information about the actual level of difficulty of certain examinations; the test that</w:t>
      </w:r>
      <w:r>
        <w:rPr>
          <w:spacing w:val="1"/>
        </w:rPr>
        <w:t xml:space="preserve"> </w:t>
      </w:r>
      <w:r>
        <w:t>assesses this factor breaks down academic stress into several factors in which the specific</w:t>
      </w:r>
      <w:r>
        <w:rPr>
          <w:spacing w:val="1"/>
        </w:rPr>
        <w:t xml:space="preserve"> </w:t>
      </w:r>
      <w:r>
        <w:t>weight</w:t>
      </w:r>
      <w:r>
        <w:rPr>
          <w:spacing w:val="-3"/>
        </w:rPr>
        <w:t xml:space="preserve"> </w:t>
      </w:r>
      <w:r>
        <w:t>of the</w:t>
      </w:r>
      <w:r>
        <w:rPr>
          <w:spacing w:val="1"/>
        </w:rPr>
        <w:t xml:space="preserve"> </w:t>
      </w:r>
      <w:r>
        <w:t>test</w:t>
      </w:r>
      <w:r>
        <w:rPr>
          <w:spacing w:val="1"/>
        </w:rPr>
        <w:t xml:space="preserve"> </w:t>
      </w:r>
      <w:r>
        <w:t>loses relevance</w:t>
      </w:r>
      <w:r>
        <w:rPr>
          <w:spacing w:val="1"/>
        </w:rPr>
        <w:t xml:space="preserve"> </w:t>
      </w:r>
      <w:r>
        <w:t>on</w:t>
      </w:r>
      <w:r>
        <w:rPr>
          <w:spacing w:val="-4"/>
        </w:rPr>
        <w:t xml:space="preserve"> </w:t>
      </w:r>
      <w:r>
        <w:t>its</w:t>
      </w:r>
      <w:r>
        <w:rPr>
          <w:spacing w:val="-1"/>
        </w:rPr>
        <w:t xml:space="preserve"> </w:t>
      </w:r>
      <w:r>
        <w:t>own.</w:t>
      </w:r>
    </w:p>
    <w:p w14:paraId="2B1A6709" w14:textId="77777777" w:rsidR="00C774B2" w:rsidRDefault="00C774B2">
      <w:pPr>
        <w:pStyle w:val="Textoindependiente"/>
        <w:spacing w:before="9"/>
      </w:pPr>
    </w:p>
    <w:p w14:paraId="2EEF823D" w14:textId="77777777" w:rsidR="00C774B2" w:rsidRDefault="00000000">
      <w:pPr>
        <w:pStyle w:val="Textoindependiente"/>
        <w:spacing w:before="1" w:line="259" w:lineRule="auto"/>
        <w:ind w:left="1702" w:right="1635"/>
        <w:jc w:val="both"/>
      </w:pPr>
      <w:r>
        <w:t>The</w:t>
      </w:r>
      <w:r>
        <w:rPr>
          <w:spacing w:val="34"/>
        </w:rPr>
        <w:t xml:space="preserve"> </w:t>
      </w:r>
      <w:r>
        <w:t>results</w:t>
      </w:r>
      <w:r>
        <w:rPr>
          <w:spacing w:val="32"/>
        </w:rPr>
        <w:t xml:space="preserve"> </w:t>
      </w:r>
      <w:r>
        <w:t>of</w:t>
      </w:r>
      <w:r>
        <w:rPr>
          <w:spacing w:val="33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COPE-48</w:t>
      </w:r>
      <w:r>
        <w:rPr>
          <w:spacing w:val="35"/>
        </w:rPr>
        <w:t xml:space="preserve"> </w:t>
      </w:r>
      <w:r>
        <w:t>stress</w:t>
      </w:r>
      <w:r>
        <w:rPr>
          <w:spacing w:val="34"/>
        </w:rPr>
        <w:t xml:space="preserve"> </w:t>
      </w:r>
      <w:r>
        <w:t>coping</w:t>
      </w:r>
      <w:r>
        <w:rPr>
          <w:spacing w:val="34"/>
        </w:rPr>
        <w:t xml:space="preserve"> </w:t>
      </w:r>
      <w:r>
        <w:t>scale</w:t>
      </w:r>
      <w:r>
        <w:rPr>
          <w:spacing w:val="34"/>
        </w:rPr>
        <w:t xml:space="preserve"> </w:t>
      </w:r>
      <w:r>
        <w:t>indicate</w:t>
      </w:r>
      <w:r>
        <w:rPr>
          <w:spacing w:val="35"/>
        </w:rPr>
        <w:t xml:space="preserve"> </w:t>
      </w:r>
      <w:r>
        <w:t>that</w:t>
      </w:r>
      <w:r>
        <w:rPr>
          <w:spacing w:val="33"/>
        </w:rPr>
        <w:t xml:space="preserve"> </w:t>
      </w:r>
      <w:r>
        <w:t>the</w:t>
      </w:r>
      <w:r>
        <w:rPr>
          <w:spacing w:val="34"/>
        </w:rPr>
        <w:t xml:space="preserve"> </w:t>
      </w:r>
      <w:r>
        <w:t>strategies</w:t>
      </w:r>
      <w:r>
        <w:rPr>
          <w:spacing w:val="34"/>
        </w:rPr>
        <w:t xml:space="preserve"> </w:t>
      </w:r>
      <w:r>
        <w:t>most</w:t>
      </w:r>
      <w:r>
        <w:rPr>
          <w:spacing w:val="36"/>
        </w:rPr>
        <w:t xml:space="preserve"> </w:t>
      </w:r>
      <w:r>
        <w:t>frequently</w:t>
      </w:r>
      <w:r>
        <w:rPr>
          <w:spacing w:val="-48"/>
        </w:rPr>
        <w:t xml:space="preserve"> </w:t>
      </w:r>
      <w:r>
        <w:t>used by the students were “Active Problem-Focused Coping” and “Seeking Social Support”,</w:t>
      </w:r>
      <w:r>
        <w:rPr>
          <w:spacing w:val="1"/>
        </w:rPr>
        <w:t xml:space="preserve"> </w:t>
      </w:r>
      <w:r>
        <w:t>with no significant differences observed between the three groups. This result differs from</w:t>
      </w:r>
      <w:r>
        <w:rPr>
          <w:spacing w:val="1"/>
        </w:rPr>
        <w:t xml:space="preserve"> </w:t>
      </w:r>
      <w:r>
        <w:t>those of Martínez Ortega et al. (2016), who observed higher scores in “Focus on and Venting of</w:t>
      </w:r>
      <w:r>
        <w:rPr>
          <w:spacing w:val="-47"/>
        </w:rPr>
        <w:t xml:space="preserve"> </w:t>
      </w:r>
      <w:r>
        <w:t>Emotions”, “Acceptance and Personal Growth”, and “Seeking Social Support”. When analysing</w:t>
      </w:r>
      <w:r>
        <w:rPr>
          <w:spacing w:val="1"/>
        </w:rPr>
        <w:t xml:space="preserve"> </w:t>
      </w:r>
      <w:r>
        <w:t>differences between the groups, greater differences in “Focus on and Venting of Emotions”</w:t>
      </w:r>
      <w:r>
        <w:rPr>
          <w:spacing w:val="1"/>
        </w:rPr>
        <w:t xml:space="preserve"> </w:t>
      </w:r>
      <w:r>
        <w:t>were observed between IG-1 and the other two groups. This result suggests that face-to-face</w:t>
      </w:r>
      <w:r>
        <w:rPr>
          <w:spacing w:val="1"/>
        </w:rPr>
        <w:t xml:space="preserve"> </w:t>
      </w:r>
      <w:r>
        <w:t>interventions make an individual more aware of their emotions, and will subsequently attempt</w:t>
      </w:r>
      <w:r>
        <w:rPr>
          <w:spacing w:val="-47"/>
        </w:rPr>
        <w:t xml:space="preserve"> </w:t>
      </w:r>
      <w:r>
        <w:t>to vent them, as shown by the results obtained in relation to the PANAS scale, where higher</w:t>
      </w:r>
      <w:r>
        <w:rPr>
          <w:spacing w:val="1"/>
        </w:rPr>
        <w:t xml:space="preserve"> </w:t>
      </w:r>
      <w:r>
        <w:t>scores</w:t>
      </w:r>
      <w:r>
        <w:rPr>
          <w:spacing w:val="-1"/>
        </w:rPr>
        <w:t xml:space="preserve"> </w:t>
      </w:r>
      <w:r>
        <w:t>are</w:t>
      </w:r>
      <w:r>
        <w:rPr>
          <w:spacing w:val="-2"/>
        </w:rPr>
        <w:t xml:space="preserve"> </w:t>
      </w:r>
      <w:r>
        <w:t>seen in</w:t>
      </w:r>
      <w:r>
        <w:rPr>
          <w:spacing w:val="-1"/>
        </w:rPr>
        <w:t xml:space="preserve"> </w:t>
      </w:r>
      <w:r>
        <w:t>this group.</w:t>
      </w:r>
    </w:p>
    <w:p w14:paraId="356419F4" w14:textId="77777777" w:rsidR="00C774B2" w:rsidRDefault="00C774B2">
      <w:pPr>
        <w:pStyle w:val="Textoindependiente"/>
        <w:spacing w:before="11"/>
      </w:pPr>
    </w:p>
    <w:p w14:paraId="5C447D88" w14:textId="77777777" w:rsidR="00C774B2" w:rsidRDefault="00000000">
      <w:pPr>
        <w:pStyle w:val="Textoindependiente"/>
        <w:spacing w:line="259" w:lineRule="auto"/>
        <w:ind w:left="1702" w:right="1634"/>
        <w:jc w:val="both"/>
      </w:pPr>
      <w:r>
        <w:t>Regarding the results on Resilience, a higher mean for “Persistence, Tenacity, and Self-Efficacy”</w:t>
      </w:r>
      <w:r>
        <w:rPr>
          <w:spacing w:val="-47"/>
        </w:rPr>
        <w:t xml:space="preserve"> </w:t>
      </w:r>
      <w:r>
        <w:t>was observed in the CG than in the IGs, and the greater difference was observed between the</w:t>
      </w:r>
      <w:r>
        <w:rPr>
          <w:spacing w:val="1"/>
        </w:rPr>
        <w:t xml:space="preserve"> </w:t>
      </w:r>
      <w:r>
        <w:t>CG and IG-1. This seems to suggest that a brief, face-to-face intervention causes students’</w:t>
      </w:r>
      <w:r>
        <w:rPr>
          <w:spacing w:val="1"/>
        </w:rPr>
        <w:t xml:space="preserve"> </w:t>
      </w:r>
      <w:r>
        <w:t>scores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become</w:t>
      </w:r>
      <w:r>
        <w:rPr>
          <w:spacing w:val="1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realistic</w:t>
      </w:r>
      <w:r>
        <w:rPr>
          <w:spacing w:val="1"/>
        </w:rPr>
        <w:t xml:space="preserve"> </w:t>
      </w:r>
      <w:r>
        <w:t>than</w:t>
      </w:r>
      <w:r>
        <w:rPr>
          <w:spacing w:val="1"/>
        </w:rPr>
        <w:t xml:space="preserve"> </w:t>
      </w:r>
      <w:r>
        <w:t>those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not</w:t>
      </w:r>
      <w:r>
        <w:rPr>
          <w:spacing w:val="1"/>
        </w:rPr>
        <w:t xml:space="preserve"> </w:t>
      </w:r>
      <w:r>
        <w:t>experience</w:t>
      </w:r>
      <w:r>
        <w:rPr>
          <w:spacing w:val="1"/>
        </w:rPr>
        <w:t xml:space="preserve"> </w:t>
      </w:r>
      <w:r>
        <w:t>an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or</w:t>
      </w:r>
      <w:r>
        <w:rPr>
          <w:spacing w:val="1"/>
        </w:rPr>
        <w:t xml:space="preserve"> </w:t>
      </w:r>
      <w:r>
        <w:t>who</w:t>
      </w:r>
      <w:r>
        <w:rPr>
          <w:spacing w:val="1"/>
        </w:rPr>
        <w:t xml:space="preserve"> </w:t>
      </w:r>
      <w:r>
        <w:t>do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online.</w:t>
      </w:r>
      <w:r>
        <w:rPr>
          <w:spacing w:val="1"/>
        </w:rPr>
        <w:t xml:space="preserve"> </w:t>
      </w:r>
      <w:r>
        <w:t>For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rest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dimensions,</w:t>
      </w:r>
      <w:r>
        <w:rPr>
          <w:spacing w:val="1"/>
        </w:rPr>
        <w:t xml:space="preserve"> </w:t>
      </w:r>
      <w:r>
        <w:t>no</w:t>
      </w:r>
      <w:r>
        <w:rPr>
          <w:spacing w:val="49"/>
        </w:rPr>
        <w:t xml:space="preserve"> </w:t>
      </w:r>
      <w:r>
        <w:t>between-group</w:t>
      </w:r>
      <w:r>
        <w:rPr>
          <w:spacing w:val="1"/>
        </w:rPr>
        <w:t xml:space="preserve"> </w:t>
      </w:r>
      <w:r>
        <w:t>differences</w:t>
      </w:r>
      <w:r>
        <w:rPr>
          <w:spacing w:val="-3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observed.</w:t>
      </w:r>
    </w:p>
    <w:p w14:paraId="4A90A6B8" w14:textId="77777777" w:rsidR="00C774B2" w:rsidRDefault="00C774B2">
      <w:pPr>
        <w:pStyle w:val="Textoindependiente"/>
        <w:spacing w:before="10"/>
      </w:pPr>
    </w:p>
    <w:p w14:paraId="2A58B24B" w14:textId="77777777" w:rsidR="00C774B2" w:rsidRDefault="00000000">
      <w:pPr>
        <w:pStyle w:val="Textoindependiente"/>
        <w:spacing w:line="259" w:lineRule="auto"/>
        <w:ind w:left="1702" w:right="1636"/>
        <w:jc w:val="both"/>
      </w:pPr>
      <w:r>
        <w:t>In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dimensions</w:t>
      </w:r>
      <w:r>
        <w:rPr>
          <w:spacing w:val="1"/>
        </w:rPr>
        <w:t xml:space="preserve"> </w:t>
      </w:r>
      <w:r>
        <w:t>“Control</w:t>
      </w:r>
      <w:r>
        <w:rPr>
          <w:spacing w:val="1"/>
        </w:rPr>
        <w:t xml:space="preserve"> </w:t>
      </w:r>
      <w:r>
        <w:t>Under</w:t>
      </w:r>
      <w:r>
        <w:rPr>
          <w:spacing w:val="1"/>
        </w:rPr>
        <w:t xml:space="preserve"> </w:t>
      </w:r>
      <w:r>
        <w:t>Pressure”</w:t>
      </w:r>
      <w:r>
        <w:rPr>
          <w:spacing w:val="1"/>
        </w:rPr>
        <w:t xml:space="preserve"> </w:t>
      </w:r>
      <w:r>
        <w:t>(CUP),</w:t>
      </w:r>
      <w:r>
        <w:rPr>
          <w:spacing w:val="1"/>
        </w:rPr>
        <w:t xml:space="preserve"> </w:t>
      </w:r>
      <w:r>
        <w:t>“Adaptability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Support</w:t>
      </w:r>
      <w:r>
        <w:rPr>
          <w:spacing w:val="49"/>
        </w:rPr>
        <w:t xml:space="preserve"> </w:t>
      </w:r>
      <w:r>
        <w:t>Networks”</w:t>
      </w:r>
      <w:r>
        <w:rPr>
          <w:spacing w:val="1"/>
        </w:rPr>
        <w:t xml:space="preserve"> </w:t>
      </w:r>
      <w:r>
        <w:t>(ASN), and “Spirituality” (SPI), marginal trends towards differences between IG-2 and the other</w:t>
      </w:r>
      <w:r>
        <w:rPr>
          <w:spacing w:val="-47"/>
        </w:rPr>
        <w:t xml:space="preserve"> </w:t>
      </w:r>
      <w:r>
        <w:t>groups were observed. However, these did not reach statistical significance, even though they</w:t>
      </w:r>
      <w:r>
        <w:rPr>
          <w:spacing w:val="1"/>
        </w:rPr>
        <w:t xml:space="preserve"> </w:t>
      </w:r>
      <w:r>
        <w:t>coincided</w:t>
      </w:r>
      <w:r>
        <w:rPr>
          <w:spacing w:val="-3"/>
        </w:rPr>
        <w:t xml:space="preserve"> </w:t>
      </w:r>
      <w:r>
        <w:t>with the</w:t>
      </w:r>
      <w:r>
        <w:rPr>
          <w:spacing w:val="1"/>
        </w:rPr>
        <w:t xml:space="preserve"> </w:t>
      </w:r>
      <w:r>
        <w:t>content</w:t>
      </w:r>
      <w:r>
        <w:rPr>
          <w:spacing w:val="-4"/>
        </w:rPr>
        <w:t xml:space="preserve"> </w:t>
      </w:r>
      <w:r>
        <w:t>of the</w:t>
      </w:r>
      <w:r>
        <w:rPr>
          <w:spacing w:val="-2"/>
        </w:rPr>
        <w:t xml:space="preserve"> </w:t>
      </w:r>
      <w:r>
        <w:t>online</w:t>
      </w:r>
      <w:r>
        <w:rPr>
          <w:spacing w:val="-2"/>
        </w:rPr>
        <w:t xml:space="preserve"> </w:t>
      </w:r>
      <w:r>
        <w:t>intervention.</w:t>
      </w:r>
    </w:p>
    <w:p w14:paraId="27BCABBB" w14:textId="77777777" w:rsidR="00C774B2" w:rsidRDefault="00C774B2">
      <w:pPr>
        <w:pStyle w:val="Textoindependiente"/>
        <w:spacing w:before="11"/>
      </w:pPr>
    </w:p>
    <w:p w14:paraId="0C14FF87" w14:textId="77777777" w:rsidR="00C774B2" w:rsidRDefault="00000000">
      <w:pPr>
        <w:pStyle w:val="Textoindependiente"/>
        <w:spacing w:before="1"/>
        <w:ind w:left="1702" w:right="1635"/>
        <w:jc w:val="both"/>
      </w:pPr>
      <w:r>
        <w:t>With regard to the categorical evaluation of participants’ degree of resilience, 11 students</w:t>
      </w:r>
      <w:r>
        <w:rPr>
          <w:spacing w:val="1"/>
        </w:rPr>
        <w:t xml:space="preserve"> </w:t>
      </w:r>
      <w:r>
        <w:t>(4.5%) exhibited high levels of resilience (higher than 88 points): 4 (5.6%) were in the CG, 4</w:t>
      </w:r>
      <w:r>
        <w:rPr>
          <w:spacing w:val="1"/>
        </w:rPr>
        <w:t xml:space="preserve"> </w:t>
      </w:r>
      <w:r>
        <w:t>(4.7%)</w:t>
      </w:r>
      <w:r>
        <w:rPr>
          <w:spacing w:val="-2"/>
        </w:rPr>
        <w:t xml:space="preserve"> </w:t>
      </w:r>
      <w:r>
        <w:t>were</w:t>
      </w:r>
      <w:r>
        <w:rPr>
          <w:spacing w:val="-2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IG-1,</w:t>
      </w:r>
      <w:r>
        <w:rPr>
          <w:spacing w:val="-3"/>
        </w:rPr>
        <w:t xml:space="preserve"> </w:t>
      </w:r>
      <w:r>
        <w:t>and</w:t>
      </w:r>
      <w:r>
        <w:rPr>
          <w:spacing w:val="-1"/>
        </w:rPr>
        <w:t xml:space="preserve"> </w:t>
      </w:r>
      <w:r>
        <w:t>3</w:t>
      </w:r>
      <w:r>
        <w:rPr>
          <w:spacing w:val="-1"/>
        </w:rPr>
        <w:t xml:space="preserve"> </w:t>
      </w:r>
      <w:r>
        <w:t>(3.4%)</w:t>
      </w:r>
      <w:r>
        <w:rPr>
          <w:spacing w:val="2"/>
        </w:rPr>
        <w:t xml:space="preserve"> </w:t>
      </w:r>
      <w:r>
        <w:t>were</w:t>
      </w:r>
      <w:r>
        <w:rPr>
          <w:spacing w:val="1"/>
        </w:rPr>
        <w:t xml:space="preserve"> </w:t>
      </w:r>
      <w:r>
        <w:t>in</w:t>
      </w:r>
      <w:r>
        <w:rPr>
          <w:spacing w:val="-4"/>
        </w:rPr>
        <w:t xml:space="preserve"> </w:t>
      </w:r>
      <w:r>
        <w:t>IG-2</w:t>
      </w:r>
      <w:r>
        <w:rPr>
          <w:spacing w:val="-2"/>
        </w:rPr>
        <w:t xml:space="preserve"> </w:t>
      </w:r>
      <w:r>
        <w:t>(</w:t>
      </w:r>
      <w:r>
        <w:rPr>
          <w:i/>
        </w:rPr>
        <w:t>p</w:t>
      </w:r>
      <w:r>
        <w:rPr>
          <w:i/>
          <w:spacing w:val="-1"/>
        </w:rPr>
        <w:t xml:space="preserve"> </w:t>
      </w:r>
      <w:r>
        <w:t>=</w:t>
      </w:r>
      <w:r>
        <w:rPr>
          <w:spacing w:val="-2"/>
        </w:rPr>
        <w:t xml:space="preserve"> </w:t>
      </w:r>
      <w:r>
        <w:t>0.7).</w:t>
      </w:r>
    </w:p>
    <w:p w14:paraId="1C9B8250" w14:textId="77777777" w:rsidR="00C774B2" w:rsidRDefault="00C774B2">
      <w:pPr>
        <w:pStyle w:val="Textoindependiente"/>
        <w:spacing w:before="10"/>
      </w:pPr>
    </w:p>
    <w:p w14:paraId="14E2E73F" w14:textId="77777777" w:rsidR="00C774B2" w:rsidRDefault="00000000">
      <w:pPr>
        <w:pStyle w:val="Textoindependiente"/>
        <w:spacing w:line="259" w:lineRule="auto"/>
        <w:ind w:left="1702" w:right="1635"/>
        <w:jc w:val="both"/>
      </w:pPr>
      <w:r>
        <w:t>These results could be explained by the data obtained from the NEO-FFI questionnaire (Table</w:t>
      </w:r>
      <w:r>
        <w:rPr>
          <w:spacing w:val="1"/>
        </w:rPr>
        <w:t xml:space="preserve"> </w:t>
      </w:r>
      <w:r>
        <w:t>6), which showed significant differences in two dimensions: neuroticism and extraversion. IG-1</w:t>
      </w:r>
      <w:r>
        <w:rPr>
          <w:spacing w:val="1"/>
        </w:rPr>
        <w:t xml:space="preserve"> </w:t>
      </w:r>
      <w:r>
        <w:t>exhibited higher levels of emotional instability (neuroticism) than the CG, and lower levels of</w:t>
      </w:r>
      <w:r>
        <w:rPr>
          <w:spacing w:val="1"/>
        </w:rPr>
        <w:t xml:space="preserve"> </w:t>
      </w:r>
      <w:r>
        <w:t>extraversion than the CG and IG-2. These data are consistent with those obtained by Robinson</w:t>
      </w:r>
      <w:r>
        <w:rPr>
          <w:spacing w:val="1"/>
        </w:rPr>
        <w:t xml:space="preserve"> </w:t>
      </w:r>
      <w:r>
        <w:t>et</w:t>
      </w:r>
      <w:r>
        <w:rPr>
          <w:spacing w:val="35"/>
        </w:rPr>
        <w:t xml:space="preserve"> </w:t>
      </w:r>
      <w:r>
        <w:t>al.</w:t>
      </w:r>
      <w:r>
        <w:rPr>
          <w:spacing w:val="34"/>
        </w:rPr>
        <w:t xml:space="preserve"> </w:t>
      </w:r>
      <w:r>
        <w:t>(2014),</w:t>
      </w:r>
      <w:r>
        <w:rPr>
          <w:spacing w:val="34"/>
        </w:rPr>
        <w:t xml:space="preserve"> </w:t>
      </w:r>
      <w:r>
        <w:t>who</w:t>
      </w:r>
      <w:r>
        <w:rPr>
          <w:spacing w:val="36"/>
        </w:rPr>
        <w:t xml:space="preserve"> </w:t>
      </w:r>
      <w:r>
        <w:t>conducted</w:t>
      </w:r>
      <w:r>
        <w:rPr>
          <w:spacing w:val="34"/>
        </w:rPr>
        <w:t xml:space="preserve"> </w:t>
      </w:r>
      <w:r>
        <w:t>a</w:t>
      </w:r>
      <w:r>
        <w:rPr>
          <w:spacing w:val="34"/>
        </w:rPr>
        <w:t xml:space="preserve"> </w:t>
      </w:r>
      <w:r>
        <w:t>study</w:t>
      </w:r>
      <w:r>
        <w:rPr>
          <w:spacing w:val="36"/>
        </w:rPr>
        <w:t xml:space="preserve"> </w:t>
      </w:r>
      <w:r>
        <w:t>with</w:t>
      </w:r>
      <w:r>
        <w:rPr>
          <w:spacing w:val="35"/>
        </w:rPr>
        <w:t xml:space="preserve"> </w:t>
      </w:r>
      <w:r>
        <w:t>18-26</w:t>
      </w:r>
      <w:r>
        <w:rPr>
          <w:spacing w:val="32"/>
        </w:rPr>
        <w:t xml:space="preserve"> </w:t>
      </w:r>
      <w:r>
        <w:t>year-olds</w:t>
      </w:r>
      <w:r>
        <w:rPr>
          <w:spacing w:val="35"/>
        </w:rPr>
        <w:t xml:space="preserve"> </w:t>
      </w:r>
      <w:r>
        <w:t>and</w:t>
      </w:r>
      <w:r>
        <w:rPr>
          <w:spacing w:val="34"/>
        </w:rPr>
        <w:t xml:space="preserve"> </w:t>
      </w:r>
      <w:r>
        <w:t>showed</w:t>
      </w:r>
      <w:r>
        <w:rPr>
          <w:spacing w:val="32"/>
        </w:rPr>
        <w:t xml:space="preserve"> </w:t>
      </w:r>
      <w:r>
        <w:t>that</w:t>
      </w:r>
      <w:r>
        <w:rPr>
          <w:spacing w:val="34"/>
        </w:rPr>
        <w:t xml:space="preserve"> </w:t>
      </w:r>
      <w:r>
        <w:t>resilience</w:t>
      </w:r>
      <w:r>
        <w:rPr>
          <w:spacing w:val="33"/>
        </w:rPr>
        <w:t xml:space="preserve"> </w:t>
      </w:r>
      <w:r>
        <w:t>was</w:t>
      </w:r>
      <w:r>
        <w:rPr>
          <w:spacing w:val="-47"/>
        </w:rPr>
        <w:t xml:space="preserve"> </w:t>
      </w:r>
      <w:r>
        <w:t>more linked to extraversion and less to neuroticism. Also, Benavente et al. (2018), with a</w:t>
      </w:r>
      <w:r>
        <w:rPr>
          <w:spacing w:val="1"/>
        </w:rPr>
        <w:t xml:space="preserve"> </w:t>
      </w:r>
      <w:r>
        <w:t>sample of 458 students, concluded that the increase in resilience is related to the presence of</w:t>
      </w:r>
      <w:r>
        <w:rPr>
          <w:spacing w:val="1"/>
        </w:rPr>
        <w:t xml:space="preserve"> </w:t>
      </w:r>
      <w:r>
        <w:t>personality characteristics related to emotional stability, conscientiousness, and extraversion.</w:t>
      </w:r>
      <w:r>
        <w:rPr>
          <w:spacing w:val="1"/>
        </w:rPr>
        <w:t xml:space="preserve"> </w:t>
      </w:r>
      <w:r>
        <w:t>Another</w:t>
      </w:r>
      <w:r>
        <w:rPr>
          <w:spacing w:val="40"/>
        </w:rPr>
        <w:t xml:space="preserve"> </w:t>
      </w:r>
      <w:r>
        <w:t>finding</w:t>
      </w:r>
      <w:r>
        <w:rPr>
          <w:spacing w:val="40"/>
        </w:rPr>
        <w:t xml:space="preserve"> </w:t>
      </w:r>
      <w:r>
        <w:t>that</w:t>
      </w:r>
      <w:r>
        <w:rPr>
          <w:spacing w:val="40"/>
        </w:rPr>
        <w:t xml:space="preserve"> </w:t>
      </w:r>
      <w:r>
        <w:t>is</w:t>
      </w:r>
      <w:r>
        <w:rPr>
          <w:spacing w:val="41"/>
        </w:rPr>
        <w:t xml:space="preserve"> </w:t>
      </w:r>
      <w:r>
        <w:t>consistent</w:t>
      </w:r>
      <w:r>
        <w:rPr>
          <w:spacing w:val="40"/>
        </w:rPr>
        <w:t xml:space="preserve"> </w:t>
      </w:r>
      <w:r>
        <w:t>with</w:t>
      </w:r>
      <w:r>
        <w:rPr>
          <w:spacing w:val="41"/>
        </w:rPr>
        <w:t xml:space="preserve"> </w:t>
      </w:r>
      <w:r>
        <w:t>this</w:t>
      </w:r>
      <w:r>
        <w:rPr>
          <w:spacing w:val="40"/>
        </w:rPr>
        <w:t xml:space="preserve"> </w:t>
      </w:r>
      <w:r>
        <w:t>study</w:t>
      </w:r>
      <w:r>
        <w:rPr>
          <w:spacing w:val="42"/>
        </w:rPr>
        <w:t xml:space="preserve"> </w:t>
      </w:r>
      <w:r>
        <w:t>is</w:t>
      </w:r>
      <w:r>
        <w:rPr>
          <w:spacing w:val="40"/>
        </w:rPr>
        <w:t xml:space="preserve"> </w:t>
      </w:r>
      <w:r>
        <w:t>that</w:t>
      </w:r>
      <w:r>
        <w:rPr>
          <w:spacing w:val="41"/>
        </w:rPr>
        <w:t xml:space="preserve"> </w:t>
      </w:r>
      <w:r>
        <w:t>greater</w:t>
      </w:r>
      <w:r>
        <w:rPr>
          <w:spacing w:val="41"/>
        </w:rPr>
        <w:t xml:space="preserve"> </w:t>
      </w:r>
      <w:r>
        <w:t>emotional</w:t>
      </w:r>
      <w:r>
        <w:rPr>
          <w:spacing w:val="40"/>
        </w:rPr>
        <w:t xml:space="preserve"> </w:t>
      </w:r>
      <w:r>
        <w:t>stability</w:t>
      </w:r>
      <w:r>
        <w:rPr>
          <w:spacing w:val="42"/>
        </w:rPr>
        <w:t xml:space="preserve"> </w:t>
      </w:r>
      <w:r>
        <w:t>and</w:t>
      </w:r>
      <w:r>
        <w:rPr>
          <w:spacing w:val="44"/>
        </w:rPr>
        <w:t xml:space="preserve"> </w:t>
      </w:r>
      <w:r>
        <w:t>a</w:t>
      </w:r>
    </w:p>
    <w:p w14:paraId="5FCE077E" w14:textId="77777777" w:rsidR="00C774B2" w:rsidRDefault="00C774B2">
      <w:pPr>
        <w:spacing w:line="259" w:lineRule="auto"/>
        <w:jc w:val="both"/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7E026208" w14:textId="77777777" w:rsidR="00C774B2" w:rsidRDefault="00000000">
      <w:pPr>
        <w:pStyle w:val="Textoindependiente"/>
        <w:spacing w:before="34" w:line="259" w:lineRule="auto"/>
        <w:ind w:left="1702" w:right="1633"/>
        <w:jc w:val="both"/>
      </w:pPr>
      <w:r>
        <w:lastRenderedPageBreak/>
        <w:t>higher level of conscientiousness indicates a higher level of personal satisfaction, which would</w:t>
      </w:r>
      <w:r>
        <w:rPr>
          <w:spacing w:val="1"/>
        </w:rPr>
        <w:t xml:space="preserve"> </w:t>
      </w:r>
      <w:r>
        <w:t>explain why higher scores in Positive Affect on the PANAS were observed in control group than</w:t>
      </w:r>
      <w:r>
        <w:rPr>
          <w:spacing w:val="-47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other groups.</w:t>
      </w:r>
    </w:p>
    <w:p w14:paraId="3C77D760" w14:textId="77777777" w:rsidR="00C774B2" w:rsidRDefault="00C774B2">
      <w:pPr>
        <w:pStyle w:val="Textoindependiente"/>
        <w:spacing w:before="11"/>
      </w:pPr>
    </w:p>
    <w:p w14:paraId="5C8E4B20" w14:textId="77777777" w:rsidR="00C774B2" w:rsidRDefault="00000000">
      <w:pPr>
        <w:pStyle w:val="Textoindependiente"/>
        <w:spacing w:before="1" w:line="259" w:lineRule="auto"/>
        <w:ind w:left="1702" w:right="1634"/>
        <w:jc w:val="both"/>
      </w:pPr>
      <w:r>
        <w:t>Finally, when analysing the data on Coping and Resilience on the COPE-48 scale, greater inter-</w:t>
      </w:r>
      <w:r>
        <w:rPr>
          <w:spacing w:val="1"/>
        </w:rPr>
        <w:t xml:space="preserve"> </w:t>
      </w:r>
      <w:r>
        <w:t>group differences in “Focus on and Venting of Emotions” were observed with relation to IG-1.</w:t>
      </w:r>
      <w:r>
        <w:rPr>
          <w:spacing w:val="1"/>
        </w:rPr>
        <w:t xml:space="preserve"> </w:t>
      </w:r>
      <w:r>
        <w:t>This group reported higher scores on the Neuroticism sub-scale of the NEO-FFI scale when</w:t>
      </w:r>
      <w:r>
        <w:rPr>
          <w:spacing w:val="1"/>
        </w:rPr>
        <w:t xml:space="preserve"> </w:t>
      </w:r>
      <w:r>
        <w:t>compared to the other groups. These data are consistent with those of Barrios Herrera et al.</w:t>
      </w:r>
      <w:r>
        <w:rPr>
          <w:spacing w:val="1"/>
        </w:rPr>
        <w:t xml:space="preserve"> </w:t>
      </w:r>
      <w:r>
        <w:t>(2013) and Carver &amp; Connor-Smith (2010), where neuroticism is related to avoidance coping</w:t>
      </w:r>
      <w:r>
        <w:rPr>
          <w:spacing w:val="1"/>
        </w:rPr>
        <w:t xml:space="preserve"> </w:t>
      </w:r>
      <w:r>
        <w:t>strategies,</w:t>
      </w:r>
      <w:r>
        <w:rPr>
          <w:spacing w:val="-1"/>
        </w:rPr>
        <w:t xml:space="preserve"> </w:t>
      </w:r>
      <w:r>
        <w:t>in this</w:t>
      </w:r>
      <w:r>
        <w:rPr>
          <w:spacing w:val="-3"/>
        </w:rPr>
        <w:t xml:space="preserve"> </w:t>
      </w:r>
      <w:r>
        <w:t>case</w:t>
      </w:r>
      <w:r>
        <w:rPr>
          <w:spacing w:val="-2"/>
        </w:rPr>
        <w:t xml:space="preserve"> </w:t>
      </w:r>
      <w:r>
        <w:t>in the</w:t>
      </w:r>
      <w:r>
        <w:rPr>
          <w:spacing w:val="1"/>
        </w:rPr>
        <w:t xml:space="preserve"> </w:t>
      </w:r>
      <w:r>
        <w:t>long</w:t>
      </w:r>
      <w:r>
        <w:rPr>
          <w:spacing w:val="-3"/>
        </w:rPr>
        <w:t xml:space="preserve"> </w:t>
      </w:r>
      <w:r>
        <w:t>term.</w:t>
      </w:r>
    </w:p>
    <w:p w14:paraId="59E4EEE1" w14:textId="77777777" w:rsidR="00C774B2" w:rsidRDefault="00C774B2">
      <w:pPr>
        <w:pStyle w:val="Textoindependiente"/>
      </w:pPr>
    </w:p>
    <w:p w14:paraId="3EAD08ED" w14:textId="77777777" w:rsidR="00C774B2" w:rsidRDefault="00C774B2">
      <w:pPr>
        <w:pStyle w:val="Textoindependiente"/>
      </w:pPr>
    </w:p>
    <w:p w14:paraId="0F3C481D" w14:textId="77777777" w:rsidR="00C774B2" w:rsidRDefault="00C774B2">
      <w:pPr>
        <w:pStyle w:val="Textoindependiente"/>
        <w:spacing w:before="6"/>
        <w:rPr>
          <w:sz w:val="25"/>
        </w:rPr>
      </w:pPr>
    </w:p>
    <w:p w14:paraId="16A7361D" w14:textId="77777777" w:rsidR="00C774B2" w:rsidRDefault="00000000">
      <w:pPr>
        <w:pStyle w:val="Ttulo4"/>
        <w:spacing w:before="1"/>
        <w:ind w:left="1702"/>
        <w:jc w:val="left"/>
      </w:pPr>
      <w:r>
        <w:t>Limitations</w:t>
      </w:r>
    </w:p>
    <w:p w14:paraId="27D3A524" w14:textId="77777777" w:rsidR="00C774B2" w:rsidRDefault="00C774B2">
      <w:pPr>
        <w:pStyle w:val="Textoindependiente"/>
        <w:spacing w:before="7"/>
        <w:rPr>
          <w:b/>
          <w:sz w:val="24"/>
        </w:rPr>
      </w:pPr>
    </w:p>
    <w:p w14:paraId="7D732F2A" w14:textId="77777777" w:rsidR="00C774B2" w:rsidRDefault="00000000">
      <w:pPr>
        <w:pStyle w:val="Textoindependiente"/>
        <w:spacing w:before="1"/>
        <w:ind w:left="1702" w:right="1478"/>
      </w:pPr>
      <w:r>
        <w:t>The</w:t>
      </w:r>
      <w:r>
        <w:rPr>
          <w:spacing w:val="5"/>
        </w:rPr>
        <w:t xml:space="preserve"> </w:t>
      </w:r>
      <w:r>
        <w:t>participants</w:t>
      </w:r>
      <w:r>
        <w:rPr>
          <w:spacing w:val="5"/>
        </w:rPr>
        <w:t xml:space="preserve"> </w:t>
      </w:r>
      <w:r>
        <w:t>in</w:t>
      </w:r>
      <w:r>
        <w:rPr>
          <w:spacing w:val="5"/>
        </w:rPr>
        <w:t xml:space="preserve"> </w:t>
      </w:r>
      <w:r>
        <w:t>the</w:t>
      </w:r>
      <w:r>
        <w:rPr>
          <w:spacing w:val="7"/>
        </w:rPr>
        <w:t xml:space="preserve"> </w:t>
      </w:r>
      <w:r>
        <w:t>present</w:t>
      </w:r>
      <w:r>
        <w:rPr>
          <w:spacing w:val="6"/>
        </w:rPr>
        <w:t xml:space="preserve"> </w:t>
      </w:r>
      <w:r>
        <w:t>study</w:t>
      </w:r>
      <w:r>
        <w:rPr>
          <w:spacing w:val="3"/>
        </w:rPr>
        <w:t xml:space="preserve"> </w:t>
      </w:r>
      <w:r>
        <w:t>were</w:t>
      </w:r>
      <w:r>
        <w:rPr>
          <w:spacing w:val="2"/>
        </w:rPr>
        <w:t xml:space="preserve"> </w:t>
      </w:r>
      <w:r>
        <w:t>mainly</w:t>
      </w:r>
      <w:r>
        <w:rPr>
          <w:spacing w:val="3"/>
        </w:rPr>
        <w:t xml:space="preserve"> </w:t>
      </w:r>
      <w:r>
        <w:t>women.</w:t>
      </w:r>
      <w:r>
        <w:rPr>
          <w:spacing w:val="3"/>
        </w:rPr>
        <w:t xml:space="preserve"> </w:t>
      </w:r>
      <w:r>
        <w:t>The</w:t>
      </w:r>
      <w:r>
        <w:rPr>
          <w:spacing w:val="5"/>
        </w:rPr>
        <w:t xml:space="preserve"> </w:t>
      </w:r>
      <w:r>
        <w:t>questionnaires</w:t>
      </w:r>
      <w:r>
        <w:rPr>
          <w:spacing w:val="5"/>
        </w:rPr>
        <w:t xml:space="preserve"> </w:t>
      </w:r>
      <w:r>
        <w:t>and</w:t>
      </w:r>
      <w:r>
        <w:rPr>
          <w:spacing w:val="5"/>
        </w:rPr>
        <w:t xml:space="preserve"> </w:t>
      </w:r>
      <w:r>
        <w:t>scales</w:t>
      </w:r>
      <w:r>
        <w:rPr>
          <w:spacing w:val="5"/>
        </w:rPr>
        <w:t xml:space="preserve"> </w:t>
      </w:r>
      <w:r>
        <w:t>used</w:t>
      </w:r>
      <w:r>
        <w:rPr>
          <w:spacing w:val="-47"/>
        </w:rPr>
        <w:t xml:space="preserve"> </w:t>
      </w:r>
      <w:r>
        <w:t>were</w:t>
      </w:r>
      <w:r>
        <w:rPr>
          <w:spacing w:val="12"/>
        </w:rPr>
        <w:t xml:space="preserve"> </w:t>
      </w:r>
      <w:r>
        <w:t>self-reported,</w:t>
      </w:r>
      <w:r>
        <w:rPr>
          <w:spacing w:val="11"/>
        </w:rPr>
        <w:t xml:space="preserve"> </w:t>
      </w:r>
      <w:r>
        <w:t>which</w:t>
      </w:r>
      <w:r>
        <w:rPr>
          <w:spacing w:val="13"/>
        </w:rPr>
        <w:t xml:space="preserve"> </w:t>
      </w:r>
      <w:r>
        <w:t>may</w:t>
      </w:r>
      <w:r>
        <w:rPr>
          <w:spacing w:val="15"/>
        </w:rPr>
        <w:t xml:space="preserve"> </w:t>
      </w:r>
      <w:r>
        <w:t>have</w:t>
      </w:r>
      <w:r>
        <w:rPr>
          <w:spacing w:val="15"/>
        </w:rPr>
        <w:t xml:space="preserve"> </w:t>
      </w:r>
      <w:r>
        <w:t>introduced</w:t>
      </w:r>
      <w:r>
        <w:rPr>
          <w:spacing w:val="12"/>
        </w:rPr>
        <w:t xml:space="preserve"> </w:t>
      </w:r>
      <w:r>
        <w:t>biases</w:t>
      </w:r>
      <w:r>
        <w:rPr>
          <w:spacing w:val="14"/>
        </w:rPr>
        <w:t xml:space="preserve"> </w:t>
      </w:r>
      <w:r>
        <w:t>related</w:t>
      </w:r>
      <w:r>
        <w:rPr>
          <w:spacing w:val="11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subjectivity</w:t>
      </w:r>
      <w:r>
        <w:rPr>
          <w:spacing w:val="15"/>
        </w:rPr>
        <w:t xml:space="preserve"> </w:t>
      </w:r>
      <w:r>
        <w:t>and</w:t>
      </w:r>
      <w:r>
        <w:rPr>
          <w:spacing w:val="13"/>
        </w:rPr>
        <w:t xml:space="preserve"> </w:t>
      </w:r>
      <w:r>
        <w:t>social</w:t>
      </w:r>
      <w:r>
        <w:rPr>
          <w:spacing w:val="-47"/>
        </w:rPr>
        <w:t xml:space="preserve"> </w:t>
      </w:r>
      <w:r>
        <w:t>desirability,</w:t>
      </w:r>
      <w:r>
        <w:rPr>
          <w:spacing w:val="16"/>
        </w:rPr>
        <w:t xml:space="preserve"> </w:t>
      </w:r>
      <w:r>
        <w:t>with</w:t>
      </w:r>
      <w:r>
        <w:rPr>
          <w:spacing w:val="19"/>
        </w:rPr>
        <w:t xml:space="preserve"> </w:t>
      </w:r>
      <w:r>
        <w:t>students</w:t>
      </w:r>
      <w:r>
        <w:rPr>
          <w:spacing w:val="17"/>
        </w:rPr>
        <w:t xml:space="preserve"> </w:t>
      </w:r>
      <w:r>
        <w:t>wishing</w:t>
      </w:r>
      <w:r>
        <w:rPr>
          <w:spacing w:val="17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give</w:t>
      </w:r>
      <w:r>
        <w:rPr>
          <w:spacing w:val="20"/>
        </w:rPr>
        <w:t xml:space="preserve"> </w:t>
      </w:r>
      <w:r>
        <w:t>a</w:t>
      </w:r>
      <w:r>
        <w:rPr>
          <w:spacing w:val="18"/>
        </w:rPr>
        <w:t xml:space="preserve"> </w:t>
      </w:r>
      <w:r>
        <w:t>good</w:t>
      </w:r>
      <w:r>
        <w:rPr>
          <w:spacing w:val="18"/>
        </w:rPr>
        <w:t xml:space="preserve"> </w:t>
      </w:r>
      <w:r>
        <w:t>impression</w:t>
      </w:r>
      <w:r>
        <w:rPr>
          <w:spacing w:val="16"/>
        </w:rPr>
        <w:t xml:space="preserve"> </w:t>
      </w:r>
      <w:r>
        <w:t>of</w:t>
      </w:r>
      <w:r>
        <w:rPr>
          <w:spacing w:val="18"/>
        </w:rPr>
        <w:t xml:space="preserve"> </w:t>
      </w:r>
      <w:r>
        <w:t>themselves</w:t>
      </w:r>
      <w:r>
        <w:rPr>
          <w:spacing w:val="20"/>
        </w:rPr>
        <w:t xml:space="preserve"> </w:t>
      </w:r>
      <w:r>
        <w:t>to</w:t>
      </w:r>
      <w:r>
        <w:rPr>
          <w:spacing w:val="18"/>
        </w:rPr>
        <w:t xml:space="preserve"> </w:t>
      </w:r>
      <w:r>
        <w:t>the</w:t>
      </w:r>
      <w:r>
        <w:rPr>
          <w:spacing w:val="18"/>
        </w:rPr>
        <w:t xml:space="preserve"> </w:t>
      </w:r>
      <w:r>
        <w:t>university,</w:t>
      </w:r>
      <w:r>
        <w:rPr>
          <w:spacing w:val="-46"/>
        </w:rPr>
        <w:t xml:space="preserve"> </w:t>
      </w:r>
      <w:r>
        <w:t>sometimes</w:t>
      </w:r>
      <w:r>
        <w:rPr>
          <w:spacing w:val="32"/>
        </w:rPr>
        <w:t xml:space="preserve"> </w:t>
      </w:r>
      <w:r>
        <w:t>distorting</w:t>
      </w:r>
      <w:r>
        <w:rPr>
          <w:spacing w:val="31"/>
        </w:rPr>
        <w:t xml:space="preserve"> </w:t>
      </w:r>
      <w:r>
        <w:t>the</w:t>
      </w:r>
      <w:r>
        <w:rPr>
          <w:spacing w:val="30"/>
        </w:rPr>
        <w:t xml:space="preserve"> </w:t>
      </w:r>
      <w:r>
        <w:t>answers</w:t>
      </w:r>
      <w:r>
        <w:rPr>
          <w:spacing w:val="33"/>
        </w:rPr>
        <w:t xml:space="preserve"> </w:t>
      </w:r>
      <w:r>
        <w:t>(Salgado,</w:t>
      </w:r>
      <w:r>
        <w:rPr>
          <w:spacing w:val="32"/>
        </w:rPr>
        <w:t xml:space="preserve"> </w:t>
      </w:r>
      <w:r>
        <w:t>2005).</w:t>
      </w:r>
      <w:r>
        <w:rPr>
          <w:spacing w:val="31"/>
        </w:rPr>
        <w:t xml:space="preserve"> </w:t>
      </w:r>
      <w:r>
        <w:t>Among</w:t>
      </w:r>
      <w:r>
        <w:rPr>
          <w:spacing w:val="31"/>
        </w:rPr>
        <w:t xml:space="preserve"> </w:t>
      </w:r>
      <w:r>
        <w:t>the</w:t>
      </w:r>
      <w:r>
        <w:rPr>
          <w:spacing w:val="32"/>
        </w:rPr>
        <w:t xml:space="preserve"> </w:t>
      </w:r>
      <w:r>
        <w:t>theoretical</w:t>
      </w:r>
      <w:r>
        <w:rPr>
          <w:spacing w:val="32"/>
        </w:rPr>
        <w:t xml:space="preserve"> </w:t>
      </w:r>
      <w:r>
        <w:t>limitations,</w:t>
      </w:r>
      <w:r>
        <w:rPr>
          <w:spacing w:val="29"/>
        </w:rPr>
        <w:t xml:space="preserve"> </w:t>
      </w:r>
      <w:r>
        <w:t>there</w:t>
      </w:r>
      <w:r>
        <w:rPr>
          <w:spacing w:val="-46"/>
        </w:rPr>
        <w:t xml:space="preserve"> </w:t>
      </w:r>
      <w:r>
        <w:t>are</w:t>
      </w:r>
      <w:r>
        <w:rPr>
          <w:spacing w:val="28"/>
        </w:rPr>
        <w:t xml:space="preserve"> </w:t>
      </w:r>
      <w:r>
        <w:t>few</w:t>
      </w:r>
      <w:r>
        <w:rPr>
          <w:spacing w:val="29"/>
        </w:rPr>
        <w:t xml:space="preserve"> </w:t>
      </w:r>
      <w:r>
        <w:t>studies</w:t>
      </w:r>
      <w:r>
        <w:rPr>
          <w:spacing w:val="29"/>
        </w:rPr>
        <w:t xml:space="preserve"> </w:t>
      </w:r>
      <w:r>
        <w:t>connecting</w:t>
      </w:r>
      <w:r>
        <w:rPr>
          <w:spacing w:val="28"/>
        </w:rPr>
        <w:t xml:space="preserve"> </w:t>
      </w:r>
      <w:r>
        <w:t>the</w:t>
      </w:r>
      <w:r>
        <w:rPr>
          <w:spacing w:val="28"/>
        </w:rPr>
        <w:t xml:space="preserve"> </w:t>
      </w:r>
      <w:r>
        <w:t>variables</w:t>
      </w:r>
      <w:r>
        <w:rPr>
          <w:spacing w:val="28"/>
        </w:rPr>
        <w:t xml:space="preserve"> </w:t>
      </w:r>
      <w:r>
        <w:t>assessed</w:t>
      </w:r>
      <w:r>
        <w:rPr>
          <w:spacing w:val="27"/>
        </w:rPr>
        <w:t xml:space="preserve"> </w:t>
      </w:r>
      <w:r>
        <w:t>in</w:t>
      </w:r>
      <w:r>
        <w:rPr>
          <w:spacing w:val="27"/>
        </w:rPr>
        <w:t xml:space="preserve"> </w:t>
      </w:r>
      <w:r>
        <w:t>this</w:t>
      </w:r>
      <w:r>
        <w:rPr>
          <w:spacing w:val="28"/>
        </w:rPr>
        <w:t xml:space="preserve"> </w:t>
      </w:r>
      <w:r>
        <w:t>research.</w:t>
      </w:r>
      <w:r>
        <w:rPr>
          <w:spacing w:val="29"/>
        </w:rPr>
        <w:t xml:space="preserve"> </w:t>
      </w:r>
      <w:r>
        <w:t>Furthermore,</w:t>
      </w:r>
      <w:r>
        <w:rPr>
          <w:spacing w:val="28"/>
        </w:rPr>
        <w:t xml:space="preserve"> </w:t>
      </w:r>
      <w:r>
        <w:t>the</w:t>
      </w:r>
      <w:r>
        <w:rPr>
          <w:spacing w:val="29"/>
        </w:rPr>
        <w:t xml:space="preserve"> </w:t>
      </w:r>
      <w:r>
        <w:t>results</w:t>
      </w:r>
      <w:r>
        <w:rPr>
          <w:spacing w:val="-47"/>
        </w:rPr>
        <w:t xml:space="preserve"> </w:t>
      </w:r>
      <w:r>
        <w:t>obtained</w:t>
      </w:r>
      <w:r>
        <w:rPr>
          <w:spacing w:val="30"/>
        </w:rPr>
        <w:t xml:space="preserve"> </w:t>
      </w:r>
      <w:r>
        <w:t>cannot</w:t>
      </w:r>
      <w:r>
        <w:rPr>
          <w:spacing w:val="31"/>
        </w:rPr>
        <w:t xml:space="preserve"> </w:t>
      </w:r>
      <w:r>
        <w:t>be</w:t>
      </w:r>
      <w:r>
        <w:rPr>
          <w:spacing w:val="29"/>
        </w:rPr>
        <w:t xml:space="preserve"> </w:t>
      </w:r>
      <w:r>
        <w:t>extrapolated</w:t>
      </w:r>
      <w:r>
        <w:rPr>
          <w:spacing w:val="31"/>
        </w:rPr>
        <w:t xml:space="preserve"> </w:t>
      </w:r>
      <w:r>
        <w:t>to</w:t>
      </w:r>
      <w:r>
        <w:rPr>
          <w:spacing w:val="29"/>
        </w:rPr>
        <w:t xml:space="preserve"> </w:t>
      </w:r>
      <w:r>
        <w:t>the</w:t>
      </w:r>
      <w:r>
        <w:rPr>
          <w:spacing w:val="31"/>
        </w:rPr>
        <w:t xml:space="preserve"> </w:t>
      </w:r>
      <w:r>
        <w:t>general</w:t>
      </w:r>
      <w:r>
        <w:rPr>
          <w:spacing w:val="29"/>
        </w:rPr>
        <w:t xml:space="preserve"> </w:t>
      </w:r>
      <w:r>
        <w:t>population,</w:t>
      </w:r>
      <w:r>
        <w:rPr>
          <w:spacing w:val="31"/>
        </w:rPr>
        <w:t xml:space="preserve"> </w:t>
      </w:r>
      <w:r>
        <w:t>although</w:t>
      </w:r>
      <w:r>
        <w:rPr>
          <w:spacing w:val="30"/>
        </w:rPr>
        <w:t xml:space="preserve"> </w:t>
      </w:r>
      <w:r>
        <w:t>they</w:t>
      </w:r>
      <w:r>
        <w:rPr>
          <w:spacing w:val="31"/>
        </w:rPr>
        <w:t xml:space="preserve"> </w:t>
      </w:r>
      <w:r>
        <w:t>are</w:t>
      </w:r>
      <w:r>
        <w:rPr>
          <w:spacing w:val="32"/>
        </w:rPr>
        <w:t xml:space="preserve"> </w:t>
      </w:r>
      <w:r>
        <w:t>valid</w:t>
      </w:r>
      <w:r>
        <w:rPr>
          <w:spacing w:val="30"/>
        </w:rPr>
        <w:t xml:space="preserve"> </w:t>
      </w:r>
      <w:r>
        <w:t>for</w:t>
      </w:r>
      <w:r>
        <w:rPr>
          <w:spacing w:val="30"/>
        </w:rPr>
        <w:t xml:space="preserve"> </w:t>
      </w:r>
      <w:r>
        <w:t>the</w:t>
      </w:r>
      <w:r>
        <w:rPr>
          <w:spacing w:val="-46"/>
        </w:rPr>
        <w:t xml:space="preserve"> </w:t>
      </w:r>
      <w:r>
        <w:t>setting</w:t>
      </w:r>
      <w:r>
        <w:rPr>
          <w:spacing w:val="20"/>
        </w:rPr>
        <w:t xml:space="preserve"> </w:t>
      </w:r>
      <w:r>
        <w:t>analysed.</w:t>
      </w:r>
      <w:r>
        <w:rPr>
          <w:spacing w:val="20"/>
        </w:rPr>
        <w:t xml:space="preserve"> </w:t>
      </w:r>
      <w:r>
        <w:t>An</w:t>
      </w:r>
      <w:r>
        <w:rPr>
          <w:spacing w:val="19"/>
        </w:rPr>
        <w:t xml:space="preserve"> </w:t>
      </w:r>
      <w:r>
        <w:t>additional</w:t>
      </w:r>
      <w:r>
        <w:rPr>
          <w:spacing w:val="20"/>
        </w:rPr>
        <w:t xml:space="preserve"> </w:t>
      </w:r>
      <w:r>
        <w:t>limitation</w:t>
      </w:r>
      <w:r>
        <w:rPr>
          <w:spacing w:val="17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this</w:t>
      </w:r>
      <w:r>
        <w:rPr>
          <w:spacing w:val="20"/>
        </w:rPr>
        <w:t xml:space="preserve"> </w:t>
      </w:r>
      <w:r>
        <w:t>study</w:t>
      </w:r>
      <w:r>
        <w:rPr>
          <w:spacing w:val="20"/>
        </w:rPr>
        <w:t xml:space="preserve"> </w:t>
      </w:r>
      <w:r>
        <w:t>is</w:t>
      </w:r>
      <w:r>
        <w:rPr>
          <w:spacing w:val="18"/>
        </w:rPr>
        <w:t xml:space="preserve"> </w:t>
      </w:r>
      <w:r>
        <w:t>that</w:t>
      </w:r>
      <w:r>
        <w:rPr>
          <w:spacing w:val="20"/>
        </w:rPr>
        <w:t xml:space="preserve"> </w:t>
      </w:r>
      <w:r>
        <w:t>resilience-enhancing</w:t>
      </w:r>
      <w:r>
        <w:rPr>
          <w:spacing w:val="-47"/>
        </w:rPr>
        <w:t xml:space="preserve"> </w:t>
      </w:r>
      <w:r>
        <w:t>interventions</w:t>
      </w:r>
      <w:r>
        <w:rPr>
          <w:spacing w:val="9"/>
        </w:rPr>
        <w:t xml:space="preserve"> </w:t>
      </w:r>
      <w:r>
        <w:t>tend</w:t>
      </w:r>
      <w:r>
        <w:rPr>
          <w:spacing w:val="10"/>
        </w:rPr>
        <w:t xml:space="preserve"> </w:t>
      </w:r>
      <w:r>
        <w:t>to</w:t>
      </w:r>
      <w:r>
        <w:rPr>
          <w:spacing w:val="13"/>
        </w:rPr>
        <w:t xml:space="preserve"> </w:t>
      </w:r>
      <w:r>
        <w:t>have</w:t>
      </w:r>
      <w:r>
        <w:rPr>
          <w:spacing w:val="9"/>
        </w:rPr>
        <w:t xml:space="preserve"> </w:t>
      </w:r>
      <w:r>
        <w:t>a</w:t>
      </w:r>
      <w:r>
        <w:rPr>
          <w:spacing w:val="11"/>
        </w:rPr>
        <w:t xml:space="preserve"> </w:t>
      </w:r>
      <w:r>
        <w:t>duration</w:t>
      </w:r>
      <w:r>
        <w:rPr>
          <w:spacing w:val="11"/>
        </w:rPr>
        <w:t xml:space="preserve"> </w:t>
      </w:r>
      <w:r>
        <w:t>of</w:t>
      </w:r>
      <w:r>
        <w:rPr>
          <w:spacing w:val="8"/>
        </w:rPr>
        <w:t xml:space="preserve"> </w:t>
      </w:r>
      <w:r>
        <w:t>several</w:t>
      </w:r>
      <w:r>
        <w:rPr>
          <w:spacing w:val="11"/>
        </w:rPr>
        <w:t xml:space="preserve"> </w:t>
      </w:r>
      <w:r>
        <w:t>hours,</w:t>
      </w:r>
      <w:r>
        <w:rPr>
          <w:spacing w:val="11"/>
        </w:rPr>
        <w:t xml:space="preserve"> </w:t>
      </w:r>
      <w:r>
        <w:t>whereas</w:t>
      </w:r>
      <w:r>
        <w:rPr>
          <w:spacing w:val="11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intervention</w:t>
      </w:r>
      <w:r>
        <w:rPr>
          <w:spacing w:val="10"/>
        </w:rPr>
        <w:t xml:space="preserve"> </w:t>
      </w:r>
      <w:r>
        <w:t>in</w:t>
      </w:r>
      <w:r>
        <w:rPr>
          <w:spacing w:val="11"/>
        </w:rPr>
        <w:t xml:space="preserve"> </w:t>
      </w:r>
      <w:r>
        <w:t>this</w:t>
      </w:r>
      <w:r>
        <w:rPr>
          <w:spacing w:val="11"/>
        </w:rPr>
        <w:t xml:space="preserve"> </w:t>
      </w:r>
      <w:r>
        <w:t>study</w:t>
      </w:r>
      <w:r>
        <w:rPr>
          <w:spacing w:val="-47"/>
        </w:rPr>
        <w:t xml:space="preserve"> </w:t>
      </w:r>
      <w:r>
        <w:t>had</w:t>
      </w:r>
      <w:r>
        <w:rPr>
          <w:spacing w:val="18"/>
        </w:rPr>
        <w:t xml:space="preserve"> </w:t>
      </w:r>
      <w:r>
        <w:t>a</w:t>
      </w:r>
      <w:r>
        <w:rPr>
          <w:spacing w:val="19"/>
        </w:rPr>
        <w:t xml:space="preserve"> </w:t>
      </w:r>
      <w:r>
        <w:t>duration</w:t>
      </w:r>
      <w:r>
        <w:rPr>
          <w:spacing w:val="19"/>
        </w:rPr>
        <w:t xml:space="preserve"> </w:t>
      </w:r>
      <w:r>
        <w:t>of</w:t>
      </w:r>
      <w:r>
        <w:rPr>
          <w:spacing w:val="20"/>
        </w:rPr>
        <w:t xml:space="preserve"> </w:t>
      </w:r>
      <w:r>
        <w:t>only</w:t>
      </w:r>
      <w:r>
        <w:rPr>
          <w:spacing w:val="20"/>
        </w:rPr>
        <w:t xml:space="preserve"> </w:t>
      </w:r>
      <w:r>
        <w:t>1</w:t>
      </w:r>
      <w:r>
        <w:rPr>
          <w:spacing w:val="21"/>
        </w:rPr>
        <w:t xml:space="preserve"> </w:t>
      </w:r>
      <w:r>
        <w:t>hour.</w:t>
      </w:r>
      <w:r>
        <w:rPr>
          <w:spacing w:val="20"/>
        </w:rPr>
        <w:t xml:space="preserve"> </w:t>
      </w:r>
      <w:r>
        <w:t>In</w:t>
      </w:r>
      <w:r>
        <w:rPr>
          <w:spacing w:val="19"/>
        </w:rPr>
        <w:t xml:space="preserve"> </w:t>
      </w:r>
      <w:r>
        <w:t>this</w:t>
      </w:r>
      <w:r>
        <w:rPr>
          <w:spacing w:val="19"/>
        </w:rPr>
        <w:t xml:space="preserve"> </w:t>
      </w:r>
      <w:r>
        <w:t>regard,</w:t>
      </w:r>
      <w:r>
        <w:rPr>
          <w:spacing w:val="19"/>
        </w:rPr>
        <w:t xml:space="preserve"> </w:t>
      </w:r>
      <w:r>
        <w:t>this</w:t>
      </w:r>
      <w:r>
        <w:rPr>
          <w:spacing w:val="20"/>
        </w:rPr>
        <w:t xml:space="preserve"> </w:t>
      </w:r>
      <w:r>
        <w:t>study</w:t>
      </w:r>
      <w:r>
        <w:rPr>
          <w:spacing w:val="20"/>
        </w:rPr>
        <w:t xml:space="preserve"> </w:t>
      </w:r>
      <w:r>
        <w:t>failed</w:t>
      </w:r>
      <w:r>
        <w:rPr>
          <w:spacing w:val="20"/>
        </w:rPr>
        <w:t xml:space="preserve"> </w:t>
      </w:r>
      <w:r>
        <w:t>to</w:t>
      </w:r>
      <w:r>
        <w:rPr>
          <w:spacing w:val="21"/>
        </w:rPr>
        <w:t xml:space="preserve"> </w:t>
      </w:r>
      <w:r>
        <w:t>identify</w:t>
      </w:r>
      <w:r>
        <w:rPr>
          <w:spacing w:val="18"/>
        </w:rPr>
        <w:t xml:space="preserve"> </w:t>
      </w:r>
      <w:r>
        <w:t>which</w:t>
      </w:r>
      <w:r>
        <w:rPr>
          <w:spacing w:val="19"/>
        </w:rPr>
        <w:t xml:space="preserve"> </w:t>
      </w:r>
      <w:r>
        <w:t>of</w:t>
      </w:r>
      <w:r>
        <w:rPr>
          <w:spacing w:val="19"/>
        </w:rPr>
        <w:t xml:space="preserve"> </w:t>
      </w:r>
      <w:r>
        <w:t>the</w:t>
      </w:r>
      <w:r>
        <w:rPr>
          <w:spacing w:val="20"/>
        </w:rPr>
        <w:t xml:space="preserve"> </w:t>
      </w:r>
      <w:r>
        <w:t>learnt</w:t>
      </w:r>
      <w:r>
        <w:rPr>
          <w:spacing w:val="-47"/>
        </w:rPr>
        <w:t xml:space="preserve"> </w:t>
      </w:r>
      <w:r>
        <w:t>strategies</w:t>
      </w:r>
      <w:r>
        <w:rPr>
          <w:spacing w:val="9"/>
        </w:rPr>
        <w:t xml:space="preserve"> </w:t>
      </w:r>
      <w:r>
        <w:t>the</w:t>
      </w:r>
      <w:r>
        <w:rPr>
          <w:spacing w:val="11"/>
        </w:rPr>
        <w:t xml:space="preserve"> </w:t>
      </w:r>
      <w:r>
        <w:t>students</w:t>
      </w:r>
      <w:r>
        <w:rPr>
          <w:spacing w:val="10"/>
        </w:rPr>
        <w:t xml:space="preserve"> </w:t>
      </w:r>
      <w:r>
        <w:t>either</w:t>
      </w:r>
      <w:r>
        <w:rPr>
          <w:spacing w:val="10"/>
        </w:rPr>
        <w:t xml:space="preserve"> </w:t>
      </w:r>
      <w:r>
        <w:t>used</w:t>
      </w:r>
      <w:r>
        <w:rPr>
          <w:spacing w:val="7"/>
        </w:rPr>
        <w:t xml:space="preserve"> </w:t>
      </w:r>
      <w:r>
        <w:t>or</w:t>
      </w:r>
      <w:r>
        <w:rPr>
          <w:spacing w:val="8"/>
        </w:rPr>
        <w:t xml:space="preserve"> </w:t>
      </w:r>
      <w:r>
        <w:t>considered</w:t>
      </w:r>
      <w:r>
        <w:rPr>
          <w:spacing w:val="10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be</w:t>
      </w:r>
      <w:r>
        <w:rPr>
          <w:spacing w:val="11"/>
        </w:rPr>
        <w:t xml:space="preserve"> </w:t>
      </w:r>
      <w:r>
        <w:t>most</w:t>
      </w:r>
      <w:r>
        <w:rPr>
          <w:spacing w:val="8"/>
        </w:rPr>
        <w:t xml:space="preserve"> </w:t>
      </w:r>
      <w:r>
        <w:t>useful</w:t>
      </w:r>
      <w:r>
        <w:rPr>
          <w:spacing w:val="7"/>
        </w:rPr>
        <w:t xml:space="preserve"> </w:t>
      </w:r>
      <w:r>
        <w:t>to</w:t>
      </w:r>
      <w:r>
        <w:rPr>
          <w:spacing w:val="9"/>
        </w:rPr>
        <w:t xml:space="preserve"> </w:t>
      </w:r>
      <w:r>
        <w:t>them.</w:t>
      </w:r>
      <w:r>
        <w:rPr>
          <w:spacing w:val="7"/>
        </w:rPr>
        <w:t xml:space="preserve"> </w:t>
      </w:r>
      <w:r>
        <w:t>This</w:t>
      </w:r>
      <w:r>
        <w:rPr>
          <w:spacing w:val="10"/>
        </w:rPr>
        <w:t xml:space="preserve"> </w:t>
      </w:r>
      <w:r>
        <w:t>information</w:t>
      </w:r>
      <w:r>
        <w:rPr>
          <w:spacing w:val="-47"/>
        </w:rPr>
        <w:t xml:space="preserve"> </w:t>
      </w:r>
      <w:r>
        <w:t>would facilitate the determination of the influence of these strategies on the results obtained.</w:t>
      </w:r>
      <w:r>
        <w:rPr>
          <w:spacing w:val="1"/>
        </w:rPr>
        <w:t xml:space="preserve"> </w:t>
      </w:r>
      <w:r>
        <w:t>The</w:t>
      </w:r>
      <w:r>
        <w:rPr>
          <w:spacing w:val="23"/>
        </w:rPr>
        <w:t xml:space="preserve"> </w:t>
      </w:r>
      <w:r>
        <w:t>authors</w:t>
      </w:r>
      <w:r>
        <w:rPr>
          <w:spacing w:val="23"/>
        </w:rPr>
        <w:t xml:space="preserve"> </w:t>
      </w:r>
      <w:r>
        <w:t>acknowledge</w:t>
      </w:r>
      <w:r>
        <w:rPr>
          <w:spacing w:val="21"/>
        </w:rPr>
        <w:t xml:space="preserve"> </w:t>
      </w:r>
      <w:r>
        <w:t>that</w:t>
      </w:r>
      <w:r>
        <w:rPr>
          <w:spacing w:val="23"/>
        </w:rPr>
        <w:t xml:space="preserve"> </w:t>
      </w:r>
      <w:r>
        <w:t>a</w:t>
      </w:r>
      <w:r>
        <w:rPr>
          <w:spacing w:val="23"/>
        </w:rPr>
        <w:t xml:space="preserve"> </w:t>
      </w:r>
      <w:r>
        <w:t>one-hour</w:t>
      </w:r>
      <w:r>
        <w:rPr>
          <w:spacing w:val="23"/>
        </w:rPr>
        <w:t xml:space="preserve"> </w:t>
      </w:r>
      <w:r>
        <w:t>group</w:t>
      </w:r>
      <w:r>
        <w:rPr>
          <w:spacing w:val="22"/>
        </w:rPr>
        <w:t xml:space="preserve"> </w:t>
      </w:r>
      <w:r>
        <w:t>intervention</w:t>
      </w:r>
      <w:r>
        <w:rPr>
          <w:spacing w:val="20"/>
        </w:rPr>
        <w:t xml:space="preserve"> </w:t>
      </w:r>
      <w:r>
        <w:t>may</w:t>
      </w:r>
      <w:r>
        <w:rPr>
          <w:spacing w:val="24"/>
        </w:rPr>
        <w:t xml:space="preserve"> </w:t>
      </w:r>
      <w:r>
        <w:t>be</w:t>
      </w:r>
      <w:r>
        <w:rPr>
          <w:spacing w:val="24"/>
        </w:rPr>
        <w:t xml:space="preserve"> </w:t>
      </w:r>
      <w:r>
        <w:t>insufficient</w:t>
      </w:r>
      <w:r>
        <w:rPr>
          <w:spacing w:val="24"/>
        </w:rPr>
        <w:t xml:space="preserve"> </w:t>
      </w:r>
      <w:r>
        <w:t>to</w:t>
      </w:r>
      <w:r>
        <w:rPr>
          <w:spacing w:val="25"/>
        </w:rPr>
        <w:t xml:space="preserve"> </w:t>
      </w:r>
      <w:r>
        <w:t>achieve</w:t>
      </w:r>
      <w:r>
        <w:rPr>
          <w:spacing w:val="-47"/>
        </w:rPr>
        <w:t xml:space="preserve"> </w:t>
      </w:r>
      <w:r>
        <w:t>profound,</w:t>
      </w:r>
      <w:r>
        <w:rPr>
          <w:spacing w:val="13"/>
        </w:rPr>
        <w:t xml:space="preserve"> </w:t>
      </w:r>
      <w:r>
        <w:t>lasting</w:t>
      </w:r>
      <w:r>
        <w:rPr>
          <w:spacing w:val="13"/>
        </w:rPr>
        <w:t xml:space="preserve"> </w:t>
      </w:r>
      <w:r>
        <w:t>attitudinal</w:t>
      </w:r>
      <w:r>
        <w:rPr>
          <w:spacing w:val="14"/>
        </w:rPr>
        <w:t xml:space="preserve"> </w:t>
      </w:r>
      <w:r>
        <w:t>change.</w:t>
      </w:r>
      <w:r>
        <w:rPr>
          <w:spacing w:val="14"/>
        </w:rPr>
        <w:t xml:space="preserve"> </w:t>
      </w:r>
      <w:r>
        <w:t>However,</w:t>
      </w:r>
      <w:r>
        <w:rPr>
          <w:spacing w:val="15"/>
        </w:rPr>
        <w:t xml:space="preserve"> </w:t>
      </w:r>
      <w:r>
        <w:t>there</w:t>
      </w:r>
      <w:r>
        <w:rPr>
          <w:spacing w:val="12"/>
        </w:rPr>
        <w:t xml:space="preserve"> </w:t>
      </w:r>
      <w:r>
        <w:t>is</w:t>
      </w:r>
      <w:r>
        <w:rPr>
          <w:spacing w:val="13"/>
        </w:rPr>
        <w:t xml:space="preserve"> </w:t>
      </w:r>
      <w:r>
        <w:t>a</w:t>
      </w:r>
      <w:r>
        <w:rPr>
          <w:spacing w:val="14"/>
        </w:rPr>
        <w:t xml:space="preserve"> </w:t>
      </w:r>
      <w:r>
        <w:t>large</w:t>
      </w:r>
      <w:r>
        <w:rPr>
          <w:spacing w:val="15"/>
        </w:rPr>
        <w:t xml:space="preserve"> </w:t>
      </w:r>
      <w:r>
        <w:t>body</w:t>
      </w:r>
      <w:r>
        <w:rPr>
          <w:spacing w:val="14"/>
        </w:rPr>
        <w:t xml:space="preserve"> </w:t>
      </w:r>
      <w:r>
        <w:t>of</w:t>
      </w:r>
      <w:r>
        <w:rPr>
          <w:spacing w:val="14"/>
        </w:rPr>
        <w:t xml:space="preserve"> </w:t>
      </w:r>
      <w:r>
        <w:t>research</w:t>
      </w:r>
      <w:r>
        <w:rPr>
          <w:spacing w:val="13"/>
        </w:rPr>
        <w:t xml:space="preserve"> </w:t>
      </w:r>
      <w:r>
        <w:t>showing</w:t>
      </w:r>
      <w:r>
        <w:rPr>
          <w:spacing w:val="13"/>
        </w:rPr>
        <w:t xml:space="preserve"> </w:t>
      </w:r>
      <w:r>
        <w:t>that</w:t>
      </w:r>
      <w:r>
        <w:rPr>
          <w:spacing w:val="-47"/>
        </w:rPr>
        <w:t xml:space="preserve"> </w:t>
      </w:r>
      <w:r>
        <w:t>short</w:t>
      </w:r>
      <w:r>
        <w:rPr>
          <w:spacing w:val="14"/>
        </w:rPr>
        <w:t xml:space="preserve"> </w:t>
      </w:r>
      <w:r>
        <w:t>interventions</w:t>
      </w:r>
      <w:r>
        <w:rPr>
          <w:spacing w:val="13"/>
        </w:rPr>
        <w:t xml:space="preserve"> </w:t>
      </w:r>
      <w:r>
        <w:t>can</w:t>
      </w:r>
      <w:r>
        <w:rPr>
          <w:spacing w:val="10"/>
        </w:rPr>
        <w:t xml:space="preserve"> </w:t>
      </w:r>
      <w:r>
        <w:t>prove</w:t>
      </w:r>
      <w:r>
        <w:rPr>
          <w:spacing w:val="11"/>
        </w:rPr>
        <w:t xml:space="preserve"> </w:t>
      </w:r>
      <w:r>
        <w:t>effective</w:t>
      </w:r>
      <w:r>
        <w:rPr>
          <w:spacing w:val="14"/>
        </w:rPr>
        <w:t xml:space="preserve"> </w:t>
      </w:r>
      <w:r>
        <w:t>in</w:t>
      </w:r>
      <w:r>
        <w:rPr>
          <w:spacing w:val="10"/>
        </w:rPr>
        <w:t xml:space="preserve"> </w:t>
      </w:r>
      <w:r>
        <w:t>modifying</w:t>
      </w:r>
      <w:r>
        <w:rPr>
          <w:spacing w:val="12"/>
        </w:rPr>
        <w:t xml:space="preserve"> </w:t>
      </w:r>
      <w:r>
        <w:t>lifestyles,</w:t>
      </w:r>
      <w:r>
        <w:rPr>
          <w:spacing w:val="13"/>
        </w:rPr>
        <w:t xml:space="preserve"> </w:t>
      </w:r>
      <w:r>
        <w:t>leading</w:t>
      </w:r>
      <w:r>
        <w:rPr>
          <w:spacing w:val="12"/>
        </w:rPr>
        <w:t xml:space="preserve"> </w:t>
      </w:r>
      <w:r>
        <w:t>to</w:t>
      </w:r>
      <w:r>
        <w:rPr>
          <w:spacing w:val="15"/>
        </w:rPr>
        <w:t xml:space="preserve"> </w:t>
      </w:r>
      <w:r>
        <w:t>improved</w:t>
      </w:r>
      <w:r>
        <w:rPr>
          <w:spacing w:val="-47"/>
        </w:rPr>
        <w:t xml:space="preserve"> </w:t>
      </w:r>
      <w:r>
        <w:t>cardiovascular</w:t>
      </w:r>
      <w:r>
        <w:rPr>
          <w:spacing w:val="1"/>
        </w:rPr>
        <w:t xml:space="preserve"> </w:t>
      </w:r>
      <w:r>
        <w:t>health</w:t>
      </w:r>
      <w:r>
        <w:rPr>
          <w:spacing w:val="1"/>
        </w:rPr>
        <w:t xml:space="preserve"> </w:t>
      </w:r>
      <w:r>
        <w:t>(Chow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2016),</w:t>
      </w:r>
      <w:r>
        <w:rPr>
          <w:spacing w:val="1"/>
        </w:rPr>
        <w:t xml:space="preserve"> </w:t>
      </w:r>
      <w:r>
        <w:t>smoking cessation</w:t>
      </w:r>
      <w:r>
        <w:rPr>
          <w:spacing w:val="1"/>
        </w:rPr>
        <w:t xml:space="preserve"> </w:t>
      </w:r>
      <w:r>
        <w:t>(Croghan</w:t>
      </w:r>
      <w:r>
        <w:rPr>
          <w:spacing w:val="1"/>
        </w:rPr>
        <w:t xml:space="preserve"> </w:t>
      </w:r>
      <w:r>
        <w:t>et</w:t>
      </w:r>
      <w:r>
        <w:rPr>
          <w:spacing w:val="1"/>
        </w:rPr>
        <w:t xml:space="preserve"> </w:t>
      </w:r>
      <w:r>
        <w:t>al.,</w:t>
      </w:r>
      <w:r>
        <w:rPr>
          <w:spacing w:val="1"/>
        </w:rPr>
        <w:t xml:space="preserve"> </w:t>
      </w:r>
      <w:r>
        <w:t>2012)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a</w:t>
      </w:r>
      <w:r>
        <w:rPr>
          <w:spacing w:val="-47"/>
        </w:rPr>
        <w:t xml:space="preserve"> </w:t>
      </w:r>
      <w:r>
        <w:t>reduction</w:t>
      </w:r>
      <w:r>
        <w:rPr>
          <w:spacing w:val="17"/>
        </w:rPr>
        <w:t xml:space="preserve"> </w:t>
      </w:r>
      <w:r>
        <w:t>in</w:t>
      </w:r>
      <w:r>
        <w:rPr>
          <w:spacing w:val="15"/>
        </w:rPr>
        <w:t xml:space="preserve"> </w:t>
      </w:r>
      <w:r>
        <w:t>obesity</w:t>
      </w:r>
      <w:r>
        <w:rPr>
          <w:spacing w:val="17"/>
        </w:rPr>
        <w:t xml:space="preserve"> </w:t>
      </w:r>
      <w:r>
        <w:t>(Teeriniemi</w:t>
      </w:r>
      <w:r>
        <w:rPr>
          <w:spacing w:val="16"/>
        </w:rPr>
        <w:t xml:space="preserve"> </w:t>
      </w:r>
      <w:r>
        <w:t>et</w:t>
      </w:r>
      <w:r>
        <w:rPr>
          <w:spacing w:val="19"/>
        </w:rPr>
        <w:t xml:space="preserve"> </w:t>
      </w:r>
      <w:r>
        <w:t>al.,</w:t>
      </w:r>
      <w:r>
        <w:rPr>
          <w:spacing w:val="17"/>
        </w:rPr>
        <w:t xml:space="preserve"> </w:t>
      </w:r>
      <w:r>
        <w:t>2018)</w:t>
      </w:r>
      <w:r>
        <w:rPr>
          <w:spacing w:val="16"/>
        </w:rPr>
        <w:t xml:space="preserve"> </w:t>
      </w:r>
      <w:r>
        <w:t>and</w:t>
      </w:r>
      <w:r>
        <w:rPr>
          <w:spacing w:val="17"/>
        </w:rPr>
        <w:t xml:space="preserve"> </w:t>
      </w:r>
      <w:r>
        <w:t>sedentary</w:t>
      </w:r>
      <w:r>
        <w:rPr>
          <w:spacing w:val="16"/>
        </w:rPr>
        <w:t xml:space="preserve"> </w:t>
      </w:r>
      <w:r>
        <w:t>lifestyles</w:t>
      </w:r>
      <w:r>
        <w:rPr>
          <w:spacing w:val="17"/>
        </w:rPr>
        <w:t xml:space="preserve"> </w:t>
      </w:r>
      <w:r>
        <w:t>(Herrera-Sánchez</w:t>
      </w:r>
      <w:r>
        <w:rPr>
          <w:spacing w:val="17"/>
        </w:rPr>
        <w:t xml:space="preserve"> </w:t>
      </w:r>
      <w:r>
        <w:t>et</w:t>
      </w:r>
      <w:r>
        <w:rPr>
          <w:spacing w:val="17"/>
        </w:rPr>
        <w:t xml:space="preserve"> </w:t>
      </w:r>
      <w:r>
        <w:t>al.,</w:t>
      </w:r>
      <w:r>
        <w:rPr>
          <w:spacing w:val="-47"/>
        </w:rPr>
        <w:t xml:space="preserve"> </w:t>
      </w:r>
      <w:r>
        <w:t>2006),</w:t>
      </w:r>
      <w:r>
        <w:rPr>
          <w:spacing w:val="-4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name</w:t>
      </w:r>
      <w:r>
        <w:rPr>
          <w:spacing w:val="1"/>
        </w:rPr>
        <w:t xml:space="preserve"> </w:t>
      </w:r>
      <w:r>
        <w:t>but</w:t>
      </w:r>
      <w:r>
        <w:rPr>
          <w:spacing w:val="-2"/>
        </w:rPr>
        <w:t xml:space="preserve"> </w:t>
      </w:r>
      <w:r>
        <w:t>a few</w:t>
      </w:r>
      <w:r>
        <w:rPr>
          <w:spacing w:val="1"/>
        </w:rPr>
        <w:t xml:space="preserve"> </w:t>
      </w:r>
      <w:r>
        <w:t>examples.</w:t>
      </w:r>
    </w:p>
    <w:p w14:paraId="46E55D56" w14:textId="77777777" w:rsidR="00C774B2" w:rsidRDefault="00C774B2">
      <w:pPr>
        <w:pStyle w:val="Textoindependiente"/>
      </w:pPr>
    </w:p>
    <w:p w14:paraId="683A887A" w14:textId="77777777" w:rsidR="00C774B2" w:rsidRDefault="00C774B2">
      <w:pPr>
        <w:pStyle w:val="Textoindependiente"/>
        <w:spacing w:before="9"/>
        <w:rPr>
          <w:sz w:val="24"/>
        </w:rPr>
      </w:pPr>
    </w:p>
    <w:p w14:paraId="2892A12A" w14:textId="77777777" w:rsidR="00C774B2" w:rsidRDefault="00000000">
      <w:pPr>
        <w:pStyle w:val="Ttulo4"/>
        <w:ind w:right="1641"/>
      </w:pPr>
      <w:r>
        <w:rPr>
          <w:u w:val="single"/>
        </w:rPr>
        <w:t>CONCLUSIONS</w:t>
      </w:r>
    </w:p>
    <w:p w14:paraId="1C3D90DE" w14:textId="77777777" w:rsidR="00C774B2" w:rsidRDefault="00C774B2">
      <w:pPr>
        <w:pStyle w:val="Textoindependiente"/>
        <w:spacing w:before="2"/>
        <w:rPr>
          <w:b/>
          <w:sz w:val="20"/>
        </w:rPr>
      </w:pPr>
    </w:p>
    <w:p w14:paraId="00EB4881" w14:textId="77777777" w:rsidR="00C774B2" w:rsidRDefault="00000000">
      <w:pPr>
        <w:pStyle w:val="Textoindependiente"/>
        <w:spacing w:before="56"/>
        <w:ind w:left="1702"/>
        <w:jc w:val="both"/>
      </w:pPr>
      <w:r>
        <w:t>Considering</w:t>
      </w:r>
      <w:r>
        <w:rPr>
          <w:spacing w:val="-3"/>
        </w:rPr>
        <w:t xml:space="preserve"> </w:t>
      </w:r>
      <w:r>
        <w:t>the</w:t>
      </w:r>
      <w:r>
        <w:rPr>
          <w:spacing w:val="-4"/>
        </w:rPr>
        <w:t xml:space="preserve"> </w:t>
      </w:r>
      <w:r>
        <w:t>aforementioned</w:t>
      </w:r>
      <w:r>
        <w:rPr>
          <w:spacing w:val="-1"/>
        </w:rPr>
        <w:t xml:space="preserve"> </w:t>
      </w:r>
      <w:r>
        <w:t>results,</w:t>
      </w:r>
      <w:r>
        <w:rPr>
          <w:spacing w:val="-1"/>
        </w:rPr>
        <w:t xml:space="preserve"> </w:t>
      </w:r>
      <w:r>
        <w:t>the following</w:t>
      </w:r>
      <w:r>
        <w:rPr>
          <w:spacing w:val="-6"/>
        </w:rPr>
        <w:t xml:space="preserve"> </w:t>
      </w:r>
      <w:r>
        <w:t>can</w:t>
      </w:r>
      <w:r>
        <w:rPr>
          <w:spacing w:val="-2"/>
        </w:rPr>
        <w:t xml:space="preserve"> </w:t>
      </w:r>
      <w:r>
        <w:t>be</w:t>
      </w:r>
      <w:r>
        <w:rPr>
          <w:spacing w:val="-1"/>
        </w:rPr>
        <w:t xml:space="preserve"> </w:t>
      </w:r>
      <w:r>
        <w:t>concluded:</w:t>
      </w:r>
    </w:p>
    <w:p w14:paraId="5D4924A6" w14:textId="77777777" w:rsidR="00C774B2" w:rsidRDefault="00C774B2">
      <w:pPr>
        <w:pStyle w:val="Textoindependiente"/>
        <w:spacing w:before="8"/>
        <w:rPr>
          <w:sz w:val="24"/>
        </w:rPr>
      </w:pPr>
    </w:p>
    <w:p w14:paraId="5A0FDF74" w14:textId="77777777" w:rsidR="00C774B2" w:rsidRDefault="00000000">
      <w:pPr>
        <w:pStyle w:val="Textoindependiente"/>
        <w:spacing w:line="259" w:lineRule="auto"/>
        <w:ind w:left="1702" w:right="1637"/>
        <w:jc w:val="both"/>
      </w:pPr>
      <w:r>
        <w:t>The</w:t>
      </w:r>
      <w:r>
        <w:rPr>
          <w:spacing w:val="1"/>
        </w:rPr>
        <w:t xml:space="preserve"> </w:t>
      </w:r>
      <w:r>
        <w:t>face-to-face</w:t>
      </w:r>
      <w:r>
        <w:rPr>
          <w:spacing w:val="1"/>
        </w:rPr>
        <w:t xml:space="preserve"> </w:t>
      </w:r>
      <w:r>
        <w:t>RG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increases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mood</w:t>
      </w:r>
      <w:r>
        <w:rPr>
          <w:spacing w:val="1"/>
        </w:rPr>
        <w:t xml:space="preserve"> </w:t>
      </w:r>
      <w:r>
        <w:t>scores</w:t>
      </w:r>
      <w:r>
        <w:rPr>
          <w:spacing w:val="1"/>
        </w:rPr>
        <w:t xml:space="preserve"> </w:t>
      </w:r>
      <w:r>
        <w:t>and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“Focus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and</w:t>
      </w:r>
      <w:r>
        <w:rPr>
          <w:spacing w:val="-47"/>
        </w:rPr>
        <w:t xml:space="preserve"> </w:t>
      </w:r>
      <w:r>
        <w:t>Venting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Emotions”</w:t>
      </w:r>
      <w:r>
        <w:rPr>
          <w:spacing w:val="1"/>
        </w:rPr>
        <w:t xml:space="preserve"> </w:t>
      </w:r>
      <w:r>
        <w:t>coping</w:t>
      </w:r>
      <w:r>
        <w:rPr>
          <w:spacing w:val="1"/>
        </w:rPr>
        <w:t xml:space="preserve"> </w:t>
      </w:r>
      <w:r>
        <w:t>strategy.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other</w:t>
      </w:r>
      <w:r>
        <w:rPr>
          <w:spacing w:val="1"/>
        </w:rPr>
        <w:t xml:space="preserve"> </w:t>
      </w:r>
      <w:r>
        <w:t>hand,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intervention</w:t>
      </w:r>
      <w:r>
        <w:rPr>
          <w:spacing w:val="1"/>
        </w:rPr>
        <w:t xml:space="preserve"> </w:t>
      </w:r>
      <w:r>
        <w:t>decreases</w:t>
      </w:r>
      <w:r>
        <w:rPr>
          <w:spacing w:val="1"/>
        </w:rPr>
        <w:t xml:space="preserve"> </w:t>
      </w:r>
      <w:r>
        <w:t>“Persistence, Tenacity, Self-Efficacy” scores. These results can be attributed to the fact that the</w:t>
      </w:r>
      <w:r>
        <w:rPr>
          <w:spacing w:val="-47"/>
        </w:rPr>
        <w:t xml:space="preserve"> </w:t>
      </w:r>
      <w:r>
        <w:t>intervention</w:t>
      </w:r>
      <w:r>
        <w:rPr>
          <w:spacing w:val="-2"/>
        </w:rPr>
        <w:t xml:space="preserve"> </w:t>
      </w:r>
      <w:r>
        <w:t>increases awareness</w:t>
      </w:r>
      <w:r>
        <w:rPr>
          <w:spacing w:val="-2"/>
        </w:rPr>
        <w:t xml:space="preserve"> </w:t>
      </w:r>
      <w:r>
        <w:t>of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individual’s actual status</w:t>
      </w:r>
      <w:r>
        <w:rPr>
          <w:spacing w:val="-1"/>
        </w:rPr>
        <w:t xml:space="preserve"> </w:t>
      </w:r>
      <w:r>
        <w:t>in</w:t>
      </w:r>
      <w:r>
        <w:rPr>
          <w:spacing w:val="-1"/>
        </w:rPr>
        <w:t xml:space="preserve"> </w:t>
      </w:r>
      <w:r>
        <w:t>these</w:t>
      </w:r>
      <w:r>
        <w:rPr>
          <w:spacing w:val="1"/>
        </w:rPr>
        <w:t xml:space="preserve"> </w:t>
      </w:r>
      <w:r>
        <w:t>areas.</w:t>
      </w:r>
    </w:p>
    <w:p w14:paraId="2DFC40B4" w14:textId="77777777" w:rsidR="00C774B2" w:rsidRDefault="00C774B2">
      <w:pPr>
        <w:pStyle w:val="Textoindependiente"/>
        <w:spacing w:before="11"/>
      </w:pPr>
    </w:p>
    <w:p w14:paraId="414B11E2" w14:textId="77777777" w:rsidR="00C774B2" w:rsidRDefault="00000000">
      <w:pPr>
        <w:pStyle w:val="Textoindependiente"/>
        <w:spacing w:before="1" w:line="259" w:lineRule="auto"/>
        <w:ind w:left="1702" w:right="1635"/>
        <w:jc w:val="both"/>
      </w:pPr>
      <w:r>
        <w:t>Great differences were not observed between the results of the online intervention versus the</w:t>
      </w:r>
      <w:r>
        <w:rPr>
          <w:spacing w:val="1"/>
        </w:rPr>
        <w:t xml:space="preserve"> </w:t>
      </w:r>
      <w:r>
        <w:t>face-to-face</w:t>
      </w:r>
      <w:r>
        <w:rPr>
          <w:spacing w:val="1"/>
        </w:rPr>
        <w:t xml:space="preserve"> </w:t>
      </w:r>
      <w:r>
        <w:t>intervention,</w:t>
      </w:r>
      <w:r>
        <w:rPr>
          <w:spacing w:val="1"/>
        </w:rPr>
        <w:t xml:space="preserve"> </w:t>
      </w:r>
      <w:r>
        <w:t>with</w:t>
      </w:r>
      <w:r>
        <w:rPr>
          <w:spacing w:val="1"/>
        </w:rPr>
        <w:t xml:space="preserve"> </w:t>
      </w:r>
      <w:r>
        <w:t>both</w:t>
      </w:r>
      <w:r>
        <w:rPr>
          <w:spacing w:val="1"/>
        </w:rPr>
        <w:t xml:space="preserve"> </w:t>
      </w:r>
      <w:r>
        <w:t>principally</w:t>
      </w:r>
      <w:r>
        <w:rPr>
          <w:spacing w:val="1"/>
        </w:rPr>
        <w:t xml:space="preserve"> </w:t>
      </w:r>
      <w:r>
        <w:t>increasing</w:t>
      </w:r>
      <w:r>
        <w:rPr>
          <w:spacing w:val="1"/>
        </w:rPr>
        <w:t xml:space="preserve"> </w:t>
      </w:r>
      <w:r>
        <w:t>self-awareness</w:t>
      </w:r>
      <w:r>
        <w:rPr>
          <w:spacing w:val="1"/>
        </w:rPr>
        <w:t xml:space="preserve"> </w:t>
      </w:r>
      <w:r>
        <w:t>of</w:t>
      </w:r>
      <w:r>
        <w:rPr>
          <w:spacing w:val="1"/>
        </w:rPr>
        <w:t xml:space="preserve"> </w:t>
      </w:r>
      <w:r>
        <w:t>negative</w:t>
      </w:r>
      <w:r>
        <w:rPr>
          <w:spacing w:val="1"/>
        </w:rPr>
        <w:t xml:space="preserve"> </w:t>
      </w:r>
      <w:r>
        <w:t>personality traits. This can be useful for individuals who are not aware of the areas in which</w:t>
      </w:r>
      <w:r>
        <w:rPr>
          <w:spacing w:val="1"/>
        </w:rPr>
        <w:t xml:space="preserve"> </w:t>
      </w:r>
      <w:r>
        <w:t>they could improve themselves. Thanks to this intervention they can further increase their</w:t>
      </w:r>
      <w:r>
        <w:rPr>
          <w:spacing w:val="1"/>
        </w:rPr>
        <w:t xml:space="preserve"> </w:t>
      </w:r>
      <w:r>
        <w:t>motivation</w:t>
      </w:r>
      <w:r>
        <w:rPr>
          <w:spacing w:val="5"/>
        </w:rPr>
        <w:t xml:space="preserve"> </w:t>
      </w:r>
      <w:r>
        <w:t>for</w:t>
      </w:r>
      <w:r>
        <w:rPr>
          <w:spacing w:val="7"/>
        </w:rPr>
        <w:t xml:space="preserve"> </w:t>
      </w:r>
      <w:r>
        <w:t>longer</w:t>
      </w:r>
      <w:r>
        <w:rPr>
          <w:spacing w:val="7"/>
        </w:rPr>
        <w:t xml:space="preserve"> </w:t>
      </w:r>
      <w:r>
        <w:t>term</w:t>
      </w:r>
      <w:r>
        <w:rPr>
          <w:spacing w:val="6"/>
        </w:rPr>
        <w:t xml:space="preserve"> </w:t>
      </w:r>
      <w:r>
        <w:t>interventions.</w:t>
      </w:r>
      <w:r>
        <w:rPr>
          <w:spacing w:val="6"/>
        </w:rPr>
        <w:t xml:space="preserve"> </w:t>
      </w:r>
      <w:r>
        <w:t>Furthermore,</w:t>
      </w:r>
      <w:r>
        <w:rPr>
          <w:spacing w:val="8"/>
        </w:rPr>
        <w:t xml:space="preserve"> </w:t>
      </w:r>
      <w:r>
        <w:t>it</w:t>
      </w:r>
      <w:r>
        <w:rPr>
          <w:spacing w:val="6"/>
        </w:rPr>
        <w:t xml:space="preserve"> </w:t>
      </w:r>
      <w:r>
        <w:t>seems</w:t>
      </w:r>
      <w:r>
        <w:rPr>
          <w:spacing w:val="7"/>
        </w:rPr>
        <w:t xml:space="preserve"> </w:t>
      </w:r>
      <w:r>
        <w:t>that</w:t>
      </w:r>
      <w:r>
        <w:rPr>
          <w:spacing w:val="7"/>
        </w:rPr>
        <w:t xml:space="preserve"> </w:t>
      </w:r>
      <w:r>
        <w:t>this</w:t>
      </w:r>
      <w:r>
        <w:rPr>
          <w:spacing w:val="6"/>
        </w:rPr>
        <w:t xml:space="preserve"> </w:t>
      </w:r>
      <w:r>
        <w:t>intervention</w:t>
      </w:r>
      <w:r>
        <w:rPr>
          <w:spacing w:val="6"/>
        </w:rPr>
        <w:t xml:space="preserve"> </w:t>
      </w:r>
      <w:r>
        <w:t>is</w:t>
      </w:r>
      <w:r>
        <w:rPr>
          <w:spacing w:val="6"/>
        </w:rPr>
        <w:t xml:space="preserve"> </w:t>
      </w:r>
      <w:r>
        <w:t>more</w:t>
      </w:r>
    </w:p>
    <w:p w14:paraId="77F9D26E" w14:textId="77777777" w:rsidR="00C774B2" w:rsidRDefault="00C774B2">
      <w:pPr>
        <w:spacing w:line="259" w:lineRule="auto"/>
        <w:jc w:val="both"/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460AC32B" w14:textId="77777777" w:rsidR="00C774B2" w:rsidRDefault="00000000">
      <w:pPr>
        <w:pStyle w:val="Textoindependiente"/>
        <w:spacing w:before="34" w:line="259" w:lineRule="auto"/>
        <w:ind w:left="1702" w:right="1637"/>
        <w:jc w:val="both"/>
      </w:pPr>
      <w:r>
        <w:lastRenderedPageBreak/>
        <w:t>effective in individuals with certain personality traits such as high levels of neuroticism and low</w:t>
      </w:r>
      <w:r>
        <w:rPr>
          <w:spacing w:val="-47"/>
        </w:rPr>
        <w:t xml:space="preserve"> </w:t>
      </w:r>
      <w:r>
        <w:t>levels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extraversion.</w:t>
      </w:r>
    </w:p>
    <w:p w14:paraId="25EE102E" w14:textId="77777777" w:rsidR="00C774B2" w:rsidRDefault="00C774B2">
      <w:pPr>
        <w:pStyle w:val="Textoindependiente"/>
        <w:spacing w:before="1"/>
        <w:rPr>
          <w:sz w:val="23"/>
        </w:rPr>
      </w:pPr>
    </w:p>
    <w:p w14:paraId="38EF7A18" w14:textId="77777777" w:rsidR="00C774B2" w:rsidRDefault="00000000">
      <w:pPr>
        <w:pStyle w:val="Textoindependiente"/>
        <w:spacing w:line="259" w:lineRule="auto"/>
        <w:ind w:left="1702" w:right="1632"/>
        <w:jc w:val="both"/>
      </w:pPr>
      <w:r>
        <w:t>The authors propose that two more sessions should be incorporated into the RG intervention</w:t>
      </w:r>
      <w:r>
        <w:rPr>
          <w:spacing w:val="1"/>
        </w:rPr>
        <w:t xml:space="preserve"> </w:t>
      </w:r>
      <w:r>
        <w:t>so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increase</w:t>
      </w:r>
      <w:r>
        <w:rPr>
          <w:spacing w:val="1"/>
        </w:rPr>
        <w:t xml:space="preserve"> </w:t>
      </w:r>
      <w:r>
        <w:t>in</w:t>
      </w:r>
      <w:r>
        <w:rPr>
          <w:spacing w:val="1"/>
        </w:rPr>
        <w:t xml:space="preserve"> </w:t>
      </w:r>
      <w:r>
        <w:t>self-awareness</w:t>
      </w:r>
      <w:r>
        <w:rPr>
          <w:spacing w:val="1"/>
        </w:rPr>
        <w:t xml:space="preserve"> </w:t>
      </w:r>
      <w:r>
        <w:t>achieved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individuals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become</w:t>
      </w:r>
      <w:r>
        <w:rPr>
          <w:spacing w:val="49"/>
        </w:rPr>
        <w:t xml:space="preserve"> </w:t>
      </w:r>
      <w:r>
        <w:t>more</w:t>
      </w:r>
      <w:r>
        <w:rPr>
          <w:spacing w:val="1"/>
        </w:rPr>
        <w:t xml:space="preserve"> </w:t>
      </w:r>
      <w:r>
        <w:t>motivated to use these two tools to clarify doubts and set themselves more specific</w:t>
      </w:r>
      <w:r>
        <w:rPr>
          <w:spacing w:val="1"/>
        </w:rPr>
        <w:t xml:space="preserve"> </w:t>
      </w:r>
      <w:r>
        <w:t>self-</w:t>
      </w:r>
      <w:r>
        <w:rPr>
          <w:spacing w:val="1"/>
        </w:rPr>
        <w:t xml:space="preserve"> </w:t>
      </w:r>
      <w:r>
        <w:t>improvement</w:t>
      </w:r>
      <w:r>
        <w:rPr>
          <w:spacing w:val="-1"/>
        </w:rPr>
        <w:t xml:space="preserve"> </w:t>
      </w:r>
      <w:r>
        <w:t>goals.</w:t>
      </w:r>
    </w:p>
    <w:p w14:paraId="562BCC33" w14:textId="77777777" w:rsidR="00C774B2" w:rsidRDefault="00C774B2">
      <w:pPr>
        <w:pStyle w:val="Textoindependiente"/>
        <w:spacing w:before="9"/>
      </w:pPr>
    </w:p>
    <w:p w14:paraId="6945A66D" w14:textId="77777777" w:rsidR="00C774B2" w:rsidRDefault="00000000">
      <w:pPr>
        <w:pStyle w:val="Textoindependiente"/>
        <w:spacing w:line="259" w:lineRule="auto"/>
        <w:ind w:left="1702" w:right="1635"/>
        <w:jc w:val="both"/>
      </w:pPr>
      <w:r>
        <w:t>These</w:t>
      </w:r>
      <w:r>
        <w:rPr>
          <w:spacing w:val="1"/>
        </w:rPr>
        <w:t xml:space="preserve"> </w:t>
      </w:r>
      <w:r>
        <w:t>data</w:t>
      </w:r>
      <w:r>
        <w:rPr>
          <w:spacing w:val="1"/>
        </w:rPr>
        <w:t xml:space="preserve"> </w:t>
      </w:r>
      <w:r>
        <w:t>help</w:t>
      </w:r>
      <w:r>
        <w:rPr>
          <w:spacing w:val="1"/>
        </w:rPr>
        <w:t xml:space="preserve"> </w:t>
      </w:r>
      <w:r>
        <w:t>us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work</w:t>
      </w:r>
      <w:r>
        <w:rPr>
          <w:spacing w:val="1"/>
        </w:rPr>
        <w:t xml:space="preserve"> </w:t>
      </w:r>
      <w:r>
        <w:t>on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short</w:t>
      </w:r>
      <w:r>
        <w:rPr>
          <w:spacing w:val="1"/>
        </w:rPr>
        <w:t xml:space="preserve"> </w:t>
      </w:r>
      <w:r>
        <w:t>training</w:t>
      </w:r>
      <w:r>
        <w:rPr>
          <w:spacing w:val="1"/>
        </w:rPr>
        <w:t xml:space="preserve"> </w:t>
      </w:r>
      <w:r>
        <w:t>programme</w:t>
      </w:r>
      <w:r>
        <w:rPr>
          <w:spacing w:val="1"/>
        </w:rPr>
        <w:t xml:space="preserve"> </w:t>
      </w:r>
      <w:r>
        <w:t>that</w:t>
      </w:r>
      <w:r>
        <w:rPr>
          <w:spacing w:val="1"/>
        </w:rPr>
        <w:t xml:space="preserve"> </w:t>
      </w:r>
      <w:r>
        <w:t>can</w:t>
      </w:r>
      <w:r>
        <w:rPr>
          <w:spacing w:val="1"/>
        </w:rPr>
        <w:t xml:space="preserve"> </w:t>
      </w:r>
      <w:r>
        <w:t>be</w:t>
      </w:r>
      <w:r>
        <w:rPr>
          <w:spacing w:val="1"/>
        </w:rPr>
        <w:t xml:space="preserve"> </w:t>
      </w:r>
      <w:r>
        <w:t>adapted</w:t>
      </w:r>
      <w:r>
        <w:rPr>
          <w:spacing w:val="1"/>
        </w:rPr>
        <w:t xml:space="preserve"> </w:t>
      </w:r>
      <w:r>
        <w:t>to</w:t>
      </w:r>
      <w:r>
        <w:rPr>
          <w:spacing w:val="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individual’s personality with 3 online interventions to improve their results, thus saving costs</w:t>
      </w:r>
      <w:r>
        <w:rPr>
          <w:spacing w:val="1"/>
        </w:rPr>
        <w:t xml:space="preserve"> </w:t>
      </w:r>
      <w:r>
        <w:t>and improving resilience, particularly in individuals who may have lower levels of resilience</w:t>
      </w:r>
      <w:r>
        <w:rPr>
          <w:spacing w:val="1"/>
        </w:rPr>
        <w:t xml:space="preserve"> </w:t>
      </w:r>
      <w:r>
        <w:t>than</w:t>
      </w:r>
      <w:r>
        <w:rPr>
          <w:spacing w:val="-1"/>
        </w:rPr>
        <w:t xml:space="preserve"> </w:t>
      </w:r>
      <w:r>
        <w:t>the</w:t>
      </w:r>
      <w:r>
        <w:rPr>
          <w:spacing w:val="1"/>
        </w:rPr>
        <w:t xml:space="preserve"> </w:t>
      </w:r>
      <w:r>
        <w:t>rest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 population.</w:t>
      </w:r>
    </w:p>
    <w:p w14:paraId="300EA500" w14:textId="77777777" w:rsidR="00C774B2" w:rsidRDefault="00C774B2">
      <w:pPr>
        <w:pStyle w:val="Textoindependiente"/>
      </w:pPr>
    </w:p>
    <w:p w14:paraId="3CDCBF13" w14:textId="77777777" w:rsidR="00C774B2" w:rsidRDefault="00C774B2">
      <w:pPr>
        <w:pStyle w:val="Textoindependiente"/>
      </w:pPr>
    </w:p>
    <w:p w14:paraId="7B9B2014" w14:textId="77777777" w:rsidR="00C774B2" w:rsidRDefault="00C774B2">
      <w:pPr>
        <w:pStyle w:val="Textoindependiente"/>
        <w:spacing w:before="7"/>
        <w:rPr>
          <w:sz w:val="25"/>
        </w:rPr>
      </w:pPr>
    </w:p>
    <w:p w14:paraId="092A99DA" w14:textId="77777777" w:rsidR="00C774B2" w:rsidRPr="0021171C" w:rsidRDefault="00000000">
      <w:pPr>
        <w:pStyle w:val="Ttulo4"/>
        <w:ind w:right="1637"/>
        <w:rPr>
          <w:lang w:val="es-ES"/>
        </w:rPr>
      </w:pPr>
      <w:r w:rsidRPr="0021171C">
        <w:rPr>
          <w:u w:val="single"/>
          <w:lang w:val="es-ES"/>
        </w:rPr>
        <w:t>REFERENCES</w:t>
      </w:r>
    </w:p>
    <w:p w14:paraId="425CF9F7" w14:textId="77777777" w:rsidR="00C774B2" w:rsidRPr="0021171C" w:rsidRDefault="00C774B2">
      <w:pPr>
        <w:pStyle w:val="Textoindependiente"/>
        <w:spacing w:before="2"/>
        <w:rPr>
          <w:b/>
          <w:sz w:val="20"/>
          <w:lang w:val="es-ES"/>
        </w:rPr>
      </w:pPr>
    </w:p>
    <w:p w14:paraId="03EE544C" w14:textId="77777777" w:rsidR="00C774B2" w:rsidRPr="0021171C" w:rsidRDefault="00000000">
      <w:pPr>
        <w:spacing w:before="57" w:line="259" w:lineRule="auto"/>
        <w:ind w:left="2182" w:right="1827" w:hanging="480"/>
        <w:jc w:val="both"/>
        <w:rPr>
          <w:lang w:val="es-ES"/>
        </w:rPr>
      </w:pPr>
      <w:r w:rsidRPr="0021171C">
        <w:rPr>
          <w:lang w:val="es-ES"/>
        </w:rPr>
        <w:t xml:space="preserve">Avia, M. D. (2000). </w:t>
      </w:r>
      <w:r w:rsidRPr="0021171C">
        <w:rPr>
          <w:i/>
          <w:lang w:val="es-ES"/>
        </w:rPr>
        <w:t>Versión española del Inventario de Personalidad NEO Revisado (NEO-PI-R)</w:t>
      </w:r>
      <w:r w:rsidRPr="0021171C">
        <w:rPr>
          <w:i/>
          <w:spacing w:val="-47"/>
          <w:lang w:val="es-ES"/>
        </w:rPr>
        <w:t xml:space="preserve"> </w:t>
      </w:r>
      <w:r w:rsidRPr="0021171C">
        <w:rPr>
          <w:i/>
          <w:lang w:val="es-ES"/>
        </w:rPr>
        <w:t xml:space="preserve">de Costa y McCrae </w:t>
      </w:r>
      <w:r w:rsidRPr="0021171C">
        <w:rPr>
          <w:lang w:val="es-ES"/>
        </w:rPr>
        <w:t>(p. 9). Departamento de Psicología Clinica. Universidad Complutense</w:t>
      </w:r>
      <w:r w:rsidRPr="0021171C">
        <w:rPr>
          <w:spacing w:val="-47"/>
          <w:lang w:val="es-ES"/>
        </w:rPr>
        <w:t xml:space="preserve"> </w:t>
      </w:r>
      <w:r w:rsidRPr="0021171C">
        <w:rPr>
          <w:lang w:val="es-ES"/>
        </w:rPr>
        <w:t>de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Madrid.</w:t>
      </w:r>
    </w:p>
    <w:p w14:paraId="692499BC" w14:textId="77777777" w:rsidR="00C774B2" w:rsidRPr="0021171C" w:rsidRDefault="00C774B2">
      <w:pPr>
        <w:pStyle w:val="Textoindependiente"/>
        <w:spacing w:before="10"/>
        <w:rPr>
          <w:lang w:val="es-ES"/>
        </w:rPr>
      </w:pPr>
    </w:p>
    <w:p w14:paraId="3C2AAEFE" w14:textId="77777777" w:rsidR="00C774B2" w:rsidRPr="0021171C" w:rsidRDefault="00000000">
      <w:pPr>
        <w:pStyle w:val="Textoindependiente"/>
        <w:spacing w:before="1" w:line="259" w:lineRule="auto"/>
        <w:ind w:left="2182" w:right="2084" w:hanging="480"/>
        <w:jc w:val="both"/>
        <w:rPr>
          <w:lang w:val="pt-PT"/>
        </w:rPr>
      </w:pPr>
      <w:r w:rsidRPr="0021171C">
        <w:rPr>
          <w:lang w:val="es-ES"/>
        </w:rPr>
        <w:t>Barrios Herrera, N., Sánchez Betancourt, L., &amp; Salamanca Camargo, Y. (2013). Patrones de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personalidad patológica y estrategias de afrontamiento en estudiantes de psicología.</w:t>
      </w:r>
      <w:r w:rsidRPr="0021171C">
        <w:rPr>
          <w:spacing w:val="-47"/>
          <w:lang w:val="es-ES"/>
        </w:rPr>
        <w:t xml:space="preserve"> </w:t>
      </w:r>
      <w:r w:rsidRPr="0021171C">
        <w:rPr>
          <w:i/>
          <w:lang w:val="pt-PT"/>
        </w:rPr>
        <w:t>Psychologia</w:t>
      </w:r>
      <w:r w:rsidRPr="0021171C">
        <w:rPr>
          <w:lang w:val="pt-PT"/>
        </w:rPr>
        <w:t>,</w:t>
      </w:r>
      <w:r w:rsidRPr="0021171C">
        <w:rPr>
          <w:spacing w:val="-1"/>
          <w:lang w:val="pt-PT"/>
        </w:rPr>
        <w:t xml:space="preserve"> </w:t>
      </w:r>
      <w:r w:rsidRPr="0021171C">
        <w:rPr>
          <w:i/>
          <w:lang w:val="pt-PT"/>
        </w:rPr>
        <w:t>7</w:t>
      </w:r>
      <w:r w:rsidRPr="0021171C">
        <w:rPr>
          <w:lang w:val="pt-PT"/>
        </w:rPr>
        <w:t>(2),</w:t>
      </w:r>
      <w:r w:rsidRPr="0021171C">
        <w:rPr>
          <w:spacing w:val="-4"/>
          <w:lang w:val="pt-PT"/>
        </w:rPr>
        <w:t xml:space="preserve"> </w:t>
      </w:r>
      <w:r w:rsidRPr="0021171C">
        <w:rPr>
          <w:lang w:val="pt-PT"/>
        </w:rPr>
        <w:t>45–53.</w:t>
      </w:r>
      <w:r w:rsidRPr="0021171C">
        <w:rPr>
          <w:spacing w:val="-1"/>
          <w:lang w:val="pt-PT"/>
        </w:rPr>
        <w:t xml:space="preserve"> </w:t>
      </w:r>
      <w:hyperlink r:id="rId6">
        <w:r w:rsidRPr="0021171C">
          <w:rPr>
            <w:color w:val="0000FF"/>
            <w:u w:val="single" w:color="0000FF"/>
            <w:lang w:val="pt-PT"/>
          </w:rPr>
          <w:t>https://doi.org/10.21500/19002386.1203</w:t>
        </w:r>
      </w:hyperlink>
    </w:p>
    <w:p w14:paraId="4C881D1D" w14:textId="77777777" w:rsidR="00C774B2" w:rsidRPr="0021171C" w:rsidRDefault="00C774B2">
      <w:pPr>
        <w:pStyle w:val="Textoindependiente"/>
        <w:spacing w:before="3"/>
        <w:rPr>
          <w:sz w:val="18"/>
          <w:lang w:val="pt-PT"/>
        </w:rPr>
      </w:pPr>
    </w:p>
    <w:p w14:paraId="1CD1CF62" w14:textId="77777777" w:rsidR="00C774B2" w:rsidRPr="0021171C" w:rsidRDefault="00000000">
      <w:pPr>
        <w:pStyle w:val="Textoindependiente"/>
        <w:spacing w:before="56" w:line="259" w:lineRule="auto"/>
        <w:ind w:left="2182" w:right="1673" w:hanging="480"/>
        <w:rPr>
          <w:lang w:val="es-ES"/>
        </w:rPr>
      </w:pPr>
      <w:r w:rsidRPr="0021171C">
        <w:rPr>
          <w:lang w:val="pt-PT"/>
        </w:rPr>
        <w:t xml:space="preserve">Cabanach, R. G., Souto-Gestal, A., &amp; Franco, V. (2016). </w:t>
      </w:r>
      <w:r w:rsidRPr="0021171C">
        <w:rPr>
          <w:lang w:val="es-ES"/>
        </w:rPr>
        <w:t>Escala de Estresores Académicos para la</w:t>
      </w:r>
      <w:r w:rsidRPr="0021171C">
        <w:rPr>
          <w:spacing w:val="-47"/>
          <w:lang w:val="es-ES"/>
        </w:rPr>
        <w:t xml:space="preserve"> </w:t>
      </w:r>
      <w:r w:rsidRPr="0021171C">
        <w:rPr>
          <w:lang w:val="es-ES"/>
        </w:rPr>
        <w:t xml:space="preserve">evaluación de los estresores académicos en estudiantes universitarios. </w:t>
      </w:r>
      <w:r w:rsidRPr="0021171C">
        <w:rPr>
          <w:i/>
          <w:lang w:val="es-ES"/>
        </w:rPr>
        <w:t>Revista</w:t>
      </w:r>
      <w:r w:rsidRPr="0021171C">
        <w:rPr>
          <w:i/>
          <w:spacing w:val="1"/>
          <w:lang w:val="es-ES"/>
        </w:rPr>
        <w:t xml:space="preserve"> </w:t>
      </w:r>
      <w:r w:rsidRPr="0021171C">
        <w:rPr>
          <w:i/>
          <w:lang w:val="es-ES"/>
        </w:rPr>
        <w:t>Iberoamericana de Psicologia y Salud</w:t>
      </w:r>
      <w:r w:rsidRPr="0021171C">
        <w:rPr>
          <w:lang w:val="es-ES"/>
        </w:rPr>
        <w:t xml:space="preserve">, </w:t>
      </w:r>
      <w:r w:rsidRPr="0021171C">
        <w:rPr>
          <w:i/>
          <w:lang w:val="es-ES"/>
        </w:rPr>
        <w:t>7</w:t>
      </w:r>
      <w:r w:rsidRPr="0021171C">
        <w:rPr>
          <w:lang w:val="es-ES"/>
        </w:rPr>
        <w:t>(2), 41–50.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https://doi.org/10.1016/j.rips.2016.05.001</w:t>
      </w:r>
    </w:p>
    <w:p w14:paraId="380DA105" w14:textId="77777777" w:rsidR="00C774B2" w:rsidRPr="0021171C" w:rsidRDefault="00C774B2">
      <w:pPr>
        <w:pStyle w:val="Textoindependiente"/>
        <w:spacing w:before="10"/>
        <w:rPr>
          <w:lang w:val="es-ES"/>
        </w:rPr>
      </w:pPr>
    </w:p>
    <w:p w14:paraId="7DE6FC0D" w14:textId="77777777" w:rsidR="00C774B2" w:rsidRDefault="00000000">
      <w:pPr>
        <w:pStyle w:val="Textoindependiente"/>
        <w:ind w:left="2182" w:right="1752" w:hanging="480"/>
      </w:pPr>
      <w:r>
        <w:t xml:space="preserve">Carver, C. S., &amp; Connor-Smith, J. (2010). Personality and Coping. </w:t>
      </w:r>
      <w:r>
        <w:rPr>
          <w:i/>
        </w:rPr>
        <w:t>Annual Review of Psychology</w:t>
      </w:r>
      <w:r>
        <w:t>,</w:t>
      </w:r>
      <w:r>
        <w:rPr>
          <w:spacing w:val="-47"/>
        </w:rPr>
        <w:t xml:space="preserve"> </w:t>
      </w:r>
      <w:r>
        <w:rPr>
          <w:i/>
        </w:rPr>
        <w:t>61</w:t>
      </w:r>
      <w:r>
        <w:t>(1),</w:t>
      </w:r>
      <w:r>
        <w:rPr>
          <w:spacing w:val="-4"/>
        </w:rPr>
        <w:t xml:space="preserve"> </w:t>
      </w:r>
      <w:r>
        <w:t>679–704.</w:t>
      </w:r>
      <w:r>
        <w:rPr>
          <w:spacing w:val="-1"/>
        </w:rPr>
        <w:t xml:space="preserve"> </w:t>
      </w:r>
      <w:r>
        <w:t>https://doi.org/10.1146/annurev.psych.093008.100352</w:t>
      </w:r>
    </w:p>
    <w:p w14:paraId="21608A9E" w14:textId="77777777" w:rsidR="00C774B2" w:rsidRDefault="00C774B2">
      <w:pPr>
        <w:pStyle w:val="Textoindependiente"/>
      </w:pPr>
    </w:p>
    <w:p w14:paraId="0FB287AC" w14:textId="77777777" w:rsidR="00C774B2" w:rsidRDefault="00C774B2">
      <w:pPr>
        <w:pStyle w:val="Textoindependiente"/>
        <w:spacing w:before="4"/>
        <w:rPr>
          <w:sz w:val="16"/>
        </w:rPr>
      </w:pPr>
    </w:p>
    <w:p w14:paraId="4F0B94C5" w14:textId="77777777" w:rsidR="00C774B2" w:rsidRDefault="00000000">
      <w:pPr>
        <w:pStyle w:val="Textoindependiente"/>
        <w:ind w:left="2182" w:right="1698" w:hanging="480"/>
      </w:pPr>
      <w:r>
        <w:t>Chow, C.K., Redfern, J., Hillis,</w:t>
      </w:r>
      <w:r>
        <w:rPr>
          <w:spacing w:val="1"/>
        </w:rPr>
        <w:t xml:space="preserve"> </w:t>
      </w:r>
      <w:r>
        <w:t>G.S., Thakkar, J., Santo, K,, Hackett, M.L. &amp; Thiagalingam, A.</w:t>
      </w:r>
      <w:r>
        <w:rPr>
          <w:spacing w:val="1"/>
        </w:rPr>
        <w:t xml:space="preserve"> </w:t>
      </w:r>
      <w:r>
        <w:t>(2015). Effect of Lifestyle-Focused Text Messaging on Risk Factor Modification in Patients</w:t>
      </w:r>
      <w:r>
        <w:rPr>
          <w:spacing w:val="-47"/>
        </w:rPr>
        <w:t xml:space="preserve"> </w:t>
      </w:r>
      <w:r>
        <w:t xml:space="preserve">With Coronary Heart Disease: A Randomized Clinical Trial. </w:t>
      </w:r>
      <w:r>
        <w:rPr>
          <w:i/>
        </w:rPr>
        <w:t>JAMA</w:t>
      </w:r>
      <w:r>
        <w:t>. 314(12):1255-63. doi:</w:t>
      </w:r>
      <w:r>
        <w:rPr>
          <w:spacing w:val="1"/>
        </w:rPr>
        <w:t xml:space="preserve"> </w:t>
      </w:r>
      <w:r>
        <w:t>10.1001/jama.2015.10945.</w:t>
      </w:r>
    </w:p>
    <w:p w14:paraId="0A5727C1" w14:textId="77777777" w:rsidR="00C774B2" w:rsidRDefault="00C774B2">
      <w:pPr>
        <w:pStyle w:val="Textoindependiente"/>
        <w:spacing w:before="12"/>
        <w:rPr>
          <w:sz w:val="19"/>
        </w:rPr>
      </w:pPr>
    </w:p>
    <w:p w14:paraId="4C9CD6F4" w14:textId="77777777" w:rsidR="00C774B2" w:rsidRDefault="00000000">
      <w:pPr>
        <w:pStyle w:val="Textoindependiente"/>
        <w:ind w:left="2182" w:right="2039" w:hanging="480"/>
      </w:pPr>
      <w:r>
        <w:t>Cleary, M., Kornhaber, R., Thapa, D. K., West, S., &amp; Visentin, D. (2018). The effectiveness of</w:t>
      </w:r>
      <w:r>
        <w:rPr>
          <w:spacing w:val="-47"/>
        </w:rPr>
        <w:t xml:space="preserve"> </w:t>
      </w:r>
      <w:r>
        <w:t>interventions to improve resilience among health professionals: A systematic review.</w:t>
      </w:r>
      <w:r>
        <w:rPr>
          <w:spacing w:val="-47"/>
        </w:rPr>
        <w:t xml:space="preserve"> </w:t>
      </w:r>
      <w:r>
        <w:rPr>
          <w:i/>
        </w:rPr>
        <w:t>Nurse Education Today</w:t>
      </w:r>
      <w:r>
        <w:t xml:space="preserve">, </w:t>
      </w:r>
      <w:r>
        <w:rPr>
          <w:i/>
        </w:rPr>
        <w:t>71</w:t>
      </w:r>
      <w:r>
        <w:t>(October), 247–263.</w:t>
      </w:r>
      <w:r>
        <w:rPr>
          <w:spacing w:val="1"/>
        </w:rPr>
        <w:t xml:space="preserve"> </w:t>
      </w:r>
      <w:r>
        <w:t>https://doi.org/10.1016/j.nedt.2018.10.002</w:t>
      </w:r>
    </w:p>
    <w:p w14:paraId="37EF1F30" w14:textId="77777777" w:rsidR="00C774B2" w:rsidRDefault="00C774B2">
      <w:pPr>
        <w:pStyle w:val="Textoindependiente"/>
        <w:spacing w:before="7"/>
        <w:rPr>
          <w:sz w:val="19"/>
        </w:rPr>
      </w:pPr>
    </w:p>
    <w:p w14:paraId="6B8C5864" w14:textId="77777777" w:rsidR="00C774B2" w:rsidRDefault="00000000">
      <w:pPr>
        <w:ind w:left="2182" w:right="2202" w:hanging="480"/>
      </w:pPr>
      <w:r>
        <w:t>Connor-Smith, J. K., &amp; Flachsbart, C. (2007). Relations Between Personality and Coping: A</w:t>
      </w:r>
      <w:r>
        <w:rPr>
          <w:spacing w:val="-47"/>
        </w:rPr>
        <w:t xml:space="preserve"> </w:t>
      </w:r>
      <w:r>
        <w:t xml:space="preserve">Meta-Analysis. </w:t>
      </w:r>
      <w:r>
        <w:rPr>
          <w:i/>
        </w:rPr>
        <w:t>Journal of Personality and Social Psychology</w:t>
      </w:r>
      <w:r>
        <w:t xml:space="preserve">, </w:t>
      </w:r>
      <w:r>
        <w:rPr>
          <w:i/>
        </w:rPr>
        <w:t>93</w:t>
      </w:r>
      <w:r>
        <w:t>(6), 1080–1107.</w:t>
      </w:r>
      <w:r>
        <w:rPr>
          <w:spacing w:val="1"/>
        </w:rPr>
        <w:t xml:space="preserve"> </w:t>
      </w:r>
      <w:r>
        <w:t>https://doi.org/10.1037/0022-3514.93.6.1080</w:t>
      </w:r>
    </w:p>
    <w:p w14:paraId="0227DA03" w14:textId="77777777" w:rsidR="00C774B2" w:rsidRDefault="00000000">
      <w:pPr>
        <w:pStyle w:val="Textoindependiente"/>
        <w:spacing w:before="99"/>
        <w:ind w:left="1702"/>
      </w:pPr>
      <w:r>
        <w:t>Croghan,</w:t>
      </w:r>
      <w:r>
        <w:rPr>
          <w:spacing w:val="20"/>
        </w:rPr>
        <w:t xml:space="preserve"> </w:t>
      </w:r>
      <w:r>
        <w:t>I.T.,</w:t>
      </w:r>
      <w:r>
        <w:rPr>
          <w:spacing w:val="19"/>
        </w:rPr>
        <w:t xml:space="preserve"> </w:t>
      </w:r>
      <w:r>
        <w:t>Trautman,</w:t>
      </w:r>
      <w:r>
        <w:rPr>
          <w:spacing w:val="20"/>
        </w:rPr>
        <w:t xml:space="preserve"> </w:t>
      </w:r>
      <w:r>
        <w:t>J.A.,</w:t>
      </w:r>
      <w:r>
        <w:rPr>
          <w:spacing w:val="19"/>
        </w:rPr>
        <w:t xml:space="preserve"> </w:t>
      </w:r>
      <w:r>
        <w:t>Winhusen,</w:t>
      </w:r>
      <w:r>
        <w:rPr>
          <w:spacing w:val="19"/>
        </w:rPr>
        <w:t xml:space="preserve"> </w:t>
      </w:r>
      <w:r>
        <w:t>T.,</w:t>
      </w:r>
      <w:r>
        <w:rPr>
          <w:spacing w:val="20"/>
        </w:rPr>
        <w:t xml:space="preserve"> </w:t>
      </w:r>
      <w:r>
        <w:t>Ebbert,</w:t>
      </w:r>
      <w:r>
        <w:rPr>
          <w:spacing w:val="20"/>
        </w:rPr>
        <w:t xml:space="preserve"> </w:t>
      </w:r>
      <w:r>
        <w:t>J.O.,</w:t>
      </w:r>
      <w:r>
        <w:rPr>
          <w:spacing w:val="19"/>
        </w:rPr>
        <w:t xml:space="preserve"> </w:t>
      </w:r>
      <w:r>
        <w:t>Kropp,</w:t>
      </w:r>
      <w:r>
        <w:rPr>
          <w:spacing w:val="20"/>
        </w:rPr>
        <w:t xml:space="preserve"> </w:t>
      </w:r>
      <w:r>
        <w:t>F.B.,</w:t>
      </w:r>
      <w:r>
        <w:rPr>
          <w:spacing w:val="20"/>
        </w:rPr>
        <w:t xml:space="preserve"> </w:t>
      </w:r>
      <w:r>
        <w:t>Schroeder,</w:t>
      </w:r>
      <w:r>
        <w:rPr>
          <w:spacing w:val="21"/>
        </w:rPr>
        <w:t xml:space="preserve"> </w:t>
      </w:r>
      <w:r>
        <w:t>D.R.</w:t>
      </w:r>
      <w:r>
        <w:rPr>
          <w:spacing w:val="19"/>
        </w:rPr>
        <w:t xml:space="preserve"> </w:t>
      </w:r>
      <w:r>
        <w:t>&amp;</w:t>
      </w:r>
      <w:r>
        <w:rPr>
          <w:spacing w:val="20"/>
        </w:rPr>
        <w:t xml:space="preserve"> </w:t>
      </w:r>
      <w:r>
        <w:t>Hurt,</w:t>
      </w:r>
    </w:p>
    <w:p w14:paraId="4DE344EF" w14:textId="77777777" w:rsidR="00C774B2" w:rsidRDefault="00000000">
      <w:pPr>
        <w:pStyle w:val="Textoindependiente"/>
        <w:spacing w:before="22"/>
        <w:ind w:left="2268"/>
      </w:pPr>
      <w:r>
        <w:t>R.D.</w:t>
      </w:r>
      <w:r>
        <w:rPr>
          <w:spacing w:val="50"/>
        </w:rPr>
        <w:t xml:space="preserve"> </w:t>
      </w:r>
      <w:r>
        <w:t>(2012)</w:t>
      </w:r>
      <w:r>
        <w:rPr>
          <w:spacing w:val="51"/>
        </w:rPr>
        <w:t xml:space="preserve"> </w:t>
      </w:r>
      <w:r>
        <w:t>Tobacco</w:t>
      </w:r>
      <w:r>
        <w:rPr>
          <w:spacing w:val="53"/>
        </w:rPr>
        <w:t xml:space="preserve"> </w:t>
      </w:r>
      <w:r>
        <w:t>dependence</w:t>
      </w:r>
      <w:r>
        <w:rPr>
          <w:spacing w:val="52"/>
        </w:rPr>
        <w:t xml:space="preserve"> </w:t>
      </w:r>
      <w:r>
        <w:t>counseling</w:t>
      </w:r>
      <w:r>
        <w:rPr>
          <w:spacing w:val="51"/>
        </w:rPr>
        <w:t xml:space="preserve"> </w:t>
      </w:r>
      <w:r>
        <w:t>in</w:t>
      </w:r>
      <w:r>
        <w:rPr>
          <w:spacing w:val="50"/>
        </w:rPr>
        <w:t xml:space="preserve"> </w:t>
      </w:r>
      <w:r>
        <w:t>a</w:t>
      </w:r>
      <w:r>
        <w:rPr>
          <w:spacing w:val="52"/>
        </w:rPr>
        <w:t xml:space="preserve"> </w:t>
      </w:r>
      <w:r>
        <w:t>randomized</w:t>
      </w:r>
      <w:r>
        <w:rPr>
          <w:spacing w:val="48"/>
        </w:rPr>
        <w:t xml:space="preserve"> </w:t>
      </w:r>
      <w:r>
        <w:t>multisite</w:t>
      </w:r>
      <w:r>
        <w:rPr>
          <w:spacing w:val="53"/>
        </w:rPr>
        <w:t xml:space="preserve"> </w:t>
      </w:r>
      <w:r>
        <w:t>clinical</w:t>
      </w:r>
      <w:r>
        <w:rPr>
          <w:spacing w:val="50"/>
        </w:rPr>
        <w:t xml:space="preserve"> </w:t>
      </w:r>
      <w:r>
        <w:t>trial.</w:t>
      </w:r>
    </w:p>
    <w:p w14:paraId="22D8663C" w14:textId="77777777" w:rsidR="00C774B2" w:rsidRPr="0021171C" w:rsidRDefault="00000000">
      <w:pPr>
        <w:spacing w:before="19"/>
        <w:ind w:left="2268"/>
        <w:rPr>
          <w:lang w:val="fr-FR"/>
        </w:rPr>
      </w:pPr>
      <w:r w:rsidRPr="0021171C">
        <w:rPr>
          <w:i/>
          <w:lang w:val="fr-FR"/>
        </w:rPr>
        <w:t>Contemp</w:t>
      </w:r>
      <w:r w:rsidRPr="0021171C">
        <w:rPr>
          <w:i/>
          <w:spacing w:val="-6"/>
          <w:lang w:val="fr-FR"/>
        </w:rPr>
        <w:t xml:space="preserve"> </w:t>
      </w:r>
      <w:r w:rsidRPr="0021171C">
        <w:rPr>
          <w:i/>
          <w:lang w:val="fr-FR"/>
        </w:rPr>
        <w:t>Clin</w:t>
      </w:r>
      <w:r w:rsidRPr="0021171C">
        <w:rPr>
          <w:i/>
          <w:spacing w:val="-8"/>
          <w:lang w:val="fr-FR"/>
        </w:rPr>
        <w:t xml:space="preserve"> </w:t>
      </w:r>
      <w:r w:rsidRPr="0021171C">
        <w:rPr>
          <w:i/>
          <w:lang w:val="fr-FR"/>
        </w:rPr>
        <w:t>Trials</w:t>
      </w:r>
      <w:r w:rsidRPr="0021171C">
        <w:rPr>
          <w:lang w:val="fr-FR"/>
        </w:rPr>
        <w:t>.</w:t>
      </w:r>
      <w:r w:rsidRPr="0021171C">
        <w:rPr>
          <w:spacing w:val="-8"/>
          <w:lang w:val="fr-FR"/>
        </w:rPr>
        <w:t xml:space="preserve"> </w:t>
      </w:r>
      <w:r w:rsidRPr="0021171C">
        <w:rPr>
          <w:lang w:val="fr-FR"/>
        </w:rPr>
        <w:t>33(4):576-82.</w:t>
      </w:r>
      <w:r w:rsidRPr="0021171C">
        <w:rPr>
          <w:spacing w:val="-5"/>
          <w:lang w:val="fr-FR"/>
        </w:rPr>
        <w:t xml:space="preserve"> </w:t>
      </w:r>
      <w:r w:rsidRPr="0021171C">
        <w:rPr>
          <w:lang w:val="fr-FR"/>
        </w:rPr>
        <w:t>doi:</w:t>
      </w:r>
      <w:r w:rsidRPr="0021171C">
        <w:rPr>
          <w:spacing w:val="-5"/>
          <w:lang w:val="fr-FR"/>
        </w:rPr>
        <w:t xml:space="preserve"> </w:t>
      </w:r>
      <w:r w:rsidRPr="0021171C">
        <w:rPr>
          <w:lang w:val="fr-FR"/>
        </w:rPr>
        <w:t>10.1016/j.cct.2012.02.014.</w:t>
      </w:r>
    </w:p>
    <w:p w14:paraId="62D6DB5E" w14:textId="77777777" w:rsidR="00C774B2" w:rsidRPr="0021171C" w:rsidRDefault="00C774B2">
      <w:pPr>
        <w:rPr>
          <w:lang w:val="fr-FR"/>
        </w:rPr>
        <w:sectPr w:rsidR="00C774B2" w:rsidRPr="0021171C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67AAA19A" w14:textId="77777777" w:rsidR="00C774B2" w:rsidRDefault="00000000">
      <w:pPr>
        <w:pStyle w:val="Textoindependiente"/>
        <w:spacing w:before="34" w:line="259" w:lineRule="auto"/>
        <w:ind w:left="2268" w:right="1637" w:hanging="567"/>
        <w:jc w:val="both"/>
      </w:pPr>
      <w:r>
        <w:lastRenderedPageBreak/>
        <w:t>Dong, C., Xu, R, Xu, L. (2020) Relationship of childhood trauma, psychological resilience and</w:t>
      </w:r>
      <w:r>
        <w:rPr>
          <w:spacing w:val="1"/>
        </w:rPr>
        <w:t xml:space="preserve"> </w:t>
      </w:r>
      <w:r>
        <w:t>family</w:t>
      </w:r>
      <w:r>
        <w:rPr>
          <w:spacing w:val="1"/>
        </w:rPr>
        <w:t xml:space="preserve"> </w:t>
      </w:r>
      <w:r>
        <w:t>resilience</w:t>
      </w:r>
      <w:r>
        <w:rPr>
          <w:spacing w:val="1"/>
        </w:rPr>
        <w:t xml:space="preserve"> </w:t>
      </w:r>
      <w:r>
        <w:t>among</w:t>
      </w:r>
      <w:r>
        <w:rPr>
          <w:spacing w:val="1"/>
        </w:rPr>
        <w:t xml:space="preserve"> </w:t>
      </w:r>
      <w:r>
        <w:t>undergraduate</w:t>
      </w:r>
      <w:r>
        <w:rPr>
          <w:spacing w:val="1"/>
        </w:rPr>
        <w:t xml:space="preserve"> </w:t>
      </w:r>
      <w:r>
        <w:t>nursing</w:t>
      </w:r>
      <w:r>
        <w:rPr>
          <w:spacing w:val="1"/>
        </w:rPr>
        <w:t xml:space="preserve"> </w:t>
      </w:r>
      <w:r>
        <w:t>students:</w:t>
      </w:r>
      <w:r>
        <w:rPr>
          <w:spacing w:val="1"/>
        </w:rPr>
        <w:t xml:space="preserve"> </w:t>
      </w:r>
      <w:r>
        <w:t>A</w:t>
      </w:r>
      <w:r>
        <w:rPr>
          <w:spacing w:val="1"/>
        </w:rPr>
        <w:t xml:space="preserve"> </w:t>
      </w:r>
      <w:r>
        <w:t>cross‐sectional</w:t>
      </w:r>
      <w:r>
        <w:rPr>
          <w:spacing w:val="1"/>
        </w:rPr>
        <w:t xml:space="preserve"> </w:t>
      </w:r>
      <w:r>
        <w:t>study.</w:t>
      </w:r>
      <w:r>
        <w:rPr>
          <w:spacing w:val="1"/>
        </w:rPr>
        <w:t xml:space="preserve"> </w:t>
      </w:r>
      <w:r>
        <w:t>Perspect</w:t>
      </w:r>
      <w:r>
        <w:rPr>
          <w:spacing w:val="-3"/>
        </w:rPr>
        <w:t xml:space="preserve"> </w:t>
      </w:r>
      <w:r>
        <w:t>Psychiatr Care.</w:t>
      </w:r>
      <w:r>
        <w:rPr>
          <w:spacing w:val="-2"/>
        </w:rPr>
        <w:t xml:space="preserve"> </w:t>
      </w:r>
      <w:r>
        <w:t>1–8.</w:t>
      </w:r>
      <w:r>
        <w:rPr>
          <w:spacing w:val="-1"/>
        </w:rPr>
        <w:t xml:space="preserve"> </w:t>
      </w:r>
      <w:r>
        <w:t>DOI:</w:t>
      </w:r>
      <w:r>
        <w:rPr>
          <w:spacing w:val="-2"/>
        </w:rPr>
        <w:t xml:space="preserve"> </w:t>
      </w:r>
      <w:r>
        <w:t>10.1111/ppc.12626</w:t>
      </w:r>
    </w:p>
    <w:p w14:paraId="180685D6" w14:textId="77777777" w:rsidR="00C774B2" w:rsidRDefault="00C774B2">
      <w:pPr>
        <w:pStyle w:val="Textoindependiente"/>
        <w:spacing w:before="11"/>
      </w:pPr>
    </w:p>
    <w:p w14:paraId="4D492401" w14:textId="77777777" w:rsidR="00C774B2" w:rsidRDefault="00000000">
      <w:pPr>
        <w:pStyle w:val="Textoindependiente"/>
        <w:spacing w:before="1"/>
        <w:ind w:left="2182" w:right="1827" w:hanging="480"/>
      </w:pPr>
      <w:r>
        <w:t>Dwan, K., Li, T., Altman, D. G., &amp; Elbourne, D. (2019). CONSORT 2010 statement: Extension to</w:t>
      </w:r>
      <w:r>
        <w:rPr>
          <w:spacing w:val="-47"/>
        </w:rPr>
        <w:t xml:space="preserve"> </w:t>
      </w:r>
      <w:r>
        <w:t>randomised</w:t>
      </w:r>
      <w:r>
        <w:rPr>
          <w:spacing w:val="-2"/>
        </w:rPr>
        <w:t xml:space="preserve"> </w:t>
      </w:r>
      <w:r>
        <w:t>crossover</w:t>
      </w:r>
      <w:r>
        <w:rPr>
          <w:spacing w:val="-1"/>
        </w:rPr>
        <w:t xml:space="preserve"> </w:t>
      </w:r>
      <w:r>
        <w:t>trials.</w:t>
      </w:r>
      <w:r>
        <w:rPr>
          <w:spacing w:val="-2"/>
        </w:rPr>
        <w:t xml:space="preserve"> </w:t>
      </w:r>
      <w:r>
        <w:rPr>
          <w:i/>
        </w:rPr>
        <w:t>The</w:t>
      </w:r>
      <w:r>
        <w:rPr>
          <w:i/>
          <w:spacing w:val="-1"/>
        </w:rPr>
        <w:t xml:space="preserve"> </w:t>
      </w:r>
      <w:r>
        <w:rPr>
          <w:i/>
        </w:rPr>
        <w:t>BMJ</w:t>
      </w:r>
      <w:r>
        <w:t>,</w:t>
      </w:r>
      <w:r>
        <w:rPr>
          <w:spacing w:val="-2"/>
        </w:rPr>
        <w:t xml:space="preserve"> </w:t>
      </w:r>
      <w:r>
        <w:rPr>
          <w:i/>
        </w:rPr>
        <w:t>366</w:t>
      </w:r>
      <w:r>
        <w:t>.</w:t>
      </w:r>
      <w:r>
        <w:rPr>
          <w:spacing w:val="-2"/>
        </w:rPr>
        <w:t xml:space="preserve"> </w:t>
      </w:r>
      <w:r>
        <w:t>https://doi.org/10.1136/bmj.l4378</w:t>
      </w:r>
    </w:p>
    <w:p w14:paraId="09F71C39" w14:textId="77777777" w:rsidR="00C774B2" w:rsidRDefault="00C774B2">
      <w:pPr>
        <w:pStyle w:val="Textoindependiente"/>
        <w:spacing w:before="10"/>
        <w:rPr>
          <w:sz w:val="19"/>
        </w:rPr>
      </w:pPr>
    </w:p>
    <w:p w14:paraId="680272B9" w14:textId="13041D56" w:rsidR="00C774B2" w:rsidRPr="0021171C" w:rsidRDefault="0021171C">
      <w:pPr>
        <w:pStyle w:val="Textoindependiente"/>
        <w:spacing w:before="1"/>
        <w:ind w:left="2182" w:right="1662" w:hanging="480"/>
        <w:rPr>
          <w:lang w:val="es-ES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486578176" behindDoc="1" locked="0" layoutInCell="1" allowOverlap="1" wp14:anchorId="66948801" wp14:editId="122E3DC3">
                <wp:simplePos x="0" y="0"/>
                <wp:positionH relativeFrom="page">
                  <wp:posOffset>1621790</wp:posOffset>
                </wp:positionH>
                <wp:positionV relativeFrom="paragraph">
                  <wp:posOffset>148590</wp:posOffset>
                </wp:positionV>
                <wp:extent cx="31750" cy="8890"/>
                <wp:effectExtent l="0" t="0" r="0" b="0"/>
                <wp:wrapNone/>
                <wp:docPr id="143918242" name="Rectangl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31750" cy="8890"/>
                        </a:xfrm>
                        <a:prstGeom prst="rect">
                          <a:avLst/>
                        </a:prstGeom>
                        <a:solidFill>
                          <a:srgbClr val="000000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1BC5A213" id="Rectangle 7" o:spid="_x0000_s1026" style="position:absolute;margin-left:127.7pt;margin-top:11.7pt;width:2.5pt;height:.7pt;z-index:-167383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" fillcolor="black" stroked="f">
                <w10:wrap anchorx="page"/>
              </v:rect>
            </w:pict>
          </mc:Fallback>
        </mc:AlternateContent>
      </w:r>
      <w:r w:rsidR="00000000">
        <w:t>Everly Jr., G.S.</w:t>
      </w:r>
      <w:r w:rsidR="00000000">
        <w:rPr>
          <w:spacing w:val="1"/>
        </w:rPr>
        <w:t xml:space="preserve"> </w:t>
      </w:r>
      <w:r w:rsidR="00000000">
        <w:t>Lee McCabe, O. Semon, N.L. Thompson, C.B.. Links J.M(2014)</w:t>
      </w:r>
      <w:r w:rsidR="00000000">
        <w:rPr>
          <w:spacing w:val="1"/>
        </w:rPr>
        <w:t xml:space="preserve"> </w:t>
      </w:r>
      <w:r w:rsidR="00000000">
        <w:t>The development</w:t>
      </w:r>
      <w:r w:rsidR="00000000">
        <w:rPr>
          <w:spacing w:val="-47"/>
        </w:rPr>
        <w:t xml:space="preserve"> </w:t>
      </w:r>
      <w:r w:rsidR="00000000">
        <w:t>of a model of psychological first aid for non-mental health trained public health</w:t>
      </w:r>
      <w:r w:rsidR="00000000">
        <w:rPr>
          <w:spacing w:val="1"/>
        </w:rPr>
        <w:t xml:space="preserve"> </w:t>
      </w:r>
      <w:r w:rsidR="00000000">
        <w:t xml:space="preserve">personnel: the Johns Hopkins RAPID-PFA J. Public Health Manag. </w:t>
      </w:r>
      <w:r w:rsidR="00000000" w:rsidRPr="0021171C">
        <w:rPr>
          <w:lang w:val="es-ES"/>
        </w:rPr>
        <w:t>Pract., 20 (Suppl. 5) pp.</w:t>
      </w:r>
      <w:r w:rsidR="00000000" w:rsidRPr="0021171C">
        <w:rPr>
          <w:spacing w:val="1"/>
          <w:lang w:val="es-ES"/>
        </w:rPr>
        <w:t xml:space="preserve"> </w:t>
      </w:r>
      <w:r w:rsidR="00000000" w:rsidRPr="0021171C">
        <w:rPr>
          <w:lang w:val="es-ES"/>
        </w:rPr>
        <w:t>S24-S29.</w:t>
      </w:r>
    </w:p>
    <w:p w14:paraId="40F81001" w14:textId="77777777" w:rsidR="00C774B2" w:rsidRPr="0021171C" w:rsidRDefault="00C774B2">
      <w:pPr>
        <w:pStyle w:val="Textoindependiente"/>
        <w:spacing w:before="6"/>
        <w:rPr>
          <w:sz w:val="19"/>
          <w:lang w:val="es-ES"/>
        </w:rPr>
      </w:pPr>
    </w:p>
    <w:p w14:paraId="078AC651" w14:textId="77777777" w:rsidR="00C774B2" w:rsidRPr="0021171C" w:rsidRDefault="00000000">
      <w:pPr>
        <w:pStyle w:val="Textoindependiente"/>
        <w:ind w:left="2182" w:right="1641" w:hanging="480"/>
        <w:rPr>
          <w:lang w:val="es-ES"/>
        </w:rPr>
      </w:pPr>
      <w:r w:rsidRPr="0021171C">
        <w:rPr>
          <w:lang w:val="es-ES"/>
        </w:rPr>
        <w:t>García-León, M. A., González-Gómez, A., Robles-Ortega, H., Padilla, J. L. y Peralta-Ramírez, M. I.</w:t>
      </w:r>
      <w:r w:rsidRPr="0021171C">
        <w:rPr>
          <w:spacing w:val="-47"/>
          <w:lang w:val="es-ES"/>
        </w:rPr>
        <w:t xml:space="preserve"> </w:t>
      </w:r>
      <w:r w:rsidRPr="0021171C">
        <w:rPr>
          <w:lang w:val="es-ES"/>
        </w:rPr>
        <w:t>(2019). Propiedades psicométricas de la Escala de Resiliencia de Connor y Davidson (CD-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RISC) en población española. Anales de Psicología, 35(1), 33-40.</w:t>
      </w:r>
      <w:r w:rsidRPr="0021171C">
        <w:rPr>
          <w:spacing w:val="1"/>
          <w:lang w:val="es-ES"/>
        </w:rPr>
        <w:t xml:space="preserve"> </w:t>
      </w:r>
      <w:hyperlink r:id="rId7">
        <w:r w:rsidRPr="0021171C">
          <w:rPr>
            <w:lang w:val="es-ES"/>
          </w:rPr>
          <w:t>http://dx.doi.org/10.6018/analesps.</w:t>
        </w:r>
        <w:r w:rsidRPr="0021171C">
          <w:rPr>
            <w:spacing w:val="-1"/>
            <w:lang w:val="es-ES"/>
          </w:rPr>
          <w:t xml:space="preserve"> </w:t>
        </w:r>
      </w:hyperlink>
      <w:r w:rsidRPr="0021171C">
        <w:rPr>
          <w:lang w:val="es-ES"/>
        </w:rPr>
        <w:t>35.1.31411</w:t>
      </w:r>
    </w:p>
    <w:p w14:paraId="71E6BDA1" w14:textId="77777777" w:rsidR="00C774B2" w:rsidRDefault="00000000">
      <w:pPr>
        <w:pStyle w:val="Textoindependiente"/>
        <w:spacing w:before="100"/>
        <w:ind w:left="2182" w:right="1635" w:hanging="480"/>
        <w:jc w:val="both"/>
      </w:pPr>
      <w:r w:rsidRPr="0021171C">
        <w:rPr>
          <w:lang w:val="es-ES"/>
        </w:rPr>
        <w:t>Herrera-Sánchez,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B.,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Mansilla-Domínguez,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J.M.,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Perdigón-Florencio,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P.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&amp;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Bermejo-Caja,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C.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 xml:space="preserve">(2006). Efectividad del consejo sanitario en la promoción de la actividad física. </w:t>
      </w:r>
      <w:r>
        <w:t>Estudio</w:t>
      </w:r>
      <w:r>
        <w:rPr>
          <w:spacing w:val="1"/>
        </w:rPr>
        <w:t xml:space="preserve"> </w:t>
      </w:r>
      <w:r>
        <w:t>prospectivo aleatorizado.</w:t>
      </w:r>
      <w:r>
        <w:rPr>
          <w:spacing w:val="-1"/>
        </w:rPr>
        <w:t xml:space="preserve"> </w:t>
      </w:r>
      <w:r>
        <w:rPr>
          <w:i/>
        </w:rPr>
        <w:t>Med Clin</w:t>
      </w:r>
      <w:r>
        <w:rPr>
          <w:i/>
          <w:spacing w:val="-2"/>
        </w:rPr>
        <w:t xml:space="preserve"> </w:t>
      </w:r>
      <w:r>
        <w:rPr>
          <w:i/>
        </w:rPr>
        <w:t>(Barc)</w:t>
      </w:r>
      <w:r>
        <w:t>.126(10):361-3</w:t>
      </w:r>
    </w:p>
    <w:p w14:paraId="3C05D023" w14:textId="77777777" w:rsidR="00C774B2" w:rsidRDefault="00C774B2">
      <w:pPr>
        <w:pStyle w:val="Textoindependiente"/>
        <w:spacing w:before="9"/>
        <w:rPr>
          <w:sz w:val="19"/>
        </w:rPr>
      </w:pPr>
    </w:p>
    <w:p w14:paraId="460E91ED" w14:textId="77777777" w:rsidR="00C774B2" w:rsidRDefault="00000000">
      <w:pPr>
        <w:pStyle w:val="Textoindependiente"/>
        <w:ind w:left="2182" w:right="1946" w:hanging="480"/>
      </w:pPr>
      <w:r>
        <w:t>Kemper, K. J., &amp; Khirallah, M. (2015). Acute Effects of Online Mind–Body Skills Training on</w:t>
      </w:r>
      <w:r>
        <w:rPr>
          <w:spacing w:val="1"/>
        </w:rPr>
        <w:t xml:space="preserve"> </w:t>
      </w:r>
      <w:r>
        <w:t>Resilience, Mindfulness, and Empathy. Journal of Evidence-Based Complementary and</w:t>
      </w:r>
      <w:r>
        <w:rPr>
          <w:spacing w:val="-47"/>
        </w:rPr>
        <w:t xml:space="preserve"> </w:t>
      </w:r>
      <w:r>
        <w:t>Alternative</w:t>
      </w:r>
      <w:r>
        <w:rPr>
          <w:spacing w:val="-5"/>
        </w:rPr>
        <w:t xml:space="preserve"> </w:t>
      </w:r>
      <w:r>
        <w:t>Medicine,</w:t>
      </w:r>
      <w:r>
        <w:rPr>
          <w:spacing w:val="-5"/>
        </w:rPr>
        <w:t xml:space="preserve"> </w:t>
      </w:r>
      <w:r>
        <w:t>20(4),</w:t>
      </w:r>
      <w:r>
        <w:rPr>
          <w:spacing w:val="-3"/>
        </w:rPr>
        <w:t xml:space="preserve"> </w:t>
      </w:r>
      <w:r>
        <w:t>247–253.</w:t>
      </w:r>
      <w:r>
        <w:rPr>
          <w:spacing w:val="-4"/>
        </w:rPr>
        <w:t xml:space="preserve"> </w:t>
      </w:r>
      <w:r>
        <w:t>https://doi.org/10.1177/2156587215575816</w:t>
      </w:r>
    </w:p>
    <w:p w14:paraId="38010851" w14:textId="77777777" w:rsidR="00C774B2" w:rsidRDefault="00C774B2">
      <w:pPr>
        <w:pStyle w:val="Textoindependiente"/>
        <w:spacing w:before="9"/>
        <w:rPr>
          <w:sz w:val="19"/>
        </w:rPr>
      </w:pPr>
    </w:p>
    <w:p w14:paraId="1AA8CF63" w14:textId="77777777" w:rsidR="00C774B2" w:rsidRDefault="00000000">
      <w:pPr>
        <w:pStyle w:val="Textoindependiente"/>
        <w:ind w:left="2182" w:right="1652" w:hanging="480"/>
        <w:jc w:val="both"/>
      </w:pPr>
      <w:r>
        <w:t>Kemper, K. J., &amp; Rao, N. (2017). Brief Online Focused Attention Meditation Training: Immediate</w:t>
      </w:r>
      <w:r>
        <w:rPr>
          <w:spacing w:val="-47"/>
        </w:rPr>
        <w:t xml:space="preserve"> </w:t>
      </w:r>
      <w:r>
        <w:t>Impact. Journal of Evidence-Based Complementary and Alternative Medicine, 22(3), 395–</w:t>
      </w:r>
      <w:r>
        <w:rPr>
          <w:spacing w:val="-47"/>
        </w:rPr>
        <w:t xml:space="preserve"> </w:t>
      </w:r>
      <w:r>
        <w:t>400.</w:t>
      </w:r>
      <w:r>
        <w:rPr>
          <w:spacing w:val="-1"/>
        </w:rPr>
        <w:t xml:space="preserve"> </w:t>
      </w:r>
      <w:hyperlink r:id="rId8">
        <w:r>
          <w:rPr>
            <w:u w:val="single"/>
          </w:rPr>
          <w:t>https://doi.org/10.1177/2156587216663565</w:t>
        </w:r>
      </w:hyperlink>
    </w:p>
    <w:p w14:paraId="5928D923" w14:textId="77777777" w:rsidR="00C774B2" w:rsidRDefault="00C774B2">
      <w:pPr>
        <w:pStyle w:val="Textoindependiente"/>
        <w:spacing w:before="1"/>
        <w:rPr>
          <w:sz w:val="15"/>
        </w:rPr>
      </w:pPr>
    </w:p>
    <w:p w14:paraId="0F1EFB32" w14:textId="77777777" w:rsidR="00C774B2" w:rsidRDefault="00000000">
      <w:pPr>
        <w:pStyle w:val="Textoindependiente"/>
        <w:spacing w:before="56" w:line="259" w:lineRule="auto"/>
        <w:ind w:left="2182" w:right="1738" w:hanging="480"/>
      </w:pPr>
      <w:r>
        <w:t>Kyndt, E., Dochy, F., Struyven, K., &amp; Cascallar, E. (2011). The direct and indirect effect of</w:t>
      </w:r>
      <w:r>
        <w:rPr>
          <w:spacing w:val="1"/>
        </w:rPr>
        <w:t xml:space="preserve"> </w:t>
      </w:r>
      <w:r>
        <w:t>motivation for learning on students’ approaches to learning through the perceptions of</w:t>
      </w:r>
      <w:r>
        <w:rPr>
          <w:spacing w:val="1"/>
        </w:rPr>
        <w:t xml:space="preserve"> </w:t>
      </w:r>
      <w:r>
        <w:t xml:space="preserve">workload and task complexity. </w:t>
      </w:r>
      <w:r>
        <w:rPr>
          <w:i/>
        </w:rPr>
        <w:t>Higher Education Research and Development</w:t>
      </w:r>
      <w:r>
        <w:t xml:space="preserve">, </w:t>
      </w:r>
      <w:r>
        <w:rPr>
          <w:i/>
        </w:rPr>
        <w:t>30</w:t>
      </w:r>
      <w:r>
        <w:t>(2), 135–</w:t>
      </w:r>
      <w:r>
        <w:rPr>
          <w:spacing w:val="-47"/>
        </w:rPr>
        <w:t xml:space="preserve"> </w:t>
      </w:r>
      <w:r>
        <w:t>150.</w:t>
      </w:r>
      <w:r>
        <w:rPr>
          <w:spacing w:val="-1"/>
        </w:rPr>
        <w:t xml:space="preserve"> </w:t>
      </w:r>
      <w:r>
        <w:rPr>
          <w:u w:val="single"/>
        </w:rPr>
        <w:t>https://doi.org/10.1080/07294360.2010.501329</w:t>
      </w:r>
    </w:p>
    <w:p w14:paraId="32975AB9" w14:textId="77777777" w:rsidR="00C774B2" w:rsidRDefault="00C774B2">
      <w:pPr>
        <w:pStyle w:val="Textoindependiente"/>
        <w:spacing w:before="2"/>
        <w:rPr>
          <w:sz w:val="18"/>
        </w:rPr>
      </w:pPr>
    </w:p>
    <w:p w14:paraId="73802F77" w14:textId="77777777" w:rsidR="00C774B2" w:rsidRPr="0021171C" w:rsidRDefault="00000000">
      <w:pPr>
        <w:spacing w:before="56" w:line="259" w:lineRule="auto"/>
        <w:ind w:left="2129" w:right="2484" w:hanging="428"/>
        <w:rPr>
          <w:lang w:val="es-ES"/>
        </w:rPr>
      </w:pPr>
      <w:r>
        <w:t xml:space="preserve">Lazarus, R.S. &amp; Folkman, S. (1984). </w:t>
      </w:r>
      <w:r>
        <w:rPr>
          <w:i/>
        </w:rPr>
        <w:t>Stress, appraisal and coping</w:t>
      </w:r>
      <w:r>
        <w:t>. Nueva York: Springer.</w:t>
      </w:r>
      <w:r>
        <w:rPr>
          <w:spacing w:val="-47"/>
        </w:rPr>
        <w:t xml:space="preserve"> </w:t>
      </w:r>
      <w:r w:rsidRPr="0021171C">
        <w:rPr>
          <w:lang w:val="es-ES"/>
        </w:rPr>
        <w:t>(Traducción,</w:t>
      </w:r>
      <w:r w:rsidRPr="0021171C">
        <w:rPr>
          <w:spacing w:val="-4"/>
          <w:lang w:val="es-ES"/>
        </w:rPr>
        <w:t xml:space="preserve"> </w:t>
      </w:r>
      <w:r w:rsidRPr="0021171C">
        <w:rPr>
          <w:lang w:val="es-ES"/>
        </w:rPr>
        <w:t>Barcelona,</w:t>
      </w:r>
      <w:r w:rsidRPr="0021171C">
        <w:rPr>
          <w:spacing w:val="-2"/>
          <w:lang w:val="es-ES"/>
        </w:rPr>
        <w:t xml:space="preserve"> </w:t>
      </w:r>
      <w:r w:rsidRPr="0021171C">
        <w:rPr>
          <w:lang w:val="es-ES"/>
        </w:rPr>
        <w:t>Martínez Roca,</w:t>
      </w:r>
      <w:r w:rsidRPr="0021171C">
        <w:rPr>
          <w:spacing w:val="-2"/>
          <w:lang w:val="es-ES"/>
        </w:rPr>
        <w:t xml:space="preserve"> </w:t>
      </w:r>
      <w:r w:rsidRPr="0021171C">
        <w:rPr>
          <w:lang w:val="es-ES"/>
        </w:rPr>
        <w:t>1986).</w:t>
      </w:r>
    </w:p>
    <w:p w14:paraId="17A9D448" w14:textId="77777777" w:rsidR="00C774B2" w:rsidRPr="0021171C" w:rsidRDefault="00C774B2">
      <w:pPr>
        <w:pStyle w:val="Textoindependiente"/>
        <w:spacing w:before="11"/>
        <w:rPr>
          <w:lang w:val="es-ES"/>
        </w:rPr>
      </w:pPr>
    </w:p>
    <w:p w14:paraId="69417EEF" w14:textId="77777777" w:rsidR="00C774B2" w:rsidRDefault="00000000">
      <w:pPr>
        <w:spacing w:line="259" w:lineRule="auto"/>
        <w:ind w:left="2129" w:right="1646" w:hanging="428"/>
      </w:pPr>
      <w:r w:rsidRPr="0021171C">
        <w:rPr>
          <w:lang w:val="es-ES"/>
        </w:rPr>
        <w:t>López-Gómez, I., Hervás, G., &amp; Vázquez, C. (2015). Adaptación de las “escalas de Positive Affect</w:t>
      </w:r>
      <w:r w:rsidRPr="0021171C">
        <w:rPr>
          <w:spacing w:val="-47"/>
          <w:lang w:val="es-ES"/>
        </w:rPr>
        <w:t xml:space="preserve"> </w:t>
      </w:r>
      <w:r w:rsidRPr="0021171C">
        <w:rPr>
          <w:lang w:val="es-ES"/>
        </w:rPr>
        <w:t xml:space="preserve">y negativo” (panas) en una muestra general Española. </w:t>
      </w:r>
      <w:r>
        <w:rPr>
          <w:i/>
        </w:rPr>
        <w:t>Behavioral Psychology/ Psicologia</w:t>
      </w:r>
      <w:r>
        <w:rPr>
          <w:i/>
          <w:spacing w:val="1"/>
        </w:rPr>
        <w:t xml:space="preserve"> </w:t>
      </w:r>
      <w:r>
        <w:rPr>
          <w:i/>
        </w:rPr>
        <w:t>Conductual</w:t>
      </w:r>
      <w:r>
        <w:t>,</w:t>
      </w:r>
      <w:r>
        <w:rPr>
          <w:spacing w:val="-1"/>
        </w:rPr>
        <w:t xml:space="preserve"> </w:t>
      </w:r>
      <w:r>
        <w:rPr>
          <w:i/>
        </w:rPr>
        <w:t>23</w:t>
      </w:r>
      <w:r>
        <w:t>(3),</w:t>
      </w:r>
      <w:r>
        <w:rPr>
          <w:spacing w:val="-2"/>
        </w:rPr>
        <w:t xml:space="preserve"> </w:t>
      </w:r>
      <w:r>
        <w:t>529–548.</w:t>
      </w:r>
    </w:p>
    <w:p w14:paraId="10AF7A2F" w14:textId="77777777" w:rsidR="00C774B2" w:rsidRDefault="00C774B2">
      <w:pPr>
        <w:pStyle w:val="Textoindependiente"/>
        <w:spacing w:before="11"/>
      </w:pPr>
    </w:p>
    <w:p w14:paraId="36EF0B02" w14:textId="77777777" w:rsidR="00C774B2" w:rsidRDefault="00000000">
      <w:pPr>
        <w:pStyle w:val="Textoindependiente"/>
        <w:spacing w:line="259" w:lineRule="auto"/>
        <w:ind w:left="2129" w:right="1975" w:hanging="428"/>
      </w:pPr>
      <w:r>
        <w:t>Lim, J., Bogossian, F. &amp; Ahern K. (2010). Stress and coping in Australian nurses: a systematic</w:t>
      </w:r>
      <w:r>
        <w:rPr>
          <w:spacing w:val="-47"/>
        </w:rPr>
        <w:t xml:space="preserve"> </w:t>
      </w:r>
      <w:r>
        <w:t xml:space="preserve">review. </w:t>
      </w:r>
      <w:r>
        <w:rPr>
          <w:i/>
        </w:rPr>
        <w:t>Int</w:t>
      </w:r>
      <w:r>
        <w:rPr>
          <w:i/>
          <w:spacing w:val="-1"/>
        </w:rPr>
        <w:t xml:space="preserve"> </w:t>
      </w:r>
      <w:r>
        <w:rPr>
          <w:i/>
        </w:rPr>
        <w:t>Nurs</w:t>
      </w:r>
      <w:r>
        <w:rPr>
          <w:i/>
          <w:spacing w:val="-1"/>
        </w:rPr>
        <w:t xml:space="preserve"> </w:t>
      </w:r>
      <w:r>
        <w:rPr>
          <w:i/>
        </w:rPr>
        <w:t>Rev,</w:t>
      </w:r>
      <w:r>
        <w:rPr>
          <w:i/>
          <w:spacing w:val="-2"/>
        </w:rPr>
        <w:t xml:space="preserve"> </w:t>
      </w:r>
      <w:r>
        <w:t>57(1):</w:t>
      </w:r>
      <w:r>
        <w:rPr>
          <w:spacing w:val="-3"/>
        </w:rPr>
        <w:t xml:space="preserve"> </w:t>
      </w:r>
      <w:r>
        <w:t>22-31.</w:t>
      </w:r>
      <w:r>
        <w:rPr>
          <w:spacing w:val="-2"/>
        </w:rPr>
        <w:t xml:space="preserve"> </w:t>
      </w:r>
      <w:r>
        <w:t>doi:</w:t>
      </w:r>
      <w:r>
        <w:rPr>
          <w:spacing w:val="-3"/>
        </w:rPr>
        <w:t xml:space="preserve"> </w:t>
      </w:r>
      <w:r>
        <w:t>10.1111/j.1466-7657.2009.00765.</w:t>
      </w:r>
    </w:p>
    <w:p w14:paraId="0B860C78" w14:textId="77777777" w:rsidR="00C774B2" w:rsidRDefault="00C774B2">
      <w:pPr>
        <w:pStyle w:val="Textoindependiente"/>
        <w:spacing w:before="11"/>
      </w:pPr>
    </w:p>
    <w:p w14:paraId="309908AC" w14:textId="77777777" w:rsidR="00C774B2" w:rsidRDefault="00000000">
      <w:pPr>
        <w:pStyle w:val="Textoindependiente"/>
        <w:ind w:left="2182" w:right="1695" w:hanging="480"/>
      </w:pPr>
      <w:r>
        <w:t>Magtibay, D. L., Chesak, S. S., Coughlin, K., &amp; Sood, A. (2017). Decreasing Stress and Burnout in</w:t>
      </w:r>
      <w:r>
        <w:rPr>
          <w:spacing w:val="-47"/>
        </w:rPr>
        <w:t xml:space="preserve"> </w:t>
      </w:r>
      <w:r>
        <w:t>Nurses: Efficacy of Blended Learning With Stress Management and Resilience Training</w:t>
      </w:r>
      <w:r>
        <w:rPr>
          <w:spacing w:val="1"/>
        </w:rPr>
        <w:t xml:space="preserve"> </w:t>
      </w:r>
      <w:r>
        <w:t xml:space="preserve">Program. </w:t>
      </w:r>
      <w:r>
        <w:rPr>
          <w:i/>
        </w:rPr>
        <w:t>Journal of Nursing Administration</w:t>
      </w:r>
      <w:r>
        <w:t xml:space="preserve">, </w:t>
      </w:r>
      <w:r>
        <w:rPr>
          <w:i/>
        </w:rPr>
        <w:t>47</w:t>
      </w:r>
      <w:r>
        <w:t>(7–8), 391–395.</w:t>
      </w:r>
      <w:r>
        <w:rPr>
          <w:spacing w:val="1"/>
        </w:rPr>
        <w:t xml:space="preserve"> </w:t>
      </w:r>
      <w:r>
        <w:t>https://doi.org/10.1097/NNA.0000000000000501</w:t>
      </w:r>
    </w:p>
    <w:p w14:paraId="79EE8759" w14:textId="77777777" w:rsidR="00C774B2" w:rsidRDefault="00C774B2">
      <w:pPr>
        <w:pStyle w:val="Textoindependiente"/>
        <w:spacing w:before="9"/>
        <w:rPr>
          <w:sz w:val="19"/>
        </w:rPr>
      </w:pPr>
    </w:p>
    <w:p w14:paraId="4ECB4B81" w14:textId="77777777" w:rsidR="00C774B2" w:rsidRPr="0021171C" w:rsidRDefault="00000000">
      <w:pPr>
        <w:pStyle w:val="Textoindependiente"/>
        <w:ind w:left="2182" w:right="1957" w:hanging="480"/>
        <w:rPr>
          <w:lang w:val="es-ES"/>
        </w:rPr>
      </w:pPr>
      <w:r>
        <w:t>Martínez Ortega, Y., Gomà-i-Freixanet, M., &amp; Fornieles Deu, A. (2016). The COPE-48: An</w:t>
      </w:r>
      <w:r>
        <w:rPr>
          <w:spacing w:val="1"/>
        </w:rPr>
        <w:t xml:space="preserve"> </w:t>
      </w:r>
      <w:r>
        <w:t xml:space="preserve">adapted version of the COPE inventory for use in clinical settings. </w:t>
      </w:r>
      <w:r w:rsidRPr="0021171C">
        <w:rPr>
          <w:i/>
          <w:lang w:val="es-ES"/>
        </w:rPr>
        <w:t>Psychiatry Research</w:t>
      </w:r>
      <w:r w:rsidRPr="0021171C">
        <w:rPr>
          <w:lang w:val="es-ES"/>
        </w:rPr>
        <w:t>,</w:t>
      </w:r>
      <w:r w:rsidRPr="0021171C">
        <w:rPr>
          <w:spacing w:val="-47"/>
          <w:lang w:val="es-ES"/>
        </w:rPr>
        <w:t xml:space="preserve"> </w:t>
      </w:r>
      <w:r w:rsidRPr="0021171C">
        <w:rPr>
          <w:i/>
          <w:lang w:val="es-ES"/>
        </w:rPr>
        <w:t>246</w:t>
      </w:r>
      <w:r w:rsidRPr="0021171C">
        <w:rPr>
          <w:lang w:val="es-ES"/>
        </w:rPr>
        <w:t>,</w:t>
      </w:r>
      <w:r w:rsidRPr="0021171C">
        <w:rPr>
          <w:spacing w:val="-3"/>
          <w:lang w:val="es-ES"/>
        </w:rPr>
        <w:t xml:space="preserve"> </w:t>
      </w:r>
      <w:r w:rsidRPr="0021171C">
        <w:rPr>
          <w:lang w:val="es-ES"/>
        </w:rPr>
        <w:t>808–814.</w:t>
      </w:r>
      <w:r w:rsidRPr="0021171C">
        <w:rPr>
          <w:spacing w:val="-1"/>
          <w:lang w:val="es-ES"/>
        </w:rPr>
        <w:t xml:space="preserve"> </w:t>
      </w:r>
      <w:r w:rsidRPr="0021171C">
        <w:rPr>
          <w:u w:val="single"/>
          <w:lang w:val="es-ES"/>
        </w:rPr>
        <w:t>https://doi.org/10.1016/j.psychres.2016.10.031</w:t>
      </w:r>
    </w:p>
    <w:p w14:paraId="681C7C89" w14:textId="77777777" w:rsidR="00C774B2" w:rsidRPr="0021171C" w:rsidRDefault="00C774B2">
      <w:pPr>
        <w:rPr>
          <w:lang w:val="es-ES"/>
        </w:rPr>
        <w:sectPr w:rsidR="00C774B2" w:rsidRPr="0021171C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27E28A75" w14:textId="77777777" w:rsidR="00C774B2" w:rsidRDefault="00000000">
      <w:pPr>
        <w:pStyle w:val="Textoindependiente"/>
        <w:spacing w:before="37" w:line="288" w:lineRule="auto"/>
        <w:ind w:left="2182" w:right="1908" w:hanging="480"/>
      </w:pPr>
      <w:r w:rsidRPr="0021171C">
        <w:rPr>
          <w:lang w:val="es-ES"/>
        </w:rPr>
        <w:lastRenderedPageBreak/>
        <w:t xml:space="preserve">Meichenbaum, D. (1985). </w:t>
      </w:r>
      <w:r w:rsidRPr="0021171C">
        <w:rPr>
          <w:i/>
          <w:lang w:val="es-ES"/>
        </w:rPr>
        <w:t xml:space="preserve">Manual de inoculación de estrés </w:t>
      </w:r>
      <w:r w:rsidRPr="0021171C">
        <w:rPr>
          <w:lang w:val="es-ES"/>
        </w:rPr>
        <w:t>(Martinez Roca (ed.)).</w:t>
      </w:r>
      <w:r w:rsidRPr="0021171C">
        <w:rPr>
          <w:spacing w:val="1"/>
          <w:lang w:val="es-ES"/>
        </w:rPr>
        <w:t xml:space="preserve"> </w:t>
      </w:r>
      <w:hyperlink r:id="rId9">
        <w:r>
          <w:rPr>
            <w:spacing w:val="-1"/>
          </w:rPr>
          <w:t>http://www.psyciencia.com/wp-content/uploads/2012/12/Manual-de-inoculacion-de-</w:t>
        </w:r>
      </w:hyperlink>
      <w:r>
        <w:t xml:space="preserve"> estresocr.pdf</w:t>
      </w:r>
    </w:p>
    <w:p w14:paraId="38E6798E" w14:textId="77777777" w:rsidR="00C774B2" w:rsidRDefault="00C774B2">
      <w:pPr>
        <w:pStyle w:val="Textoindependiente"/>
        <w:spacing w:before="8"/>
        <w:rPr>
          <w:sz w:val="19"/>
        </w:rPr>
      </w:pPr>
    </w:p>
    <w:p w14:paraId="7CD20843" w14:textId="77777777" w:rsidR="00C774B2" w:rsidRDefault="00000000">
      <w:pPr>
        <w:pStyle w:val="Textoindependiente"/>
        <w:spacing w:line="259" w:lineRule="auto"/>
        <w:ind w:left="2182" w:right="2190" w:hanging="480"/>
      </w:pPr>
      <w:r>
        <w:t>Nerdrum, P., Rust</w:t>
      </w:r>
      <w:r>
        <w:rPr>
          <w:rFonts w:ascii="Cambria Math" w:hAnsi="Cambria Math"/>
        </w:rPr>
        <w:t>⊘</w:t>
      </w:r>
      <w:r>
        <w:t>en, T., &amp; Helge R</w:t>
      </w:r>
      <w:r>
        <w:rPr>
          <w:rFonts w:ascii="Cambria Math" w:hAnsi="Cambria Math"/>
        </w:rPr>
        <w:t>⊘</w:t>
      </w:r>
      <w:r>
        <w:t>nnestad, M. (2009). Psychological Distress Among</w:t>
      </w:r>
      <w:r>
        <w:rPr>
          <w:spacing w:val="-47"/>
        </w:rPr>
        <w:t xml:space="preserve"> </w:t>
      </w:r>
      <w:r>
        <w:t>Nursing, Physiotherapy and Occupational Therapy Students: A Longitudinal and</w:t>
      </w:r>
      <w:r>
        <w:rPr>
          <w:spacing w:val="1"/>
        </w:rPr>
        <w:t xml:space="preserve"> </w:t>
      </w:r>
      <w:r>
        <w:t xml:space="preserve">Predictive Study. </w:t>
      </w:r>
      <w:r>
        <w:rPr>
          <w:i/>
        </w:rPr>
        <w:t>Scandinavian Journal of Educational Research</w:t>
      </w:r>
      <w:r>
        <w:t xml:space="preserve">, </w:t>
      </w:r>
      <w:r>
        <w:rPr>
          <w:i/>
        </w:rPr>
        <w:t>53</w:t>
      </w:r>
      <w:r>
        <w:t>(4), 363–378.</w:t>
      </w:r>
      <w:r>
        <w:rPr>
          <w:spacing w:val="1"/>
        </w:rPr>
        <w:t xml:space="preserve"> </w:t>
      </w:r>
      <w:r>
        <w:t>https://doi.org/10.1080/00313830903043133</w:t>
      </w:r>
    </w:p>
    <w:p w14:paraId="2093DDB7" w14:textId="77777777" w:rsidR="00C774B2" w:rsidRDefault="00C774B2">
      <w:pPr>
        <w:pStyle w:val="Textoindependiente"/>
        <w:spacing w:before="9"/>
      </w:pPr>
    </w:p>
    <w:p w14:paraId="63AD7432" w14:textId="77777777" w:rsidR="00C774B2" w:rsidRDefault="00000000">
      <w:pPr>
        <w:spacing w:line="259" w:lineRule="auto"/>
        <w:ind w:left="2182" w:right="1818" w:hanging="480"/>
      </w:pPr>
      <w:r>
        <w:t>Robinson, J. S., Larson, C. L., &amp; Cahill, S. P. (2014). Relations between resilience, positive and</w:t>
      </w:r>
      <w:r>
        <w:rPr>
          <w:spacing w:val="1"/>
        </w:rPr>
        <w:t xml:space="preserve"> </w:t>
      </w:r>
      <w:r>
        <w:t xml:space="preserve">negative emotionality, and symptoms of anxiety and depression. </w:t>
      </w:r>
      <w:r>
        <w:rPr>
          <w:i/>
        </w:rPr>
        <w:t>Psychological Trauma:</w:t>
      </w:r>
      <w:r>
        <w:rPr>
          <w:i/>
          <w:spacing w:val="-47"/>
        </w:rPr>
        <w:t xml:space="preserve"> </w:t>
      </w:r>
      <w:r>
        <w:rPr>
          <w:i/>
        </w:rPr>
        <w:t>Theory, Research, Practice, and Policy</w:t>
      </w:r>
      <w:r>
        <w:t xml:space="preserve">, </w:t>
      </w:r>
      <w:r>
        <w:rPr>
          <w:i/>
        </w:rPr>
        <w:t>6</w:t>
      </w:r>
      <w:r>
        <w:t>(Suppl 1), S92–S98.</w:t>
      </w:r>
      <w:r>
        <w:rPr>
          <w:spacing w:val="1"/>
        </w:rPr>
        <w:t xml:space="preserve"> </w:t>
      </w:r>
      <w:r>
        <w:t>https://doi.org/10.1037/a0033733</w:t>
      </w:r>
    </w:p>
    <w:p w14:paraId="104F7D48" w14:textId="77777777" w:rsidR="00C774B2" w:rsidRDefault="00C774B2">
      <w:pPr>
        <w:pStyle w:val="Textoindependiente"/>
        <w:rPr>
          <w:sz w:val="23"/>
        </w:rPr>
      </w:pPr>
    </w:p>
    <w:p w14:paraId="5485E1D6" w14:textId="77777777" w:rsidR="00C774B2" w:rsidRPr="0021171C" w:rsidRDefault="00000000">
      <w:pPr>
        <w:pStyle w:val="Textoindependiente"/>
        <w:spacing w:line="259" w:lineRule="auto"/>
        <w:ind w:left="2182" w:right="1780" w:hanging="480"/>
        <w:rPr>
          <w:lang w:val="es-ES"/>
        </w:rPr>
      </w:pPr>
      <w:r w:rsidRPr="0021171C">
        <w:rPr>
          <w:lang w:val="es-ES"/>
        </w:rPr>
        <w:t>Sandín B, Chorot P, Lostao L, Joiner TE, Santed MA y Valiente RM (1999). Escalas PANAS de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afecto positivo y negativo: validación factorial y convergencia transcultural. Psicothema,</w:t>
      </w:r>
      <w:r w:rsidRPr="0021171C">
        <w:rPr>
          <w:spacing w:val="-47"/>
          <w:lang w:val="es-ES"/>
        </w:rPr>
        <w:t xml:space="preserve"> </w:t>
      </w:r>
      <w:r w:rsidRPr="0021171C">
        <w:rPr>
          <w:lang w:val="es-ES"/>
        </w:rPr>
        <w:t>11,</w:t>
      </w:r>
      <w:r w:rsidRPr="0021171C">
        <w:rPr>
          <w:spacing w:val="-2"/>
          <w:lang w:val="es-ES"/>
        </w:rPr>
        <w:t xml:space="preserve"> </w:t>
      </w:r>
      <w:r w:rsidRPr="0021171C">
        <w:rPr>
          <w:lang w:val="es-ES"/>
        </w:rPr>
        <w:t>37-51.</w:t>
      </w:r>
    </w:p>
    <w:p w14:paraId="2F35AECD" w14:textId="77777777" w:rsidR="00C774B2" w:rsidRPr="0021171C" w:rsidRDefault="00C774B2">
      <w:pPr>
        <w:pStyle w:val="Textoindependiente"/>
        <w:spacing w:before="11"/>
        <w:rPr>
          <w:lang w:val="es-ES"/>
        </w:rPr>
      </w:pPr>
    </w:p>
    <w:p w14:paraId="397FC311" w14:textId="77777777" w:rsidR="00C774B2" w:rsidRPr="0021171C" w:rsidRDefault="00000000">
      <w:pPr>
        <w:pStyle w:val="Textoindependiente"/>
        <w:spacing w:line="259" w:lineRule="auto"/>
        <w:ind w:left="2268" w:right="1634" w:hanging="567"/>
        <w:jc w:val="both"/>
        <w:rPr>
          <w:lang w:val="es-ES"/>
        </w:rPr>
      </w:pPr>
      <w:r w:rsidRPr="0021171C">
        <w:rPr>
          <w:lang w:val="es-ES"/>
        </w:rPr>
        <w:t>Serrano-Parra, M. D., Garrido-Abejar, M., Notario-Pacheco, B., Bartolomé-Gutiérrez, R., Solera-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Martínez,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M.,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y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Martínez-Vizcaíno,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V.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(2013).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Validez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de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la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escala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de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resiliencia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de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Connor-Davidson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(10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ítems)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en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una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población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de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mayores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no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institucionalizados.</w:t>
      </w:r>
      <w:r w:rsidRPr="0021171C">
        <w:rPr>
          <w:spacing w:val="1"/>
          <w:lang w:val="es-ES"/>
        </w:rPr>
        <w:t xml:space="preserve"> </w:t>
      </w:r>
      <w:r w:rsidRPr="0021171C">
        <w:rPr>
          <w:lang w:val="es-ES"/>
        </w:rPr>
        <w:t>Enfermería</w:t>
      </w:r>
      <w:r w:rsidRPr="0021171C">
        <w:rPr>
          <w:spacing w:val="-1"/>
          <w:lang w:val="es-ES"/>
        </w:rPr>
        <w:t xml:space="preserve"> </w:t>
      </w:r>
      <w:r w:rsidRPr="0021171C">
        <w:rPr>
          <w:lang w:val="es-ES"/>
        </w:rPr>
        <w:t>Clínica,</w:t>
      </w:r>
      <w:r w:rsidRPr="0021171C">
        <w:rPr>
          <w:spacing w:val="-3"/>
          <w:lang w:val="es-ES"/>
        </w:rPr>
        <w:t xml:space="preserve"> </w:t>
      </w:r>
      <w:r w:rsidRPr="0021171C">
        <w:rPr>
          <w:lang w:val="es-ES"/>
        </w:rPr>
        <w:t>23(1),</w:t>
      </w:r>
      <w:r w:rsidRPr="0021171C">
        <w:rPr>
          <w:spacing w:val="-2"/>
          <w:lang w:val="es-ES"/>
        </w:rPr>
        <w:t xml:space="preserve"> </w:t>
      </w:r>
      <w:r w:rsidRPr="0021171C">
        <w:rPr>
          <w:lang w:val="es-ES"/>
        </w:rPr>
        <w:t>14-21.</w:t>
      </w:r>
    </w:p>
    <w:p w14:paraId="756B3FC9" w14:textId="77777777" w:rsidR="00C774B2" w:rsidRPr="0021171C" w:rsidRDefault="00C774B2">
      <w:pPr>
        <w:pStyle w:val="Textoindependiente"/>
        <w:spacing w:before="9"/>
        <w:rPr>
          <w:lang w:val="es-ES"/>
        </w:rPr>
      </w:pPr>
    </w:p>
    <w:p w14:paraId="2E7AEF57" w14:textId="77777777" w:rsidR="00C774B2" w:rsidRPr="0021171C" w:rsidRDefault="00000000">
      <w:pPr>
        <w:pStyle w:val="Textoindependiente"/>
        <w:ind w:left="1700" w:right="1641"/>
        <w:jc w:val="center"/>
        <w:rPr>
          <w:lang w:val="es-ES"/>
        </w:rPr>
      </w:pPr>
      <w:r w:rsidRPr="0021171C">
        <w:rPr>
          <w:lang w:val="es-ES"/>
        </w:rPr>
        <w:t>Seisdedos</w:t>
      </w:r>
      <w:r w:rsidRPr="0021171C">
        <w:rPr>
          <w:spacing w:val="44"/>
          <w:lang w:val="es-ES"/>
        </w:rPr>
        <w:t xml:space="preserve"> </w:t>
      </w:r>
      <w:r w:rsidRPr="0021171C">
        <w:rPr>
          <w:lang w:val="es-ES"/>
        </w:rPr>
        <w:t>Cubero,</w:t>
      </w:r>
      <w:r w:rsidRPr="0021171C">
        <w:rPr>
          <w:spacing w:val="48"/>
          <w:lang w:val="es-ES"/>
        </w:rPr>
        <w:t xml:space="preserve"> </w:t>
      </w:r>
      <w:r w:rsidRPr="0021171C">
        <w:rPr>
          <w:lang w:val="es-ES"/>
        </w:rPr>
        <w:t>N.,</w:t>
      </w:r>
      <w:r w:rsidRPr="0021171C">
        <w:rPr>
          <w:spacing w:val="46"/>
          <w:lang w:val="es-ES"/>
        </w:rPr>
        <w:t xml:space="preserve"> </w:t>
      </w:r>
      <w:r w:rsidRPr="0021171C">
        <w:rPr>
          <w:lang w:val="es-ES"/>
        </w:rPr>
        <w:t>Costa,</w:t>
      </w:r>
      <w:r w:rsidRPr="0021171C">
        <w:rPr>
          <w:spacing w:val="45"/>
          <w:lang w:val="es-ES"/>
        </w:rPr>
        <w:t xml:space="preserve"> </w:t>
      </w:r>
      <w:r w:rsidRPr="0021171C">
        <w:rPr>
          <w:lang w:val="es-ES"/>
        </w:rPr>
        <w:t>P.</w:t>
      </w:r>
      <w:r w:rsidRPr="0021171C">
        <w:rPr>
          <w:spacing w:val="46"/>
          <w:lang w:val="es-ES"/>
        </w:rPr>
        <w:t xml:space="preserve"> </w:t>
      </w:r>
      <w:r w:rsidRPr="0021171C">
        <w:rPr>
          <w:lang w:val="es-ES"/>
        </w:rPr>
        <w:t>T.,</w:t>
      </w:r>
      <w:r w:rsidRPr="0021171C">
        <w:rPr>
          <w:spacing w:val="45"/>
          <w:lang w:val="es-ES"/>
        </w:rPr>
        <w:t xml:space="preserve"> </w:t>
      </w:r>
      <w:r w:rsidRPr="0021171C">
        <w:rPr>
          <w:lang w:val="es-ES"/>
        </w:rPr>
        <w:t>McCrae,</w:t>
      </w:r>
      <w:r w:rsidRPr="0021171C">
        <w:rPr>
          <w:spacing w:val="47"/>
          <w:lang w:val="es-ES"/>
        </w:rPr>
        <w:t xml:space="preserve"> </w:t>
      </w:r>
      <w:r w:rsidRPr="0021171C">
        <w:rPr>
          <w:lang w:val="es-ES"/>
        </w:rPr>
        <w:t>R.</w:t>
      </w:r>
      <w:r w:rsidRPr="0021171C">
        <w:rPr>
          <w:spacing w:val="45"/>
          <w:lang w:val="es-ES"/>
        </w:rPr>
        <w:t xml:space="preserve"> </w:t>
      </w:r>
      <w:r w:rsidRPr="0021171C">
        <w:rPr>
          <w:lang w:val="es-ES"/>
        </w:rPr>
        <w:t>R.,</w:t>
      </w:r>
      <w:r w:rsidRPr="0021171C">
        <w:rPr>
          <w:spacing w:val="43"/>
          <w:lang w:val="es-ES"/>
        </w:rPr>
        <w:t xml:space="preserve"> </w:t>
      </w:r>
      <w:r w:rsidRPr="0021171C">
        <w:rPr>
          <w:lang w:val="es-ES"/>
        </w:rPr>
        <w:t>Pamos,</w:t>
      </w:r>
      <w:r w:rsidRPr="0021171C">
        <w:rPr>
          <w:spacing w:val="45"/>
          <w:lang w:val="es-ES"/>
        </w:rPr>
        <w:t xml:space="preserve"> </w:t>
      </w:r>
      <w:r w:rsidRPr="0021171C">
        <w:rPr>
          <w:lang w:val="es-ES"/>
        </w:rPr>
        <w:t>A.</w:t>
      </w:r>
      <w:r w:rsidRPr="0021171C">
        <w:rPr>
          <w:spacing w:val="45"/>
          <w:lang w:val="es-ES"/>
        </w:rPr>
        <w:t xml:space="preserve"> </w:t>
      </w:r>
      <w:r w:rsidRPr="0021171C">
        <w:rPr>
          <w:lang w:val="es-ES"/>
        </w:rPr>
        <w:t>y</w:t>
      </w:r>
      <w:r w:rsidRPr="0021171C">
        <w:rPr>
          <w:spacing w:val="46"/>
          <w:lang w:val="es-ES"/>
        </w:rPr>
        <w:t xml:space="preserve"> </w:t>
      </w:r>
      <w:r w:rsidRPr="0021171C">
        <w:rPr>
          <w:lang w:val="es-ES"/>
        </w:rPr>
        <w:t>Cordero</w:t>
      </w:r>
      <w:r w:rsidRPr="0021171C">
        <w:rPr>
          <w:spacing w:val="46"/>
          <w:lang w:val="es-ES"/>
        </w:rPr>
        <w:t xml:space="preserve"> </w:t>
      </w:r>
      <w:r w:rsidRPr="0021171C">
        <w:rPr>
          <w:lang w:val="es-ES"/>
        </w:rPr>
        <w:t>Pando,</w:t>
      </w:r>
      <w:r w:rsidRPr="0021171C">
        <w:rPr>
          <w:spacing w:val="48"/>
          <w:lang w:val="es-ES"/>
        </w:rPr>
        <w:t xml:space="preserve"> </w:t>
      </w:r>
      <w:r w:rsidRPr="0021171C">
        <w:rPr>
          <w:lang w:val="es-ES"/>
        </w:rPr>
        <w:t>A.</w:t>
      </w:r>
      <w:r w:rsidRPr="0021171C">
        <w:rPr>
          <w:spacing w:val="45"/>
          <w:lang w:val="es-ES"/>
        </w:rPr>
        <w:t xml:space="preserve"> </w:t>
      </w:r>
      <w:r w:rsidRPr="0021171C">
        <w:rPr>
          <w:lang w:val="es-ES"/>
        </w:rPr>
        <w:t>(1999).</w:t>
      </w:r>
    </w:p>
    <w:p w14:paraId="3D3CB70B" w14:textId="77777777" w:rsidR="00C774B2" w:rsidRPr="0021171C" w:rsidRDefault="00000000">
      <w:pPr>
        <w:pStyle w:val="Textoindependiente"/>
        <w:spacing w:before="22"/>
        <w:ind w:left="1247" w:right="1641"/>
        <w:jc w:val="center"/>
        <w:rPr>
          <w:lang w:val="es-ES"/>
        </w:rPr>
      </w:pPr>
      <w:r w:rsidRPr="0021171C">
        <w:rPr>
          <w:lang w:val="es-ES"/>
        </w:rPr>
        <w:t>Inventario</w:t>
      </w:r>
      <w:r w:rsidRPr="0021171C">
        <w:rPr>
          <w:spacing w:val="-1"/>
          <w:lang w:val="es-ES"/>
        </w:rPr>
        <w:t xml:space="preserve"> </w:t>
      </w:r>
      <w:r w:rsidRPr="0021171C">
        <w:rPr>
          <w:lang w:val="es-ES"/>
        </w:rPr>
        <w:t>de</w:t>
      </w:r>
      <w:r w:rsidRPr="0021171C">
        <w:rPr>
          <w:spacing w:val="-3"/>
          <w:lang w:val="es-ES"/>
        </w:rPr>
        <w:t xml:space="preserve"> </w:t>
      </w:r>
      <w:r w:rsidRPr="0021171C">
        <w:rPr>
          <w:lang w:val="es-ES"/>
        </w:rPr>
        <w:t>Personalidad</w:t>
      </w:r>
      <w:r w:rsidRPr="0021171C">
        <w:rPr>
          <w:spacing w:val="-4"/>
          <w:lang w:val="es-ES"/>
        </w:rPr>
        <w:t xml:space="preserve"> </w:t>
      </w:r>
      <w:r w:rsidRPr="0021171C">
        <w:rPr>
          <w:lang w:val="es-ES"/>
        </w:rPr>
        <w:t>NEO</w:t>
      </w:r>
      <w:r w:rsidRPr="0021171C">
        <w:rPr>
          <w:spacing w:val="-1"/>
          <w:lang w:val="es-ES"/>
        </w:rPr>
        <w:t xml:space="preserve"> </w:t>
      </w:r>
      <w:r w:rsidRPr="0021171C">
        <w:rPr>
          <w:lang w:val="es-ES"/>
        </w:rPr>
        <w:t>Revisado (NEO-PI-R).</w:t>
      </w:r>
      <w:r w:rsidRPr="0021171C">
        <w:rPr>
          <w:spacing w:val="-4"/>
          <w:lang w:val="es-ES"/>
        </w:rPr>
        <w:t xml:space="preserve"> </w:t>
      </w:r>
      <w:r w:rsidRPr="0021171C">
        <w:rPr>
          <w:lang w:val="es-ES"/>
        </w:rPr>
        <w:t>Madrid:</w:t>
      </w:r>
      <w:r w:rsidRPr="0021171C">
        <w:rPr>
          <w:spacing w:val="-1"/>
          <w:lang w:val="es-ES"/>
        </w:rPr>
        <w:t xml:space="preserve"> </w:t>
      </w:r>
      <w:r w:rsidRPr="0021171C">
        <w:rPr>
          <w:lang w:val="es-ES"/>
        </w:rPr>
        <w:t>TEA</w:t>
      </w:r>
      <w:r w:rsidRPr="0021171C">
        <w:rPr>
          <w:spacing w:val="-1"/>
          <w:lang w:val="es-ES"/>
        </w:rPr>
        <w:t xml:space="preserve"> </w:t>
      </w:r>
      <w:r w:rsidRPr="0021171C">
        <w:rPr>
          <w:lang w:val="es-ES"/>
        </w:rPr>
        <w:t>Ediciones .</w:t>
      </w:r>
    </w:p>
    <w:p w14:paraId="5D47040D" w14:textId="77777777" w:rsidR="00C774B2" w:rsidRPr="0021171C" w:rsidRDefault="00C774B2">
      <w:pPr>
        <w:pStyle w:val="Textoindependiente"/>
        <w:spacing w:before="7"/>
        <w:rPr>
          <w:sz w:val="24"/>
          <w:lang w:val="es-ES"/>
        </w:rPr>
      </w:pPr>
    </w:p>
    <w:p w14:paraId="08734583" w14:textId="77777777" w:rsidR="00C774B2" w:rsidRDefault="00000000">
      <w:pPr>
        <w:pStyle w:val="Textoindependiente"/>
        <w:ind w:left="2182" w:right="1632" w:hanging="480"/>
        <w:jc w:val="both"/>
      </w:pPr>
      <w:r w:rsidRPr="0021171C">
        <w:rPr>
          <w:lang w:val="es-ES"/>
        </w:rPr>
        <w:t xml:space="preserve">Sood, A., Prasad, K., Schroeder, D., &amp; Varkey, P. (2011). </w:t>
      </w:r>
      <w:r>
        <w:t>Stress management and resilience</w:t>
      </w:r>
      <w:r>
        <w:rPr>
          <w:spacing w:val="1"/>
        </w:rPr>
        <w:t xml:space="preserve"> </w:t>
      </w:r>
      <w:r>
        <w:t xml:space="preserve">training among department of medicine faculty: A pilot randomized clinical trial. </w:t>
      </w:r>
      <w:r>
        <w:rPr>
          <w:i/>
        </w:rPr>
        <w:t>Journal</w:t>
      </w:r>
      <w:r>
        <w:rPr>
          <w:i/>
          <w:spacing w:val="1"/>
        </w:rPr>
        <w:t xml:space="preserve"> </w:t>
      </w:r>
      <w:r>
        <w:rPr>
          <w:i/>
        </w:rPr>
        <w:t>of General Internal Medicine</w:t>
      </w:r>
      <w:r>
        <w:t xml:space="preserve">, </w:t>
      </w:r>
      <w:r>
        <w:rPr>
          <w:i/>
        </w:rPr>
        <w:t>26</w:t>
      </w:r>
      <w:r>
        <w:t>(8), 858–861. https://doi.org/10.1007/s11606-011-1640-</w:t>
      </w:r>
      <w:r>
        <w:rPr>
          <w:spacing w:val="1"/>
        </w:rPr>
        <w:t xml:space="preserve"> </w:t>
      </w:r>
      <w:r>
        <w:t>x</w:t>
      </w:r>
    </w:p>
    <w:p w14:paraId="493E5D73" w14:textId="77777777" w:rsidR="00C774B2" w:rsidRDefault="00000000">
      <w:pPr>
        <w:pStyle w:val="Textoindependiente"/>
        <w:spacing w:before="162"/>
        <w:ind w:left="2182" w:right="1634" w:hanging="480"/>
        <w:jc w:val="both"/>
      </w:pPr>
      <w:r>
        <w:t>Teeriniemi, A.M., Salonurmi, T., Jokelainen, T., Vähänikkilä, H., Alahäivälä, T., Karppinen, P.… &amp;</w:t>
      </w:r>
      <w:r>
        <w:rPr>
          <w:spacing w:val="1"/>
        </w:rPr>
        <w:t xml:space="preserve"> </w:t>
      </w:r>
      <w:r>
        <w:t>Savolainen, M.J. (2018) A randomized clinical trial of the effectiveness of a Web-based</w:t>
      </w:r>
      <w:r>
        <w:rPr>
          <w:spacing w:val="1"/>
        </w:rPr>
        <w:t xml:space="preserve"> </w:t>
      </w:r>
      <w:r>
        <w:t>health behaviour change support system and group lifestyle counselling on body weight</w:t>
      </w:r>
      <w:r>
        <w:rPr>
          <w:spacing w:val="1"/>
        </w:rPr>
        <w:t xml:space="preserve"> </w:t>
      </w:r>
      <w:r>
        <w:t>loss in overweight and obese subjects: 2-year outcomes. J Intern Med. 284(5):534-545.</w:t>
      </w:r>
      <w:r>
        <w:rPr>
          <w:spacing w:val="1"/>
        </w:rPr>
        <w:t xml:space="preserve"> </w:t>
      </w:r>
      <w:r>
        <w:t>doi:</w:t>
      </w:r>
      <w:r>
        <w:rPr>
          <w:spacing w:val="-3"/>
        </w:rPr>
        <w:t xml:space="preserve"> </w:t>
      </w:r>
      <w:r>
        <w:t>10.1111/joim.12802.</w:t>
      </w:r>
    </w:p>
    <w:p w14:paraId="7893DAB8" w14:textId="77777777" w:rsidR="00C774B2" w:rsidRDefault="00000000">
      <w:pPr>
        <w:pStyle w:val="Textoindependiente"/>
        <w:spacing w:before="160"/>
        <w:ind w:left="2182" w:right="2165" w:hanging="480"/>
      </w:pPr>
      <w:r>
        <w:t>Zhuang Shuang, L., &amp; Hasson, F. (2020). Resilience, stress, and psychological well-being in</w:t>
      </w:r>
      <w:r>
        <w:rPr>
          <w:spacing w:val="-47"/>
        </w:rPr>
        <w:t xml:space="preserve"> </w:t>
      </w:r>
      <w:r>
        <w:t xml:space="preserve">nursing students: A systematic review. In </w:t>
      </w:r>
      <w:r>
        <w:rPr>
          <w:i/>
        </w:rPr>
        <w:t xml:space="preserve">Nurse Education Today </w:t>
      </w:r>
      <w:r>
        <w:t>(Vol. 90).</w:t>
      </w:r>
      <w:r>
        <w:rPr>
          <w:spacing w:val="1"/>
        </w:rPr>
        <w:t xml:space="preserve"> </w:t>
      </w:r>
      <w:r>
        <w:t>https://doi.org/10.1016/j.nedt.2020.104440</w:t>
      </w:r>
    </w:p>
    <w:p w14:paraId="5B3AABCB" w14:textId="77777777" w:rsidR="00C774B2" w:rsidRDefault="00C774B2">
      <w:pPr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6FBB79E2" w14:textId="6444B6B8" w:rsidR="00C774B2" w:rsidRDefault="00000000" w:rsidP="0021171C">
      <w:pPr>
        <w:tabs>
          <w:tab w:val="left" w:pos="7538"/>
        </w:tabs>
        <w:spacing w:before="52"/>
        <w:ind w:left="100"/>
        <w:rPr>
          <w:rFonts w:ascii="Arial MT"/>
          <w:sz w:val="20"/>
        </w:rPr>
      </w:pPr>
      <w:r>
        <w:rPr>
          <w:rFonts w:ascii="Arial MT"/>
          <w:sz w:val="20"/>
        </w:rPr>
        <w:lastRenderedPageBreak/>
        <w:tab/>
      </w:r>
    </w:p>
    <w:p w14:paraId="063FB470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54F9DE5D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10D48009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4340A279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21A5E78E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74B10621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46450E22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623C08CA" w14:textId="77777777" w:rsidR="00C774B2" w:rsidRDefault="00000000">
      <w:pPr>
        <w:pStyle w:val="Textoindependiente"/>
        <w:rPr>
          <w:rFonts w:ascii="Arial MT"/>
          <w:sz w:val="19"/>
        </w:rPr>
      </w:pPr>
      <w:r>
        <w:rPr>
          <w:noProof/>
        </w:rPr>
        <w:drawing>
          <wp:anchor distT="0" distB="0" distL="0" distR="0" simplePos="0" relativeHeight="6" behindDoc="0" locked="0" layoutInCell="1" allowOverlap="1" wp14:anchorId="22CE25B0" wp14:editId="59888ED4">
            <wp:simplePos x="0" y="0"/>
            <wp:positionH relativeFrom="page">
              <wp:posOffset>457200</wp:posOffset>
            </wp:positionH>
            <wp:positionV relativeFrom="paragraph">
              <wp:posOffset>163941</wp:posOffset>
            </wp:positionV>
            <wp:extent cx="6840855" cy="7030878"/>
            <wp:effectExtent l="0" t="0" r="0" b="0"/>
            <wp:wrapTopAndBottom/>
            <wp:docPr id="5" name="image2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2.jpe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840855" cy="703087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42A1070" w14:textId="77777777" w:rsidR="00C774B2" w:rsidRDefault="00C774B2">
      <w:pPr>
        <w:rPr>
          <w:rFonts w:ascii="Arial MT"/>
          <w:sz w:val="19"/>
        </w:rPr>
        <w:sectPr w:rsidR="00C774B2" w:rsidSect="003D4159">
          <w:pgSz w:w="12240" w:h="15840"/>
          <w:pgMar w:top="0" w:right="60" w:bottom="280" w:left="0" w:header="720" w:footer="720" w:gutter="0"/>
          <w:cols w:space="720"/>
        </w:sectPr>
      </w:pPr>
    </w:p>
    <w:p w14:paraId="4E852E2E" w14:textId="6C8C0DFA" w:rsidR="00C774B2" w:rsidRDefault="00000000" w:rsidP="0021171C">
      <w:pPr>
        <w:tabs>
          <w:tab w:val="left" w:pos="7137"/>
        </w:tabs>
        <w:spacing w:before="34"/>
        <w:ind w:left="100"/>
        <w:rPr>
          <w:rFonts w:ascii="Arial MT"/>
          <w:sz w:val="20"/>
        </w:rPr>
      </w:pPr>
      <w:r>
        <w:rPr>
          <w:rFonts w:ascii="Arial MT"/>
          <w:sz w:val="20"/>
        </w:rPr>
        <w:lastRenderedPageBreak/>
        <w:tab/>
      </w:r>
    </w:p>
    <w:p w14:paraId="664970A7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2A739D9F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3072A645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39615FD0" w14:textId="77777777" w:rsidR="00C774B2" w:rsidRDefault="00C774B2">
      <w:pPr>
        <w:pStyle w:val="Textoindependiente"/>
        <w:spacing w:before="3"/>
        <w:rPr>
          <w:rFonts w:ascii="Arial MT"/>
          <w:sz w:val="18"/>
        </w:rPr>
      </w:pPr>
    </w:p>
    <w:p w14:paraId="67A5719F" w14:textId="77777777" w:rsidR="00C774B2" w:rsidRDefault="00000000">
      <w:pPr>
        <w:pStyle w:val="Textoindependiente"/>
        <w:ind w:left="1700" w:right="1639"/>
        <w:jc w:val="center"/>
        <w:rPr>
          <w:rFonts w:ascii="Calibri Light"/>
        </w:rPr>
      </w:pPr>
      <w:r>
        <w:rPr>
          <w:rFonts w:ascii="Calibri Light"/>
          <w:spacing w:val="-1"/>
        </w:rPr>
        <w:t>Table</w:t>
      </w:r>
      <w:r>
        <w:rPr>
          <w:rFonts w:ascii="Calibri Light"/>
          <w:spacing w:val="-9"/>
        </w:rPr>
        <w:t xml:space="preserve"> </w:t>
      </w:r>
      <w:r>
        <w:rPr>
          <w:rFonts w:ascii="Calibri Light"/>
          <w:spacing w:val="-1"/>
        </w:rPr>
        <w:t>1.</w:t>
      </w:r>
      <w:r>
        <w:rPr>
          <w:rFonts w:ascii="Calibri Light"/>
          <w:spacing w:val="-11"/>
        </w:rPr>
        <w:t xml:space="preserve"> </w:t>
      </w:r>
      <w:r>
        <w:rPr>
          <w:rFonts w:ascii="Calibri Light"/>
          <w:spacing w:val="-1"/>
        </w:rPr>
        <w:t>Characteristics</w:t>
      </w:r>
      <w:r>
        <w:rPr>
          <w:rFonts w:ascii="Calibri Light"/>
          <w:spacing w:val="-7"/>
        </w:rPr>
        <w:t xml:space="preserve"> </w:t>
      </w:r>
      <w:r>
        <w:rPr>
          <w:rFonts w:ascii="Calibri Light"/>
        </w:rPr>
        <w:t>of</w:t>
      </w:r>
      <w:r>
        <w:rPr>
          <w:rFonts w:ascii="Calibri Light"/>
          <w:spacing w:val="-9"/>
        </w:rPr>
        <w:t xml:space="preserve"> </w:t>
      </w:r>
      <w:r>
        <w:rPr>
          <w:rFonts w:ascii="Calibri Light"/>
        </w:rPr>
        <w:t>the</w:t>
      </w:r>
      <w:r>
        <w:rPr>
          <w:rFonts w:ascii="Calibri Light"/>
          <w:spacing w:val="-9"/>
        </w:rPr>
        <w:t xml:space="preserve"> </w:t>
      </w:r>
      <w:r>
        <w:rPr>
          <w:rFonts w:ascii="Calibri Light"/>
        </w:rPr>
        <w:t>study</w:t>
      </w:r>
      <w:r>
        <w:rPr>
          <w:rFonts w:ascii="Calibri Light"/>
          <w:spacing w:val="-9"/>
        </w:rPr>
        <w:t xml:space="preserve"> </w:t>
      </w:r>
      <w:r>
        <w:rPr>
          <w:rFonts w:ascii="Calibri Light"/>
        </w:rPr>
        <w:t>sample</w:t>
      </w:r>
    </w:p>
    <w:p w14:paraId="5104D067" w14:textId="77777777" w:rsidR="00C774B2" w:rsidRDefault="00C774B2">
      <w:pPr>
        <w:pStyle w:val="Textoindependiente"/>
        <w:spacing w:before="8"/>
        <w:rPr>
          <w:rFonts w:ascii="Calibri Light"/>
          <w:sz w:val="15"/>
        </w:rPr>
      </w:pPr>
    </w:p>
    <w:tbl>
      <w:tblPr>
        <w:tblStyle w:val="TableNormal"/>
        <w:tblW w:w="0" w:type="auto"/>
        <w:tblInd w:w="1709" w:type="dxa"/>
        <w:tblLayout w:type="fixed"/>
        <w:tblLook w:val="01E0" w:firstRow="1" w:lastRow="1" w:firstColumn="1" w:lastColumn="1" w:noHBand="0" w:noVBand="0"/>
      </w:tblPr>
      <w:tblGrid>
        <w:gridCol w:w="1416"/>
        <w:gridCol w:w="1442"/>
        <w:gridCol w:w="1388"/>
        <w:gridCol w:w="1417"/>
        <w:gridCol w:w="1418"/>
        <w:gridCol w:w="845"/>
      </w:tblGrid>
      <w:tr w:rsidR="00C774B2" w14:paraId="3EBA92AA" w14:textId="77777777">
        <w:trPr>
          <w:trHeight w:val="408"/>
        </w:trPr>
        <w:tc>
          <w:tcPr>
            <w:tcW w:w="1416" w:type="dxa"/>
            <w:tcBorders>
              <w:top w:val="single" w:sz="4" w:space="0" w:color="7E7E7E"/>
            </w:tcBorders>
          </w:tcPr>
          <w:p w14:paraId="40BBF1FC" w14:textId="77777777" w:rsidR="00C774B2" w:rsidRDefault="00000000">
            <w:pPr>
              <w:pStyle w:val="TableParagraph"/>
              <w:ind w:left="247" w:right="247"/>
              <w:rPr>
                <w:rFonts w:ascii="Calibri Light"/>
              </w:rPr>
            </w:pPr>
            <w:r>
              <w:rPr>
                <w:rFonts w:ascii="Calibri Light"/>
              </w:rPr>
              <w:t>Variable</w:t>
            </w:r>
          </w:p>
        </w:tc>
        <w:tc>
          <w:tcPr>
            <w:tcW w:w="1442" w:type="dxa"/>
            <w:tcBorders>
              <w:top w:val="single" w:sz="4" w:space="0" w:color="7E7E7E"/>
            </w:tcBorders>
          </w:tcPr>
          <w:p w14:paraId="053F1FFA" w14:textId="77777777" w:rsidR="00C774B2" w:rsidRDefault="00000000">
            <w:pPr>
              <w:pStyle w:val="TableParagraph"/>
              <w:ind w:left="464" w:right="491"/>
              <w:rPr>
                <w:rFonts w:ascii="Calibri Light"/>
              </w:rPr>
            </w:pPr>
            <w:r>
              <w:rPr>
                <w:rFonts w:ascii="Calibri Light"/>
              </w:rPr>
              <w:t>Total</w:t>
            </w:r>
          </w:p>
        </w:tc>
        <w:tc>
          <w:tcPr>
            <w:tcW w:w="1388" w:type="dxa"/>
            <w:tcBorders>
              <w:top w:val="single" w:sz="4" w:space="0" w:color="7E7E7E"/>
            </w:tcBorders>
          </w:tcPr>
          <w:p w14:paraId="61BA5B9C" w14:textId="77777777" w:rsidR="00C774B2" w:rsidRDefault="00000000">
            <w:pPr>
              <w:pStyle w:val="TableParagraph"/>
              <w:ind w:left="228" w:right="253"/>
              <w:rPr>
                <w:rFonts w:ascii="Calibri Light"/>
              </w:rPr>
            </w:pPr>
            <w:r>
              <w:rPr>
                <w:rFonts w:ascii="Calibri Light"/>
              </w:rPr>
              <w:t>Control</w:t>
            </w:r>
          </w:p>
        </w:tc>
        <w:tc>
          <w:tcPr>
            <w:tcW w:w="1417" w:type="dxa"/>
            <w:tcBorders>
              <w:top w:val="single" w:sz="4" w:space="0" w:color="7E7E7E"/>
            </w:tcBorders>
          </w:tcPr>
          <w:p w14:paraId="45596CCD" w14:textId="77777777" w:rsidR="00C774B2" w:rsidRDefault="00000000">
            <w:pPr>
              <w:pStyle w:val="TableParagraph"/>
              <w:ind w:left="255" w:right="252"/>
              <w:rPr>
                <w:rFonts w:ascii="Calibri Light"/>
              </w:rPr>
            </w:pPr>
            <w:r>
              <w:rPr>
                <w:rFonts w:ascii="Calibri Light"/>
              </w:rPr>
              <w:t>IG-1</w:t>
            </w:r>
          </w:p>
        </w:tc>
        <w:tc>
          <w:tcPr>
            <w:tcW w:w="1418" w:type="dxa"/>
            <w:tcBorders>
              <w:top w:val="single" w:sz="4" w:space="0" w:color="7E7E7E"/>
            </w:tcBorders>
          </w:tcPr>
          <w:p w14:paraId="12AFDB5A" w14:textId="77777777" w:rsidR="00C774B2" w:rsidRDefault="00000000">
            <w:pPr>
              <w:pStyle w:val="TableParagraph"/>
              <w:ind w:left="257" w:right="252"/>
              <w:rPr>
                <w:rFonts w:ascii="Calibri Light"/>
              </w:rPr>
            </w:pPr>
            <w:r>
              <w:rPr>
                <w:rFonts w:ascii="Calibri Light"/>
              </w:rPr>
              <w:t>IG-2</w:t>
            </w:r>
          </w:p>
        </w:tc>
        <w:tc>
          <w:tcPr>
            <w:tcW w:w="845" w:type="dxa"/>
            <w:tcBorders>
              <w:top w:val="single" w:sz="4" w:space="0" w:color="7E7E7E"/>
            </w:tcBorders>
          </w:tcPr>
          <w:p w14:paraId="7F7ECE3A" w14:textId="77777777" w:rsidR="00C774B2" w:rsidRDefault="00000000">
            <w:pPr>
              <w:pStyle w:val="TableParagraph"/>
              <w:ind w:left="210" w:right="156"/>
              <w:rPr>
                <w:rFonts w:ascii="Calibri Light"/>
                <w:i/>
              </w:rPr>
            </w:pPr>
            <w:r>
              <w:rPr>
                <w:rFonts w:ascii="Calibri Light"/>
                <w:i/>
              </w:rPr>
              <w:t xml:space="preserve">p </w:t>
            </w:r>
          </w:p>
        </w:tc>
      </w:tr>
      <w:tr w:rsidR="00C774B2" w14:paraId="74622C7B" w14:textId="77777777">
        <w:trPr>
          <w:trHeight w:val="609"/>
        </w:trPr>
        <w:tc>
          <w:tcPr>
            <w:tcW w:w="1416" w:type="dxa"/>
          </w:tcPr>
          <w:p w14:paraId="16994686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42" w:type="dxa"/>
            <w:tcBorders>
              <w:bottom w:val="single" w:sz="4" w:space="0" w:color="7E7E7E"/>
            </w:tcBorders>
          </w:tcPr>
          <w:p w14:paraId="11333017" w14:textId="77777777" w:rsidR="00C774B2" w:rsidRDefault="00000000">
            <w:pPr>
              <w:pStyle w:val="TableParagraph"/>
              <w:spacing w:before="100" w:line="240" w:lineRule="auto"/>
              <w:ind w:left="369"/>
              <w:jc w:val="left"/>
              <w:rPr>
                <w:rFonts w:ascii="Calibri Light"/>
              </w:rPr>
            </w:pPr>
            <w:r>
              <w:rPr>
                <w:rFonts w:ascii="Calibri Light"/>
                <w:i/>
              </w:rPr>
              <w:t>N</w:t>
            </w:r>
            <w:r>
              <w:rPr>
                <w:rFonts w:ascii="Calibri Light"/>
                <w:i/>
                <w:spacing w:val="-4"/>
              </w:rPr>
              <w:t xml:space="preserve"> </w:t>
            </w:r>
            <w:r>
              <w:rPr>
                <w:rFonts w:ascii="Calibri Light"/>
              </w:rPr>
              <w:t>=</w:t>
            </w:r>
            <w:r>
              <w:rPr>
                <w:rFonts w:ascii="Calibri Light"/>
                <w:spacing w:val="-6"/>
              </w:rPr>
              <w:t xml:space="preserve"> </w:t>
            </w:r>
            <w:r>
              <w:rPr>
                <w:rFonts w:ascii="Calibri Light"/>
              </w:rPr>
              <w:t>245</w:t>
            </w:r>
          </w:p>
        </w:tc>
        <w:tc>
          <w:tcPr>
            <w:tcW w:w="1388" w:type="dxa"/>
            <w:tcBorders>
              <w:bottom w:val="single" w:sz="4" w:space="0" w:color="7E7E7E"/>
            </w:tcBorders>
          </w:tcPr>
          <w:p w14:paraId="73C898AD" w14:textId="77777777" w:rsidR="00C774B2" w:rsidRDefault="00000000">
            <w:pPr>
              <w:pStyle w:val="TableParagraph"/>
              <w:spacing w:before="100" w:line="240" w:lineRule="auto"/>
              <w:ind w:left="229" w:right="252"/>
              <w:rPr>
                <w:rFonts w:ascii="Calibri Light"/>
              </w:rPr>
            </w:pPr>
            <w:r>
              <w:rPr>
                <w:rFonts w:ascii="Calibri Light"/>
                <w:i/>
              </w:rPr>
              <w:t>n</w:t>
            </w:r>
            <w:r>
              <w:rPr>
                <w:rFonts w:ascii="Calibri Light"/>
                <w:i/>
                <w:spacing w:val="-2"/>
              </w:rPr>
              <w:t xml:space="preserve"> </w:t>
            </w:r>
            <w:r>
              <w:rPr>
                <w:rFonts w:ascii="Calibri Light"/>
              </w:rPr>
              <w:t>=</w:t>
            </w:r>
            <w:r>
              <w:rPr>
                <w:rFonts w:ascii="Calibri Light"/>
                <w:spacing w:val="-6"/>
              </w:rPr>
              <w:t xml:space="preserve"> </w:t>
            </w:r>
            <w:r>
              <w:rPr>
                <w:rFonts w:ascii="Calibri Light"/>
              </w:rPr>
              <w:t>71</w:t>
            </w:r>
          </w:p>
        </w:tc>
        <w:tc>
          <w:tcPr>
            <w:tcW w:w="1417" w:type="dxa"/>
            <w:tcBorders>
              <w:bottom w:val="single" w:sz="4" w:space="0" w:color="7E7E7E"/>
            </w:tcBorders>
          </w:tcPr>
          <w:p w14:paraId="71961922" w14:textId="77777777" w:rsidR="00C774B2" w:rsidRDefault="00000000">
            <w:pPr>
              <w:pStyle w:val="TableParagraph"/>
              <w:spacing w:before="100" w:line="240" w:lineRule="auto"/>
              <w:ind w:left="255" w:right="252"/>
              <w:rPr>
                <w:rFonts w:ascii="Calibri Light"/>
              </w:rPr>
            </w:pPr>
            <w:r>
              <w:rPr>
                <w:rFonts w:ascii="Calibri Light"/>
                <w:i/>
              </w:rPr>
              <w:t>n</w:t>
            </w:r>
            <w:r>
              <w:rPr>
                <w:rFonts w:ascii="Calibri Light"/>
                <w:i/>
                <w:spacing w:val="-2"/>
              </w:rPr>
              <w:t xml:space="preserve"> </w:t>
            </w:r>
            <w:r>
              <w:rPr>
                <w:rFonts w:ascii="Calibri Light"/>
              </w:rPr>
              <w:t>=</w:t>
            </w:r>
            <w:r>
              <w:rPr>
                <w:rFonts w:ascii="Calibri Light"/>
                <w:spacing w:val="-6"/>
              </w:rPr>
              <w:t xml:space="preserve"> </w:t>
            </w:r>
            <w:r>
              <w:rPr>
                <w:rFonts w:ascii="Calibri Light"/>
              </w:rPr>
              <w:t>85</w:t>
            </w:r>
          </w:p>
        </w:tc>
        <w:tc>
          <w:tcPr>
            <w:tcW w:w="1418" w:type="dxa"/>
            <w:tcBorders>
              <w:bottom w:val="single" w:sz="4" w:space="0" w:color="7E7E7E"/>
            </w:tcBorders>
          </w:tcPr>
          <w:p w14:paraId="264F29F6" w14:textId="77777777" w:rsidR="00C774B2" w:rsidRDefault="00000000">
            <w:pPr>
              <w:pStyle w:val="TableParagraph"/>
              <w:spacing w:before="100" w:line="240" w:lineRule="auto"/>
              <w:ind w:left="257" w:right="252"/>
              <w:rPr>
                <w:rFonts w:ascii="Calibri Light"/>
              </w:rPr>
            </w:pPr>
            <w:r>
              <w:rPr>
                <w:rFonts w:ascii="Calibri Light"/>
                <w:i/>
              </w:rPr>
              <w:t>n</w:t>
            </w:r>
            <w:r>
              <w:rPr>
                <w:rFonts w:ascii="Calibri Light"/>
                <w:i/>
                <w:spacing w:val="-2"/>
              </w:rPr>
              <w:t xml:space="preserve"> </w:t>
            </w:r>
            <w:r>
              <w:rPr>
                <w:rFonts w:ascii="Calibri Light"/>
              </w:rPr>
              <w:t>=</w:t>
            </w:r>
            <w:r>
              <w:rPr>
                <w:rFonts w:ascii="Calibri Light"/>
                <w:spacing w:val="-6"/>
              </w:rPr>
              <w:t xml:space="preserve"> </w:t>
            </w:r>
            <w:r>
              <w:rPr>
                <w:rFonts w:ascii="Calibri Light"/>
              </w:rPr>
              <w:t>89</w:t>
            </w:r>
          </w:p>
        </w:tc>
        <w:tc>
          <w:tcPr>
            <w:tcW w:w="845" w:type="dxa"/>
          </w:tcPr>
          <w:p w14:paraId="4609788A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  <w:tr w:rsidR="00C774B2" w14:paraId="519B8C44" w14:textId="77777777">
        <w:trPr>
          <w:trHeight w:val="817"/>
        </w:trPr>
        <w:tc>
          <w:tcPr>
            <w:tcW w:w="1416" w:type="dxa"/>
            <w:tcBorders>
              <w:bottom w:val="single" w:sz="4" w:space="0" w:color="7E7E7E"/>
            </w:tcBorders>
          </w:tcPr>
          <w:p w14:paraId="75516F87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442" w:type="dxa"/>
            <w:tcBorders>
              <w:top w:val="single" w:sz="4" w:space="0" w:color="7E7E7E"/>
              <w:bottom w:val="single" w:sz="4" w:space="0" w:color="7E7E7E"/>
            </w:tcBorders>
          </w:tcPr>
          <w:p w14:paraId="50309031" w14:textId="77777777" w:rsidR="00C774B2" w:rsidRDefault="00000000">
            <w:pPr>
              <w:pStyle w:val="TableParagraph"/>
              <w:spacing w:line="278" w:lineRule="auto"/>
              <w:ind w:left="307" w:right="278" w:hanging="53"/>
              <w:jc w:val="left"/>
              <w:rPr>
                <w:rFonts w:ascii="Calibri Light"/>
              </w:rPr>
            </w:pPr>
            <w:r>
              <w:rPr>
                <w:rFonts w:ascii="Calibri Light"/>
                <w:spacing w:val="-1"/>
              </w:rPr>
              <w:t>Mean</w:t>
            </w:r>
            <w:r>
              <w:rPr>
                <w:rFonts w:ascii="Calibri Light"/>
                <w:spacing w:val="-11"/>
              </w:rPr>
              <w:t xml:space="preserve"> </w:t>
            </w:r>
            <w:r>
              <w:rPr>
                <w:rFonts w:ascii="Calibri Light"/>
              </w:rPr>
              <w:t>or</w:t>
            </w:r>
            <w:r>
              <w:rPr>
                <w:rFonts w:ascii="Calibri Light"/>
                <w:spacing w:val="-12"/>
              </w:rPr>
              <w:t xml:space="preserve"> </w:t>
            </w:r>
            <w:r>
              <w:rPr>
                <w:rFonts w:ascii="Calibri Light"/>
              </w:rPr>
              <w:t>n</w:t>
            </w:r>
            <w:r>
              <w:rPr>
                <w:rFonts w:ascii="Calibri Light"/>
                <w:spacing w:val="-46"/>
              </w:rPr>
              <w:t xml:space="preserve"> </w:t>
            </w:r>
            <w:r>
              <w:rPr>
                <w:rFonts w:ascii="Calibri Light"/>
              </w:rPr>
              <w:t>(SD</w:t>
            </w:r>
            <w:r>
              <w:rPr>
                <w:rFonts w:ascii="Calibri Light"/>
                <w:spacing w:val="-5"/>
              </w:rPr>
              <w:t xml:space="preserve"> </w:t>
            </w:r>
            <w:r>
              <w:rPr>
                <w:rFonts w:ascii="Calibri Light"/>
              </w:rPr>
              <w:t>or</w:t>
            </w:r>
            <w:r>
              <w:rPr>
                <w:rFonts w:ascii="Calibri Light"/>
                <w:spacing w:val="-7"/>
              </w:rPr>
              <w:t xml:space="preserve"> </w:t>
            </w:r>
            <w:r>
              <w:rPr>
                <w:rFonts w:ascii="Calibri Light"/>
              </w:rPr>
              <w:t>%)</w:t>
            </w:r>
          </w:p>
        </w:tc>
        <w:tc>
          <w:tcPr>
            <w:tcW w:w="1388" w:type="dxa"/>
            <w:tcBorders>
              <w:top w:val="single" w:sz="4" w:space="0" w:color="7E7E7E"/>
              <w:bottom w:val="single" w:sz="4" w:space="0" w:color="7E7E7E"/>
            </w:tcBorders>
          </w:tcPr>
          <w:p w14:paraId="72189545" w14:textId="77777777" w:rsidR="00C774B2" w:rsidRDefault="00000000">
            <w:pPr>
              <w:pStyle w:val="TableParagraph"/>
              <w:spacing w:line="278" w:lineRule="auto"/>
              <w:ind w:left="281" w:right="250" w:hanging="53"/>
              <w:jc w:val="left"/>
              <w:rPr>
                <w:rFonts w:ascii="Calibri Light"/>
              </w:rPr>
            </w:pPr>
            <w:r>
              <w:rPr>
                <w:rFonts w:ascii="Calibri Light"/>
                <w:spacing w:val="-1"/>
              </w:rPr>
              <w:t>Mean</w:t>
            </w:r>
            <w:r>
              <w:rPr>
                <w:rFonts w:ascii="Calibri Light"/>
                <w:spacing w:val="-11"/>
              </w:rPr>
              <w:t xml:space="preserve"> </w:t>
            </w:r>
            <w:r>
              <w:rPr>
                <w:rFonts w:ascii="Calibri Light"/>
              </w:rPr>
              <w:t>or</w:t>
            </w:r>
            <w:r>
              <w:rPr>
                <w:rFonts w:ascii="Calibri Light"/>
                <w:spacing w:val="-12"/>
              </w:rPr>
              <w:t xml:space="preserve"> </w:t>
            </w:r>
            <w:r>
              <w:rPr>
                <w:rFonts w:ascii="Calibri Light"/>
              </w:rPr>
              <w:t>n</w:t>
            </w:r>
            <w:r>
              <w:rPr>
                <w:rFonts w:ascii="Calibri Light"/>
                <w:spacing w:val="-46"/>
              </w:rPr>
              <w:t xml:space="preserve"> </w:t>
            </w:r>
            <w:r>
              <w:rPr>
                <w:rFonts w:ascii="Calibri Light"/>
              </w:rPr>
              <w:t>(SD</w:t>
            </w:r>
            <w:r>
              <w:rPr>
                <w:rFonts w:ascii="Calibri Light"/>
                <w:spacing w:val="-5"/>
              </w:rPr>
              <w:t xml:space="preserve"> </w:t>
            </w:r>
            <w:r>
              <w:rPr>
                <w:rFonts w:ascii="Calibri Light"/>
              </w:rPr>
              <w:t>or</w:t>
            </w:r>
            <w:r>
              <w:rPr>
                <w:rFonts w:ascii="Calibri Light"/>
                <w:spacing w:val="-7"/>
              </w:rPr>
              <w:t xml:space="preserve"> </w:t>
            </w:r>
            <w:r>
              <w:rPr>
                <w:rFonts w:ascii="Calibri Light"/>
              </w:rPr>
              <w:t>%)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3423605E" w14:textId="77777777" w:rsidR="00C774B2" w:rsidRDefault="00000000">
            <w:pPr>
              <w:pStyle w:val="TableParagraph"/>
              <w:spacing w:line="278" w:lineRule="auto"/>
              <w:ind w:left="309" w:right="251" w:hanging="53"/>
              <w:jc w:val="left"/>
              <w:rPr>
                <w:rFonts w:ascii="Calibri Light"/>
              </w:rPr>
            </w:pPr>
            <w:r>
              <w:rPr>
                <w:rFonts w:ascii="Calibri Light"/>
                <w:spacing w:val="-1"/>
              </w:rPr>
              <w:t>Mean</w:t>
            </w:r>
            <w:r>
              <w:rPr>
                <w:rFonts w:ascii="Calibri Light"/>
                <w:spacing w:val="-11"/>
              </w:rPr>
              <w:t xml:space="preserve"> </w:t>
            </w:r>
            <w:r>
              <w:rPr>
                <w:rFonts w:ascii="Calibri Light"/>
              </w:rPr>
              <w:t>or</w:t>
            </w:r>
            <w:r>
              <w:rPr>
                <w:rFonts w:ascii="Calibri Light"/>
                <w:spacing w:val="-12"/>
              </w:rPr>
              <w:t xml:space="preserve"> </w:t>
            </w:r>
            <w:r>
              <w:rPr>
                <w:rFonts w:ascii="Calibri Light"/>
              </w:rPr>
              <w:t>n</w:t>
            </w:r>
            <w:r>
              <w:rPr>
                <w:rFonts w:ascii="Calibri Light"/>
                <w:spacing w:val="-46"/>
              </w:rPr>
              <w:t xml:space="preserve"> </w:t>
            </w:r>
            <w:r>
              <w:rPr>
                <w:rFonts w:ascii="Calibri Light"/>
              </w:rPr>
              <w:t>(SD</w:t>
            </w:r>
            <w:r>
              <w:rPr>
                <w:rFonts w:ascii="Calibri Light"/>
                <w:spacing w:val="-5"/>
              </w:rPr>
              <w:t xml:space="preserve"> </w:t>
            </w:r>
            <w:r>
              <w:rPr>
                <w:rFonts w:ascii="Calibri Light"/>
              </w:rPr>
              <w:t>or</w:t>
            </w:r>
            <w:r>
              <w:rPr>
                <w:rFonts w:ascii="Calibri Light"/>
                <w:spacing w:val="-7"/>
              </w:rPr>
              <w:t xml:space="preserve"> </w:t>
            </w:r>
            <w:r>
              <w:rPr>
                <w:rFonts w:ascii="Calibri Light"/>
              </w:rPr>
              <w:t>%)</w:t>
            </w:r>
          </w:p>
        </w:tc>
        <w:tc>
          <w:tcPr>
            <w:tcW w:w="1418" w:type="dxa"/>
            <w:tcBorders>
              <w:top w:val="single" w:sz="4" w:space="0" w:color="7E7E7E"/>
              <w:bottom w:val="single" w:sz="4" w:space="0" w:color="7E7E7E"/>
            </w:tcBorders>
          </w:tcPr>
          <w:p w14:paraId="4C34C9FE" w14:textId="77777777" w:rsidR="00C774B2" w:rsidRDefault="00000000">
            <w:pPr>
              <w:pStyle w:val="TableParagraph"/>
              <w:spacing w:line="278" w:lineRule="auto"/>
              <w:ind w:left="311" w:right="250" w:hanging="53"/>
              <w:jc w:val="left"/>
              <w:rPr>
                <w:rFonts w:ascii="Calibri Light"/>
              </w:rPr>
            </w:pPr>
            <w:r>
              <w:rPr>
                <w:rFonts w:ascii="Calibri Light"/>
                <w:spacing w:val="-1"/>
              </w:rPr>
              <w:t>Mean</w:t>
            </w:r>
            <w:r>
              <w:rPr>
                <w:rFonts w:ascii="Calibri Light"/>
                <w:spacing w:val="-11"/>
              </w:rPr>
              <w:t xml:space="preserve"> </w:t>
            </w:r>
            <w:r>
              <w:rPr>
                <w:rFonts w:ascii="Calibri Light"/>
              </w:rPr>
              <w:t>or</w:t>
            </w:r>
            <w:r>
              <w:rPr>
                <w:rFonts w:ascii="Calibri Light"/>
                <w:spacing w:val="-12"/>
              </w:rPr>
              <w:t xml:space="preserve"> </w:t>
            </w:r>
            <w:r>
              <w:rPr>
                <w:rFonts w:ascii="Calibri Light"/>
              </w:rPr>
              <w:t>n</w:t>
            </w:r>
            <w:r>
              <w:rPr>
                <w:rFonts w:ascii="Calibri Light"/>
                <w:spacing w:val="-46"/>
              </w:rPr>
              <w:t xml:space="preserve"> </w:t>
            </w:r>
            <w:r>
              <w:rPr>
                <w:rFonts w:ascii="Calibri Light"/>
              </w:rPr>
              <w:t>(SD</w:t>
            </w:r>
            <w:r>
              <w:rPr>
                <w:rFonts w:ascii="Calibri Light"/>
                <w:spacing w:val="-5"/>
              </w:rPr>
              <w:t xml:space="preserve"> </w:t>
            </w:r>
            <w:r>
              <w:rPr>
                <w:rFonts w:ascii="Calibri Light"/>
              </w:rPr>
              <w:t>or</w:t>
            </w:r>
            <w:r>
              <w:rPr>
                <w:rFonts w:ascii="Calibri Light"/>
                <w:spacing w:val="-7"/>
              </w:rPr>
              <w:t xml:space="preserve"> </w:t>
            </w:r>
            <w:r>
              <w:rPr>
                <w:rFonts w:ascii="Calibri Light"/>
              </w:rPr>
              <w:t>%)</w:t>
            </w:r>
          </w:p>
        </w:tc>
        <w:tc>
          <w:tcPr>
            <w:tcW w:w="845" w:type="dxa"/>
            <w:tcBorders>
              <w:bottom w:val="single" w:sz="4" w:space="0" w:color="7E7E7E"/>
            </w:tcBorders>
          </w:tcPr>
          <w:p w14:paraId="2035F8EE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  <w:tr w:rsidR="00C774B2" w14:paraId="4D553541" w14:textId="77777777">
        <w:trPr>
          <w:trHeight w:val="508"/>
        </w:trPr>
        <w:tc>
          <w:tcPr>
            <w:tcW w:w="1416" w:type="dxa"/>
            <w:tcBorders>
              <w:top w:val="single" w:sz="4" w:space="0" w:color="7E7E7E"/>
              <w:bottom w:val="single" w:sz="4" w:space="0" w:color="7E7E7E"/>
            </w:tcBorders>
          </w:tcPr>
          <w:p w14:paraId="5760E352" w14:textId="77777777" w:rsidR="00C774B2" w:rsidRDefault="00000000">
            <w:pPr>
              <w:pStyle w:val="TableParagraph"/>
              <w:ind w:left="247" w:right="247"/>
              <w:rPr>
                <w:rFonts w:ascii="Calibri Light"/>
              </w:rPr>
            </w:pPr>
            <w:r>
              <w:rPr>
                <w:rFonts w:ascii="Calibri Light"/>
              </w:rPr>
              <w:t>Male</w:t>
            </w:r>
          </w:p>
        </w:tc>
        <w:tc>
          <w:tcPr>
            <w:tcW w:w="1442" w:type="dxa"/>
            <w:tcBorders>
              <w:top w:val="single" w:sz="4" w:space="0" w:color="7E7E7E"/>
              <w:bottom w:val="single" w:sz="4" w:space="0" w:color="7E7E7E"/>
            </w:tcBorders>
          </w:tcPr>
          <w:p w14:paraId="3AFD99BB" w14:textId="77777777" w:rsidR="00C774B2" w:rsidRDefault="00000000">
            <w:pPr>
              <w:pStyle w:val="TableParagraph"/>
              <w:ind w:right="250"/>
              <w:jc w:val="right"/>
              <w:rPr>
                <w:rFonts w:ascii="Calibri Light"/>
              </w:rPr>
            </w:pPr>
            <w:r>
              <w:rPr>
                <w:rFonts w:ascii="Calibri Light"/>
              </w:rPr>
              <w:t>56</w:t>
            </w:r>
            <w:r>
              <w:rPr>
                <w:rFonts w:ascii="Calibri Light"/>
                <w:spacing w:val="97"/>
              </w:rPr>
              <w:t xml:space="preserve"> </w:t>
            </w:r>
            <w:r>
              <w:rPr>
                <w:rFonts w:ascii="Calibri Light"/>
              </w:rPr>
              <w:t>22.9%</w:t>
            </w:r>
          </w:p>
        </w:tc>
        <w:tc>
          <w:tcPr>
            <w:tcW w:w="1388" w:type="dxa"/>
            <w:tcBorders>
              <w:top w:val="single" w:sz="4" w:space="0" w:color="7E7E7E"/>
              <w:bottom w:val="single" w:sz="4" w:space="0" w:color="7E7E7E"/>
            </w:tcBorders>
          </w:tcPr>
          <w:p w14:paraId="2DFF65B7" w14:textId="77777777" w:rsidR="00C774B2" w:rsidRDefault="00000000">
            <w:pPr>
              <w:pStyle w:val="TableParagraph"/>
              <w:ind w:left="229" w:right="253"/>
              <w:rPr>
                <w:rFonts w:ascii="Calibri Light"/>
              </w:rPr>
            </w:pPr>
            <w:r>
              <w:rPr>
                <w:rFonts w:ascii="Calibri Light"/>
              </w:rPr>
              <w:t>21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37.5%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39EDDB99" w14:textId="77777777" w:rsidR="00C774B2" w:rsidRDefault="00000000">
            <w:pPr>
              <w:pStyle w:val="TableParagraph"/>
              <w:ind w:left="255" w:right="255"/>
              <w:rPr>
                <w:rFonts w:ascii="Calibri Light"/>
              </w:rPr>
            </w:pPr>
            <w:r>
              <w:rPr>
                <w:rFonts w:ascii="Calibri Light"/>
              </w:rPr>
              <w:t>17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30.4%</w:t>
            </w:r>
          </w:p>
        </w:tc>
        <w:tc>
          <w:tcPr>
            <w:tcW w:w="1418" w:type="dxa"/>
            <w:tcBorders>
              <w:top w:val="single" w:sz="4" w:space="0" w:color="7E7E7E"/>
              <w:bottom w:val="single" w:sz="4" w:space="0" w:color="7E7E7E"/>
            </w:tcBorders>
          </w:tcPr>
          <w:p w14:paraId="750E464F" w14:textId="77777777" w:rsidR="00C774B2" w:rsidRDefault="00000000">
            <w:pPr>
              <w:pStyle w:val="TableParagraph"/>
              <w:ind w:left="257" w:right="254"/>
              <w:rPr>
                <w:rFonts w:ascii="Calibri Light"/>
              </w:rPr>
            </w:pPr>
            <w:r>
              <w:rPr>
                <w:rFonts w:ascii="Calibri Light"/>
              </w:rPr>
              <w:t>18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32.1%</w:t>
            </w:r>
          </w:p>
        </w:tc>
        <w:tc>
          <w:tcPr>
            <w:tcW w:w="845" w:type="dxa"/>
            <w:tcBorders>
              <w:top w:val="single" w:sz="4" w:space="0" w:color="7E7E7E"/>
            </w:tcBorders>
          </w:tcPr>
          <w:p w14:paraId="3FAC3AB6" w14:textId="77777777" w:rsidR="00C774B2" w:rsidRDefault="00000000">
            <w:pPr>
              <w:pStyle w:val="TableParagraph"/>
              <w:ind w:left="210" w:right="205"/>
              <w:rPr>
                <w:rFonts w:ascii="Calibri Light"/>
              </w:rPr>
            </w:pPr>
            <w:r>
              <w:rPr>
                <w:rFonts w:ascii="Calibri Light"/>
              </w:rPr>
              <w:t>0.28</w:t>
            </w:r>
          </w:p>
        </w:tc>
      </w:tr>
      <w:tr w:rsidR="00C774B2" w14:paraId="1A899A1F" w14:textId="77777777">
        <w:trPr>
          <w:trHeight w:val="508"/>
        </w:trPr>
        <w:tc>
          <w:tcPr>
            <w:tcW w:w="1416" w:type="dxa"/>
            <w:tcBorders>
              <w:top w:val="single" w:sz="4" w:space="0" w:color="7E7E7E"/>
              <w:bottom w:val="single" w:sz="4" w:space="0" w:color="7E7E7E"/>
            </w:tcBorders>
          </w:tcPr>
          <w:p w14:paraId="58E8CFFC" w14:textId="77777777" w:rsidR="00C774B2" w:rsidRDefault="00000000">
            <w:pPr>
              <w:pStyle w:val="TableParagraph"/>
              <w:ind w:left="248" w:right="245"/>
              <w:rPr>
                <w:rFonts w:ascii="Calibri Light"/>
              </w:rPr>
            </w:pPr>
            <w:r>
              <w:rPr>
                <w:rFonts w:ascii="Calibri Light"/>
              </w:rPr>
              <w:t>Female</w:t>
            </w:r>
          </w:p>
        </w:tc>
        <w:tc>
          <w:tcPr>
            <w:tcW w:w="1442" w:type="dxa"/>
            <w:tcBorders>
              <w:top w:val="single" w:sz="4" w:space="0" w:color="7E7E7E"/>
              <w:bottom w:val="single" w:sz="4" w:space="0" w:color="7E7E7E"/>
            </w:tcBorders>
          </w:tcPr>
          <w:p w14:paraId="767FDA6C" w14:textId="77777777" w:rsidR="00C774B2" w:rsidRDefault="00000000">
            <w:pPr>
              <w:pStyle w:val="TableParagraph"/>
              <w:ind w:right="269"/>
              <w:jc w:val="right"/>
              <w:rPr>
                <w:rFonts w:ascii="Calibri Light"/>
              </w:rPr>
            </w:pPr>
            <w:r>
              <w:rPr>
                <w:rFonts w:ascii="Calibri Light"/>
              </w:rPr>
              <w:t>189</w:t>
            </w:r>
            <w:r>
              <w:rPr>
                <w:rFonts w:ascii="Calibri Light"/>
                <w:spacing w:val="-2"/>
              </w:rPr>
              <w:t xml:space="preserve"> </w:t>
            </w:r>
            <w:r>
              <w:rPr>
                <w:rFonts w:ascii="Calibri Light"/>
              </w:rPr>
              <w:t>77.1%</w:t>
            </w:r>
          </w:p>
        </w:tc>
        <w:tc>
          <w:tcPr>
            <w:tcW w:w="1388" w:type="dxa"/>
            <w:tcBorders>
              <w:top w:val="single" w:sz="4" w:space="0" w:color="7E7E7E"/>
              <w:bottom w:val="single" w:sz="4" w:space="0" w:color="7E7E7E"/>
            </w:tcBorders>
          </w:tcPr>
          <w:p w14:paraId="21EB664F" w14:textId="77777777" w:rsidR="00C774B2" w:rsidRDefault="00000000">
            <w:pPr>
              <w:pStyle w:val="TableParagraph"/>
              <w:ind w:left="229" w:right="253"/>
              <w:rPr>
                <w:rFonts w:ascii="Calibri Light"/>
              </w:rPr>
            </w:pPr>
            <w:r>
              <w:rPr>
                <w:rFonts w:ascii="Calibri Light"/>
              </w:rPr>
              <w:t>50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26.5%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5EC0AEF4" w14:textId="77777777" w:rsidR="00C774B2" w:rsidRDefault="00000000">
            <w:pPr>
              <w:pStyle w:val="TableParagraph"/>
              <w:ind w:left="255" w:right="255"/>
              <w:rPr>
                <w:rFonts w:ascii="Calibri Light"/>
              </w:rPr>
            </w:pPr>
            <w:r>
              <w:rPr>
                <w:rFonts w:ascii="Calibri Light"/>
              </w:rPr>
              <w:t>68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36.8%</w:t>
            </w:r>
          </w:p>
        </w:tc>
        <w:tc>
          <w:tcPr>
            <w:tcW w:w="1418" w:type="dxa"/>
            <w:tcBorders>
              <w:top w:val="single" w:sz="4" w:space="0" w:color="7E7E7E"/>
              <w:bottom w:val="single" w:sz="4" w:space="0" w:color="7E7E7E"/>
            </w:tcBorders>
          </w:tcPr>
          <w:p w14:paraId="2104A0B5" w14:textId="77777777" w:rsidR="00C774B2" w:rsidRDefault="00000000">
            <w:pPr>
              <w:pStyle w:val="TableParagraph"/>
              <w:ind w:left="257" w:right="254"/>
              <w:rPr>
                <w:rFonts w:ascii="Calibri Light"/>
              </w:rPr>
            </w:pPr>
            <w:r>
              <w:rPr>
                <w:rFonts w:ascii="Calibri Light"/>
              </w:rPr>
              <w:t>71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37.6%</w:t>
            </w:r>
          </w:p>
        </w:tc>
        <w:tc>
          <w:tcPr>
            <w:tcW w:w="845" w:type="dxa"/>
            <w:tcBorders>
              <w:bottom w:val="single" w:sz="4" w:space="0" w:color="7E7E7E"/>
            </w:tcBorders>
          </w:tcPr>
          <w:p w14:paraId="4995FFF8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  <w:tr w:rsidR="00C774B2" w14:paraId="1CC8FE09" w14:textId="77777777">
        <w:trPr>
          <w:trHeight w:val="508"/>
        </w:trPr>
        <w:tc>
          <w:tcPr>
            <w:tcW w:w="1416" w:type="dxa"/>
            <w:tcBorders>
              <w:top w:val="single" w:sz="4" w:space="0" w:color="7E7E7E"/>
              <w:bottom w:val="single" w:sz="4" w:space="0" w:color="7E7E7E"/>
            </w:tcBorders>
          </w:tcPr>
          <w:p w14:paraId="2BEA669D" w14:textId="77777777" w:rsidR="00C774B2" w:rsidRDefault="00000000">
            <w:pPr>
              <w:pStyle w:val="TableParagraph"/>
              <w:ind w:left="247" w:right="247"/>
              <w:rPr>
                <w:rFonts w:ascii="Calibri Light"/>
              </w:rPr>
            </w:pPr>
            <w:r>
              <w:rPr>
                <w:rFonts w:ascii="Calibri Light"/>
              </w:rPr>
              <w:t>Age</w:t>
            </w:r>
          </w:p>
        </w:tc>
        <w:tc>
          <w:tcPr>
            <w:tcW w:w="1442" w:type="dxa"/>
            <w:tcBorders>
              <w:top w:val="single" w:sz="4" w:space="0" w:color="7E7E7E"/>
              <w:bottom w:val="single" w:sz="4" w:space="0" w:color="7E7E7E"/>
            </w:tcBorders>
          </w:tcPr>
          <w:p w14:paraId="5A6F5639" w14:textId="77777777" w:rsidR="00C774B2" w:rsidRDefault="00000000">
            <w:pPr>
              <w:pStyle w:val="TableParagraph"/>
              <w:ind w:left="280"/>
              <w:jc w:val="left"/>
              <w:rPr>
                <w:rFonts w:ascii="Calibri Light"/>
              </w:rPr>
            </w:pPr>
            <w:r>
              <w:rPr>
                <w:rFonts w:ascii="Calibri Light"/>
              </w:rPr>
              <w:t>19.7</w:t>
            </w:r>
            <w:r>
              <w:rPr>
                <w:rFonts w:ascii="Calibri Light"/>
                <w:spacing w:val="-4"/>
              </w:rPr>
              <w:t xml:space="preserve"> </w:t>
            </w:r>
            <w:r>
              <w:rPr>
                <w:rFonts w:ascii="Calibri Light"/>
              </w:rPr>
              <w:t>(4.9)</w:t>
            </w:r>
          </w:p>
        </w:tc>
        <w:tc>
          <w:tcPr>
            <w:tcW w:w="1388" w:type="dxa"/>
            <w:tcBorders>
              <w:top w:val="single" w:sz="4" w:space="0" w:color="7E7E7E"/>
              <w:bottom w:val="single" w:sz="4" w:space="0" w:color="7E7E7E"/>
            </w:tcBorders>
          </w:tcPr>
          <w:p w14:paraId="7C4BA397" w14:textId="77777777" w:rsidR="00C774B2" w:rsidRDefault="00000000">
            <w:pPr>
              <w:pStyle w:val="TableParagraph"/>
              <w:ind w:left="225" w:right="253"/>
              <w:rPr>
                <w:rFonts w:ascii="Calibri Light"/>
              </w:rPr>
            </w:pPr>
            <w:r>
              <w:rPr>
                <w:rFonts w:ascii="Calibri Light"/>
              </w:rPr>
              <w:t>20.6</w:t>
            </w:r>
            <w:r>
              <w:rPr>
                <w:rFonts w:ascii="Calibri Light"/>
                <w:spacing w:val="-4"/>
              </w:rPr>
              <w:t xml:space="preserve"> </w:t>
            </w:r>
            <w:r>
              <w:rPr>
                <w:rFonts w:ascii="Calibri Light"/>
              </w:rPr>
              <w:t>(5.8)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7CCFE4B8" w14:textId="77777777" w:rsidR="00C774B2" w:rsidRDefault="00000000">
            <w:pPr>
              <w:pStyle w:val="TableParagraph"/>
              <w:ind w:left="254" w:right="255"/>
              <w:rPr>
                <w:rFonts w:ascii="Calibri Light"/>
              </w:rPr>
            </w:pPr>
            <w:r>
              <w:rPr>
                <w:rFonts w:ascii="Calibri Light"/>
              </w:rPr>
              <w:t>19.7</w:t>
            </w:r>
            <w:r>
              <w:rPr>
                <w:rFonts w:ascii="Calibri Light"/>
                <w:spacing w:val="-4"/>
              </w:rPr>
              <w:t xml:space="preserve"> </w:t>
            </w:r>
            <w:r>
              <w:rPr>
                <w:rFonts w:ascii="Calibri Light"/>
              </w:rPr>
              <w:t>(5.4)</w:t>
            </w:r>
          </w:p>
        </w:tc>
        <w:tc>
          <w:tcPr>
            <w:tcW w:w="1418" w:type="dxa"/>
            <w:tcBorders>
              <w:top w:val="single" w:sz="4" w:space="0" w:color="7E7E7E"/>
              <w:bottom w:val="single" w:sz="4" w:space="0" w:color="7E7E7E"/>
            </w:tcBorders>
          </w:tcPr>
          <w:p w14:paraId="4E865344" w14:textId="77777777" w:rsidR="00C774B2" w:rsidRDefault="00000000">
            <w:pPr>
              <w:pStyle w:val="TableParagraph"/>
              <w:ind w:left="254" w:right="254"/>
              <w:rPr>
                <w:rFonts w:ascii="Calibri Light"/>
              </w:rPr>
            </w:pPr>
            <w:r>
              <w:rPr>
                <w:rFonts w:ascii="Calibri Light"/>
              </w:rPr>
              <w:t>19</w:t>
            </w:r>
            <w:r>
              <w:rPr>
                <w:rFonts w:ascii="Calibri Light"/>
                <w:spacing w:val="-3"/>
              </w:rPr>
              <w:t xml:space="preserve"> </w:t>
            </w:r>
            <w:r>
              <w:rPr>
                <w:rFonts w:ascii="Calibri Light"/>
              </w:rPr>
              <w:t>(3)</w:t>
            </w:r>
          </w:p>
        </w:tc>
        <w:tc>
          <w:tcPr>
            <w:tcW w:w="845" w:type="dxa"/>
            <w:tcBorders>
              <w:top w:val="single" w:sz="4" w:space="0" w:color="7E7E7E"/>
              <w:bottom w:val="single" w:sz="4" w:space="0" w:color="7E7E7E"/>
            </w:tcBorders>
          </w:tcPr>
          <w:p w14:paraId="12352B40" w14:textId="77777777" w:rsidR="00C774B2" w:rsidRDefault="00000000">
            <w:pPr>
              <w:pStyle w:val="TableParagraph"/>
              <w:ind w:left="210" w:right="205"/>
              <w:rPr>
                <w:rFonts w:ascii="Calibri Light"/>
              </w:rPr>
            </w:pPr>
            <w:r>
              <w:rPr>
                <w:rFonts w:ascii="Calibri Light"/>
              </w:rPr>
              <w:t>0.13</w:t>
            </w:r>
          </w:p>
        </w:tc>
      </w:tr>
      <w:tr w:rsidR="00C774B2" w14:paraId="5326ADB2" w14:textId="77777777">
        <w:trPr>
          <w:trHeight w:val="511"/>
        </w:trPr>
        <w:tc>
          <w:tcPr>
            <w:tcW w:w="1416" w:type="dxa"/>
            <w:tcBorders>
              <w:top w:val="single" w:sz="4" w:space="0" w:color="7E7E7E"/>
              <w:bottom w:val="single" w:sz="4" w:space="0" w:color="7E7E7E"/>
            </w:tcBorders>
          </w:tcPr>
          <w:p w14:paraId="65C65331" w14:textId="77777777" w:rsidR="00C774B2" w:rsidRDefault="00000000">
            <w:pPr>
              <w:pStyle w:val="TableParagraph"/>
              <w:spacing w:before="1" w:line="240" w:lineRule="auto"/>
              <w:ind w:left="248" w:right="247"/>
              <w:rPr>
                <w:rFonts w:ascii="Calibri Light"/>
              </w:rPr>
            </w:pPr>
            <w:r>
              <w:rPr>
                <w:rFonts w:ascii="Calibri Light"/>
              </w:rPr>
              <w:t>Employed</w:t>
            </w:r>
          </w:p>
        </w:tc>
        <w:tc>
          <w:tcPr>
            <w:tcW w:w="1442" w:type="dxa"/>
            <w:tcBorders>
              <w:top w:val="single" w:sz="4" w:space="0" w:color="7E7E7E"/>
              <w:bottom w:val="single" w:sz="4" w:space="0" w:color="7E7E7E"/>
            </w:tcBorders>
          </w:tcPr>
          <w:p w14:paraId="04727A49" w14:textId="77777777" w:rsidR="00C774B2" w:rsidRDefault="00000000">
            <w:pPr>
              <w:pStyle w:val="TableParagraph"/>
              <w:spacing w:before="1" w:line="240" w:lineRule="auto"/>
              <w:ind w:right="274"/>
              <w:jc w:val="right"/>
              <w:rPr>
                <w:rFonts w:ascii="Calibri Light"/>
              </w:rPr>
            </w:pPr>
            <w:r>
              <w:rPr>
                <w:rFonts w:ascii="Calibri Light"/>
              </w:rPr>
              <w:t>60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24.5%</w:t>
            </w:r>
          </w:p>
        </w:tc>
        <w:tc>
          <w:tcPr>
            <w:tcW w:w="1388" w:type="dxa"/>
            <w:tcBorders>
              <w:top w:val="single" w:sz="4" w:space="0" w:color="7E7E7E"/>
              <w:bottom w:val="single" w:sz="4" w:space="0" w:color="7E7E7E"/>
            </w:tcBorders>
          </w:tcPr>
          <w:p w14:paraId="36CA032F" w14:textId="77777777" w:rsidR="00C774B2" w:rsidRDefault="00000000">
            <w:pPr>
              <w:pStyle w:val="TableParagraph"/>
              <w:spacing w:before="1" w:line="240" w:lineRule="auto"/>
              <w:ind w:left="229" w:right="253"/>
              <w:rPr>
                <w:rFonts w:ascii="Calibri Light"/>
              </w:rPr>
            </w:pPr>
            <w:r>
              <w:rPr>
                <w:rFonts w:ascii="Calibri Light"/>
              </w:rPr>
              <w:t>20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33.3%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7EE8F28B" w14:textId="77777777" w:rsidR="00C774B2" w:rsidRDefault="00000000">
            <w:pPr>
              <w:pStyle w:val="TableParagraph"/>
              <w:spacing w:before="1" w:line="240" w:lineRule="auto"/>
              <w:ind w:left="255" w:right="255"/>
              <w:rPr>
                <w:rFonts w:ascii="Calibri Light"/>
              </w:rPr>
            </w:pPr>
            <w:r>
              <w:rPr>
                <w:rFonts w:ascii="Calibri Light"/>
              </w:rPr>
              <w:t>22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36.7%</w:t>
            </w:r>
          </w:p>
        </w:tc>
        <w:tc>
          <w:tcPr>
            <w:tcW w:w="1418" w:type="dxa"/>
            <w:tcBorders>
              <w:top w:val="single" w:sz="4" w:space="0" w:color="7E7E7E"/>
              <w:bottom w:val="single" w:sz="4" w:space="0" w:color="7E7E7E"/>
            </w:tcBorders>
          </w:tcPr>
          <w:p w14:paraId="49ADC1D8" w14:textId="77777777" w:rsidR="00C774B2" w:rsidRDefault="00000000">
            <w:pPr>
              <w:pStyle w:val="TableParagraph"/>
              <w:spacing w:before="1" w:line="240" w:lineRule="auto"/>
              <w:ind w:left="257" w:right="254"/>
              <w:rPr>
                <w:rFonts w:ascii="Calibri Light"/>
              </w:rPr>
            </w:pPr>
            <w:r>
              <w:rPr>
                <w:rFonts w:ascii="Calibri Light"/>
              </w:rPr>
              <w:t>18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30.3%</w:t>
            </w:r>
          </w:p>
        </w:tc>
        <w:tc>
          <w:tcPr>
            <w:tcW w:w="845" w:type="dxa"/>
            <w:tcBorders>
              <w:top w:val="single" w:sz="4" w:space="0" w:color="7E7E7E"/>
              <w:bottom w:val="single" w:sz="4" w:space="0" w:color="7E7E7E"/>
            </w:tcBorders>
          </w:tcPr>
          <w:p w14:paraId="29F26558" w14:textId="77777777" w:rsidR="00C774B2" w:rsidRDefault="00000000">
            <w:pPr>
              <w:pStyle w:val="TableParagraph"/>
              <w:spacing w:before="1" w:line="240" w:lineRule="auto"/>
              <w:ind w:left="210" w:right="205"/>
              <w:rPr>
                <w:rFonts w:ascii="Calibri Light"/>
              </w:rPr>
            </w:pPr>
            <w:r>
              <w:rPr>
                <w:rFonts w:ascii="Calibri Light"/>
              </w:rPr>
              <w:t>0.48</w:t>
            </w:r>
          </w:p>
        </w:tc>
      </w:tr>
      <w:tr w:rsidR="00C774B2" w14:paraId="5E8C2BD7" w14:textId="77777777">
        <w:trPr>
          <w:trHeight w:val="508"/>
        </w:trPr>
        <w:tc>
          <w:tcPr>
            <w:tcW w:w="1416" w:type="dxa"/>
            <w:tcBorders>
              <w:top w:val="single" w:sz="4" w:space="0" w:color="7E7E7E"/>
              <w:bottom w:val="single" w:sz="4" w:space="0" w:color="7E7E7E"/>
            </w:tcBorders>
          </w:tcPr>
          <w:p w14:paraId="0DE25F82" w14:textId="77777777" w:rsidR="00C774B2" w:rsidRDefault="00000000">
            <w:pPr>
              <w:pStyle w:val="TableParagraph"/>
              <w:ind w:left="247" w:right="247"/>
              <w:rPr>
                <w:rFonts w:ascii="Calibri Light"/>
              </w:rPr>
            </w:pPr>
            <w:r>
              <w:rPr>
                <w:rFonts w:ascii="Calibri Light"/>
              </w:rPr>
              <w:t>Nursing</w:t>
            </w:r>
          </w:p>
        </w:tc>
        <w:tc>
          <w:tcPr>
            <w:tcW w:w="1442" w:type="dxa"/>
            <w:tcBorders>
              <w:top w:val="single" w:sz="4" w:space="0" w:color="7E7E7E"/>
              <w:bottom w:val="single" w:sz="4" w:space="0" w:color="7E7E7E"/>
            </w:tcBorders>
          </w:tcPr>
          <w:p w14:paraId="4076A989" w14:textId="77777777" w:rsidR="00C774B2" w:rsidRDefault="00000000">
            <w:pPr>
              <w:pStyle w:val="TableParagraph"/>
              <w:ind w:right="219"/>
              <w:jc w:val="right"/>
              <w:rPr>
                <w:rFonts w:ascii="Calibri Light"/>
              </w:rPr>
            </w:pPr>
            <w:r>
              <w:rPr>
                <w:rFonts w:ascii="Calibri Light"/>
              </w:rPr>
              <w:t>194</w:t>
            </w:r>
            <w:r>
              <w:rPr>
                <w:rFonts w:ascii="Calibri Light"/>
                <w:spacing w:val="48"/>
              </w:rPr>
              <w:t xml:space="preserve"> </w:t>
            </w:r>
            <w:r>
              <w:rPr>
                <w:rFonts w:ascii="Calibri Light"/>
              </w:rPr>
              <w:t>79.2%</w:t>
            </w:r>
          </w:p>
        </w:tc>
        <w:tc>
          <w:tcPr>
            <w:tcW w:w="1388" w:type="dxa"/>
            <w:tcBorders>
              <w:top w:val="single" w:sz="4" w:space="0" w:color="7E7E7E"/>
              <w:bottom w:val="single" w:sz="4" w:space="0" w:color="7E7E7E"/>
            </w:tcBorders>
          </w:tcPr>
          <w:p w14:paraId="2352C629" w14:textId="77777777" w:rsidR="00C774B2" w:rsidRDefault="00000000">
            <w:pPr>
              <w:pStyle w:val="TableParagraph"/>
              <w:ind w:left="229" w:right="253"/>
              <w:rPr>
                <w:rFonts w:ascii="Calibri Light"/>
              </w:rPr>
            </w:pPr>
            <w:r>
              <w:rPr>
                <w:rFonts w:ascii="Calibri Light"/>
              </w:rPr>
              <w:t>55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28.4%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3988E11F" w14:textId="77777777" w:rsidR="00C774B2" w:rsidRDefault="00000000">
            <w:pPr>
              <w:pStyle w:val="TableParagraph"/>
              <w:ind w:left="255" w:right="255"/>
              <w:rPr>
                <w:rFonts w:ascii="Calibri Light"/>
              </w:rPr>
            </w:pPr>
            <w:r>
              <w:rPr>
                <w:rFonts w:ascii="Calibri Light"/>
              </w:rPr>
              <w:t>69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35.6%</w:t>
            </w:r>
          </w:p>
        </w:tc>
        <w:tc>
          <w:tcPr>
            <w:tcW w:w="1418" w:type="dxa"/>
            <w:tcBorders>
              <w:top w:val="single" w:sz="4" w:space="0" w:color="7E7E7E"/>
              <w:bottom w:val="single" w:sz="4" w:space="0" w:color="7E7E7E"/>
            </w:tcBorders>
          </w:tcPr>
          <w:p w14:paraId="53312E03" w14:textId="77777777" w:rsidR="00C774B2" w:rsidRDefault="00000000">
            <w:pPr>
              <w:pStyle w:val="TableParagraph"/>
              <w:ind w:left="257" w:right="254"/>
              <w:rPr>
                <w:rFonts w:ascii="Calibri Light"/>
              </w:rPr>
            </w:pPr>
            <w:r>
              <w:rPr>
                <w:rFonts w:ascii="Calibri Light"/>
              </w:rPr>
              <w:t>70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36.1%</w:t>
            </w:r>
          </w:p>
        </w:tc>
        <w:tc>
          <w:tcPr>
            <w:tcW w:w="845" w:type="dxa"/>
            <w:tcBorders>
              <w:top w:val="single" w:sz="4" w:space="0" w:color="7E7E7E"/>
            </w:tcBorders>
          </w:tcPr>
          <w:p w14:paraId="20BF1B6F" w14:textId="77777777" w:rsidR="00C774B2" w:rsidRDefault="00000000">
            <w:pPr>
              <w:pStyle w:val="TableParagraph"/>
              <w:ind w:left="210" w:right="205"/>
              <w:rPr>
                <w:rFonts w:ascii="Calibri Light"/>
              </w:rPr>
            </w:pPr>
            <w:r>
              <w:rPr>
                <w:rFonts w:ascii="Calibri Light"/>
              </w:rPr>
              <w:t>0.84</w:t>
            </w:r>
          </w:p>
        </w:tc>
      </w:tr>
      <w:tr w:rsidR="00C774B2" w14:paraId="40E0D0F4" w14:textId="77777777">
        <w:trPr>
          <w:trHeight w:val="573"/>
        </w:trPr>
        <w:tc>
          <w:tcPr>
            <w:tcW w:w="1416" w:type="dxa"/>
            <w:tcBorders>
              <w:top w:val="single" w:sz="4" w:space="0" w:color="7E7E7E"/>
            </w:tcBorders>
          </w:tcPr>
          <w:p w14:paraId="427AD1FD" w14:textId="77777777" w:rsidR="00C774B2" w:rsidRDefault="00000000">
            <w:pPr>
              <w:pStyle w:val="TableParagraph"/>
              <w:spacing w:line="265" w:lineRule="exact"/>
              <w:ind w:left="362"/>
              <w:jc w:val="left"/>
              <w:rPr>
                <w:rFonts w:ascii="Calibri Light"/>
              </w:rPr>
            </w:pPr>
            <w:r>
              <w:rPr>
                <w:rFonts w:ascii="Calibri Light"/>
              </w:rPr>
              <w:t>Physical</w:t>
            </w:r>
          </w:p>
          <w:p w14:paraId="7CD6AC8D" w14:textId="77777777" w:rsidR="00C774B2" w:rsidRDefault="00000000">
            <w:pPr>
              <w:pStyle w:val="TableParagraph"/>
              <w:spacing w:before="43" w:line="245" w:lineRule="exact"/>
              <w:ind w:left="369"/>
              <w:jc w:val="left"/>
              <w:rPr>
                <w:rFonts w:ascii="Calibri Light"/>
              </w:rPr>
            </w:pPr>
            <w:r>
              <w:rPr>
                <w:rFonts w:ascii="Calibri Light"/>
              </w:rPr>
              <w:t>therapy</w:t>
            </w:r>
          </w:p>
        </w:tc>
        <w:tc>
          <w:tcPr>
            <w:tcW w:w="1442" w:type="dxa"/>
            <w:tcBorders>
              <w:top w:val="single" w:sz="4" w:space="0" w:color="7E7E7E"/>
            </w:tcBorders>
          </w:tcPr>
          <w:p w14:paraId="52A68EAA" w14:textId="77777777" w:rsidR="00C774B2" w:rsidRDefault="00000000">
            <w:pPr>
              <w:pStyle w:val="TableParagraph"/>
              <w:ind w:right="274"/>
              <w:jc w:val="right"/>
              <w:rPr>
                <w:rFonts w:ascii="Calibri Light"/>
              </w:rPr>
            </w:pPr>
            <w:r>
              <w:rPr>
                <w:rFonts w:ascii="Calibri Light"/>
              </w:rPr>
              <w:t>51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20.8%</w:t>
            </w:r>
          </w:p>
        </w:tc>
        <w:tc>
          <w:tcPr>
            <w:tcW w:w="1388" w:type="dxa"/>
            <w:tcBorders>
              <w:top w:val="single" w:sz="4" w:space="0" w:color="7E7E7E"/>
            </w:tcBorders>
          </w:tcPr>
          <w:p w14:paraId="5ABBE9E5" w14:textId="77777777" w:rsidR="00C774B2" w:rsidRDefault="00000000">
            <w:pPr>
              <w:pStyle w:val="TableParagraph"/>
              <w:ind w:left="229" w:right="253"/>
              <w:rPr>
                <w:rFonts w:ascii="Calibri Light"/>
              </w:rPr>
            </w:pPr>
            <w:r>
              <w:rPr>
                <w:rFonts w:ascii="Calibri Light"/>
              </w:rPr>
              <w:t>16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31.4%</w:t>
            </w:r>
          </w:p>
        </w:tc>
        <w:tc>
          <w:tcPr>
            <w:tcW w:w="1417" w:type="dxa"/>
            <w:tcBorders>
              <w:top w:val="single" w:sz="4" w:space="0" w:color="7E7E7E"/>
            </w:tcBorders>
          </w:tcPr>
          <w:p w14:paraId="7608E3BC" w14:textId="77777777" w:rsidR="00C774B2" w:rsidRDefault="00000000">
            <w:pPr>
              <w:pStyle w:val="TableParagraph"/>
              <w:ind w:left="255" w:right="254"/>
              <w:rPr>
                <w:rFonts w:ascii="Calibri Light"/>
              </w:rPr>
            </w:pPr>
            <w:r>
              <w:rPr>
                <w:rFonts w:ascii="Calibri Light"/>
              </w:rPr>
              <w:t>16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31.4%</w:t>
            </w:r>
          </w:p>
        </w:tc>
        <w:tc>
          <w:tcPr>
            <w:tcW w:w="1418" w:type="dxa"/>
            <w:tcBorders>
              <w:top w:val="single" w:sz="4" w:space="0" w:color="7E7E7E"/>
            </w:tcBorders>
          </w:tcPr>
          <w:p w14:paraId="4E159291" w14:textId="77777777" w:rsidR="00C774B2" w:rsidRDefault="00000000">
            <w:pPr>
              <w:pStyle w:val="TableParagraph"/>
              <w:ind w:left="257" w:right="254"/>
              <w:rPr>
                <w:rFonts w:ascii="Calibri Light"/>
              </w:rPr>
            </w:pPr>
            <w:r>
              <w:rPr>
                <w:rFonts w:ascii="Calibri Light"/>
              </w:rPr>
              <w:t>19</w:t>
            </w:r>
            <w:r>
              <w:rPr>
                <w:rFonts w:ascii="Calibri Light"/>
                <w:spacing w:val="49"/>
              </w:rPr>
              <w:t xml:space="preserve"> </w:t>
            </w:r>
            <w:r>
              <w:rPr>
                <w:rFonts w:ascii="Calibri Light"/>
              </w:rPr>
              <w:t>37.3%</w:t>
            </w:r>
          </w:p>
        </w:tc>
        <w:tc>
          <w:tcPr>
            <w:tcW w:w="845" w:type="dxa"/>
          </w:tcPr>
          <w:p w14:paraId="2CA4947A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</w:tbl>
    <w:p w14:paraId="0BBD092B" w14:textId="5E1B652C" w:rsidR="00C774B2" w:rsidRDefault="0021171C">
      <w:pPr>
        <w:pStyle w:val="Textoindependiente"/>
        <w:spacing w:before="10"/>
        <w:rPr>
          <w:rFonts w:ascii="Calibri Light"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1936" behindDoc="1" locked="0" layoutInCell="1" allowOverlap="1" wp14:anchorId="23182DDB" wp14:editId="3B343D2B">
                <wp:simplePos x="0" y="0"/>
                <wp:positionH relativeFrom="page">
                  <wp:posOffset>1080770</wp:posOffset>
                </wp:positionH>
                <wp:positionV relativeFrom="paragraph">
                  <wp:posOffset>155575</wp:posOffset>
                </wp:positionV>
                <wp:extent cx="5034915" cy="6350"/>
                <wp:effectExtent l="0" t="0" r="0" b="0"/>
                <wp:wrapTopAndBottom/>
                <wp:docPr id="1318764899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/>
                      </wps:cNvSpPr>
                      <wps:spPr bwMode="auto">
                        <a:xfrm>
                          <a:off x="0" y="0"/>
                          <a:ext cx="5034915" cy="6350"/>
                        </a:xfrm>
                        <a:custGeom>
                          <a:avLst/>
                          <a:gdLst>
                            <a:gd name="T0" fmla="+- 0 4532 1702"/>
                            <a:gd name="T1" fmla="*/ T0 w 7929"/>
                            <a:gd name="T2" fmla="+- 0 245 245"/>
                            <a:gd name="T3" fmla="*/ 245 h 10"/>
                            <a:gd name="T4" fmla="+- 0 3128 1702"/>
                            <a:gd name="T5" fmla="*/ T4 w 7929"/>
                            <a:gd name="T6" fmla="+- 0 245 245"/>
                            <a:gd name="T7" fmla="*/ 245 h 10"/>
                            <a:gd name="T8" fmla="+- 0 3118 1702"/>
                            <a:gd name="T9" fmla="*/ T8 w 7929"/>
                            <a:gd name="T10" fmla="+- 0 245 245"/>
                            <a:gd name="T11" fmla="*/ 245 h 10"/>
                            <a:gd name="T12" fmla="+- 0 3118 1702"/>
                            <a:gd name="T13" fmla="*/ T12 w 7929"/>
                            <a:gd name="T14" fmla="+- 0 245 245"/>
                            <a:gd name="T15" fmla="*/ 245 h 10"/>
                            <a:gd name="T16" fmla="+- 0 1702 1702"/>
                            <a:gd name="T17" fmla="*/ T16 w 7929"/>
                            <a:gd name="T18" fmla="+- 0 245 245"/>
                            <a:gd name="T19" fmla="*/ 245 h 10"/>
                            <a:gd name="T20" fmla="+- 0 1702 1702"/>
                            <a:gd name="T21" fmla="*/ T20 w 7929"/>
                            <a:gd name="T22" fmla="+- 0 254 245"/>
                            <a:gd name="T23" fmla="*/ 254 h 10"/>
                            <a:gd name="T24" fmla="+- 0 3118 1702"/>
                            <a:gd name="T25" fmla="*/ T24 w 7929"/>
                            <a:gd name="T26" fmla="+- 0 254 245"/>
                            <a:gd name="T27" fmla="*/ 254 h 10"/>
                            <a:gd name="T28" fmla="+- 0 3118 1702"/>
                            <a:gd name="T29" fmla="*/ T28 w 7929"/>
                            <a:gd name="T30" fmla="+- 0 254 245"/>
                            <a:gd name="T31" fmla="*/ 254 h 10"/>
                            <a:gd name="T32" fmla="+- 0 3128 1702"/>
                            <a:gd name="T33" fmla="*/ T32 w 7929"/>
                            <a:gd name="T34" fmla="+- 0 254 245"/>
                            <a:gd name="T35" fmla="*/ 254 h 10"/>
                            <a:gd name="T36" fmla="+- 0 4532 1702"/>
                            <a:gd name="T37" fmla="*/ T36 w 7929"/>
                            <a:gd name="T38" fmla="+- 0 254 245"/>
                            <a:gd name="T39" fmla="*/ 254 h 10"/>
                            <a:gd name="T40" fmla="+- 0 4532 1702"/>
                            <a:gd name="T41" fmla="*/ T40 w 7929"/>
                            <a:gd name="T42" fmla="+- 0 245 245"/>
                            <a:gd name="T43" fmla="*/ 245 h 10"/>
                            <a:gd name="T44" fmla="+- 0 5948 1702"/>
                            <a:gd name="T45" fmla="*/ T44 w 7929"/>
                            <a:gd name="T46" fmla="+- 0 245 245"/>
                            <a:gd name="T47" fmla="*/ 245 h 10"/>
                            <a:gd name="T48" fmla="+- 0 4542 1702"/>
                            <a:gd name="T49" fmla="*/ T48 w 7929"/>
                            <a:gd name="T50" fmla="+- 0 245 245"/>
                            <a:gd name="T51" fmla="*/ 245 h 10"/>
                            <a:gd name="T52" fmla="+- 0 4532 1702"/>
                            <a:gd name="T53" fmla="*/ T52 w 7929"/>
                            <a:gd name="T54" fmla="+- 0 245 245"/>
                            <a:gd name="T55" fmla="*/ 245 h 10"/>
                            <a:gd name="T56" fmla="+- 0 4532 1702"/>
                            <a:gd name="T57" fmla="*/ T56 w 7929"/>
                            <a:gd name="T58" fmla="+- 0 254 245"/>
                            <a:gd name="T59" fmla="*/ 254 h 10"/>
                            <a:gd name="T60" fmla="+- 0 4542 1702"/>
                            <a:gd name="T61" fmla="*/ T60 w 7929"/>
                            <a:gd name="T62" fmla="+- 0 254 245"/>
                            <a:gd name="T63" fmla="*/ 254 h 10"/>
                            <a:gd name="T64" fmla="+- 0 5948 1702"/>
                            <a:gd name="T65" fmla="*/ T64 w 7929"/>
                            <a:gd name="T66" fmla="+- 0 254 245"/>
                            <a:gd name="T67" fmla="*/ 254 h 10"/>
                            <a:gd name="T68" fmla="+- 0 5948 1702"/>
                            <a:gd name="T69" fmla="*/ T68 w 7929"/>
                            <a:gd name="T70" fmla="+- 0 245 245"/>
                            <a:gd name="T71" fmla="*/ 245 h 10"/>
                            <a:gd name="T72" fmla="+- 0 9631 1702"/>
                            <a:gd name="T73" fmla="*/ T72 w 7929"/>
                            <a:gd name="T74" fmla="+- 0 245 245"/>
                            <a:gd name="T75" fmla="*/ 245 h 10"/>
                            <a:gd name="T76" fmla="+- 0 8795 1702"/>
                            <a:gd name="T77" fmla="*/ T76 w 7929"/>
                            <a:gd name="T78" fmla="+- 0 245 245"/>
                            <a:gd name="T79" fmla="*/ 245 h 10"/>
                            <a:gd name="T80" fmla="+- 0 8785 1702"/>
                            <a:gd name="T81" fmla="*/ T80 w 7929"/>
                            <a:gd name="T82" fmla="+- 0 245 245"/>
                            <a:gd name="T83" fmla="*/ 245 h 10"/>
                            <a:gd name="T84" fmla="+- 0 7374 1702"/>
                            <a:gd name="T85" fmla="*/ T84 w 7929"/>
                            <a:gd name="T86" fmla="+- 0 245 245"/>
                            <a:gd name="T87" fmla="*/ 245 h 10"/>
                            <a:gd name="T88" fmla="+- 0 7365 1702"/>
                            <a:gd name="T89" fmla="*/ T88 w 7929"/>
                            <a:gd name="T90" fmla="+- 0 245 245"/>
                            <a:gd name="T91" fmla="*/ 245 h 10"/>
                            <a:gd name="T92" fmla="+- 0 7365 1702"/>
                            <a:gd name="T93" fmla="*/ T92 w 7929"/>
                            <a:gd name="T94" fmla="+- 0 245 245"/>
                            <a:gd name="T95" fmla="*/ 245 h 10"/>
                            <a:gd name="T96" fmla="+- 0 5958 1702"/>
                            <a:gd name="T97" fmla="*/ T96 w 7929"/>
                            <a:gd name="T98" fmla="+- 0 245 245"/>
                            <a:gd name="T99" fmla="*/ 245 h 10"/>
                            <a:gd name="T100" fmla="+- 0 5948 1702"/>
                            <a:gd name="T101" fmla="*/ T100 w 7929"/>
                            <a:gd name="T102" fmla="+- 0 245 245"/>
                            <a:gd name="T103" fmla="*/ 245 h 10"/>
                            <a:gd name="T104" fmla="+- 0 5948 1702"/>
                            <a:gd name="T105" fmla="*/ T104 w 7929"/>
                            <a:gd name="T106" fmla="+- 0 254 245"/>
                            <a:gd name="T107" fmla="*/ 254 h 10"/>
                            <a:gd name="T108" fmla="+- 0 5958 1702"/>
                            <a:gd name="T109" fmla="*/ T108 w 7929"/>
                            <a:gd name="T110" fmla="+- 0 254 245"/>
                            <a:gd name="T111" fmla="*/ 254 h 10"/>
                            <a:gd name="T112" fmla="+- 0 7365 1702"/>
                            <a:gd name="T113" fmla="*/ T112 w 7929"/>
                            <a:gd name="T114" fmla="+- 0 254 245"/>
                            <a:gd name="T115" fmla="*/ 254 h 10"/>
                            <a:gd name="T116" fmla="+- 0 7365 1702"/>
                            <a:gd name="T117" fmla="*/ T116 w 7929"/>
                            <a:gd name="T118" fmla="+- 0 254 245"/>
                            <a:gd name="T119" fmla="*/ 254 h 10"/>
                            <a:gd name="T120" fmla="+- 0 7374 1702"/>
                            <a:gd name="T121" fmla="*/ T120 w 7929"/>
                            <a:gd name="T122" fmla="+- 0 254 245"/>
                            <a:gd name="T123" fmla="*/ 254 h 10"/>
                            <a:gd name="T124" fmla="+- 0 8785 1702"/>
                            <a:gd name="T125" fmla="*/ T124 w 7929"/>
                            <a:gd name="T126" fmla="+- 0 254 245"/>
                            <a:gd name="T127" fmla="*/ 254 h 10"/>
                            <a:gd name="T128" fmla="+- 0 8795 1702"/>
                            <a:gd name="T129" fmla="*/ T128 w 7929"/>
                            <a:gd name="T130" fmla="+- 0 254 245"/>
                            <a:gd name="T131" fmla="*/ 254 h 10"/>
                            <a:gd name="T132" fmla="+- 0 9631 1702"/>
                            <a:gd name="T133" fmla="*/ T132 w 7929"/>
                            <a:gd name="T134" fmla="+- 0 254 245"/>
                            <a:gd name="T135" fmla="*/ 254 h 10"/>
                            <a:gd name="T136" fmla="+- 0 9631 1702"/>
                            <a:gd name="T137" fmla="*/ T136 w 7929"/>
                            <a:gd name="T138" fmla="+- 0 245 245"/>
                            <a:gd name="T139" fmla="*/ 245 h 10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  <a:cxn ang="0">
                              <a:pos x="T25" y="T27"/>
                            </a:cxn>
                            <a:cxn ang="0">
                              <a:pos x="T29" y="T31"/>
                            </a:cxn>
                            <a:cxn ang="0">
                              <a:pos x="T33" y="T35"/>
                            </a:cxn>
                            <a:cxn ang="0">
                              <a:pos x="T37" y="T39"/>
                            </a:cxn>
                            <a:cxn ang="0">
                              <a:pos x="T41" y="T43"/>
                            </a:cxn>
                            <a:cxn ang="0">
                              <a:pos x="T45" y="T47"/>
                            </a:cxn>
                            <a:cxn ang="0">
                              <a:pos x="T49" y="T51"/>
                            </a:cxn>
                            <a:cxn ang="0">
                              <a:pos x="T53" y="T55"/>
                            </a:cxn>
                            <a:cxn ang="0">
                              <a:pos x="T57" y="T59"/>
                            </a:cxn>
                            <a:cxn ang="0">
                              <a:pos x="T61" y="T63"/>
                            </a:cxn>
                            <a:cxn ang="0">
                              <a:pos x="T65" y="T67"/>
                            </a:cxn>
                            <a:cxn ang="0">
                              <a:pos x="T69" y="T71"/>
                            </a:cxn>
                            <a:cxn ang="0">
                              <a:pos x="T73" y="T75"/>
                            </a:cxn>
                            <a:cxn ang="0">
                              <a:pos x="T77" y="T79"/>
                            </a:cxn>
                            <a:cxn ang="0">
                              <a:pos x="T81" y="T83"/>
                            </a:cxn>
                            <a:cxn ang="0">
                              <a:pos x="T85" y="T87"/>
                            </a:cxn>
                            <a:cxn ang="0">
                              <a:pos x="T89" y="T91"/>
                            </a:cxn>
                            <a:cxn ang="0">
                              <a:pos x="T93" y="T95"/>
                            </a:cxn>
                            <a:cxn ang="0">
                              <a:pos x="T97" y="T99"/>
                            </a:cxn>
                            <a:cxn ang="0">
                              <a:pos x="T101" y="T103"/>
                            </a:cxn>
                            <a:cxn ang="0">
                              <a:pos x="T105" y="T107"/>
                            </a:cxn>
                            <a:cxn ang="0">
                              <a:pos x="T109" y="T111"/>
                            </a:cxn>
                            <a:cxn ang="0">
                              <a:pos x="T113" y="T115"/>
                            </a:cxn>
                            <a:cxn ang="0">
                              <a:pos x="T117" y="T119"/>
                            </a:cxn>
                            <a:cxn ang="0">
                              <a:pos x="T121" y="T123"/>
                            </a:cxn>
                            <a:cxn ang="0">
                              <a:pos x="T125" y="T127"/>
                            </a:cxn>
                            <a:cxn ang="0">
                              <a:pos x="T129" y="T131"/>
                            </a:cxn>
                            <a:cxn ang="0">
                              <a:pos x="T133" y="T135"/>
                            </a:cxn>
                            <a:cxn ang="0">
                              <a:pos x="T137" y="T139"/>
                            </a:cxn>
                          </a:cxnLst>
                          <a:rect l="0" t="0" r="r" b="b"/>
                          <a:pathLst>
                            <a:path w="7929" h="10">
                              <a:moveTo>
                                <a:pt x="2830" y="0"/>
                              </a:moveTo>
                              <a:lnTo>
                                <a:pt x="1426" y="0"/>
                              </a:lnTo>
                              <a:lnTo>
                                <a:pt x="1416" y="0"/>
                              </a:lnTo>
                              <a:lnTo>
                                <a:pt x="0" y="0"/>
                              </a:lnTo>
                              <a:lnTo>
                                <a:pt x="0" y="9"/>
                              </a:lnTo>
                              <a:lnTo>
                                <a:pt x="1416" y="9"/>
                              </a:lnTo>
                              <a:lnTo>
                                <a:pt x="1426" y="9"/>
                              </a:lnTo>
                              <a:lnTo>
                                <a:pt x="2830" y="9"/>
                              </a:lnTo>
                              <a:lnTo>
                                <a:pt x="2830" y="0"/>
                              </a:lnTo>
                              <a:close/>
                              <a:moveTo>
                                <a:pt x="4246" y="0"/>
                              </a:moveTo>
                              <a:lnTo>
                                <a:pt x="2840" y="0"/>
                              </a:lnTo>
                              <a:lnTo>
                                <a:pt x="2830" y="0"/>
                              </a:lnTo>
                              <a:lnTo>
                                <a:pt x="2830" y="9"/>
                              </a:lnTo>
                              <a:lnTo>
                                <a:pt x="2840" y="9"/>
                              </a:lnTo>
                              <a:lnTo>
                                <a:pt x="4246" y="9"/>
                              </a:lnTo>
                              <a:lnTo>
                                <a:pt x="4246" y="0"/>
                              </a:lnTo>
                              <a:close/>
                              <a:moveTo>
                                <a:pt x="7929" y="0"/>
                              </a:moveTo>
                              <a:lnTo>
                                <a:pt x="7093" y="0"/>
                              </a:lnTo>
                              <a:lnTo>
                                <a:pt x="7083" y="0"/>
                              </a:lnTo>
                              <a:lnTo>
                                <a:pt x="5672" y="0"/>
                              </a:lnTo>
                              <a:lnTo>
                                <a:pt x="5663" y="0"/>
                              </a:lnTo>
                              <a:lnTo>
                                <a:pt x="4256" y="0"/>
                              </a:lnTo>
                              <a:lnTo>
                                <a:pt x="4246" y="0"/>
                              </a:lnTo>
                              <a:lnTo>
                                <a:pt x="4246" y="9"/>
                              </a:lnTo>
                              <a:lnTo>
                                <a:pt x="4256" y="9"/>
                              </a:lnTo>
                              <a:lnTo>
                                <a:pt x="5663" y="9"/>
                              </a:lnTo>
                              <a:lnTo>
                                <a:pt x="5672" y="9"/>
                              </a:lnTo>
                              <a:lnTo>
                                <a:pt x="7083" y="9"/>
                              </a:lnTo>
                              <a:lnTo>
                                <a:pt x="7093" y="9"/>
                              </a:lnTo>
                              <a:lnTo>
                                <a:pt x="7929" y="9"/>
                              </a:lnTo>
                              <a:lnTo>
                                <a:pt x="7929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7E7E7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4D20027" id="AutoShape 6" o:spid="_x0000_s1026" style="position:absolute;margin-left:85.1pt;margin-top:12.25pt;width:396.45pt;height:.5pt;z-index:-1572454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coordsize="7929,1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" path="m2830,l1426,r-10,l,,,9r1416,l1426,9r1404,l2830,xm4246,l2840,r-10,l2830,9r10,l4246,9r,-9xm7929,l7093,r-10,l5672,r-9,l4256,r-10,l4246,9r10,l5663,9r9,l7083,9r10,l7929,9r,-9xe" fillcolor="#7e7e7e" stroked="f">
                <v:path arrowok="t" o:connecttype="custom" o:connectlocs="1797050,155575;905510,155575;899160,155575;899160,155575;0,155575;0,161290;899160,161290;899160,161290;905510,161290;1797050,161290;1797050,155575;2696210,155575;1803400,155575;1797050,155575;1797050,161290;1803400,161290;2696210,161290;2696210,155575;5034915,155575;4504055,155575;4497705,155575;3601720,155575;3596005,155575;3596005,155575;2702560,155575;2696210,155575;2696210,161290;2702560,161290;3596005,161290;3596005,161290;3601720,161290;4497705,161290;4504055,161290;5034915,161290;5034915,155575" o:connectangles="0,0,0,0,0,0,0,0,0,0,0,0,0,0,0,0,0,0,0,0,0,0,0,0,0,0,0,0,0,0,0,0,0,0,0"/>
                <w10:wrap type="topAndBottom" anchorx="page"/>
              </v:shape>
            </w:pict>
          </mc:Fallback>
        </mc:AlternateContent>
      </w:r>
    </w:p>
    <w:p w14:paraId="6E157901" w14:textId="77777777" w:rsidR="00C774B2" w:rsidRDefault="00000000">
      <w:pPr>
        <w:pStyle w:val="Textoindependiente"/>
        <w:spacing w:line="236" w:lineRule="exact"/>
        <w:ind w:left="1702"/>
        <w:rPr>
          <w:rFonts w:ascii="Calibri Light"/>
        </w:rPr>
      </w:pPr>
      <w:r>
        <w:rPr>
          <w:rFonts w:ascii="Calibri Light"/>
        </w:rPr>
        <w:t>IG:</w:t>
      </w:r>
      <w:r>
        <w:rPr>
          <w:rFonts w:ascii="Calibri Light"/>
          <w:spacing w:val="-3"/>
        </w:rPr>
        <w:t xml:space="preserve"> </w:t>
      </w:r>
      <w:r>
        <w:rPr>
          <w:rFonts w:ascii="Calibri Light"/>
        </w:rPr>
        <w:t>Intervention</w:t>
      </w:r>
      <w:r>
        <w:rPr>
          <w:rFonts w:ascii="Calibri Light"/>
          <w:spacing w:val="-2"/>
        </w:rPr>
        <w:t xml:space="preserve"> </w:t>
      </w:r>
      <w:r>
        <w:rPr>
          <w:rFonts w:ascii="Calibri Light"/>
        </w:rPr>
        <w:t>Group</w:t>
      </w:r>
    </w:p>
    <w:p w14:paraId="48D01905" w14:textId="77777777" w:rsidR="00C774B2" w:rsidRDefault="00C774B2">
      <w:pPr>
        <w:spacing w:line="236" w:lineRule="exact"/>
        <w:rPr>
          <w:rFonts w:ascii="Calibri Light"/>
        </w:rPr>
        <w:sectPr w:rsidR="00C774B2" w:rsidSect="003D4159">
          <w:pgSz w:w="11910" w:h="16840"/>
          <w:pgMar w:top="0" w:right="60" w:bottom="280" w:left="0" w:header="720" w:footer="720" w:gutter="0"/>
          <w:cols w:space="720"/>
        </w:sectPr>
      </w:pPr>
    </w:p>
    <w:p w14:paraId="725C9FD1" w14:textId="77777777" w:rsidR="00C774B2" w:rsidRDefault="00C774B2">
      <w:pPr>
        <w:pStyle w:val="Textoindependiente"/>
        <w:spacing w:before="11"/>
        <w:rPr>
          <w:rFonts w:ascii="Calibri Light"/>
          <w:sz w:val="21"/>
        </w:rPr>
      </w:pPr>
    </w:p>
    <w:p w14:paraId="666C0E4F" w14:textId="77777777" w:rsidR="00C774B2" w:rsidRDefault="00000000">
      <w:pPr>
        <w:pStyle w:val="Ttulo4"/>
        <w:spacing w:before="56"/>
        <w:ind w:right="1640"/>
      </w:pPr>
      <w:r>
        <w:t>Table</w:t>
      </w:r>
      <w:r>
        <w:rPr>
          <w:spacing w:val="-3"/>
        </w:rPr>
        <w:t xml:space="preserve"> </w:t>
      </w:r>
      <w:r>
        <w:t>2.</w:t>
      </w:r>
      <w:r>
        <w:rPr>
          <w:spacing w:val="-1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PANAS</w:t>
      </w:r>
      <w:r>
        <w:rPr>
          <w:spacing w:val="-1"/>
        </w:rPr>
        <w:t xml:space="preserve"> </w:t>
      </w:r>
      <w:r>
        <w:t>and</w:t>
      </w:r>
      <w:r>
        <w:rPr>
          <w:spacing w:val="-3"/>
        </w:rPr>
        <w:t xml:space="preserve"> </w:t>
      </w:r>
      <w:r>
        <w:t>ECEA</w:t>
      </w:r>
      <w:r>
        <w:rPr>
          <w:spacing w:val="-4"/>
        </w:rPr>
        <w:t xml:space="preserve"> </w:t>
      </w:r>
      <w:r>
        <w:t>scales</w:t>
      </w:r>
      <w:r>
        <w:rPr>
          <w:spacing w:val="-1"/>
        </w:rPr>
        <w:t xml:space="preserve"> </w:t>
      </w:r>
      <w:r>
        <w:t>by</w:t>
      </w:r>
      <w:r>
        <w:rPr>
          <w:spacing w:val="-2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group</w:t>
      </w:r>
    </w:p>
    <w:p w14:paraId="5A6DD06D" w14:textId="77777777" w:rsidR="00C774B2" w:rsidRDefault="00C774B2">
      <w:pPr>
        <w:pStyle w:val="Textoindependiente"/>
        <w:spacing w:before="7"/>
        <w:rPr>
          <w:b/>
          <w:sz w:val="15"/>
        </w:rPr>
      </w:pPr>
    </w:p>
    <w:tbl>
      <w:tblPr>
        <w:tblStyle w:val="TableNormal"/>
        <w:tblW w:w="0" w:type="auto"/>
        <w:tblInd w:w="1695" w:type="dxa"/>
        <w:tblLayout w:type="fixed"/>
        <w:tblLook w:val="01E0" w:firstRow="1" w:lastRow="1" w:firstColumn="1" w:lastColumn="1" w:noHBand="0" w:noVBand="0"/>
      </w:tblPr>
      <w:tblGrid>
        <w:gridCol w:w="1351"/>
        <w:gridCol w:w="1585"/>
        <w:gridCol w:w="1506"/>
        <w:gridCol w:w="1526"/>
        <w:gridCol w:w="1558"/>
        <w:gridCol w:w="852"/>
      </w:tblGrid>
      <w:tr w:rsidR="00C774B2" w14:paraId="384B3694" w14:textId="77777777">
        <w:trPr>
          <w:trHeight w:val="508"/>
        </w:trPr>
        <w:tc>
          <w:tcPr>
            <w:tcW w:w="1351" w:type="dxa"/>
            <w:tcBorders>
              <w:top w:val="single" w:sz="4" w:space="0" w:color="7E7E7E"/>
            </w:tcBorders>
          </w:tcPr>
          <w:p w14:paraId="41E1DCBC" w14:textId="77777777" w:rsidR="00C774B2" w:rsidRDefault="00000000">
            <w:pPr>
              <w:pStyle w:val="TableParagraph"/>
              <w:ind w:left="191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Dimension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10DDEACC" w14:textId="77777777" w:rsidR="00C774B2" w:rsidRDefault="00000000">
            <w:pPr>
              <w:pStyle w:val="TableParagraph"/>
              <w:ind w:left="318" w:right="26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Total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2C854710" w14:textId="77777777" w:rsidR="00C774B2" w:rsidRDefault="00000000">
            <w:pPr>
              <w:pStyle w:val="TableParagraph"/>
              <w:ind w:left="424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Control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1003F813" w14:textId="77777777" w:rsidR="00C774B2" w:rsidRDefault="00000000">
            <w:pPr>
              <w:pStyle w:val="TableParagraph"/>
              <w:ind w:left="539" w:right="56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IG-1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03509A6B" w14:textId="77777777" w:rsidR="00C774B2" w:rsidRDefault="00000000">
            <w:pPr>
              <w:pStyle w:val="TableParagraph"/>
              <w:ind w:left="572" w:right="56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IG-2</w:t>
            </w:r>
          </w:p>
        </w:tc>
        <w:tc>
          <w:tcPr>
            <w:tcW w:w="852" w:type="dxa"/>
            <w:tcBorders>
              <w:top w:val="single" w:sz="4" w:space="0" w:color="7E7E7E"/>
            </w:tcBorders>
          </w:tcPr>
          <w:p w14:paraId="4640A01C" w14:textId="77777777" w:rsidR="00C774B2" w:rsidRDefault="00000000">
            <w:pPr>
              <w:pStyle w:val="TableParagraph"/>
              <w:ind w:left="155" w:right="152"/>
              <w:rPr>
                <w:rFonts w:ascii="Calibri"/>
                <w:b/>
              </w:rPr>
            </w:pPr>
            <w:r>
              <w:rPr>
                <w:rFonts w:ascii="Calibri"/>
                <w:b/>
                <w:i/>
              </w:rPr>
              <w:t>p</w:t>
            </w:r>
            <w:r>
              <w:rPr>
                <w:rFonts w:ascii="Calibri"/>
                <w:b/>
              </w:rPr>
              <w:t>*</w:t>
            </w:r>
          </w:p>
        </w:tc>
      </w:tr>
      <w:tr w:rsidR="00C774B2" w14:paraId="18B4643B" w14:textId="77777777">
        <w:trPr>
          <w:trHeight w:val="508"/>
        </w:trPr>
        <w:tc>
          <w:tcPr>
            <w:tcW w:w="1351" w:type="dxa"/>
            <w:tcBorders>
              <w:bottom w:val="single" w:sz="4" w:space="0" w:color="7E7E7E"/>
            </w:tcBorders>
          </w:tcPr>
          <w:p w14:paraId="3879A588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2DD01D1C" w14:textId="77777777" w:rsidR="00C774B2" w:rsidRDefault="00000000">
            <w:pPr>
              <w:pStyle w:val="TableParagraph"/>
              <w:ind w:left="315" w:right="265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23F998AF" w14:textId="77777777" w:rsidR="00C774B2" w:rsidRDefault="00000000">
            <w:pPr>
              <w:pStyle w:val="TableParagraph"/>
              <w:ind w:right="262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39633F6D" w14:textId="77777777" w:rsidR="00C774B2" w:rsidRDefault="00000000">
            <w:pPr>
              <w:pStyle w:val="TableParagraph"/>
              <w:ind w:right="297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2F8507E0" w14:textId="77777777" w:rsidR="00C774B2" w:rsidRDefault="00000000">
            <w:pPr>
              <w:pStyle w:val="TableParagraph"/>
              <w:ind w:right="295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852" w:type="dxa"/>
            <w:tcBorders>
              <w:bottom w:val="single" w:sz="4" w:space="0" w:color="7E7E7E"/>
            </w:tcBorders>
          </w:tcPr>
          <w:p w14:paraId="1D8BD699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  <w:tr w:rsidR="00C774B2" w14:paraId="33CE1634" w14:textId="77777777">
        <w:trPr>
          <w:trHeight w:val="508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5B75EB32" w14:textId="77777777" w:rsidR="00C774B2" w:rsidRDefault="00000000">
            <w:pPr>
              <w:pStyle w:val="TableParagraph"/>
              <w:ind w:left="122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PANAS</w:t>
            </w:r>
            <w:r>
              <w:rPr>
                <w:rFonts w:ascii="Calibri"/>
                <w:b/>
                <w:spacing w:val="-1"/>
              </w:rPr>
              <w:t xml:space="preserve"> </w:t>
            </w:r>
            <w:r>
              <w:rPr>
                <w:rFonts w:ascii="Calibri"/>
                <w:b/>
              </w:rPr>
              <w:t>scale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55CCCD1B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2CE56CE3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788EFF67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20E90270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260F4B72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  <w:tr w:rsidR="00C774B2" w14:paraId="01850735" w14:textId="77777777">
        <w:trPr>
          <w:trHeight w:val="510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</w:tcPr>
          <w:p w14:paraId="04368ECD" w14:textId="77777777" w:rsidR="00C774B2" w:rsidRDefault="00000000">
            <w:pPr>
              <w:pStyle w:val="TableParagraph"/>
              <w:spacing w:before="1" w:line="240" w:lineRule="auto"/>
              <w:ind w:left="522" w:right="50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PA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3C111402" w14:textId="77777777" w:rsidR="00C774B2" w:rsidRDefault="00000000">
            <w:pPr>
              <w:pStyle w:val="TableParagraph"/>
              <w:spacing w:before="1" w:line="240" w:lineRule="auto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32.5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(6.2)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763959C7" w14:textId="77777777" w:rsidR="00C774B2" w:rsidRDefault="00000000">
            <w:pPr>
              <w:pStyle w:val="TableParagraph"/>
              <w:spacing w:before="1" w:line="240" w:lineRule="auto"/>
              <w:ind w:right="3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33.4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(6.1)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11362B52" w14:textId="77777777" w:rsidR="00C774B2" w:rsidRDefault="00000000">
            <w:pPr>
              <w:pStyle w:val="TableParagraph"/>
              <w:spacing w:before="1" w:line="240" w:lineRule="auto"/>
              <w:ind w:right="29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31.79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(6.3)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66289E5C" w14:textId="77777777" w:rsidR="00C774B2" w:rsidRDefault="00000000">
            <w:pPr>
              <w:pStyle w:val="TableParagraph"/>
              <w:spacing w:before="1" w:line="240" w:lineRule="auto"/>
              <w:ind w:right="3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32.4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(6.2)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3F502AC1" w14:textId="77777777" w:rsidR="00C774B2" w:rsidRDefault="00000000">
            <w:pPr>
              <w:pStyle w:val="TableParagraph"/>
              <w:spacing w:before="1" w:line="240" w:lineRule="auto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0.33</w:t>
            </w:r>
          </w:p>
        </w:tc>
      </w:tr>
      <w:tr w:rsidR="00C774B2" w14:paraId="1CD4F685" w14:textId="77777777">
        <w:trPr>
          <w:trHeight w:val="508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</w:tcPr>
          <w:p w14:paraId="67722E9B" w14:textId="77777777" w:rsidR="00C774B2" w:rsidRDefault="00000000">
            <w:pPr>
              <w:pStyle w:val="TableParagraph"/>
              <w:ind w:left="522" w:right="50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NA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2272CC8C" w14:textId="77777777" w:rsidR="00C774B2" w:rsidRDefault="00000000">
            <w:pPr>
              <w:pStyle w:val="TableParagraph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22.9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(7.5)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291DECCE" w14:textId="77777777" w:rsidR="00C774B2" w:rsidRDefault="00000000">
            <w:pPr>
              <w:pStyle w:val="TableParagraph"/>
              <w:ind w:left="42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21.6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(7)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7C125B6C" w14:textId="77777777" w:rsidR="00C774B2" w:rsidRDefault="00000000">
            <w:pPr>
              <w:pStyle w:val="TableParagraph"/>
              <w:ind w:right="35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24.1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(8.1)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674A2E1A" w14:textId="77777777" w:rsidR="00C774B2" w:rsidRDefault="00000000">
            <w:pPr>
              <w:pStyle w:val="TableParagraph"/>
              <w:ind w:right="3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22.6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(7.2)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23D77CA1" w14:textId="77777777" w:rsidR="00C774B2" w:rsidRDefault="00000000">
            <w:pPr>
              <w:pStyle w:val="TableParagraph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0.12</w:t>
            </w:r>
          </w:p>
        </w:tc>
      </w:tr>
      <w:tr w:rsidR="00C774B2" w14:paraId="347217AC" w14:textId="77777777">
        <w:trPr>
          <w:trHeight w:val="508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3102117A" w14:textId="77777777" w:rsidR="00C774B2" w:rsidRDefault="00000000">
            <w:pPr>
              <w:pStyle w:val="TableParagraph"/>
              <w:ind w:left="122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ECEA</w:t>
            </w:r>
            <w:r>
              <w:rPr>
                <w:rFonts w:ascii="Calibri"/>
                <w:b/>
                <w:spacing w:val="-2"/>
              </w:rPr>
              <w:t xml:space="preserve"> </w:t>
            </w:r>
            <w:r>
              <w:rPr>
                <w:rFonts w:ascii="Calibri"/>
                <w:b/>
              </w:rPr>
              <w:t>scale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376541E6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429DE075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3DB8C26B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74075B82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  <w:shd w:val="clear" w:color="auto" w:fill="F1F1F1"/>
          </w:tcPr>
          <w:p w14:paraId="594E85DB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  <w:tr w:rsidR="00C774B2" w14:paraId="17773BC9" w14:textId="77777777">
        <w:trPr>
          <w:trHeight w:val="509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</w:tcPr>
          <w:p w14:paraId="1802F7A8" w14:textId="77777777" w:rsidR="00C774B2" w:rsidRDefault="00000000">
            <w:pPr>
              <w:pStyle w:val="TableParagraph"/>
              <w:ind w:left="304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METDEF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44E39729" w14:textId="77777777" w:rsidR="00C774B2" w:rsidRDefault="00000000">
            <w:pPr>
              <w:pStyle w:val="TableParagraph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41.6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(10.6)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6A2AE366" w14:textId="77777777" w:rsidR="00C774B2" w:rsidRDefault="00000000">
            <w:pPr>
              <w:pStyle w:val="TableParagraph"/>
              <w:ind w:right="3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41.9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(9.8)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0A62A24A" w14:textId="77777777" w:rsidR="00C774B2" w:rsidRDefault="00000000">
            <w:pPr>
              <w:pStyle w:val="TableParagraph"/>
              <w:ind w:right="295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41.4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(11.1)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04F8A962" w14:textId="77777777" w:rsidR="00C774B2" w:rsidRDefault="00000000">
            <w:pPr>
              <w:pStyle w:val="TableParagraph"/>
              <w:ind w:right="29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41.5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(10.7)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5286C66E" w14:textId="77777777" w:rsidR="00C774B2" w:rsidRDefault="00000000">
            <w:pPr>
              <w:pStyle w:val="TableParagraph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0.95</w:t>
            </w:r>
          </w:p>
        </w:tc>
      </w:tr>
      <w:tr w:rsidR="00C774B2" w14:paraId="7097B973" w14:textId="77777777">
        <w:trPr>
          <w:trHeight w:val="508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</w:tcPr>
          <w:p w14:paraId="543D4EFB" w14:textId="77777777" w:rsidR="00C774B2" w:rsidRDefault="00000000">
            <w:pPr>
              <w:pStyle w:val="TableParagraph"/>
              <w:ind w:left="369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ACAOL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4F0BDF88" w14:textId="77777777" w:rsidR="00C774B2" w:rsidRDefault="00000000">
            <w:pPr>
              <w:pStyle w:val="TableParagraph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30.2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(9)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158B30E9" w14:textId="77777777" w:rsidR="00C774B2" w:rsidRDefault="00000000">
            <w:pPr>
              <w:pStyle w:val="TableParagraph"/>
              <w:ind w:left="42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29.8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(9)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17E01F95" w14:textId="77777777" w:rsidR="00C774B2" w:rsidRDefault="00000000">
            <w:pPr>
              <w:pStyle w:val="TableParagraph"/>
              <w:ind w:right="35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31.4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(8.5)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0C284ECE" w14:textId="77777777" w:rsidR="00C774B2" w:rsidRDefault="00000000">
            <w:pPr>
              <w:pStyle w:val="TableParagraph"/>
              <w:ind w:right="3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29.3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(9.3)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0163E6BE" w14:textId="77777777" w:rsidR="00C774B2" w:rsidRDefault="00000000">
            <w:pPr>
              <w:pStyle w:val="TableParagraph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0.31</w:t>
            </w:r>
          </w:p>
        </w:tc>
      </w:tr>
      <w:tr w:rsidR="00C774B2" w14:paraId="1B98C494" w14:textId="77777777">
        <w:trPr>
          <w:trHeight w:val="508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</w:tcPr>
          <w:p w14:paraId="07B253FD" w14:textId="77777777" w:rsidR="00C774B2" w:rsidRDefault="00000000">
            <w:pPr>
              <w:pStyle w:val="TableParagraph"/>
              <w:ind w:left="335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BELACP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5F4CBC71" w14:textId="77777777" w:rsidR="00C774B2" w:rsidRDefault="00000000">
            <w:pPr>
              <w:pStyle w:val="TableParagraph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28.8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(9.1)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1DE62959" w14:textId="77777777" w:rsidR="00C774B2" w:rsidRDefault="00000000">
            <w:pPr>
              <w:pStyle w:val="TableParagraph"/>
              <w:ind w:right="3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27.5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(9.2)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21CCFD32" w14:textId="77777777" w:rsidR="00C774B2" w:rsidRDefault="00000000">
            <w:pPr>
              <w:pStyle w:val="TableParagraph"/>
              <w:ind w:right="35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29.6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(8.2)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501A340A" w14:textId="77777777" w:rsidR="00C774B2" w:rsidRDefault="00000000">
            <w:pPr>
              <w:pStyle w:val="TableParagraph"/>
              <w:ind w:right="3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28.9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(9.8)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184B4B69" w14:textId="77777777" w:rsidR="00C774B2" w:rsidRDefault="00000000">
            <w:pPr>
              <w:pStyle w:val="TableParagraph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0.34</w:t>
            </w:r>
          </w:p>
        </w:tc>
      </w:tr>
      <w:tr w:rsidR="00C774B2" w14:paraId="6ACA7C11" w14:textId="77777777">
        <w:trPr>
          <w:trHeight w:val="510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</w:tcPr>
          <w:p w14:paraId="4EBA158A" w14:textId="77777777" w:rsidR="00C774B2" w:rsidRDefault="00000000">
            <w:pPr>
              <w:pStyle w:val="TableParagraph"/>
              <w:spacing w:before="1" w:line="240" w:lineRule="auto"/>
              <w:ind w:left="319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SPKPUB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53D93CAD" w14:textId="77777777" w:rsidR="00C774B2" w:rsidRDefault="00000000">
            <w:pPr>
              <w:pStyle w:val="TableParagraph"/>
              <w:spacing w:before="1" w:line="240" w:lineRule="auto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15.1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(5.5)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4FF9A81E" w14:textId="77777777" w:rsidR="00C774B2" w:rsidRDefault="00000000">
            <w:pPr>
              <w:pStyle w:val="TableParagraph"/>
              <w:spacing w:before="1" w:line="240" w:lineRule="auto"/>
              <w:ind w:right="3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15.7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(5.8)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37B3569F" w14:textId="77777777" w:rsidR="00C774B2" w:rsidRDefault="00000000">
            <w:pPr>
              <w:pStyle w:val="TableParagraph"/>
              <w:spacing w:before="1" w:line="240" w:lineRule="auto"/>
              <w:ind w:right="35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15.3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(5.5)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760EF5CA" w14:textId="77777777" w:rsidR="00C774B2" w:rsidRDefault="00000000">
            <w:pPr>
              <w:pStyle w:val="TableParagraph"/>
              <w:spacing w:before="1" w:line="240" w:lineRule="auto"/>
              <w:ind w:right="3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14.4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(5.3)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36F83308" w14:textId="77777777" w:rsidR="00C774B2" w:rsidRDefault="00000000">
            <w:pPr>
              <w:pStyle w:val="TableParagraph"/>
              <w:spacing w:before="1" w:line="240" w:lineRule="auto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0.32</w:t>
            </w:r>
          </w:p>
        </w:tc>
      </w:tr>
      <w:tr w:rsidR="00C774B2" w14:paraId="06BA268F" w14:textId="77777777">
        <w:trPr>
          <w:trHeight w:val="508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</w:tcPr>
          <w:p w14:paraId="750680EC" w14:textId="77777777" w:rsidR="00C774B2" w:rsidRDefault="00000000">
            <w:pPr>
              <w:pStyle w:val="TableParagraph"/>
              <w:ind w:left="367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NSENV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158CDB8B" w14:textId="77777777" w:rsidR="00C774B2" w:rsidRDefault="00000000">
            <w:pPr>
              <w:pStyle w:val="TableParagraph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11.4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(5.7)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57CF1612" w14:textId="77777777" w:rsidR="00C774B2" w:rsidRDefault="00000000">
            <w:pPr>
              <w:pStyle w:val="TableParagraph"/>
              <w:ind w:left="42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11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(5.1)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3E8EA1AE" w14:textId="77777777" w:rsidR="00C774B2" w:rsidRDefault="00000000">
            <w:pPr>
              <w:pStyle w:val="TableParagraph"/>
              <w:ind w:right="35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11.2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(5.5)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00DD74B2" w14:textId="77777777" w:rsidR="00C774B2" w:rsidRDefault="00000000">
            <w:pPr>
              <w:pStyle w:val="TableParagraph"/>
              <w:ind w:right="34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11.9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(6.4)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4AD27408" w14:textId="77777777" w:rsidR="00C774B2" w:rsidRDefault="00000000">
            <w:pPr>
              <w:pStyle w:val="TableParagraph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0.55</w:t>
            </w:r>
          </w:p>
        </w:tc>
      </w:tr>
      <w:tr w:rsidR="00C774B2" w14:paraId="01D41851" w14:textId="77777777">
        <w:trPr>
          <w:trHeight w:val="508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</w:tcPr>
          <w:p w14:paraId="2E65FE1D" w14:textId="77777777" w:rsidR="00C774B2" w:rsidRDefault="00000000">
            <w:pPr>
              <w:pStyle w:val="TableParagraph"/>
              <w:ind w:left="405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EXAM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19D260ED" w14:textId="77777777" w:rsidR="00C774B2" w:rsidRDefault="00000000">
            <w:pPr>
              <w:pStyle w:val="TableParagraph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13.5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(3.9)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36DD1507" w14:textId="77777777" w:rsidR="00C774B2" w:rsidRDefault="00000000">
            <w:pPr>
              <w:pStyle w:val="TableParagraph"/>
              <w:ind w:right="31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13.4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(3.9)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5A7C7878" w14:textId="77777777" w:rsidR="00C774B2" w:rsidRDefault="00000000">
            <w:pPr>
              <w:pStyle w:val="TableParagraph"/>
              <w:ind w:right="35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13.8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(4.1)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74268602" w14:textId="77777777" w:rsidR="00C774B2" w:rsidRDefault="00000000">
            <w:pPr>
              <w:pStyle w:val="TableParagraph"/>
              <w:ind w:left="380"/>
              <w:jc w:val="left"/>
              <w:rPr>
                <w:rFonts w:ascii="Calibri"/>
              </w:rPr>
            </w:pPr>
            <w:r>
              <w:rPr>
                <w:rFonts w:ascii="Calibri"/>
              </w:rPr>
              <w:t>13.2(3.7)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04EFE295" w14:textId="77777777" w:rsidR="00C774B2" w:rsidRDefault="00000000">
            <w:pPr>
              <w:pStyle w:val="TableParagraph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0.66</w:t>
            </w:r>
          </w:p>
        </w:tc>
      </w:tr>
      <w:tr w:rsidR="00C774B2" w14:paraId="0B0D1BB9" w14:textId="77777777">
        <w:trPr>
          <w:trHeight w:val="508"/>
        </w:trPr>
        <w:tc>
          <w:tcPr>
            <w:tcW w:w="1351" w:type="dxa"/>
            <w:tcBorders>
              <w:top w:val="single" w:sz="4" w:space="0" w:color="7E7E7E"/>
              <w:bottom w:val="single" w:sz="4" w:space="0" w:color="7E7E7E"/>
            </w:tcBorders>
          </w:tcPr>
          <w:p w14:paraId="40B59904" w14:textId="77777777" w:rsidR="00C774B2" w:rsidRDefault="00000000">
            <w:pPr>
              <w:pStyle w:val="TableParagraph"/>
              <w:ind w:left="273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LACKVAL</w:t>
            </w:r>
          </w:p>
        </w:tc>
        <w:tc>
          <w:tcPr>
            <w:tcW w:w="1585" w:type="dxa"/>
            <w:tcBorders>
              <w:top w:val="single" w:sz="4" w:space="0" w:color="7E7E7E"/>
              <w:bottom w:val="single" w:sz="4" w:space="0" w:color="7E7E7E"/>
            </w:tcBorders>
          </w:tcPr>
          <w:p w14:paraId="11BC1423" w14:textId="77777777" w:rsidR="00C774B2" w:rsidRDefault="00000000">
            <w:pPr>
              <w:pStyle w:val="TableParagraph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10.6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(3.9)</w:t>
            </w:r>
          </w:p>
        </w:tc>
        <w:tc>
          <w:tcPr>
            <w:tcW w:w="1506" w:type="dxa"/>
            <w:tcBorders>
              <w:top w:val="single" w:sz="4" w:space="0" w:color="7E7E7E"/>
              <w:bottom w:val="single" w:sz="4" w:space="0" w:color="7E7E7E"/>
            </w:tcBorders>
          </w:tcPr>
          <w:p w14:paraId="775D397C" w14:textId="77777777" w:rsidR="00C774B2" w:rsidRDefault="00000000">
            <w:pPr>
              <w:pStyle w:val="TableParagraph"/>
              <w:ind w:left="477"/>
              <w:jc w:val="left"/>
              <w:rPr>
                <w:rFonts w:ascii="Calibri"/>
              </w:rPr>
            </w:pPr>
            <w:r>
              <w:rPr>
                <w:rFonts w:ascii="Calibri"/>
              </w:rPr>
              <w:t>9.9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(4)</w:t>
            </w:r>
          </w:p>
        </w:tc>
        <w:tc>
          <w:tcPr>
            <w:tcW w:w="1526" w:type="dxa"/>
            <w:tcBorders>
              <w:top w:val="single" w:sz="4" w:space="0" w:color="7E7E7E"/>
              <w:bottom w:val="single" w:sz="4" w:space="0" w:color="7E7E7E"/>
            </w:tcBorders>
          </w:tcPr>
          <w:p w14:paraId="4E7341C8" w14:textId="77777777" w:rsidR="00C774B2" w:rsidRDefault="00000000">
            <w:pPr>
              <w:pStyle w:val="TableParagraph"/>
              <w:ind w:left="404"/>
              <w:jc w:val="left"/>
              <w:rPr>
                <w:rFonts w:ascii="Calibri"/>
              </w:rPr>
            </w:pPr>
            <w:r>
              <w:rPr>
                <w:rFonts w:ascii="Calibri"/>
              </w:rPr>
              <w:t>10.8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(4)</w:t>
            </w:r>
          </w:p>
        </w:tc>
        <w:tc>
          <w:tcPr>
            <w:tcW w:w="1558" w:type="dxa"/>
            <w:tcBorders>
              <w:top w:val="single" w:sz="4" w:space="0" w:color="7E7E7E"/>
              <w:bottom w:val="single" w:sz="4" w:space="0" w:color="7E7E7E"/>
            </w:tcBorders>
          </w:tcPr>
          <w:p w14:paraId="36AF79B0" w14:textId="77777777" w:rsidR="00C774B2" w:rsidRDefault="00000000">
            <w:pPr>
              <w:pStyle w:val="TableParagraph"/>
              <w:ind w:left="438"/>
              <w:jc w:val="left"/>
              <w:rPr>
                <w:rFonts w:ascii="Calibri"/>
              </w:rPr>
            </w:pPr>
            <w:r>
              <w:rPr>
                <w:rFonts w:ascii="Calibri"/>
              </w:rPr>
              <w:t>11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(3.5)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04DC1B39" w14:textId="77777777" w:rsidR="00C774B2" w:rsidRDefault="00000000">
            <w:pPr>
              <w:pStyle w:val="TableParagraph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0.15</w:t>
            </w:r>
          </w:p>
        </w:tc>
      </w:tr>
      <w:tr w:rsidR="00C774B2" w14:paraId="500D6ED3" w14:textId="77777777">
        <w:trPr>
          <w:trHeight w:val="263"/>
        </w:trPr>
        <w:tc>
          <w:tcPr>
            <w:tcW w:w="1351" w:type="dxa"/>
            <w:tcBorders>
              <w:top w:val="single" w:sz="4" w:space="0" w:color="7E7E7E"/>
            </w:tcBorders>
          </w:tcPr>
          <w:p w14:paraId="10ED3CA9" w14:textId="77777777" w:rsidR="00C774B2" w:rsidRDefault="00000000">
            <w:pPr>
              <w:pStyle w:val="TableParagraph"/>
              <w:spacing w:line="244" w:lineRule="exact"/>
              <w:ind w:left="345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DIFPAR</w:t>
            </w:r>
          </w:p>
        </w:tc>
        <w:tc>
          <w:tcPr>
            <w:tcW w:w="1585" w:type="dxa"/>
            <w:tcBorders>
              <w:top w:val="single" w:sz="4" w:space="0" w:color="7E7E7E"/>
            </w:tcBorders>
          </w:tcPr>
          <w:p w14:paraId="783CD890" w14:textId="77777777" w:rsidR="00C774B2" w:rsidRDefault="00000000">
            <w:pPr>
              <w:pStyle w:val="TableParagraph"/>
              <w:spacing w:line="244" w:lineRule="exact"/>
              <w:ind w:left="319" w:right="264"/>
              <w:rPr>
                <w:rFonts w:ascii="Calibri"/>
              </w:rPr>
            </w:pPr>
            <w:r>
              <w:rPr>
                <w:rFonts w:ascii="Calibri"/>
              </w:rPr>
              <w:t>6.8</w:t>
            </w:r>
            <w:r>
              <w:rPr>
                <w:rFonts w:ascii="Calibri"/>
                <w:spacing w:val="-1"/>
              </w:rPr>
              <w:t xml:space="preserve"> </w:t>
            </w:r>
            <w:r>
              <w:rPr>
                <w:rFonts w:ascii="Calibri"/>
              </w:rPr>
              <w:t>(3)</w:t>
            </w:r>
          </w:p>
        </w:tc>
        <w:tc>
          <w:tcPr>
            <w:tcW w:w="1506" w:type="dxa"/>
            <w:tcBorders>
              <w:top w:val="single" w:sz="4" w:space="0" w:color="7E7E7E"/>
            </w:tcBorders>
          </w:tcPr>
          <w:p w14:paraId="514CFCDB" w14:textId="77777777" w:rsidR="00C774B2" w:rsidRDefault="00000000">
            <w:pPr>
              <w:pStyle w:val="TableParagraph"/>
              <w:spacing w:line="244" w:lineRule="exact"/>
              <w:ind w:left="393"/>
              <w:jc w:val="left"/>
              <w:rPr>
                <w:rFonts w:ascii="Calibri"/>
              </w:rPr>
            </w:pPr>
            <w:r>
              <w:rPr>
                <w:rFonts w:ascii="Calibri"/>
              </w:rPr>
              <w:t>6.9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(2.9)</w:t>
            </w:r>
          </w:p>
        </w:tc>
        <w:tc>
          <w:tcPr>
            <w:tcW w:w="1526" w:type="dxa"/>
            <w:tcBorders>
              <w:top w:val="single" w:sz="4" w:space="0" w:color="7E7E7E"/>
            </w:tcBorders>
          </w:tcPr>
          <w:p w14:paraId="118D30CF" w14:textId="77777777" w:rsidR="00C774B2" w:rsidRDefault="00000000">
            <w:pPr>
              <w:pStyle w:val="TableParagraph"/>
              <w:spacing w:line="244" w:lineRule="exact"/>
              <w:ind w:right="40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(2.8)</w:t>
            </w:r>
          </w:p>
        </w:tc>
        <w:tc>
          <w:tcPr>
            <w:tcW w:w="1558" w:type="dxa"/>
            <w:tcBorders>
              <w:top w:val="single" w:sz="4" w:space="0" w:color="7E7E7E"/>
            </w:tcBorders>
          </w:tcPr>
          <w:p w14:paraId="7096211B" w14:textId="77777777" w:rsidR="00C774B2" w:rsidRDefault="00000000">
            <w:pPr>
              <w:pStyle w:val="TableParagraph"/>
              <w:spacing w:line="244" w:lineRule="exact"/>
              <w:ind w:left="493"/>
              <w:jc w:val="left"/>
              <w:rPr>
                <w:rFonts w:ascii="Calibri"/>
              </w:rPr>
            </w:pPr>
            <w:r>
              <w:rPr>
                <w:rFonts w:ascii="Calibri"/>
              </w:rPr>
              <w:t>7.1 (3)</w:t>
            </w:r>
          </w:p>
        </w:tc>
        <w:tc>
          <w:tcPr>
            <w:tcW w:w="852" w:type="dxa"/>
            <w:tcBorders>
              <w:top w:val="single" w:sz="4" w:space="0" w:color="7E7E7E"/>
            </w:tcBorders>
          </w:tcPr>
          <w:p w14:paraId="4A80F395" w14:textId="77777777" w:rsidR="00C774B2" w:rsidRDefault="00000000">
            <w:pPr>
              <w:pStyle w:val="TableParagraph"/>
              <w:spacing w:line="244" w:lineRule="exact"/>
              <w:ind w:left="155" w:right="151"/>
              <w:rPr>
                <w:rFonts w:ascii="Calibri"/>
              </w:rPr>
            </w:pPr>
            <w:r>
              <w:rPr>
                <w:rFonts w:ascii="Calibri"/>
              </w:rPr>
              <w:t>0.33</w:t>
            </w:r>
          </w:p>
        </w:tc>
      </w:tr>
    </w:tbl>
    <w:p w14:paraId="2E616A5F" w14:textId="352EFD75" w:rsidR="00C774B2" w:rsidRDefault="0021171C">
      <w:pPr>
        <w:pStyle w:val="Textoindependiente"/>
        <w:spacing w:before="1"/>
        <w:rPr>
          <w:b/>
          <w:sz w:val="17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2960" behindDoc="1" locked="0" layoutInCell="1" allowOverlap="1" wp14:anchorId="71A3FF86" wp14:editId="7C6B231D">
                <wp:simplePos x="0" y="0"/>
                <wp:positionH relativeFrom="page">
                  <wp:posOffset>1071880</wp:posOffset>
                </wp:positionH>
                <wp:positionV relativeFrom="paragraph">
                  <wp:posOffset>157480</wp:posOffset>
                </wp:positionV>
                <wp:extent cx="5321300" cy="6350"/>
                <wp:effectExtent l="0" t="0" r="0" b="0"/>
                <wp:wrapTopAndBottom/>
                <wp:docPr id="1343982567" name="Rectangle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21300" cy="6350"/>
                        </a:xfrm>
                        <a:prstGeom prst="rect">
                          <a:avLst/>
                        </a:prstGeom>
                        <a:solidFill>
                          <a:srgbClr val="7E7E7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2287FD1" id="Rectangle 5" o:spid="_x0000_s1026" style="position:absolute;margin-left:84.4pt;margin-top:12.4pt;width:419pt;height:.5pt;z-index:-15723520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" fillcolor="#7e7e7e" stroked="f">
                <w10:wrap type="topAndBottom" anchorx="page"/>
              </v:rect>
            </w:pict>
          </mc:Fallback>
        </mc:AlternateContent>
      </w:r>
    </w:p>
    <w:p w14:paraId="6A3A908E" w14:textId="77777777" w:rsidR="00C774B2" w:rsidRDefault="00000000">
      <w:pPr>
        <w:spacing w:before="188"/>
        <w:ind w:left="1702" w:right="1634"/>
        <w:jc w:val="both"/>
        <w:rPr>
          <w:sz w:val="18"/>
        </w:rPr>
      </w:pPr>
      <w:r>
        <w:rPr>
          <w:sz w:val="18"/>
        </w:rPr>
        <w:t>PA:</w:t>
      </w:r>
      <w:r>
        <w:rPr>
          <w:spacing w:val="-6"/>
          <w:sz w:val="18"/>
        </w:rPr>
        <w:t xml:space="preserve"> </w:t>
      </w:r>
      <w:r>
        <w:rPr>
          <w:sz w:val="18"/>
        </w:rPr>
        <w:t>Positive</w:t>
      </w:r>
      <w:r>
        <w:rPr>
          <w:spacing w:val="-3"/>
          <w:sz w:val="18"/>
        </w:rPr>
        <w:t xml:space="preserve"> </w:t>
      </w:r>
      <w:r>
        <w:rPr>
          <w:sz w:val="18"/>
        </w:rPr>
        <w:t>Affect;</w:t>
      </w:r>
      <w:r>
        <w:rPr>
          <w:spacing w:val="-5"/>
          <w:sz w:val="18"/>
        </w:rPr>
        <w:t xml:space="preserve"> </w:t>
      </w:r>
      <w:r>
        <w:rPr>
          <w:sz w:val="18"/>
        </w:rPr>
        <w:t>NA:</w:t>
      </w:r>
      <w:r>
        <w:rPr>
          <w:spacing w:val="-3"/>
          <w:sz w:val="18"/>
        </w:rPr>
        <w:t xml:space="preserve"> </w:t>
      </w:r>
      <w:r>
        <w:rPr>
          <w:sz w:val="18"/>
        </w:rPr>
        <w:t>Negative</w:t>
      </w:r>
      <w:r>
        <w:rPr>
          <w:spacing w:val="-3"/>
          <w:sz w:val="18"/>
        </w:rPr>
        <w:t xml:space="preserve"> </w:t>
      </w:r>
      <w:r>
        <w:rPr>
          <w:sz w:val="18"/>
        </w:rPr>
        <w:t>Affect;</w:t>
      </w:r>
      <w:r>
        <w:rPr>
          <w:spacing w:val="-5"/>
          <w:sz w:val="18"/>
        </w:rPr>
        <w:t xml:space="preserve"> </w:t>
      </w:r>
      <w:r>
        <w:rPr>
          <w:sz w:val="18"/>
        </w:rPr>
        <w:t>METDEF:</w:t>
      </w:r>
      <w:r>
        <w:rPr>
          <w:spacing w:val="-5"/>
          <w:sz w:val="18"/>
        </w:rPr>
        <w:t xml:space="preserve"> </w:t>
      </w:r>
      <w:r>
        <w:rPr>
          <w:sz w:val="18"/>
        </w:rPr>
        <w:t>Methodological Deficiencies</w:t>
      </w:r>
      <w:r>
        <w:rPr>
          <w:spacing w:val="-6"/>
          <w:sz w:val="18"/>
        </w:rPr>
        <w:t xml:space="preserve"> </w:t>
      </w:r>
      <w:r>
        <w:rPr>
          <w:sz w:val="18"/>
        </w:rPr>
        <w:t>of</w:t>
      </w:r>
      <w:r>
        <w:rPr>
          <w:spacing w:val="-5"/>
          <w:sz w:val="18"/>
        </w:rPr>
        <w:t xml:space="preserve"> </w:t>
      </w:r>
      <w:r>
        <w:rPr>
          <w:sz w:val="18"/>
        </w:rPr>
        <w:t>the</w:t>
      </w:r>
      <w:r>
        <w:rPr>
          <w:spacing w:val="-7"/>
          <w:sz w:val="18"/>
        </w:rPr>
        <w:t xml:space="preserve"> </w:t>
      </w:r>
      <w:r>
        <w:rPr>
          <w:sz w:val="18"/>
        </w:rPr>
        <w:t>Teaching</w:t>
      </w:r>
      <w:r>
        <w:rPr>
          <w:spacing w:val="-3"/>
          <w:sz w:val="18"/>
        </w:rPr>
        <w:t xml:space="preserve"> </w:t>
      </w:r>
      <w:r>
        <w:rPr>
          <w:sz w:val="18"/>
        </w:rPr>
        <w:t>Staff;</w:t>
      </w:r>
      <w:r>
        <w:rPr>
          <w:spacing w:val="-5"/>
          <w:sz w:val="18"/>
        </w:rPr>
        <w:t xml:space="preserve"> </w:t>
      </w:r>
      <w:r>
        <w:rPr>
          <w:sz w:val="18"/>
        </w:rPr>
        <w:t>ACAOL:</w:t>
      </w:r>
      <w:r>
        <w:rPr>
          <w:spacing w:val="-5"/>
          <w:sz w:val="18"/>
        </w:rPr>
        <w:t xml:space="preserve"> </w:t>
      </w:r>
      <w:r>
        <w:rPr>
          <w:sz w:val="18"/>
        </w:rPr>
        <w:t>Student</w:t>
      </w:r>
      <w:r>
        <w:rPr>
          <w:spacing w:val="1"/>
          <w:sz w:val="18"/>
        </w:rPr>
        <w:t xml:space="preserve"> </w:t>
      </w:r>
      <w:r>
        <w:rPr>
          <w:sz w:val="18"/>
        </w:rPr>
        <w:t>Academic Overload; BELACP: Beliefs about Academic Performance; SPKPUB: Speaking in Public; NSENV: Negative</w:t>
      </w:r>
      <w:r>
        <w:rPr>
          <w:spacing w:val="1"/>
          <w:sz w:val="18"/>
        </w:rPr>
        <w:t xml:space="preserve"> </w:t>
      </w:r>
      <w:r>
        <w:rPr>
          <w:sz w:val="18"/>
        </w:rPr>
        <w:t>Social</w:t>
      </w:r>
      <w:r>
        <w:rPr>
          <w:spacing w:val="1"/>
          <w:sz w:val="18"/>
        </w:rPr>
        <w:t xml:space="preserve"> </w:t>
      </w:r>
      <w:r>
        <w:rPr>
          <w:sz w:val="18"/>
        </w:rPr>
        <w:t>Environment;</w:t>
      </w:r>
      <w:r>
        <w:rPr>
          <w:spacing w:val="1"/>
          <w:sz w:val="18"/>
        </w:rPr>
        <w:t xml:space="preserve"> </w:t>
      </w:r>
      <w:r>
        <w:rPr>
          <w:sz w:val="18"/>
        </w:rPr>
        <w:t>EXAM:</w:t>
      </w:r>
      <w:r>
        <w:rPr>
          <w:spacing w:val="1"/>
          <w:sz w:val="18"/>
        </w:rPr>
        <w:t xml:space="preserve"> </w:t>
      </w:r>
      <w:r>
        <w:rPr>
          <w:sz w:val="18"/>
        </w:rPr>
        <w:t>Examinations;</w:t>
      </w:r>
      <w:r>
        <w:rPr>
          <w:spacing w:val="1"/>
          <w:sz w:val="18"/>
        </w:rPr>
        <w:t xml:space="preserve"> </w:t>
      </w:r>
      <w:r>
        <w:rPr>
          <w:sz w:val="18"/>
        </w:rPr>
        <w:t>LACKVAL:</w:t>
      </w:r>
      <w:r>
        <w:rPr>
          <w:spacing w:val="1"/>
          <w:sz w:val="18"/>
        </w:rPr>
        <w:t xml:space="preserve"> </w:t>
      </w:r>
      <w:r>
        <w:rPr>
          <w:sz w:val="18"/>
        </w:rPr>
        <w:t>Lack</w:t>
      </w:r>
      <w:r>
        <w:rPr>
          <w:spacing w:val="1"/>
          <w:sz w:val="18"/>
        </w:rPr>
        <w:t xml:space="preserve"> </w:t>
      </w:r>
      <w:r>
        <w:rPr>
          <w:sz w:val="18"/>
        </w:rPr>
        <w:t>of</w:t>
      </w:r>
      <w:r>
        <w:rPr>
          <w:spacing w:val="1"/>
          <w:sz w:val="18"/>
        </w:rPr>
        <w:t xml:space="preserve"> </w:t>
      </w:r>
      <w:r>
        <w:rPr>
          <w:sz w:val="18"/>
        </w:rPr>
        <w:t>Value</w:t>
      </w:r>
      <w:r>
        <w:rPr>
          <w:spacing w:val="1"/>
          <w:sz w:val="18"/>
        </w:rPr>
        <w:t xml:space="preserve"> </w:t>
      </w:r>
      <w:r>
        <w:rPr>
          <w:sz w:val="18"/>
        </w:rPr>
        <w:t>of</w:t>
      </w:r>
      <w:r>
        <w:rPr>
          <w:spacing w:val="1"/>
          <w:sz w:val="18"/>
        </w:rPr>
        <w:t xml:space="preserve"> </w:t>
      </w:r>
      <w:r>
        <w:rPr>
          <w:sz w:val="18"/>
        </w:rPr>
        <w:t>Course</w:t>
      </w:r>
      <w:r>
        <w:rPr>
          <w:spacing w:val="1"/>
          <w:sz w:val="18"/>
        </w:rPr>
        <w:t xml:space="preserve"> </w:t>
      </w:r>
      <w:r>
        <w:rPr>
          <w:sz w:val="18"/>
        </w:rPr>
        <w:t>Content;</w:t>
      </w:r>
      <w:r>
        <w:rPr>
          <w:spacing w:val="1"/>
          <w:sz w:val="18"/>
        </w:rPr>
        <w:t xml:space="preserve"> </w:t>
      </w:r>
      <w:r>
        <w:rPr>
          <w:sz w:val="18"/>
        </w:rPr>
        <w:t>DIFPAR:</w:t>
      </w:r>
      <w:r>
        <w:rPr>
          <w:spacing w:val="1"/>
          <w:sz w:val="18"/>
        </w:rPr>
        <w:t xml:space="preserve"> </w:t>
      </w:r>
      <w:r>
        <w:rPr>
          <w:sz w:val="18"/>
        </w:rPr>
        <w:t>Difficulties</w:t>
      </w:r>
      <w:r>
        <w:rPr>
          <w:spacing w:val="1"/>
          <w:sz w:val="18"/>
        </w:rPr>
        <w:t xml:space="preserve"> </w:t>
      </w:r>
      <w:r>
        <w:rPr>
          <w:sz w:val="18"/>
        </w:rPr>
        <w:t>in</w:t>
      </w:r>
      <w:r>
        <w:rPr>
          <w:spacing w:val="1"/>
          <w:sz w:val="18"/>
        </w:rPr>
        <w:t xml:space="preserve"> </w:t>
      </w:r>
      <w:r>
        <w:rPr>
          <w:sz w:val="18"/>
        </w:rPr>
        <w:t>Participating.</w:t>
      </w:r>
      <w:r>
        <w:rPr>
          <w:spacing w:val="-6"/>
          <w:sz w:val="18"/>
        </w:rPr>
        <w:t xml:space="preserve"> </w:t>
      </w:r>
      <w:r>
        <w:rPr>
          <w:sz w:val="18"/>
        </w:rPr>
        <w:t>IG:</w:t>
      </w:r>
      <w:r>
        <w:rPr>
          <w:spacing w:val="-5"/>
          <w:sz w:val="18"/>
        </w:rPr>
        <w:t xml:space="preserve"> </w:t>
      </w:r>
      <w:r>
        <w:rPr>
          <w:sz w:val="18"/>
        </w:rPr>
        <w:t>Intervention</w:t>
      </w:r>
      <w:r>
        <w:rPr>
          <w:spacing w:val="-5"/>
          <w:sz w:val="18"/>
        </w:rPr>
        <w:t xml:space="preserve"> </w:t>
      </w:r>
      <w:r>
        <w:rPr>
          <w:sz w:val="18"/>
        </w:rPr>
        <w:t>Group;</w:t>
      </w:r>
      <w:r>
        <w:rPr>
          <w:spacing w:val="-4"/>
          <w:sz w:val="18"/>
        </w:rPr>
        <w:t xml:space="preserve"> </w:t>
      </w:r>
      <w:r>
        <w:rPr>
          <w:i/>
          <w:sz w:val="18"/>
        </w:rPr>
        <w:t>p</w:t>
      </w:r>
      <w:r>
        <w:rPr>
          <w:sz w:val="18"/>
        </w:rPr>
        <w:t>*:</w:t>
      </w:r>
      <w:r>
        <w:rPr>
          <w:spacing w:val="-5"/>
          <w:sz w:val="18"/>
        </w:rPr>
        <w:t xml:space="preserve"> </w:t>
      </w:r>
      <w:r>
        <w:rPr>
          <w:sz w:val="18"/>
        </w:rPr>
        <w:t>statistical</w:t>
      </w:r>
      <w:r>
        <w:rPr>
          <w:spacing w:val="-5"/>
          <w:sz w:val="18"/>
        </w:rPr>
        <w:t xml:space="preserve"> </w:t>
      </w:r>
      <w:r>
        <w:rPr>
          <w:sz w:val="18"/>
        </w:rPr>
        <w:t>significance</w:t>
      </w:r>
      <w:r>
        <w:rPr>
          <w:spacing w:val="-6"/>
          <w:sz w:val="18"/>
        </w:rPr>
        <w:t xml:space="preserve"> </w:t>
      </w:r>
      <w:r>
        <w:rPr>
          <w:sz w:val="18"/>
        </w:rPr>
        <w:t>for</w:t>
      </w:r>
      <w:r>
        <w:rPr>
          <w:spacing w:val="-5"/>
          <w:sz w:val="18"/>
        </w:rPr>
        <w:t xml:space="preserve"> </w:t>
      </w:r>
      <w:r>
        <w:rPr>
          <w:sz w:val="18"/>
        </w:rPr>
        <w:t>ANOVA</w:t>
      </w:r>
      <w:r>
        <w:rPr>
          <w:spacing w:val="-6"/>
          <w:sz w:val="18"/>
        </w:rPr>
        <w:t xml:space="preserve"> </w:t>
      </w:r>
      <w:r>
        <w:rPr>
          <w:sz w:val="18"/>
        </w:rPr>
        <w:t>test</w:t>
      </w:r>
      <w:r>
        <w:rPr>
          <w:spacing w:val="-5"/>
          <w:sz w:val="18"/>
        </w:rPr>
        <w:t xml:space="preserve"> </w:t>
      </w:r>
      <w:r>
        <w:rPr>
          <w:sz w:val="18"/>
        </w:rPr>
        <w:t>for</w:t>
      </w:r>
      <w:r>
        <w:rPr>
          <w:spacing w:val="-5"/>
          <w:sz w:val="18"/>
        </w:rPr>
        <w:t xml:space="preserve"> </w:t>
      </w:r>
      <w:r>
        <w:rPr>
          <w:sz w:val="18"/>
        </w:rPr>
        <w:t>comparison</w:t>
      </w:r>
      <w:r>
        <w:rPr>
          <w:spacing w:val="-6"/>
          <w:sz w:val="18"/>
        </w:rPr>
        <w:t xml:space="preserve"> </w:t>
      </w:r>
      <w:r>
        <w:rPr>
          <w:sz w:val="18"/>
        </w:rPr>
        <w:t>of</w:t>
      </w:r>
      <w:r>
        <w:rPr>
          <w:spacing w:val="-5"/>
          <w:sz w:val="18"/>
        </w:rPr>
        <w:t xml:space="preserve"> </w:t>
      </w:r>
      <w:r>
        <w:rPr>
          <w:sz w:val="18"/>
        </w:rPr>
        <w:t>three</w:t>
      </w:r>
      <w:r>
        <w:rPr>
          <w:spacing w:val="-5"/>
          <w:sz w:val="18"/>
        </w:rPr>
        <w:t xml:space="preserve"> </w:t>
      </w:r>
      <w:r>
        <w:rPr>
          <w:sz w:val="18"/>
        </w:rPr>
        <w:t>independent</w:t>
      </w:r>
      <w:r>
        <w:rPr>
          <w:spacing w:val="1"/>
          <w:sz w:val="18"/>
        </w:rPr>
        <w:t xml:space="preserve"> </w:t>
      </w:r>
      <w:r>
        <w:rPr>
          <w:sz w:val="18"/>
        </w:rPr>
        <w:t>means.</w:t>
      </w:r>
    </w:p>
    <w:p w14:paraId="63C893D1" w14:textId="77777777" w:rsidR="00C774B2" w:rsidRDefault="00C774B2">
      <w:pPr>
        <w:jc w:val="both"/>
        <w:rPr>
          <w:sz w:val="18"/>
        </w:rPr>
        <w:sectPr w:rsidR="00C774B2" w:rsidSect="003D4159">
          <w:pgSz w:w="11910" w:h="16840"/>
          <w:pgMar w:top="1580" w:right="60" w:bottom="280" w:left="0" w:header="720" w:footer="720" w:gutter="0"/>
          <w:cols w:space="720"/>
        </w:sectPr>
      </w:pPr>
    </w:p>
    <w:p w14:paraId="20DB98E9" w14:textId="77777777" w:rsidR="00C774B2" w:rsidRDefault="00000000">
      <w:pPr>
        <w:pStyle w:val="Ttulo4"/>
        <w:spacing w:before="34"/>
        <w:ind w:left="1697" w:right="1641"/>
      </w:pPr>
      <w:r>
        <w:lastRenderedPageBreak/>
        <w:t>Table</w:t>
      </w:r>
      <w:r>
        <w:rPr>
          <w:spacing w:val="-3"/>
        </w:rPr>
        <w:t xml:space="preserve"> </w:t>
      </w:r>
      <w:r>
        <w:t>3.</w:t>
      </w:r>
      <w:r>
        <w:rPr>
          <w:spacing w:val="-1"/>
        </w:rPr>
        <w:t xml:space="preserve"> </w:t>
      </w:r>
      <w:r>
        <w:t>Results</w:t>
      </w:r>
      <w:r>
        <w:rPr>
          <w:spacing w:val="-1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3"/>
        </w:rPr>
        <w:t xml:space="preserve"> </w:t>
      </w:r>
      <w:r>
        <w:t>COPE-48</w:t>
      </w:r>
      <w:r>
        <w:rPr>
          <w:spacing w:val="-3"/>
        </w:rPr>
        <w:t xml:space="preserve"> </w:t>
      </w:r>
      <w:r>
        <w:t>stress</w:t>
      </w:r>
      <w:r>
        <w:rPr>
          <w:spacing w:val="-4"/>
        </w:rPr>
        <w:t xml:space="preserve"> </w:t>
      </w:r>
      <w:r>
        <w:t>coping</w:t>
      </w:r>
      <w:r>
        <w:rPr>
          <w:spacing w:val="-1"/>
        </w:rPr>
        <w:t xml:space="preserve"> </w:t>
      </w:r>
      <w:r>
        <w:t>scale</w:t>
      </w:r>
      <w:r>
        <w:rPr>
          <w:spacing w:val="-3"/>
        </w:rPr>
        <w:t xml:space="preserve"> </w:t>
      </w:r>
      <w:r>
        <w:t>by</w:t>
      </w:r>
      <w:r>
        <w:rPr>
          <w:spacing w:val="-4"/>
        </w:rPr>
        <w:t xml:space="preserve"> </w:t>
      </w:r>
      <w:r>
        <w:t>study</w:t>
      </w:r>
      <w:r>
        <w:rPr>
          <w:spacing w:val="-3"/>
        </w:rPr>
        <w:t xml:space="preserve"> </w:t>
      </w:r>
      <w:r>
        <w:t>group</w:t>
      </w:r>
    </w:p>
    <w:p w14:paraId="2385F046" w14:textId="77777777" w:rsidR="00C774B2" w:rsidRDefault="00C774B2">
      <w:pPr>
        <w:pStyle w:val="Textoindependiente"/>
        <w:spacing w:before="7" w:after="1"/>
        <w:rPr>
          <w:b/>
          <w:sz w:val="15"/>
        </w:rPr>
      </w:pPr>
    </w:p>
    <w:tbl>
      <w:tblPr>
        <w:tblStyle w:val="TableNormal"/>
        <w:tblW w:w="0" w:type="auto"/>
        <w:tblInd w:w="1709" w:type="dxa"/>
        <w:tblLayout w:type="fixed"/>
        <w:tblLook w:val="01E0" w:firstRow="1" w:lastRow="1" w:firstColumn="1" w:lastColumn="1" w:noHBand="0" w:noVBand="0"/>
      </w:tblPr>
      <w:tblGrid>
        <w:gridCol w:w="1702"/>
        <w:gridCol w:w="1342"/>
        <w:gridCol w:w="1417"/>
        <w:gridCol w:w="1486"/>
        <w:gridCol w:w="1562"/>
        <w:gridCol w:w="719"/>
      </w:tblGrid>
      <w:tr w:rsidR="00C774B2" w14:paraId="6BDD0D1C" w14:textId="77777777">
        <w:trPr>
          <w:trHeight w:val="508"/>
        </w:trPr>
        <w:tc>
          <w:tcPr>
            <w:tcW w:w="1702" w:type="dxa"/>
            <w:tcBorders>
              <w:top w:val="single" w:sz="4" w:space="0" w:color="7E7E7E"/>
            </w:tcBorders>
          </w:tcPr>
          <w:p w14:paraId="645F67CC" w14:textId="77777777" w:rsidR="00C774B2" w:rsidRDefault="00000000">
            <w:pPr>
              <w:pStyle w:val="TableParagraph"/>
              <w:ind w:left="341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Dimension</w:t>
            </w:r>
          </w:p>
        </w:tc>
        <w:tc>
          <w:tcPr>
            <w:tcW w:w="1342" w:type="dxa"/>
            <w:tcBorders>
              <w:top w:val="single" w:sz="4" w:space="0" w:color="7E7E7E"/>
              <w:bottom w:val="single" w:sz="4" w:space="0" w:color="7E7E7E"/>
            </w:tcBorders>
          </w:tcPr>
          <w:p w14:paraId="3B1DEA0E" w14:textId="77777777" w:rsidR="00C774B2" w:rsidRDefault="00000000">
            <w:pPr>
              <w:pStyle w:val="TableParagraph"/>
              <w:ind w:left="402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Total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05A8F8FA" w14:textId="77777777" w:rsidR="00C774B2" w:rsidRDefault="00000000">
            <w:pPr>
              <w:pStyle w:val="TableParagraph"/>
              <w:ind w:left="371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Control</w:t>
            </w:r>
          </w:p>
        </w:tc>
        <w:tc>
          <w:tcPr>
            <w:tcW w:w="1486" w:type="dxa"/>
            <w:tcBorders>
              <w:top w:val="single" w:sz="4" w:space="0" w:color="7E7E7E"/>
              <w:bottom w:val="single" w:sz="4" w:space="0" w:color="7E7E7E"/>
            </w:tcBorders>
          </w:tcPr>
          <w:p w14:paraId="3E6432C9" w14:textId="77777777" w:rsidR="00C774B2" w:rsidRDefault="00000000">
            <w:pPr>
              <w:pStyle w:val="TableParagraph"/>
              <w:ind w:left="560" w:right="50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IG-1</w:t>
            </w:r>
          </w:p>
        </w:tc>
        <w:tc>
          <w:tcPr>
            <w:tcW w:w="1562" w:type="dxa"/>
            <w:tcBorders>
              <w:top w:val="single" w:sz="4" w:space="0" w:color="7E7E7E"/>
              <w:bottom w:val="single" w:sz="4" w:space="0" w:color="7E7E7E"/>
            </w:tcBorders>
          </w:tcPr>
          <w:p w14:paraId="24FD2A0E" w14:textId="77777777" w:rsidR="00C774B2" w:rsidRDefault="00000000">
            <w:pPr>
              <w:pStyle w:val="TableParagraph"/>
              <w:ind w:left="269" w:right="296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IG-2</w:t>
            </w:r>
          </w:p>
        </w:tc>
        <w:tc>
          <w:tcPr>
            <w:tcW w:w="719" w:type="dxa"/>
            <w:tcBorders>
              <w:top w:val="single" w:sz="4" w:space="0" w:color="7E7E7E"/>
            </w:tcBorders>
          </w:tcPr>
          <w:p w14:paraId="1F43172E" w14:textId="77777777" w:rsidR="00C774B2" w:rsidRDefault="00000000">
            <w:pPr>
              <w:pStyle w:val="TableParagraph"/>
              <w:ind w:left="137" w:right="148"/>
              <w:rPr>
                <w:rFonts w:ascii="Calibri"/>
                <w:b/>
              </w:rPr>
            </w:pPr>
            <w:r>
              <w:rPr>
                <w:rFonts w:ascii="Calibri"/>
                <w:b/>
                <w:i/>
              </w:rPr>
              <w:t>p</w:t>
            </w:r>
            <w:r>
              <w:rPr>
                <w:rFonts w:ascii="Calibri"/>
                <w:b/>
              </w:rPr>
              <w:t>*</w:t>
            </w:r>
          </w:p>
        </w:tc>
      </w:tr>
      <w:tr w:rsidR="00C774B2" w14:paraId="1D4BA7BD" w14:textId="77777777">
        <w:trPr>
          <w:trHeight w:val="508"/>
        </w:trPr>
        <w:tc>
          <w:tcPr>
            <w:tcW w:w="1702" w:type="dxa"/>
            <w:tcBorders>
              <w:bottom w:val="single" w:sz="4" w:space="0" w:color="7E7E7E"/>
            </w:tcBorders>
          </w:tcPr>
          <w:p w14:paraId="1A4CDD5D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42" w:type="dxa"/>
            <w:tcBorders>
              <w:top w:val="single" w:sz="4" w:space="0" w:color="7E7E7E"/>
              <w:bottom w:val="single" w:sz="4" w:space="0" w:color="7E7E7E"/>
            </w:tcBorders>
          </w:tcPr>
          <w:p w14:paraId="11D50BBC" w14:textId="77777777" w:rsidR="00C774B2" w:rsidRDefault="00000000">
            <w:pPr>
              <w:pStyle w:val="TableParagraph"/>
              <w:ind w:right="273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352FE1B2" w14:textId="77777777" w:rsidR="00C774B2" w:rsidRDefault="00000000">
            <w:pPr>
              <w:pStyle w:val="TableParagraph"/>
              <w:ind w:left="274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486" w:type="dxa"/>
            <w:tcBorders>
              <w:top w:val="single" w:sz="4" w:space="0" w:color="7E7E7E"/>
              <w:bottom w:val="single" w:sz="4" w:space="0" w:color="7E7E7E"/>
            </w:tcBorders>
          </w:tcPr>
          <w:p w14:paraId="08F23E90" w14:textId="77777777" w:rsidR="00C774B2" w:rsidRDefault="00000000">
            <w:pPr>
              <w:pStyle w:val="TableParagraph"/>
              <w:ind w:right="341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562" w:type="dxa"/>
            <w:tcBorders>
              <w:top w:val="single" w:sz="4" w:space="0" w:color="7E7E7E"/>
              <w:bottom w:val="single" w:sz="4" w:space="0" w:color="7E7E7E"/>
            </w:tcBorders>
          </w:tcPr>
          <w:p w14:paraId="5056C612" w14:textId="77777777" w:rsidR="00C774B2" w:rsidRDefault="00000000">
            <w:pPr>
              <w:pStyle w:val="TableParagraph"/>
              <w:ind w:left="269" w:right="296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719" w:type="dxa"/>
            <w:tcBorders>
              <w:bottom w:val="single" w:sz="4" w:space="0" w:color="7E7E7E"/>
            </w:tcBorders>
          </w:tcPr>
          <w:p w14:paraId="2BF97D60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  <w:tr w:rsidR="00C774B2" w14:paraId="2E6F7B58" w14:textId="77777777">
        <w:trPr>
          <w:trHeight w:val="508"/>
        </w:trPr>
        <w:tc>
          <w:tcPr>
            <w:tcW w:w="1702" w:type="dxa"/>
            <w:tcBorders>
              <w:top w:val="single" w:sz="4" w:space="0" w:color="7E7E7E"/>
              <w:bottom w:val="single" w:sz="4" w:space="0" w:color="7E7E7E"/>
            </w:tcBorders>
          </w:tcPr>
          <w:p w14:paraId="7A6ECBA8" w14:textId="77777777" w:rsidR="00C774B2" w:rsidRDefault="00000000">
            <w:pPr>
              <w:pStyle w:val="TableParagraph"/>
              <w:ind w:left="340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APC</w:t>
            </w:r>
          </w:p>
        </w:tc>
        <w:tc>
          <w:tcPr>
            <w:tcW w:w="1342" w:type="dxa"/>
            <w:tcBorders>
              <w:top w:val="single" w:sz="4" w:space="0" w:color="7E7E7E"/>
              <w:bottom w:val="single" w:sz="4" w:space="0" w:color="7E7E7E"/>
            </w:tcBorders>
          </w:tcPr>
          <w:p w14:paraId="0787EF9C" w14:textId="77777777" w:rsidR="00C774B2" w:rsidRDefault="00000000">
            <w:pPr>
              <w:pStyle w:val="TableParagraph"/>
              <w:ind w:right="27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25.8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(4.4)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04FFE5A7" w14:textId="77777777" w:rsidR="00C774B2" w:rsidRDefault="00000000">
            <w:pPr>
              <w:pStyle w:val="TableParagraph"/>
              <w:ind w:left="285"/>
              <w:jc w:val="left"/>
              <w:rPr>
                <w:rFonts w:ascii="Calibri"/>
              </w:rPr>
            </w:pPr>
            <w:r>
              <w:rPr>
                <w:rFonts w:ascii="Calibri"/>
              </w:rPr>
              <w:t>26.2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(4.9)</w:t>
            </w:r>
          </w:p>
        </w:tc>
        <w:tc>
          <w:tcPr>
            <w:tcW w:w="1486" w:type="dxa"/>
            <w:tcBorders>
              <w:top w:val="single" w:sz="4" w:space="0" w:color="7E7E7E"/>
              <w:bottom w:val="single" w:sz="4" w:space="0" w:color="7E7E7E"/>
            </w:tcBorders>
          </w:tcPr>
          <w:p w14:paraId="6819F110" w14:textId="77777777" w:rsidR="00C774B2" w:rsidRDefault="00000000">
            <w:pPr>
              <w:pStyle w:val="TableParagraph"/>
              <w:ind w:right="29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25.8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(4.4)</w:t>
            </w:r>
          </w:p>
        </w:tc>
        <w:tc>
          <w:tcPr>
            <w:tcW w:w="1562" w:type="dxa"/>
            <w:tcBorders>
              <w:top w:val="single" w:sz="4" w:space="0" w:color="7E7E7E"/>
              <w:bottom w:val="single" w:sz="4" w:space="0" w:color="7E7E7E"/>
            </w:tcBorders>
          </w:tcPr>
          <w:p w14:paraId="4641D1E5" w14:textId="77777777" w:rsidR="00C774B2" w:rsidRDefault="00000000">
            <w:pPr>
              <w:pStyle w:val="TableParagraph"/>
              <w:ind w:left="269" w:right="296"/>
              <w:rPr>
                <w:rFonts w:ascii="Calibri"/>
              </w:rPr>
            </w:pPr>
            <w:r>
              <w:rPr>
                <w:rFonts w:ascii="Calibri"/>
              </w:rPr>
              <w:t>25.5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(4)</w:t>
            </w:r>
          </w:p>
        </w:tc>
        <w:tc>
          <w:tcPr>
            <w:tcW w:w="719" w:type="dxa"/>
            <w:tcBorders>
              <w:top w:val="single" w:sz="4" w:space="0" w:color="7E7E7E"/>
              <w:bottom w:val="single" w:sz="4" w:space="0" w:color="7E7E7E"/>
            </w:tcBorders>
          </w:tcPr>
          <w:p w14:paraId="661E2B49" w14:textId="77777777" w:rsidR="00C774B2" w:rsidRDefault="00000000">
            <w:pPr>
              <w:pStyle w:val="TableParagraph"/>
              <w:ind w:left="140" w:right="148"/>
              <w:rPr>
                <w:rFonts w:ascii="Calibri"/>
              </w:rPr>
            </w:pPr>
            <w:r>
              <w:rPr>
                <w:rFonts w:ascii="Calibri"/>
              </w:rPr>
              <w:t>0.58</w:t>
            </w:r>
          </w:p>
        </w:tc>
      </w:tr>
      <w:tr w:rsidR="00C774B2" w14:paraId="5349537F" w14:textId="77777777">
        <w:trPr>
          <w:trHeight w:val="510"/>
        </w:trPr>
        <w:tc>
          <w:tcPr>
            <w:tcW w:w="1702" w:type="dxa"/>
            <w:tcBorders>
              <w:top w:val="single" w:sz="4" w:space="0" w:color="7E7E7E"/>
              <w:bottom w:val="single" w:sz="4" w:space="0" w:color="7E7E7E"/>
            </w:tcBorders>
          </w:tcPr>
          <w:p w14:paraId="05DBA10F" w14:textId="77777777" w:rsidR="00C774B2" w:rsidRDefault="00000000">
            <w:pPr>
              <w:pStyle w:val="TableParagraph"/>
              <w:spacing w:before="1" w:line="240" w:lineRule="auto"/>
              <w:ind w:left="341" w:right="34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ADD</w:t>
            </w:r>
          </w:p>
        </w:tc>
        <w:tc>
          <w:tcPr>
            <w:tcW w:w="1342" w:type="dxa"/>
            <w:tcBorders>
              <w:top w:val="single" w:sz="4" w:space="0" w:color="7E7E7E"/>
              <w:bottom w:val="single" w:sz="4" w:space="0" w:color="7E7E7E"/>
            </w:tcBorders>
          </w:tcPr>
          <w:p w14:paraId="55BE77DE" w14:textId="77777777" w:rsidR="00C774B2" w:rsidRDefault="00000000">
            <w:pPr>
              <w:pStyle w:val="TableParagraph"/>
              <w:spacing w:before="1" w:line="240" w:lineRule="auto"/>
              <w:ind w:right="33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(1.6)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07095B11" w14:textId="77777777" w:rsidR="00C774B2" w:rsidRDefault="00000000">
            <w:pPr>
              <w:pStyle w:val="TableParagraph"/>
              <w:spacing w:before="1" w:line="240" w:lineRule="auto"/>
              <w:ind w:left="34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4.3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(0.9)</w:t>
            </w:r>
          </w:p>
        </w:tc>
        <w:tc>
          <w:tcPr>
            <w:tcW w:w="1486" w:type="dxa"/>
            <w:tcBorders>
              <w:top w:val="single" w:sz="4" w:space="0" w:color="7E7E7E"/>
              <w:bottom w:val="single" w:sz="4" w:space="0" w:color="7E7E7E"/>
            </w:tcBorders>
          </w:tcPr>
          <w:p w14:paraId="0CF73F5F" w14:textId="77777777" w:rsidR="00C774B2" w:rsidRDefault="00000000">
            <w:pPr>
              <w:pStyle w:val="TableParagraph"/>
              <w:spacing w:before="1" w:line="240" w:lineRule="auto"/>
              <w:ind w:right="3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(2.2)</w:t>
            </w:r>
          </w:p>
        </w:tc>
        <w:tc>
          <w:tcPr>
            <w:tcW w:w="1562" w:type="dxa"/>
            <w:tcBorders>
              <w:top w:val="single" w:sz="4" w:space="0" w:color="7E7E7E"/>
              <w:bottom w:val="single" w:sz="4" w:space="0" w:color="7E7E7E"/>
            </w:tcBorders>
          </w:tcPr>
          <w:p w14:paraId="0446C8BA" w14:textId="77777777" w:rsidR="00C774B2" w:rsidRDefault="00000000">
            <w:pPr>
              <w:pStyle w:val="TableParagraph"/>
              <w:spacing w:before="1" w:line="240" w:lineRule="auto"/>
              <w:ind w:left="269" w:right="294"/>
              <w:rPr>
                <w:rFonts w:ascii="Calibri"/>
              </w:rPr>
            </w:pPr>
            <w:r>
              <w:rPr>
                <w:rFonts w:ascii="Calibri"/>
              </w:rPr>
              <w:t>4.5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(1.3)</w:t>
            </w:r>
          </w:p>
        </w:tc>
        <w:tc>
          <w:tcPr>
            <w:tcW w:w="719" w:type="dxa"/>
            <w:tcBorders>
              <w:top w:val="single" w:sz="4" w:space="0" w:color="7E7E7E"/>
              <w:bottom w:val="single" w:sz="4" w:space="0" w:color="7E7E7E"/>
            </w:tcBorders>
          </w:tcPr>
          <w:p w14:paraId="2A8F374D" w14:textId="77777777" w:rsidR="00C774B2" w:rsidRDefault="00000000">
            <w:pPr>
              <w:pStyle w:val="TableParagraph"/>
              <w:spacing w:before="1" w:line="240" w:lineRule="auto"/>
              <w:ind w:left="140" w:right="148"/>
              <w:rPr>
                <w:rFonts w:ascii="Calibri"/>
              </w:rPr>
            </w:pPr>
            <w:r>
              <w:rPr>
                <w:rFonts w:ascii="Calibri"/>
              </w:rPr>
              <w:t>0.15</w:t>
            </w:r>
          </w:p>
        </w:tc>
      </w:tr>
      <w:tr w:rsidR="00C774B2" w14:paraId="44FB04F3" w14:textId="77777777">
        <w:trPr>
          <w:trHeight w:val="508"/>
        </w:trPr>
        <w:tc>
          <w:tcPr>
            <w:tcW w:w="1702" w:type="dxa"/>
            <w:tcBorders>
              <w:top w:val="single" w:sz="4" w:space="0" w:color="7E7E7E"/>
              <w:bottom w:val="single" w:sz="4" w:space="0" w:color="7E7E7E"/>
            </w:tcBorders>
          </w:tcPr>
          <w:p w14:paraId="3F1516C3" w14:textId="77777777" w:rsidR="00C774B2" w:rsidRDefault="00000000">
            <w:pPr>
              <w:pStyle w:val="TableParagraph"/>
              <w:ind w:left="341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FVE</w:t>
            </w:r>
          </w:p>
        </w:tc>
        <w:tc>
          <w:tcPr>
            <w:tcW w:w="1342" w:type="dxa"/>
            <w:tcBorders>
              <w:top w:val="single" w:sz="4" w:space="0" w:color="7E7E7E"/>
              <w:bottom w:val="single" w:sz="4" w:space="0" w:color="7E7E7E"/>
            </w:tcBorders>
          </w:tcPr>
          <w:p w14:paraId="271718B3" w14:textId="77777777" w:rsidR="00C774B2" w:rsidRDefault="00000000">
            <w:pPr>
              <w:pStyle w:val="TableParagraph"/>
              <w:ind w:right="35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10.6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3C1B470C" w14:textId="77777777" w:rsidR="00C774B2" w:rsidRDefault="00000000">
            <w:pPr>
              <w:pStyle w:val="TableParagraph"/>
              <w:ind w:left="369"/>
              <w:jc w:val="left"/>
              <w:rPr>
                <w:rFonts w:ascii="Calibri"/>
              </w:rPr>
            </w:pPr>
            <w:r>
              <w:rPr>
                <w:rFonts w:ascii="Calibri"/>
              </w:rPr>
              <w:t>10.7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(3)</w:t>
            </w:r>
          </w:p>
        </w:tc>
        <w:tc>
          <w:tcPr>
            <w:tcW w:w="1486" w:type="dxa"/>
            <w:tcBorders>
              <w:top w:val="single" w:sz="4" w:space="0" w:color="7E7E7E"/>
              <w:bottom w:val="single" w:sz="4" w:space="0" w:color="7E7E7E"/>
            </w:tcBorders>
          </w:tcPr>
          <w:p w14:paraId="7D815DCA" w14:textId="77777777" w:rsidR="00C774B2" w:rsidRDefault="00000000">
            <w:pPr>
              <w:pStyle w:val="TableParagraph"/>
              <w:ind w:right="29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11.1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(2.9)</w:t>
            </w:r>
          </w:p>
        </w:tc>
        <w:tc>
          <w:tcPr>
            <w:tcW w:w="1562" w:type="dxa"/>
            <w:tcBorders>
              <w:top w:val="single" w:sz="4" w:space="0" w:color="7E7E7E"/>
              <w:bottom w:val="single" w:sz="4" w:space="0" w:color="7E7E7E"/>
            </w:tcBorders>
          </w:tcPr>
          <w:p w14:paraId="66F804B1" w14:textId="77777777" w:rsidR="00C774B2" w:rsidRDefault="00000000">
            <w:pPr>
              <w:pStyle w:val="TableParagraph"/>
              <w:ind w:left="269" w:right="296"/>
              <w:rPr>
                <w:rFonts w:ascii="Calibri"/>
              </w:rPr>
            </w:pPr>
            <w:r>
              <w:rPr>
                <w:rFonts w:ascii="Calibri"/>
              </w:rPr>
              <w:t>10.1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(2.9)</w:t>
            </w:r>
          </w:p>
        </w:tc>
        <w:tc>
          <w:tcPr>
            <w:tcW w:w="719" w:type="dxa"/>
            <w:tcBorders>
              <w:top w:val="single" w:sz="4" w:space="0" w:color="7E7E7E"/>
              <w:bottom w:val="single" w:sz="4" w:space="0" w:color="7E7E7E"/>
            </w:tcBorders>
          </w:tcPr>
          <w:p w14:paraId="53D8F34F" w14:textId="77777777" w:rsidR="00C774B2" w:rsidRDefault="00000000">
            <w:pPr>
              <w:pStyle w:val="TableParagraph"/>
              <w:ind w:left="138" w:right="148"/>
              <w:rPr>
                <w:rFonts w:ascii="Calibri"/>
              </w:rPr>
            </w:pPr>
            <w:r>
              <w:rPr>
                <w:rFonts w:ascii="Calibri"/>
              </w:rPr>
              <w:t>0.1</w:t>
            </w:r>
          </w:p>
        </w:tc>
      </w:tr>
      <w:tr w:rsidR="00C774B2" w14:paraId="4FDFFAF6" w14:textId="77777777">
        <w:trPr>
          <w:trHeight w:val="508"/>
        </w:trPr>
        <w:tc>
          <w:tcPr>
            <w:tcW w:w="1702" w:type="dxa"/>
            <w:tcBorders>
              <w:top w:val="single" w:sz="4" w:space="0" w:color="7E7E7E"/>
              <w:bottom w:val="single" w:sz="4" w:space="0" w:color="7E7E7E"/>
            </w:tcBorders>
          </w:tcPr>
          <w:p w14:paraId="6CF9C3A7" w14:textId="77777777" w:rsidR="00C774B2" w:rsidRDefault="00000000">
            <w:pPr>
              <w:pStyle w:val="TableParagraph"/>
              <w:ind w:left="341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SSS</w:t>
            </w:r>
          </w:p>
        </w:tc>
        <w:tc>
          <w:tcPr>
            <w:tcW w:w="1342" w:type="dxa"/>
            <w:tcBorders>
              <w:top w:val="single" w:sz="4" w:space="0" w:color="7E7E7E"/>
              <w:bottom w:val="single" w:sz="4" w:space="0" w:color="7E7E7E"/>
            </w:tcBorders>
          </w:tcPr>
          <w:p w14:paraId="44D3D4A7" w14:textId="77777777" w:rsidR="00C774B2" w:rsidRDefault="00000000">
            <w:pPr>
              <w:pStyle w:val="TableParagraph"/>
              <w:ind w:right="35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23.3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0D91F598" w14:textId="77777777" w:rsidR="00C774B2" w:rsidRDefault="00000000">
            <w:pPr>
              <w:pStyle w:val="TableParagraph"/>
              <w:ind w:left="393"/>
              <w:jc w:val="left"/>
              <w:rPr>
                <w:rFonts w:ascii="Calibri"/>
              </w:rPr>
            </w:pPr>
            <w:r>
              <w:rPr>
                <w:rFonts w:ascii="Calibri"/>
              </w:rPr>
              <w:t>23.3(6)</w:t>
            </w:r>
          </w:p>
        </w:tc>
        <w:tc>
          <w:tcPr>
            <w:tcW w:w="1486" w:type="dxa"/>
            <w:tcBorders>
              <w:top w:val="single" w:sz="4" w:space="0" w:color="7E7E7E"/>
              <w:bottom w:val="single" w:sz="4" w:space="0" w:color="7E7E7E"/>
            </w:tcBorders>
          </w:tcPr>
          <w:p w14:paraId="3387836A" w14:textId="77777777" w:rsidR="00C774B2" w:rsidRDefault="00000000">
            <w:pPr>
              <w:pStyle w:val="TableParagraph"/>
              <w:ind w:right="29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(5.7)</w:t>
            </w:r>
          </w:p>
        </w:tc>
        <w:tc>
          <w:tcPr>
            <w:tcW w:w="1562" w:type="dxa"/>
            <w:tcBorders>
              <w:top w:val="single" w:sz="4" w:space="0" w:color="7E7E7E"/>
              <w:bottom w:val="single" w:sz="4" w:space="0" w:color="7E7E7E"/>
            </w:tcBorders>
          </w:tcPr>
          <w:p w14:paraId="70C94003" w14:textId="77777777" w:rsidR="00C774B2" w:rsidRDefault="00000000">
            <w:pPr>
              <w:pStyle w:val="TableParagraph"/>
              <w:ind w:left="269" w:right="296"/>
              <w:rPr>
                <w:rFonts w:ascii="Calibri"/>
              </w:rPr>
            </w:pPr>
            <w:r>
              <w:rPr>
                <w:rFonts w:ascii="Calibri"/>
              </w:rPr>
              <w:t>23.1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(6.3)</w:t>
            </w:r>
          </w:p>
        </w:tc>
        <w:tc>
          <w:tcPr>
            <w:tcW w:w="719" w:type="dxa"/>
            <w:tcBorders>
              <w:top w:val="single" w:sz="4" w:space="0" w:color="7E7E7E"/>
              <w:bottom w:val="single" w:sz="4" w:space="0" w:color="7E7E7E"/>
            </w:tcBorders>
          </w:tcPr>
          <w:p w14:paraId="73A9B05E" w14:textId="77777777" w:rsidR="00C774B2" w:rsidRDefault="00000000">
            <w:pPr>
              <w:pStyle w:val="TableParagraph"/>
              <w:ind w:left="140" w:right="148"/>
              <w:rPr>
                <w:rFonts w:ascii="Calibri"/>
              </w:rPr>
            </w:pPr>
            <w:r>
              <w:rPr>
                <w:rFonts w:ascii="Calibri"/>
              </w:rPr>
              <w:t>0.92</w:t>
            </w:r>
          </w:p>
        </w:tc>
      </w:tr>
      <w:tr w:rsidR="00C774B2" w14:paraId="0D58DCD6" w14:textId="77777777">
        <w:trPr>
          <w:trHeight w:val="508"/>
        </w:trPr>
        <w:tc>
          <w:tcPr>
            <w:tcW w:w="1702" w:type="dxa"/>
            <w:tcBorders>
              <w:top w:val="single" w:sz="4" w:space="0" w:color="7E7E7E"/>
              <w:bottom w:val="single" w:sz="4" w:space="0" w:color="7E7E7E"/>
            </w:tcBorders>
          </w:tcPr>
          <w:p w14:paraId="5EAB9019" w14:textId="77777777" w:rsidR="00C774B2" w:rsidRDefault="00000000">
            <w:pPr>
              <w:pStyle w:val="TableParagraph"/>
              <w:ind w:left="341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HUM</w:t>
            </w:r>
          </w:p>
        </w:tc>
        <w:tc>
          <w:tcPr>
            <w:tcW w:w="1342" w:type="dxa"/>
            <w:tcBorders>
              <w:top w:val="single" w:sz="4" w:space="0" w:color="7E7E7E"/>
              <w:bottom w:val="single" w:sz="4" w:space="0" w:color="7E7E7E"/>
            </w:tcBorders>
          </w:tcPr>
          <w:p w14:paraId="76C3FC06" w14:textId="77777777" w:rsidR="00C774B2" w:rsidRDefault="00000000">
            <w:pPr>
              <w:pStyle w:val="TableParagraph"/>
              <w:ind w:right="33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9.2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(3.5)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57A8766D" w14:textId="77777777" w:rsidR="00C774B2" w:rsidRDefault="00000000">
            <w:pPr>
              <w:pStyle w:val="TableParagraph"/>
              <w:ind w:left="34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8.6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(3.4)</w:t>
            </w:r>
          </w:p>
        </w:tc>
        <w:tc>
          <w:tcPr>
            <w:tcW w:w="1486" w:type="dxa"/>
            <w:tcBorders>
              <w:top w:val="single" w:sz="4" w:space="0" w:color="7E7E7E"/>
              <w:bottom w:val="single" w:sz="4" w:space="0" w:color="7E7E7E"/>
            </w:tcBorders>
          </w:tcPr>
          <w:p w14:paraId="74D4245D" w14:textId="77777777" w:rsidR="00C774B2" w:rsidRDefault="00000000">
            <w:pPr>
              <w:pStyle w:val="TableParagraph"/>
              <w:ind w:right="3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9.3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(3.6)</w:t>
            </w:r>
          </w:p>
        </w:tc>
        <w:tc>
          <w:tcPr>
            <w:tcW w:w="1562" w:type="dxa"/>
            <w:tcBorders>
              <w:top w:val="single" w:sz="4" w:space="0" w:color="7E7E7E"/>
              <w:bottom w:val="single" w:sz="4" w:space="0" w:color="7E7E7E"/>
            </w:tcBorders>
          </w:tcPr>
          <w:p w14:paraId="0983EBCA" w14:textId="77777777" w:rsidR="00C774B2" w:rsidRDefault="00000000">
            <w:pPr>
              <w:pStyle w:val="TableParagraph"/>
              <w:ind w:left="269" w:right="294"/>
              <w:rPr>
                <w:rFonts w:ascii="Calibri"/>
              </w:rPr>
            </w:pPr>
            <w:r>
              <w:rPr>
                <w:rFonts w:ascii="Calibri"/>
              </w:rPr>
              <w:t>9.6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(3.4)</w:t>
            </w:r>
          </w:p>
        </w:tc>
        <w:tc>
          <w:tcPr>
            <w:tcW w:w="719" w:type="dxa"/>
            <w:tcBorders>
              <w:top w:val="single" w:sz="4" w:space="0" w:color="7E7E7E"/>
              <w:bottom w:val="single" w:sz="4" w:space="0" w:color="7E7E7E"/>
            </w:tcBorders>
          </w:tcPr>
          <w:p w14:paraId="24F95C5B" w14:textId="77777777" w:rsidR="00C774B2" w:rsidRDefault="00000000">
            <w:pPr>
              <w:pStyle w:val="TableParagraph"/>
              <w:ind w:left="140" w:right="148"/>
              <w:rPr>
                <w:rFonts w:ascii="Calibri"/>
              </w:rPr>
            </w:pPr>
            <w:r>
              <w:rPr>
                <w:rFonts w:ascii="Calibri"/>
              </w:rPr>
              <w:t>0.21</w:t>
            </w:r>
          </w:p>
        </w:tc>
      </w:tr>
      <w:tr w:rsidR="00C774B2" w14:paraId="763E81A7" w14:textId="77777777">
        <w:trPr>
          <w:trHeight w:val="509"/>
        </w:trPr>
        <w:tc>
          <w:tcPr>
            <w:tcW w:w="1702" w:type="dxa"/>
            <w:tcBorders>
              <w:top w:val="single" w:sz="4" w:space="0" w:color="7E7E7E"/>
              <w:bottom w:val="single" w:sz="4" w:space="0" w:color="7E7E7E"/>
            </w:tcBorders>
          </w:tcPr>
          <w:p w14:paraId="251CC60D" w14:textId="77777777" w:rsidR="00C774B2" w:rsidRDefault="00000000">
            <w:pPr>
              <w:pStyle w:val="TableParagraph"/>
              <w:ind w:left="341" w:right="340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REL</w:t>
            </w:r>
          </w:p>
        </w:tc>
        <w:tc>
          <w:tcPr>
            <w:tcW w:w="1342" w:type="dxa"/>
            <w:tcBorders>
              <w:top w:val="single" w:sz="4" w:space="0" w:color="7E7E7E"/>
              <w:bottom w:val="single" w:sz="4" w:space="0" w:color="7E7E7E"/>
            </w:tcBorders>
          </w:tcPr>
          <w:p w14:paraId="5BE69F10" w14:textId="77777777" w:rsidR="00C774B2" w:rsidRDefault="00000000">
            <w:pPr>
              <w:pStyle w:val="TableParagraph"/>
              <w:ind w:right="33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(3.7)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39710773" w14:textId="77777777" w:rsidR="00C774B2" w:rsidRDefault="00000000">
            <w:pPr>
              <w:pStyle w:val="TableParagraph"/>
              <w:ind w:left="34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6.5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(3.7)</w:t>
            </w:r>
          </w:p>
        </w:tc>
        <w:tc>
          <w:tcPr>
            <w:tcW w:w="1486" w:type="dxa"/>
            <w:tcBorders>
              <w:top w:val="single" w:sz="4" w:space="0" w:color="7E7E7E"/>
              <w:bottom w:val="single" w:sz="4" w:space="0" w:color="7E7E7E"/>
            </w:tcBorders>
          </w:tcPr>
          <w:p w14:paraId="40378A10" w14:textId="77777777" w:rsidR="00C774B2" w:rsidRDefault="00000000">
            <w:pPr>
              <w:pStyle w:val="TableParagraph"/>
              <w:ind w:right="3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6.9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(3.8)</w:t>
            </w:r>
          </w:p>
        </w:tc>
        <w:tc>
          <w:tcPr>
            <w:tcW w:w="1562" w:type="dxa"/>
            <w:tcBorders>
              <w:top w:val="single" w:sz="4" w:space="0" w:color="7E7E7E"/>
              <w:bottom w:val="single" w:sz="4" w:space="0" w:color="7E7E7E"/>
            </w:tcBorders>
          </w:tcPr>
          <w:p w14:paraId="2DB86600" w14:textId="77777777" w:rsidR="00C774B2" w:rsidRDefault="00000000">
            <w:pPr>
              <w:pStyle w:val="TableParagraph"/>
              <w:ind w:left="269" w:right="294"/>
              <w:rPr>
                <w:rFonts w:ascii="Calibri"/>
              </w:rPr>
            </w:pPr>
            <w:r>
              <w:rPr>
                <w:rFonts w:ascii="Calibri"/>
              </w:rPr>
              <w:t>6.2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(3.4)</w:t>
            </w:r>
          </w:p>
        </w:tc>
        <w:tc>
          <w:tcPr>
            <w:tcW w:w="719" w:type="dxa"/>
            <w:tcBorders>
              <w:top w:val="single" w:sz="4" w:space="0" w:color="7E7E7E"/>
              <w:bottom w:val="single" w:sz="4" w:space="0" w:color="7E7E7E"/>
            </w:tcBorders>
          </w:tcPr>
          <w:p w14:paraId="162DCDD7" w14:textId="77777777" w:rsidR="00C774B2" w:rsidRDefault="00000000">
            <w:pPr>
              <w:pStyle w:val="TableParagraph"/>
              <w:ind w:left="140" w:right="148"/>
              <w:rPr>
                <w:rFonts w:ascii="Calibri"/>
              </w:rPr>
            </w:pPr>
            <w:r>
              <w:rPr>
                <w:rFonts w:ascii="Calibri"/>
              </w:rPr>
              <w:t>0.49</w:t>
            </w:r>
          </w:p>
        </w:tc>
      </w:tr>
      <w:tr w:rsidR="00C774B2" w14:paraId="4A27101B" w14:textId="77777777">
        <w:trPr>
          <w:trHeight w:val="508"/>
        </w:trPr>
        <w:tc>
          <w:tcPr>
            <w:tcW w:w="1702" w:type="dxa"/>
            <w:tcBorders>
              <w:top w:val="single" w:sz="4" w:space="0" w:color="7E7E7E"/>
              <w:bottom w:val="single" w:sz="4" w:space="0" w:color="7E7E7E"/>
            </w:tcBorders>
          </w:tcPr>
          <w:p w14:paraId="5700C79F" w14:textId="77777777" w:rsidR="00C774B2" w:rsidRDefault="00000000">
            <w:pPr>
              <w:pStyle w:val="TableParagraph"/>
              <w:ind w:left="341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DEN</w:t>
            </w:r>
          </w:p>
        </w:tc>
        <w:tc>
          <w:tcPr>
            <w:tcW w:w="1342" w:type="dxa"/>
            <w:tcBorders>
              <w:top w:val="single" w:sz="4" w:space="0" w:color="7E7E7E"/>
              <w:bottom w:val="single" w:sz="4" w:space="0" w:color="7E7E7E"/>
            </w:tcBorders>
          </w:tcPr>
          <w:p w14:paraId="53F70497" w14:textId="77777777" w:rsidR="00C774B2" w:rsidRDefault="00000000">
            <w:pPr>
              <w:pStyle w:val="TableParagraph"/>
              <w:ind w:right="333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(2.3)</w:t>
            </w:r>
          </w:p>
        </w:tc>
        <w:tc>
          <w:tcPr>
            <w:tcW w:w="1417" w:type="dxa"/>
            <w:tcBorders>
              <w:top w:val="single" w:sz="4" w:space="0" w:color="7E7E7E"/>
              <w:bottom w:val="single" w:sz="4" w:space="0" w:color="7E7E7E"/>
            </w:tcBorders>
          </w:tcPr>
          <w:p w14:paraId="4677E8ED" w14:textId="77777777" w:rsidR="00C774B2" w:rsidRDefault="00000000">
            <w:pPr>
              <w:pStyle w:val="TableParagraph"/>
              <w:ind w:left="34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5.5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(1.8)</w:t>
            </w:r>
          </w:p>
        </w:tc>
        <w:tc>
          <w:tcPr>
            <w:tcW w:w="1486" w:type="dxa"/>
            <w:tcBorders>
              <w:top w:val="single" w:sz="4" w:space="0" w:color="7E7E7E"/>
              <w:bottom w:val="single" w:sz="4" w:space="0" w:color="7E7E7E"/>
            </w:tcBorders>
          </w:tcPr>
          <w:p w14:paraId="012F9E4C" w14:textId="77777777" w:rsidR="00C774B2" w:rsidRDefault="00000000">
            <w:pPr>
              <w:pStyle w:val="TableParagraph"/>
              <w:ind w:right="34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5.9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(2.4)</w:t>
            </w:r>
          </w:p>
        </w:tc>
        <w:tc>
          <w:tcPr>
            <w:tcW w:w="1562" w:type="dxa"/>
            <w:tcBorders>
              <w:top w:val="single" w:sz="4" w:space="0" w:color="7E7E7E"/>
              <w:bottom w:val="single" w:sz="4" w:space="0" w:color="7E7E7E"/>
            </w:tcBorders>
          </w:tcPr>
          <w:p w14:paraId="1AD8870E" w14:textId="77777777" w:rsidR="00C774B2" w:rsidRDefault="00000000">
            <w:pPr>
              <w:pStyle w:val="TableParagraph"/>
              <w:ind w:left="269" w:right="294"/>
              <w:rPr>
                <w:rFonts w:ascii="Calibri"/>
              </w:rPr>
            </w:pPr>
            <w:r>
              <w:rPr>
                <w:rFonts w:ascii="Calibri"/>
              </w:rPr>
              <w:t>5.9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(2.5)</w:t>
            </w:r>
          </w:p>
        </w:tc>
        <w:tc>
          <w:tcPr>
            <w:tcW w:w="719" w:type="dxa"/>
            <w:tcBorders>
              <w:top w:val="single" w:sz="4" w:space="0" w:color="7E7E7E"/>
              <w:bottom w:val="single" w:sz="4" w:space="0" w:color="7E7E7E"/>
            </w:tcBorders>
          </w:tcPr>
          <w:p w14:paraId="7FC1D576" w14:textId="77777777" w:rsidR="00C774B2" w:rsidRDefault="00000000">
            <w:pPr>
              <w:pStyle w:val="TableParagraph"/>
              <w:ind w:left="140" w:right="148"/>
              <w:rPr>
                <w:rFonts w:ascii="Calibri"/>
              </w:rPr>
            </w:pPr>
            <w:r>
              <w:rPr>
                <w:rFonts w:ascii="Calibri"/>
              </w:rPr>
              <w:t>0.54</w:t>
            </w:r>
          </w:p>
        </w:tc>
      </w:tr>
      <w:tr w:rsidR="00C774B2" w14:paraId="0E7893A1" w14:textId="77777777">
        <w:trPr>
          <w:trHeight w:val="266"/>
        </w:trPr>
        <w:tc>
          <w:tcPr>
            <w:tcW w:w="1702" w:type="dxa"/>
            <w:tcBorders>
              <w:top w:val="single" w:sz="4" w:space="0" w:color="7E7E7E"/>
            </w:tcBorders>
          </w:tcPr>
          <w:p w14:paraId="57A1C42F" w14:textId="77777777" w:rsidR="00C774B2" w:rsidRDefault="00000000">
            <w:pPr>
              <w:pStyle w:val="TableParagraph"/>
              <w:spacing w:before="1" w:line="245" w:lineRule="exact"/>
              <w:ind w:left="339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REC</w:t>
            </w:r>
          </w:p>
        </w:tc>
        <w:tc>
          <w:tcPr>
            <w:tcW w:w="1342" w:type="dxa"/>
            <w:tcBorders>
              <w:top w:val="single" w:sz="4" w:space="0" w:color="7E7E7E"/>
            </w:tcBorders>
          </w:tcPr>
          <w:p w14:paraId="73F019E2" w14:textId="77777777" w:rsidR="00C774B2" w:rsidRDefault="00000000">
            <w:pPr>
              <w:pStyle w:val="TableParagraph"/>
              <w:spacing w:before="1" w:line="245" w:lineRule="exact"/>
              <w:ind w:right="276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30.6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(4.9)</w:t>
            </w:r>
          </w:p>
        </w:tc>
        <w:tc>
          <w:tcPr>
            <w:tcW w:w="1417" w:type="dxa"/>
            <w:tcBorders>
              <w:top w:val="single" w:sz="4" w:space="0" w:color="7E7E7E"/>
            </w:tcBorders>
          </w:tcPr>
          <w:p w14:paraId="5D1DF8FF" w14:textId="77777777" w:rsidR="00C774B2" w:rsidRDefault="00000000">
            <w:pPr>
              <w:pStyle w:val="TableParagraph"/>
              <w:spacing w:before="1" w:line="245" w:lineRule="exact"/>
              <w:ind w:left="285"/>
              <w:jc w:val="left"/>
              <w:rPr>
                <w:rFonts w:ascii="Calibri"/>
              </w:rPr>
            </w:pPr>
            <w:r>
              <w:rPr>
                <w:rFonts w:ascii="Calibri"/>
              </w:rPr>
              <w:t>30.6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(4.4)</w:t>
            </w:r>
          </w:p>
        </w:tc>
        <w:tc>
          <w:tcPr>
            <w:tcW w:w="1486" w:type="dxa"/>
            <w:tcBorders>
              <w:top w:val="single" w:sz="4" w:space="0" w:color="7E7E7E"/>
            </w:tcBorders>
          </w:tcPr>
          <w:p w14:paraId="61E63F41" w14:textId="77777777" w:rsidR="00C774B2" w:rsidRDefault="00000000">
            <w:pPr>
              <w:pStyle w:val="TableParagraph"/>
              <w:spacing w:before="1" w:line="245" w:lineRule="exact"/>
              <w:ind w:right="290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30.6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(5.4)</w:t>
            </w:r>
          </w:p>
        </w:tc>
        <w:tc>
          <w:tcPr>
            <w:tcW w:w="1562" w:type="dxa"/>
            <w:tcBorders>
              <w:top w:val="single" w:sz="4" w:space="0" w:color="7E7E7E"/>
            </w:tcBorders>
          </w:tcPr>
          <w:p w14:paraId="59157AAD" w14:textId="77777777" w:rsidR="00C774B2" w:rsidRDefault="00000000">
            <w:pPr>
              <w:pStyle w:val="TableParagraph"/>
              <w:spacing w:before="1" w:line="245" w:lineRule="exact"/>
              <w:ind w:left="269" w:right="296"/>
              <w:rPr>
                <w:rFonts w:ascii="Calibri"/>
              </w:rPr>
            </w:pPr>
            <w:r>
              <w:rPr>
                <w:rFonts w:ascii="Calibri"/>
              </w:rPr>
              <w:t>30.6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(4.8)</w:t>
            </w:r>
          </w:p>
        </w:tc>
        <w:tc>
          <w:tcPr>
            <w:tcW w:w="719" w:type="dxa"/>
            <w:tcBorders>
              <w:top w:val="single" w:sz="4" w:space="0" w:color="7E7E7E"/>
            </w:tcBorders>
          </w:tcPr>
          <w:p w14:paraId="2810256D" w14:textId="77777777" w:rsidR="00C774B2" w:rsidRDefault="00000000">
            <w:pPr>
              <w:pStyle w:val="TableParagraph"/>
              <w:spacing w:before="1" w:line="245" w:lineRule="exact"/>
              <w:ind w:left="140" w:right="148"/>
              <w:rPr>
                <w:rFonts w:ascii="Calibri"/>
              </w:rPr>
            </w:pPr>
            <w:r>
              <w:rPr>
                <w:rFonts w:ascii="Calibri"/>
              </w:rPr>
              <w:t>0.99</w:t>
            </w:r>
          </w:p>
        </w:tc>
      </w:tr>
    </w:tbl>
    <w:p w14:paraId="42C43079" w14:textId="4037A1A0" w:rsidR="00C774B2" w:rsidRDefault="0021171C">
      <w:pPr>
        <w:pStyle w:val="Textoindependiente"/>
        <w:spacing w:before="10"/>
        <w:rPr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472" behindDoc="1" locked="0" layoutInCell="1" allowOverlap="1" wp14:anchorId="3B8EB722" wp14:editId="75C92259">
                <wp:simplePos x="0" y="0"/>
                <wp:positionH relativeFrom="page">
                  <wp:posOffset>1071880</wp:posOffset>
                </wp:positionH>
                <wp:positionV relativeFrom="paragraph">
                  <wp:posOffset>155575</wp:posOffset>
                </wp:positionV>
                <wp:extent cx="5231130" cy="6350"/>
                <wp:effectExtent l="0" t="0" r="0" b="0"/>
                <wp:wrapTopAndBottom/>
                <wp:docPr id="321050909" name="Rectangl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31130" cy="6350"/>
                        </a:xfrm>
                        <a:prstGeom prst="rect">
                          <a:avLst/>
                        </a:prstGeom>
                        <a:solidFill>
                          <a:srgbClr val="7E7E7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B8BFEB7" id="Rectangle 4" o:spid="_x0000_s1026" style="position:absolute;margin-left:84.4pt;margin-top:12.25pt;width:411.9pt;height:.5pt;z-index:-1572300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" fillcolor="#7e7e7e" stroked="f">
                <w10:wrap type="topAndBottom" anchorx="page"/>
              </v:rect>
            </w:pict>
          </mc:Fallback>
        </mc:AlternateContent>
      </w:r>
    </w:p>
    <w:p w14:paraId="7B847981" w14:textId="77777777" w:rsidR="00C774B2" w:rsidRDefault="00000000">
      <w:pPr>
        <w:ind w:left="1702" w:right="1642"/>
        <w:jc w:val="both"/>
        <w:rPr>
          <w:sz w:val="18"/>
        </w:rPr>
      </w:pPr>
      <w:r>
        <w:rPr>
          <w:sz w:val="18"/>
        </w:rPr>
        <w:t>APC: Active Problem-Focused Coping; ADD: Alcohol/Drug Disengagement; FVE: Focus on and Venting of Emotions;</w:t>
      </w:r>
      <w:r>
        <w:rPr>
          <w:spacing w:val="1"/>
          <w:sz w:val="18"/>
        </w:rPr>
        <w:t xml:space="preserve"> </w:t>
      </w:r>
      <w:r>
        <w:rPr>
          <w:sz w:val="18"/>
        </w:rPr>
        <w:t>SSS:</w:t>
      </w:r>
      <w:r>
        <w:rPr>
          <w:spacing w:val="1"/>
          <w:sz w:val="18"/>
        </w:rPr>
        <w:t xml:space="preserve"> </w:t>
      </w:r>
      <w:r>
        <w:rPr>
          <w:sz w:val="18"/>
        </w:rPr>
        <w:t>Seeking</w:t>
      </w:r>
      <w:r>
        <w:rPr>
          <w:spacing w:val="1"/>
          <w:sz w:val="18"/>
        </w:rPr>
        <w:t xml:space="preserve"> </w:t>
      </w:r>
      <w:r>
        <w:rPr>
          <w:sz w:val="18"/>
        </w:rPr>
        <w:t>Social Support; HUM: Humour; REL: Turning to</w:t>
      </w:r>
      <w:r>
        <w:rPr>
          <w:spacing w:val="1"/>
          <w:sz w:val="18"/>
        </w:rPr>
        <w:t xml:space="preserve"> </w:t>
      </w:r>
      <w:r>
        <w:rPr>
          <w:sz w:val="18"/>
        </w:rPr>
        <w:t>Religion; DEN: Denial; REC: Restraint Coping; IG:</w:t>
      </w:r>
      <w:r>
        <w:rPr>
          <w:spacing w:val="1"/>
          <w:sz w:val="18"/>
        </w:rPr>
        <w:t xml:space="preserve"> </w:t>
      </w:r>
      <w:r>
        <w:rPr>
          <w:sz w:val="18"/>
        </w:rPr>
        <w:t>Intervention</w:t>
      </w:r>
      <w:r>
        <w:rPr>
          <w:spacing w:val="-2"/>
          <w:sz w:val="18"/>
        </w:rPr>
        <w:t xml:space="preserve"> </w:t>
      </w:r>
      <w:r>
        <w:rPr>
          <w:sz w:val="18"/>
        </w:rPr>
        <w:t>Group;</w:t>
      </w:r>
      <w:r>
        <w:rPr>
          <w:spacing w:val="-1"/>
          <w:sz w:val="18"/>
        </w:rPr>
        <w:t xml:space="preserve"> </w:t>
      </w:r>
      <w:r>
        <w:rPr>
          <w:i/>
          <w:sz w:val="18"/>
        </w:rPr>
        <w:t>p</w:t>
      </w:r>
      <w:r>
        <w:rPr>
          <w:sz w:val="18"/>
        </w:rPr>
        <w:t>*:</w:t>
      </w:r>
      <w:r>
        <w:rPr>
          <w:spacing w:val="-1"/>
          <w:sz w:val="18"/>
        </w:rPr>
        <w:t xml:space="preserve"> </w:t>
      </w:r>
      <w:r>
        <w:rPr>
          <w:sz w:val="18"/>
        </w:rPr>
        <w:t>statistical</w:t>
      </w:r>
      <w:r>
        <w:rPr>
          <w:spacing w:val="-2"/>
          <w:sz w:val="18"/>
        </w:rPr>
        <w:t xml:space="preserve"> </w:t>
      </w:r>
      <w:r>
        <w:rPr>
          <w:sz w:val="18"/>
        </w:rPr>
        <w:t>significance</w:t>
      </w:r>
      <w:r>
        <w:rPr>
          <w:spacing w:val="-2"/>
          <w:sz w:val="18"/>
        </w:rPr>
        <w:t xml:space="preserve"> </w:t>
      </w:r>
      <w:r>
        <w:rPr>
          <w:sz w:val="18"/>
        </w:rPr>
        <w:t>for ANOVA</w:t>
      </w:r>
      <w:r>
        <w:rPr>
          <w:spacing w:val="-3"/>
          <w:sz w:val="18"/>
        </w:rPr>
        <w:t xml:space="preserve"> </w:t>
      </w:r>
      <w:r>
        <w:rPr>
          <w:sz w:val="18"/>
        </w:rPr>
        <w:t>test</w:t>
      </w:r>
      <w:r>
        <w:rPr>
          <w:spacing w:val="-1"/>
          <w:sz w:val="18"/>
        </w:rPr>
        <w:t xml:space="preserve"> </w:t>
      </w:r>
      <w:r>
        <w:rPr>
          <w:sz w:val="18"/>
        </w:rPr>
        <w:t>for</w:t>
      </w:r>
      <w:r>
        <w:rPr>
          <w:spacing w:val="-1"/>
          <w:sz w:val="18"/>
        </w:rPr>
        <w:t xml:space="preserve"> </w:t>
      </w:r>
      <w:r>
        <w:rPr>
          <w:sz w:val="18"/>
        </w:rPr>
        <w:t>comparison</w:t>
      </w:r>
      <w:r>
        <w:rPr>
          <w:spacing w:val="-2"/>
          <w:sz w:val="18"/>
        </w:rPr>
        <w:t xml:space="preserve"> </w:t>
      </w:r>
      <w:r>
        <w:rPr>
          <w:sz w:val="18"/>
        </w:rPr>
        <w:t>of</w:t>
      </w:r>
      <w:r>
        <w:rPr>
          <w:spacing w:val="-2"/>
          <w:sz w:val="18"/>
        </w:rPr>
        <w:t xml:space="preserve"> </w:t>
      </w:r>
      <w:r>
        <w:rPr>
          <w:sz w:val="18"/>
        </w:rPr>
        <w:t>three</w:t>
      </w:r>
      <w:r>
        <w:rPr>
          <w:spacing w:val="-1"/>
          <w:sz w:val="18"/>
        </w:rPr>
        <w:t xml:space="preserve"> </w:t>
      </w:r>
      <w:r>
        <w:rPr>
          <w:sz w:val="18"/>
        </w:rPr>
        <w:t>independent</w:t>
      </w:r>
      <w:r>
        <w:rPr>
          <w:spacing w:val="-1"/>
          <w:sz w:val="18"/>
        </w:rPr>
        <w:t xml:space="preserve"> </w:t>
      </w:r>
      <w:r>
        <w:rPr>
          <w:sz w:val="18"/>
        </w:rPr>
        <w:t>means.</w:t>
      </w:r>
    </w:p>
    <w:p w14:paraId="24364B1E" w14:textId="77777777" w:rsidR="00C774B2" w:rsidRDefault="00C774B2">
      <w:pPr>
        <w:jc w:val="both"/>
        <w:rPr>
          <w:sz w:val="18"/>
        </w:rPr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51EC7E1C" w14:textId="77777777" w:rsidR="00C774B2" w:rsidRDefault="00000000">
      <w:pPr>
        <w:pStyle w:val="Ttulo4"/>
        <w:spacing w:before="34"/>
        <w:ind w:right="1640"/>
      </w:pPr>
      <w:r>
        <w:lastRenderedPageBreak/>
        <w:t>Table</w:t>
      </w:r>
      <w:r>
        <w:rPr>
          <w:spacing w:val="-3"/>
        </w:rPr>
        <w:t xml:space="preserve"> </w:t>
      </w:r>
      <w:r>
        <w:t>4.</w:t>
      </w:r>
      <w:r>
        <w:rPr>
          <w:spacing w:val="-1"/>
        </w:rPr>
        <w:t xml:space="preserve"> </w:t>
      </w:r>
      <w:r>
        <w:t>Results</w:t>
      </w:r>
      <w:r>
        <w:rPr>
          <w:spacing w:val="-2"/>
        </w:rPr>
        <w:t xml:space="preserve"> </w:t>
      </w:r>
      <w:r>
        <w:t>of</w:t>
      </w:r>
      <w:r>
        <w:rPr>
          <w:spacing w:val="-3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Connor-Davidson</w:t>
      </w:r>
      <w:r>
        <w:rPr>
          <w:spacing w:val="-3"/>
        </w:rPr>
        <w:t xml:space="preserve"> </w:t>
      </w:r>
      <w:r>
        <w:t>resilience</w:t>
      </w:r>
      <w:r>
        <w:rPr>
          <w:spacing w:val="-5"/>
        </w:rPr>
        <w:t xml:space="preserve"> </w:t>
      </w:r>
      <w:r>
        <w:t>scale</w:t>
      </w:r>
      <w:r>
        <w:rPr>
          <w:spacing w:val="-3"/>
        </w:rPr>
        <w:t xml:space="preserve"> </w:t>
      </w:r>
      <w:r>
        <w:t>by</w:t>
      </w:r>
      <w:r>
        <w:rPr>
          <w:spacing w:val="-1"/>
        </w:rPr>
        <w:t xml:space="preserve"> </w:t>
      </w:r>
      <w:r>
        <w:t>study</w:t>
      </w:r>
      <w:r>
        <w:rPr>
          <w:spacing w:val="-1"/>
        </w:rPr>
        <w:t xml:space="preserve"> </w:t>
      </w:r>
      <w:r>
        <w:t>group</w:t>
      </w:r>
    </w:p>
    <w:p w14:paraId="78AEEB8F" w14:textId="77777777" w:rsidR="00C774B2" w:rsidRDefault="00C774B2">
      <w:pPr>
        <w:pStyle w:val="Textoindependiente"/>
        <w:spacing w:before="7" w:after="1"/>
        <w:rPr>
          <w:b/>
          <w:sz w:val="15"/>
        </w:rPr>
      </w:pPr>
    </w:p>
    <w:tbl>
      <w:tblPr>
        <w:tblStyle w:val="TableNormal"/>
        <w:tblW w:w="0" w:type="auto"/>
        <w:tblInd w:w="1709" w:type="dxa"/>
        <w:tblLayout w:type="fixed"/>
        <w:tblLook w:val="01E0" w:firstRow="1" w:lastRow="1" w:firstColumn="1" w:lastColumn="1" w:noHBand="0" w:noVBand="0"/>
      </w:tblPr>
      <w:tblGrid>
        <w:gridCol w:w="1694"/>
        <w:gridCol w:w="1266"/>
        <w:gridCol w:w="1537"/>
        <w:gridCol w:w="1492"/>
        <w:gridCol w:w="1519"/>
        <w:gridCol w:w="716"/>
      </w:tblGrid>
      <w:tr w:rsidR="00C774B2" w14:paraId="73DDEE69" w14:textId="77777777">
        <w:trPr>
          <w:trHeight w:val="508"/>
        </w:trPr>
        <w:tc>
          <w:tcPr>
            <w:tcW w:w="1694" w:type="dxa"/>
            <w:tcBorders>
              <w:top w:val="single" w:sz="4" w:space="0" w:color="7E7E7E"/>
            </w:tcBorders>
          </w:tcPr>
          <w:p w14:paraId="698FC2A9" w14:textId="77777777" w:rsidR="00C774B2" w:rsidRDefault="00000000">
            <w:pPr>
              <w:pStyle w:val="TableParagraph"/>
              <w:ind w:left="337" w:right="33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Dimension</w:t>
            </w:r>
          </w:p>
        </w:tc>
        <w:tc>
          <w:tcPr>
            <w:tcW w:w="1266" w:type="dxa"/>
            <w:tcBorders>
              <w:top w:val="single" w:sz="4" w:space="0" w:color="7E7E7E"/>
              <w:bottom w:val="single" w:sz="4" w:space="0" w:color="7E7E7E"/>
            </w:tcBorders>
          </w:tcPr>
          <w:p w14:paraId="4B2BB505" w14:textId="77777777" w:rsidR="00C774B2" w:rsidRDefault="00000000">
            <w:pPr>
              <w:pStyle w:val="TableParagraph"/>
              <w:ind w:left="401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Total</w:t>
            </w:r>
          </w:p>
        </w:tc>
        <w:tc>
          <w:tcPr>
            <w:tcW w:w="1537" w:type="dxa"/>
            <w:tcBorders>
              <w:top w:val="single" w:sz="4" w:space="0" w:color="7E7E7E"/>
              <w:bottom w:val="single" w:sz="4" w:space="0" w:color="7E7E7E"/>
            </w:tcBorders>
          </w:tcPr>
          <w:p w14:paraId="66CC62AC" w14:textId="77777777" w:rsidR="00C774B2" w:rsidRDefault="00000000">
            <w:pPr>
              <w:pStyle w:val="TableParagraph"/>
              <w:ind w:left="448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Control</w:t>
            </w:r>
          </w:p>
        </w:tc>
        <w:tc>
          <w:tcPr>
            <w:tcW w:w="1492" w:type="dxa"/>
            <w:tcBorders>
              <w:top w:val="single" w:sz="4" w:space="0" w:color="7E7E7E"/>
              <w:bottom w:val="single" w:sz="4" w:space="0" w:color="7E7E7E"/>
            </w:tcBorders>
          </w:tcPr>
          <w:p w14:paraId="49F242DD" w14:textId="77777777" w:rsidR="00C774B2" w:rsidRDefault="00000000">
            <w:pPr>
              <w:pStyle w:val="TableParagraph"/>
              <w:ind w:left="248" w:right="2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IG-1</w:t>
            </w:r>
          </w:p>
        </w:tc>
        <w:tc>
          <w:tcPr>
            <w:tcW w:w="1519" w:type="dxa"/>
            <w:tcBorders>
              <w:top w:val="single" w:sz="4" w:space="0" w:color="7E7E7E"/>
              <w:bottom w:val="single" w:sz="4" w:space="0" w:color="7E7E7E"/>
            </w:tcBorders>
          </w:tcPr>
          <w:p w14:paraId="6DFC0514" w14:textId="77777777" w:rsidR="00C774B2" w:rsidRDefault="00000000">
            <w:pPr>
              <w:pStyle w:val="TableParagraph"/>
              <w:ind w:left="243" w:right="273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IG-2</w:t>
            </w:r>
          </w:p>
        </w:tc>
        <w:tc>
          <w:tcPr>
            <w:tcW w:w="716" w:type="dxa"/>
            <w:tcBorders>
              <w:top w:val="single" w:sz="4" w:space="0" w:color="7E7E7E"/>
            </w:tcBorders>
          </w:tcPr>
          <w:p w14:paraId="785BC693" w14:textId="77777777" w:rsidR="00C774B2" w:rsidRDefault="00000000">
            <w:pPr>
              <w:pStyle w:val="TableParagraph"/>
              <w:ind w:left="141" w:right="141"/>
              <w:rPr>
                <w:rFonts w:ascii="Calibri"/>
                <w:b/>
              </w:rPr>
            </w:pPr>
            <w:r>
              <w:rPr>
                <w:rFonts w:ascii="Calibri"/>
                <w:b/>
                <w:i/>
              </w:rPr>
              <w:t>p</w:t>
            </w:r>
            <w:r>
              <w:rPr>
                <w:rFonts w:ascii="Calibri"/>
                <w:b/>
              </w:rPr>
              <w:t>*</w:t>
            </w:r>
          </w:p>
        </w:tc>
      </w:tr>
      <w:tr w:rsidR="00C774B2" w14:paraId="180A5291" w14:textId="77777777">
        <w:trPr>
          <w:trHeight w:val="508"/>
        </w:trPr>
        <w:tc>
          <w:tcPr>
            <w:tcW w:w="1694" w:type="dxa"/>
            <w:tcBorders>
              <w:bottom w:val="single" w:sz="4" w:space="0" w:color="7E7E7E"/>
            </w:tcBorders>
          </w:tcPr>
          <w:p w14:paraId="24101979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266" w:type="dxa"/>
            <w:tcBorders>
              <w:top w:val="single" w:sz="4" w:space="0" w:color="7E7E7E"/>
              <w:bottom w:val="single" w:sz="4" w:space="0" w:color="7E7E7E"/>
            </w:tcBorders>
          </w:tcPr>
          <w:p w14:paraId="18ADFD05" w14:textId="77777777" w:rsidR="00C774B2" w:rsidRDefault="00000000">
            <w:pPr>
              <w:pStyle w:val="TableParagraph"/>
              <w:ind w:right="196"/>
              <w:jc w:val="righ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537" w:type="dxa"/>
            <w:tcBorders>
              <w:top w:val="single" w:sz="4" w:space="0" w:color="7E7E7E"/>
              <w:bottom w:val="single" w:sz="4" w:space="0" w:color="7E7E7E"/>
            </w:tcBorders>
          </w:tcPr>
          <w:p w14:paraId="65D055EC" w14:textId="77777777" w:rsidR="00C774B2" w:rsidRDefault="00000000">
            <w:pPr>
              <w:pStyle w:val="TableParagraph"/>
              <w:ind w:left="199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492" w:type="dxa"/>
            <w:tcBorders>
              <w:top w:val="single" w:sz="4" w:space="0" w:color="7E7E7E"/>
              <w:bottom w:val="single" w:sz="4" w:space="0" w:color="7E7E7E"/>
            </w:tcBorders>
          </w:tcPr>
          <w:p w14:paraId="047D25EA" w14:textId="77777777" w:rsidR="00C774B2" w:rsidRDefault="00000000">
            <w:pPr>
              <w:pStyle w:val="TableParagraph"/>
              <w:ind w:left="244" w:right="243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519" w:type="dxa"/>
            <w:tcBorders>
              <w:top w:val="single" w:sz="4" w:space="0" w:color="7E7E7E"/>
              <w:bottom w:val="single" w:sz="4" w:space="0" w:color="7E7E7E"/>
            </w:tcBorders>
          </w:tcPr>
          <w:p w14:paraId="50243A0E" w14:textId="77777777" w:rsidR="00C774B2" w:rsidRDefault="00000000">
            <w:pPr>
              <w:pStyle w:val="TableParagraph"/>
              <w:ind w:left="243" w:right="27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716" w:type="dxa"/>
            <w:tcBorders>
              <w:bottom w:val="single" w:sz="4" w:space="0" w:color="7E7E7E"/>
            </w:tcBorders>
          </w:tcPr>
          <w:p w14:paraId="18D3FFD5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  <w:tr w:rsidR="00C774B2" w14:paraId="6041CB39" w14:textId="77777777">
        <w:trPr>
          <w:trHeight w:val="508"/>
        </w:trPr>
        <w:tc>
          <w:tcPr>
            <w:tcW w:w="1694" w:type="dxa"/>
            <w:tcBorders>
              <w:top w:val="single" w:sz="4" w:space="0" w:color="7E7E7E"/>
              <w:bottom w:val="single" w:sz="4" w:space="0" w:color="7E7E7E"/>
            </w:tcBorders>
          </w:tcPr>
          <w:p w14:paraId="5F0E4364" w14:textId="77777777" w:rsidR="00C774B2" w:rsidRDefault="00000000">
            <w:pPr>
              <w:pStyle w:val="TableParagraph"/>
              <w:ind w:left="337" w:right="336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PTS</w:t>
            </w:r>
          </w:p>
        </w:tc>
        <w:tc>
          <w:tcPr>
            <w:tcW w:w="1266" w:type="dxa"/>
            <w:tcBorders>
              <w:top w:val="single" w:sz="4" w:space="0" w:color="7E7E7E"/>
              <w:bottom w:val="single" w:sz="4" w:space="0" w:color="7E7E7E"/>
            </w:tcBorders>
          </w:tcPr>
          <w:p w14:paraId="413C2E71" w14:textId="77777777" w:rsidR="00C774B2" w:rsidRDefault="00000000">
            <w:pPr>
              <w:pStyle w:val="TableParagraph"/>
              <w:ind w:right="2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23.6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(4.6)</w:t>
            </w:r>
          </w:p>
        </w:tc>
        <w:tc>
          <w:tcPr>
            <w:tcW w:w="1537" w:type="dxa"/>
            <w:tcBorders>
              <w:top w:val="single" w:sz="4" w:space="0" w:color="7E7E7E"/>
              <w:bottom w:val="single" w:sz="4" w:space="0" w:color="7E7E7E"/>
            </w:tcBorders>
          </w:tcPr>
          <w:p w14:paraId="3CCE7A18" w14:textId="77777777" w:rsidR="00C774B2" w:rsidRDefault="00000000">
            <w:pPr>
              <w:pStyle w:val="TableParagraph"/>
              <w:ind w:left="36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24.4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(4.1)</w:t>
            </w:r>
          </w:p>
        </w:tc>
        <w:tc>
          <w:tcPr>
            <w:tcW w:w="1492" w:type="dxa"/>
            <w:tcBorders>
              <w:top w:val="single" w:sz="4" w:space="0" w:color="7E7E7E"/>
              <w:bottom w:val="single" w:sz="4" w:space="0" w:color="7E7E7E"/>
            </w:tcBorders>
          </w:tcPr>
          <w:p w14:paraId="582ECAC7" w14:textId="77777777" w:rsidR="00C774B2" w:rsidRDefault="00000000">
            <w:pPr>
              <w:pStyle w:val="TableParagraph"/>
              <w:ind w:left="248" w:right="242"/>
              <w:rPr>
                <w:rFonts w:ascii="Calibri"/>
              </w:rPr>
            </w:pPr>
            <w:r>
              <w:rPr>
                <w:rFonts w:ascii="Calibri"/>
              </w:rPr>
              <w:t>22.8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(5)</w:t>
            </w:r>
          </w:p>
        </w:tc>
        <w:tc>
          <w:tcPr>
            <w:tcW w:w="1519" w:type="dxa"/>
            <w:tcBorders>
              <w:top w:val="single" w:sz="4" w:space="0" w:color="7E7E7E"/>
              <w:bottom w:val="single" w:sz="4" w:space="0" w:color="7E7E7E"/>
            </w:tcBorders>
          </w:tcPr>
          <w:p w14:paraId="162608E4" w14:textId="77777777" w:rsidR="00C774B2" w:rsidRDefault="00000000">
            <w:pPr>
              <w:pStyle w:val="TableParagraph"/>
              <w:ind w:left="243" w:right="273"/>
              <w:rPr>
                <w:rFonts w:ascii="Calibri"/>
              </w:rPr>
            </w:pPr>
            <w:r>
              <w:rPr>
                <w:rFonts w:ascii="Calibri"/>
              </w:rPr>
              <w:t>23.6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(4.4)</w:t>
            </w:r>
          </w:p>
        </w:tc>
        <w:tc>
          <w:tcPr>
            <w:tcW w:w="716" w:type="dxa"/>
            <w:tcBorders>
              <w:top w:val="single" w:sz="4" w:space="0" w:color="7E7E7E"/>
              <w:bottom w:val="single" w:sz="4" w:space="0" w:color="7E7E7E"/>
            </w:tcBorders>
          </w:tcPr>
          <w:p w14:paraId="4C2FC913" w14:textId="77777777" w:rsidR="00C774B2" w:rsidRDefault="00000000">
            <w:pPr>
              <w:pStyle w:val="TableParagraph"/>
              <w:ind w:left="141" w:right="144"/>
              <w:rPr>
                <w:rFonts w:ascii="Calibri"/>
              </w:rPr>
            </w:pPr>
            <w:r>
              <w:rPr>
                <w:rFonts w:ascii="Calibri"/>
              </w:rPr>
              <w:t>0.08</w:t>
            </w:r>
          </w:p>
        </w:tc>
      </w:tr>
      <w:tr w:rsidR="00C774B2" w14:paraId="0FF38200" w14:textId="77777777">
        <w:trPr>
          <w:trHeight w:val="510"/>
        </w:trPr>
        <w:tc>
          <w:tcPr>
            <w:tcW w:w="1694" w:type="dxa"/>
            <w:tcBorders>
              <w:top w:val="single" w:sz="4" w:space="0" w:color="7E7E7E"/>
              <w:bottom w:val="single" w:sz="4" w:space="0" w:color="7E7E7E"/>
            </w:tcBorders>
          </w:tcPr>
          <w:p w14:paraId="571E2412" w14:textId="77777777" w:rsidR="00C774B2" w:rsidRDefault="00000000">
            <w:pPr>
              <w:pStyle w:val="TableParagraph"/>
              <w:spacing w:before="1" w:line="240" w:lineRule="auto"/>
              <w:ind w:left="337" w:right="33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CUP</w:t>
            </w:r>
          </w:p>
        </w:tc>
        <w:tc>
          <w:tcPr>
            <w:tcW w:w="1266" w:type="dxa"/>
            <w:tcBorders>
              <w:top w:val="single" w:sz="4" w:space="0" w:color="7E7E7E"/>
              <w:bottom w:val="single" w:sz="4" w:space="0" w:color="7E7E7E"/>
            </w:tcBorders>
          </w:tcPr>
          <w:p w14:paraId="3A5AA2A0" w14:textId="77777777" w:rsidR="00C774B2" w:rsidRDefault="00000000">
            <w:pPr>
              <w:pStyle w:val="TableParagraph"/>
              <w:spacing w:before="1" w:line="240" w:lineRule="auto"/>
              <w:ind w:left="374"/>
              <w:jc w:val="left"/>
              <w:rPr>
                <w:rFonts w:ascii="Calibri"/>
              </w:rPr>
            </w:pPr>
            <w:r>
              <w:rPr>
                <w:rFonts w:ascii="Calibri"/>
              </w:rPr>
              <w:t>17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(4)</w:t>
            </w:r>
          </w:p>
        </w:tc>
        <w:tc>
          <w:tcPr>
            <w:tcW w:w="1537" w:type="dxa"/>
            <w:tcBorders>
              <w:top w:val="single" w:sz="4" w:space="0" w:color="7E7E7E"/>
              <w:bottom w:val="single" w:sz="4" w:space="0" w:color="7E7E7E"/>
            </w:tcBorders>
          </w:tcPr>
          <w:p w14:paraId="421DB708" w14:textId="77777777" w:rsidR="00C774B2" w:rsidRDefault="00000000">
            <w:pPr>
              <w:pStyle w:val="TableParagraph"/>
              <w:spacing w:before="1" w:line="240" w:lineRule="auto"/>
              <w:ind w:left="36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16.6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(4.1)</w:t>
            </w:r>
          </w:p>
        </w:tc>
        <w:tc>
          <w:tcPr>
            <w:tcW w:w="1492" w:type="dxa"/>
            <w:tcBorders>
              <w:top w:val="single" w:sz="4" w:space="0" w:color="7E7E7E"/>
              <w:bottom w:val="single" w:sz="4" w:space="0" w:color="7E7E7E"/>
            </w:tcBorders>
          </w:tcPr>
          <w:p w14:paraId="09037EC2" w14:textId="77777777" w:rsidR="00C774B2" w:rsidRDefault="00000000">
            <w:pPr>
              <w:pStyle w:val="TableParagraph"/>
              <w:spacing w:before="1" w:line="240" w:lineRule="auto"/>
              <w:ind w:left="248" w:right="242"/>
              <w:rPr>
                <w:rFonts w:ascii="Calibri"/>
              </w:rPr>
            </w:pPr>
            <w:r>
              <w:rPr>
                <w:rFonts w:ascii="Calibri"/>
              </w:rPr>
              <w:t>16.7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(3.9)</w:t>
            </w:r>
          </w:p>
        </w:tc>
        <w:tc>
          <w:tcPr>
            <w:tcW w:w="1519" w:type="dxa"/>
            <w:tcBorders>
              <w:top w:val="single" w:sz="4" w:space="0" w:color="7E7E7E"/>
              <w:bottom w:val="single" w:sz="4" w:space="0" w:color="7E7E7E"/>
            </w:tcBorders>
          </w:tcPr>
          <w:p w14:paraId="66228B93" w14:textId="77777777" w:rsidR="00C774B2" w:rsidRDefault="00000000">
            <w:pPr>
              <w:pStyle w:val="TableParagraph"/>
              <w:spacing w:before="1" w:line="240" w:lineRule="auto"/>
              <w:ind w:left="243" w:right="273"/>
              <w:rPr>
                <w:rFonts w:ascii="Calibri"/>
              </w:rPr>
            </w:pPr>
            <w:r>
              <w:rPr>
                <w:rFonts w:ascii="Calibri"/>
              </w:rPr>
              <w:t>17.6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(4)</w:t>
            </w:r>
          </w:p>
        </w:tc>
        <w:tc>
          <w:tcPr>
            <w:tcW w:w="716" w:type="dxa"/>
            <w:tcBorders>
              <w:top w:val="single" w:sz="4" w:space="0" w:color="7E7E7E"/>
              <w:bottom w:val="single" w:sz="4" w:space="0" w:color="7E7E7E"/>
            </w:tcBorders>
          </w:tcPr>
          <w:p w14:paraId="565181F5" w14:textId="77777777" w:rsidR="00C774B2" w:rsidRDefault="00000000">
            <w:pPr>
              <w:pStyle w:val="TableParagraph"/>
              <w:spacing w:before="1" w:line="240" w:lineRule="auto"/>
              <w:ind w:left="141" w:right="144"/>
              <w:rPr>
                <w:rFonts w:ascii="Calibri"/>
              </w:rPr>
            </w:pPr>
            <w:r>
              <w:rPr>
                <w:rFonts w:ascii="Calibri"/>
              </w:rPr>
              <w:t>0.24</w:t>
            </w:r>
          </w:p>
        </w:tc>
      </w:tr>
      <w:tr w:rsidR="00C774B2" w14:paraId="2B496C63" w14:textId="77777777">
        <w:trPr>
          <w:trHeight w:val="508"/>
        </w:trPr>
        <w:tc>
          <w:tcPr>
            <w:tcW w:w="1694" w:type="dxa"/>
            <w:tcBorders>
              <w:top w:val="single" w:sz="4" w:space="0" w:color="7E7E7E"/>
              <w:bottom w:val="single" w:sz="4" w:space="0" w:color="7E7E7E"/>
            </w:tcBorders>
          </w:tcPr>
          <w:p w14:paraId="0BCF065B" w14:textId="77777777" w:rsidR="00C774B2" w:rsidRDefault="00000000">
            <w:pPr>
              <w:pStyle w:val="TableParagraph"/>
              <w:ind w:left="337" w:right="33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ASN</w:t>
            </w:r>
          </w:p>
        </w:tc>
        <w:tc>
          <w:tcPr>
            <w:tcW w:w="1266" w:type="dxa"/>
            <w:tcBorders>
              <w:top w:val="single" w:sz="4" w:space="0" w:color="7E7E7E"/>
              <w:bottom w:val="single" w:sz="4" w:space="0" w:color="7E7E7E"/>
            </w:tcBorders>
          </w:tcPr>
          <w:p w14:paraId="2033880F" w14:textId="77777777" w:rsidR="00C774B2" w:rsidRDefault="00000000">
            <w:pPr>
              <w:pStyle w:val="TableParagraph"/>
              <w:ind w:right="204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15.4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(3.1)</w:t>
            </w:r>
          </w:p>
        </w:tc>
        <w:tc>
          <w:tcPr>
            <w:tcW w:w="1537" w:type="dxa"/>
            <w:tcBorders>
              <w:top w:val="single" w:sz="4" w:space="0" w:color="7E7E7E"/>
              <w:bottom w:val="single" w:sz="4" w:space="0" w:color="7E7E7E"/>
            </w:tcBorders>
          </w:tcPr>
          <w:p w14:paraId="73F7675C" w14:textId="77777777" w:rsidR="00C774B2" w:rsidRDefault="00000000">
            <w:pPr>
              <w:pStyle w:val="TableParagraph"/>
              <w:ind w:left="36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15.5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(2.6)</w:t>
            </w:r>
          </w:p>
        </w:tc>
        <w:tc>
          <w:tcPr>
            <w:tcW w:w="1492" w:type="dxa"/>
            <w:tcBorders>
              <w:top w:val="single" w:sz="4" w:space="0" w:color="7E7E7E"/>
              <w:bottom w:val="single" w:sz="4" w:space="0" w:color="7E7E7E"/>
            </w:tcBorders>
          </w:tcPr>
          <w:p w14:paraId="7545324C" w14:textId="77777777" w:rsidR="00C774B2" w:rsidRDefault="00000000">
            <w:pPr>
              <w:pStyle w:val="TableParagraph"/>
              <w:ind w:left="248" w:right="242"/>
              <w:rPr>
                <w:rFonts w:ascii="Calibri"/>
              </w:rPr>
            </w:pPr>
            <w:r>
              <w:rPr>
                <w:rFonts w:ascii="Calibri"/>
              </w:rPr>
              <w:t>14.9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(3.2)</w:t>
            </w:r>
          </w:p>
        </w:tc>
        <w:tc>
          <w:tcPr>
            <w:tcW w:w="1519" w:type="dxa"/>
            <w:tcBorders>
              <w:top w:val="single" w:sz="4" w:space="0" w:color="7E7E7E"/>
              <w:bottom w:val="single" w:sz="4" w:space="0" w:color="7E7E7E"/>
            </w:tcBorders>
          </w:tcPr>
          <w:p w14:paraId="7AA793CD" w14:textId="77777777" w:rsidR="00C774B2" w:rsidRDefault="00000000">
            <w:pPr>
              <w:pStyle w:val="TableParagraph"/>
              <w:ind w:left="243" w:right="273"/>
              <w:rPr>
                <w:rFonts w:ascii="Calibri"/>
              </w:rPr>
            </w:pPr>
            <w:r>
              <w:rPr>
                <w:rFonts w:ascii="Calibri"/>
              </w:rPr>
              <w:t>15.8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(3.2)</w:t>
            </w:r>
          </w:p>
        </w:tc>
        <w:tc>
          <w:tcPr>
            <w:tcW w:w="716" w:type="dxa"/>
            <w:tcBorders>
              <w:top w:val="single" w:sz="4" w:space="0" w:color="7E7E7E"/>
              <w:bottom w:val="single" w:sz="4" w:space="0" w:color="7E7E7E"/>
            </w:tcBorders>
          </w:tcPr>
          <w:p w14:paraId="09DE2BF8" w14:textId="77777777" w:rsidR="00C774B2" w:rsidRDefault="00000000">
            <w:pPr>
              <w:pStyle w:val="TableParagraph"/>
              <w:ind w:left="141" w:right="144"/>
              <w:rPr>
                <w:rFonts w:ascii="Calibri"/>
              </w:rPr>
            </w:pPr>
            <w:r>
              <w:rPr>
                <w:rFonts w:ascii="Calibri"/>
              </w:rPr>
              <w:t>0.12</w:t>
            </w:r>
          </w:p>
        </w:tc>
      </w:tr>
      <w:tr w:rsidR="00C774B2" w14:paraId="6A344BBB" w14:textId="77777777">
        <w:trPr>
          <w:trHeight w:val="508"/>
        </w:trPr>
        <w:tc>
          <w:tcPr>
            <w:tcW w:w="1694" w:type="dxa"/>
            <w:tcBorders>
              <w:top w:val="single" w:sz="4" w:space="0" w:color="7E7E7E"/>
              <w:bottom w:val="single" w:sz="4" w:space="0" w:color="7E7E7E"/>
            </w:tcBorders>
          </w:tcPr>
          <w:p w14:paraId="3ACFDAA5" w14:textId="77777777" w:rsidR="00C774B2" w:rsidRDefault="00000000">
            <w:pPr>
              <w:pStyle w:val="TableParagraph"/>
              <w:ind w:left="337" w:right="33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C&amp;M</w:t>
            </w:r>
          </w:p>
        </w:tc>
        <w:tc>
          <w:tcPr>
            <w:tcW w:w="1266" w:type="dxa"/>
            <w:tcBorders>
              <w:top w:val="single" w:sz="4" w:space="0" w:color="7E7E7E"/>
              <w:bottom w:val="single" w:sz="4" w:space="0" w:color="7E7E7E"/>
            </w:tcBorders>
          </w:tcPr>
          <w:p w14:paraId="5303CD1F" w14:textId="77777777" w:rsidR="00C774B2" w:rsidRDefault="00000000">
            <w:pPr>
              <w:pStyle w:val="TableParagraph"/>
              <w:ind w:right="258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8.8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(2.1)</w:t>
            </w:r>
          </w:p>
        </w:tc>
        <w:tc>
          <w:tcPr>
            <w:tcW w:w="1537" w:type="dxa"/>
            <w:tcBorders>
              <w:top w:val="single" w:sz="4" w:space="0" w:color="7E7E7E"/>
              <w:bottom w:val="single" w:sz="4" w:space="0" w:color="7E7E7E"/>
            </w:tcBorders>
          </w:tcPr>
          <w:p w14:paraId="53E10EA7" w14:textId="77777777" w:rsidR="00C774B2" w:rsidRDefault="00000000">
            <w:pPr>
              <w:pStyle w:val="TableParagraph"/>
              <w:ind w:left="417"/>
              <w:jc w:val="left"/>
              <w:rPr>
                <w:rFonts w:ascii="Calibri"/>
              </w:rPr>
            </w:pPr>
            <w:r>
              <w:rPr>
                <w:rFonts w:ascii="Calibri"/>
              </w:rPr>
              <w:t>8.8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(1.9)</w:t>
            </w:r>
          </w:p>
        </w:tc>
        <w:tc>
          <w:tcPr>
            <w:tcW w:w="1492" w:type="dxa"/>
            <w:tcBorders>
              <w:top w:val="single" w:sz="4" w:space="0" w:color="7E7E7E"/>
              <w:bottom w:val="single" w:sz="4" w:space="0" w:color="7E7E7E"/>
            </w:tcBorders>
          </w:tcPr>
          <w:p w14:paraId="7BFC0830" w14:textId="77777777" w:rsidR="00C774B2" w:rsidRDefault="00000000">
            <w:pPr>
              <w:pStyle w:val="TableParagraph"/>
              <w:ind w:left="246" w:right="243"/>
              <w:rPr>
                <w:rFonts w:ascii="Calibri"/>
              </w:rPr>
            </w:pPr>
            <w:r>
              <w:rPr>
                <w:rFonts w:ascii="Calibri"/>
              </w:rPr>
              <w:t>8.8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(2.4)</w:t>
            </w:r>
          </w:p>
        </w:tc>
        <w:tc>
          <w:tcPr>
            <w:tcW w:w="1519" w:type="dxa"/>
            <w:tcBorders>
              <w:top w:val="single" w:sz="4" w:space="0" w:color="7E7E7E"/>
              <w:bottom w:val="single" w:sz="4" w:space="0" w:color="7E7E7E"/>
            </w:tcBorders>
          </w:tcPr>
          <w:p w14:paraId="0ED30C61" w14:textId="77777777" w:rsidR="00C774B2" w:rsidRDefault="00000000">
            <w:pPr>
              <w:pStyle w:val="TableParagraph"/>
              <w:ind w:left="243" w:right="276"/>
              <w:rPr>
                <w:rFonts w:ascii="Calibri"/>
              </w:rPr>
            </w:pPr>
            <w:r>
              <w:rPr>
                <w:rFonts w:ascii="Calibri"/>
              </w:rPr>
              <w:t>8.8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(2.1)</w:t>
            </w:r>
          </w:p>
        </w:tc>
        <w:tc>
          <w:tcPr>
            <w:tcW w:w="716" w:type="dxa"/>
            <w:tcBorders>
              <w:top w:val="single" w:sz="4" w:space="0" w:color="7E7E7E"/>
              <w:bottom w:val="single" w:sz="4" w:space="0" w:color="7E7E7E"/>
            </w:tcBorders>
          </w:tcPr>
          <w:p w14:paraId="518EB14A" w14:textId="77777777" w:rsidR="00C774B2" w:rsidRDefault="00000000">
            <w:pPr>
              <w:pStyle w:val="TableParagraph"/>
              <w:ind w:left="141" w:right="144"/>
              <w:rPr>
                <w:rFonts w:ascii="Calibri"/>
              </w:rPr>
            </w:pPr>
            <w:r>
              <w:rPr>
                <w:rFonts w:ascii="Calibri"/>
              </w:rPr>
              <w:t>0.99</w:t>
            </w:r>
          </w:p>
        </w:tc>
      </w:tr>
      <w:tr w:rsidR="00C774B2" w14:paraId="3FA9A1A3" w14:textId="77777777">
        <w:trPr>
          <w:trHeight w:val="508"/>
        </w:trPr>
        <w:tc>
          <w:tcPr>
            <w:tcW w:w="1694" w:type="dxa"/>
            <w:tcBorders>
              <w:top w:val="single" w:sz="4" w:space="0" w:color="7E7E7E"/>
              <w:bottom w:val="single" w:sz="4" w:space="0" w:color="7E7E7E"/>
            </w:tcBorders>
          </w:tcPr>
          <w:p w14:paraId="734A3BB1" w14:textId="77777777" w:rsidR="00C774B2" w:rsidRDefault="00000000">
            <w:pPr>
              <w:pStyle w:val="TableParagraph"/>
              <w:ind w:left="336" w:right="33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SPI</w:t>
            </w:r>
          </w:p>
        </w:tc>
        <w:tc>
          <w:tcPr>
            <w:tcW w:w="1266" w:type="dxa"/>
            <w:tcBorders>
              <w:top w:val="single" w:sz="4" w:space="0" w:color="7E7E7E"/>
              <w:bottom w:val="single" w:sz="4" w:space="0" w:color="7E7E7E"/>
            </w:tcBorders>
          </w:tcPr>
          <w:p w14:paraId="01E0F1B0" w14:textId="77777777" w:rsidR="00C774B2" w:rsidRDefault="00000000">
            <w:pPr>
              <w:pStyle w:val="TableParagraph"/>
              <w:ind w:right="259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4.1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(2.1)</w:t>
            </w:r>
          </w:p>
        </w:tc>
        <w:tc>
          <w:tcPr>
            <w:tcW w:w="1537" w:type="dxa"/>
            <w:tcBorders>
              <w:top w:val="single" w:sz="4" w:space="0" w:color="7E7E7E"/>
              <w:bottom w:val="single" w:sz="4" w:space="0" w:color="7E7E7E"/>
            </w:tcBorders>
          </w:tcPr>
          <w:p w14:paraId="2DA48E22" w14:textId="77777777" w:rsidR="00C774B2" w:rsidRDefault="00000000">
            <w:pPr>
              <w:pStyle w:val="TableParagraph"/>
              <w:ind w:left="501"/>
              <w:jc w:val="left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(2.1)</w:t>
            </w:r>
          </w:p>
        </w:tc>
        <w:tc>
          <w:tcPr>
            <w:tcW w:w="1492" w:type="dxa"/>
            <w:tcBorders>
              <w:top w:val="single" w:sz="4" w:space="0" w:color="7E7E7E"/>
              <w:bottom w:val="single" w:sz="4" w:space="0" w:color="7E7E7E"/>
            </w:tcBorders>
          </w:tcPr>
          <w:p w14:paraId="1CED73BD" w14:textId="77777777" w:rsidR="00C774B2" w:rsidRDefault="00000000">
            <w:pPr>
              <w:pStyle w:val="TableParagraph"/>
              <w:ind w:left="248" w:right="241"/>
              <w:rPr>
                <w:rFonts w:ascii="Calibri"/>
              </w:rPr>
            </w:pPr>
            <w:r>
              <w:rPr>
                <w:rFonts w:ascii="Calibri"/>
              </w:rPr>
              <w:t>4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(2.2)</w:t>
            </w:r>
          </w:p>
        </w:tc>
        <w:tc>
          <w:tcPr>
            <w:tcW w:w="1519" w:type="dxa"/>
            <w:tcBorders>
              <w:top w:val="single" w:sz="4" w:space="0" w:color="7E7E7E"/>
              <w:bottom w:val="single" w:sz="4" w:space="0" w:color="7E7E7E"/>
            </w:tcBorders>
          </w:tcPr>
          <w:p w14:paraId="5C7DEBC8" w14:textId="77777777" w:rsidR="00C774B2" w:rsidRDefault="00000000">
            <w:pPr>
              <w:pStyle w:val="TableParagraph"/>
              <w:ind w:left="243" w:right="276"/>
              <w:rPr>
                <w:rFonts w:ascii="Calibri"/>
              </w:rPr>
            </w:pPr>
            <w:r>
              <w:rPr>
                <w:rFonts w:ascii="Calibri"/>
              </w:rPr>
              <w:t>4.3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(2.1)</w:t>
            </w:r>
          </w:p>
        </w:tc>
        <w:tc>
          <w:tcPr>
            <w:tcW w:w="716" w:type="dxa"/>
            <w:tcBorders>
              <w:top w:val="single" w:sz="4" w:space="0" w:color="7E7E7E"/>
              <w:bottom w:val="single" w:sz="4" w:space="0" w:color="7E7E7E"/>
            </w:tcBorders>
          </w:tcPr>
          <w:p w14:paraId="65CB347E" w14:textId="77777777" w:rsidR="00C774B2" w:rsidRDefault="00000000">
            <w:pPr>
              <w:pStyle w:val="TableParagraph"/>
              <w:ind w:left="141" w:right="144"/>
              <w:rPr>
                <w:rFonts w:ascii="Calibri"/>
              </w:rPr>
            </w:pPr>
            <w:r>
              <w:rPr>
                <w:rFonts w:ascii="Calibri"/>
              </w:rPr>
              <w:t>0.67</w:t>
            </w:r>
          </w:p>
        </w:tc>
      </w:tr>
      <w:tr w:rsidR="00C774B2" w14:paraId="4942F535" w14:textId="77777777">
        <w:trPr>
          <w:trHeight w:val="264"/>
        </w:trPr>
        <w:tc>
          <w:tcPr>
            <w:tcW w:w="1694" w:type="dxa"/>
            <w:tcBorders>
              <w:top w:val="single" w:sz="4" w:space="0" w:color="7E7E7E"/>
            </w:tcBorders>
          </w:tcPr>
          <w:p w14:paraId="69AAB837" w14:textId="77777777" w:rsidR="00C774B2" w:rsidRDefault="00000000">
            <w:pPr>
              <w:pStyle w:val="TableParagraph"/>
              <w:spacing w:line="244" w:lineRule="exact"/>
              <w:ind w:left="337" w:right="337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RSC</w:t>
            </w:r>
          </w:p>
        </w:tc>
        <w:tc>
          <w:tcPr>
            <w:tcW w:w="1266" w:type="dxa"/>
            <w:tcBorders>
              <w:top w:val="single" w:sz="4" w:space="0" w:color="7E7E7E"/>
            </w:tcBorders>
          </w:tcPr>
          <w:p w14:paraId="5569F331" w14:textId="77777777" w:rsidR="00C774B2" w:rsidRDefault="00000000">
            <w:pPr>
              <w:pStyle w:val="TableParagraph"/>
              <w:spacing w:line="244" w:lineRule="exact"/>
              <w:ind w:right="232"/>
              <w:jc w:val="right"/>
              <w:rPr>
                <w:rFonts w:ascii="Calibri"/>
              </w:rPr>
            </w:pPr>
            <w:r>
              <w:rPr>
                <w:rFonts w:ascii="Calibri"/>
              </w:rPr>
              <w:t>70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(11.1)</w:t>
            </w:r>
          </w:p>
        </w:tc>
        <w:tc>
          <w:tcPr>
            <w:tcW w:w="1537" w:type="dxa"/>
            <w:tcBorders>
              <w:top w:val="single" w:sz="4" w:space="0" w:color="7E7E7E"/>
            </w:tcBorders>
          </w:tcPr>
          <w:p w14:paraId="5CA37724" w14:textId="77777777" w:rsidR="00C774B2" w:rsidRDefault="00000000">
            <w:pPr>
              <w:pStyle w:val="TableParagraph"/>
              <w:spacing w:line="244" w:lineRule="exact"/>
              <w:ind w:left="306"/>
              <w:jc w:val="left"/>
              <w:rPr>
                <w:rFonts w:ascii="Calibri"/>
              </w:rPr>
            </w:pPr>
            <w:r>
              <w:rPr>
                <w:rFonts w:ascii="Calibri"/>
              </w:rPr>
              <w:t>69.3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(11.2)</w:t>
            </w:r>
          </w:p>
        </w:tc>
        <w:tc>
          <w:tcPr>
            <w:tcW w:w="1492" w:type="dxa"/>
            <w:tcBorders>
              <w:top w:val="single" w:sz="4" w:space="0" w:color="7E7E7E"/>
            </w:tcBorders>
          </w:tcPr>
          <w:p w14:paraId="061E7FD7" w14:textId="77777777" w:rsidR="00C774B2" w:rsidRDefault="00000000">
            <w:pPr>
              <w:pStyle w:val="TableParagraph"/>
              <w:spacing w:line="244" w:lineRule="exact"/>
              <w:ind w:left="248" w:right="242"/>
              <w:rPr>
                <w:rFonts w:ascii="Calibri"/>
              </w:rPr>
            </w:pPr>
            <w:r>
              <w:rPr>
                <w:rFonts w:ascii="Calibri"/>
              </w:rPr>
              <w:t>67.2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(12.3)</w:t>
            </w:r>
          </w:p>
        </w:tc>
        <w:tc>
          <w:tcPr>
            <w:tcW w:w="1519" w:type="dxa"/>
            <w:tcBorders>
              <w:top w:val="single" w:sz="4" w:space="0" w:color="7E7E7E"/>
            </w:tcBorders>
          </w:tcPr>
          <w:p w14:paraId="5B1B13D3" w14:textId="77777777" w:rsidR="00C774B2" w:rsidRDefault="00000000">
            <w:pPr>
              <w:pStyle w:val="TableParagraph"/>
              <w:spacing w:line="244" w:lineRule="exact"/>
              <w:ind w:left="243" w:right="273"/>
              <w:rPr>
                <w:rFonts w:ascii="Calibri"/>
              </w:rPr>
            </w:pPr>
            <w:r>
              <w:rPr>
                <w:rFonts w:ascii="Calibri"/>
              </w:rPr>
              <w:t>70</w:t>
            </w:r>
            <w:r>
              <w:rPr>
                <w:rFonts w:ascii="Calibri"/>
                <w:spacing w:val="47"/>
              </w:rPr>
              <w:t xml:space="preserve"> </w:t>
            </w:r>
            <w:r>
              <w:rPr>
                <w:rFonts w:ascii="Calibri"/>
              </w:rPr>
              <w:t>(11.1)</w:t>
            </w:r>
          </w:p>
        </w:tc>
        <w:tc>
          <w:tcPr>
            <w:tcW w:w="716" w:type="dxa"/>
            <w:tcBorders>
              <w:top w:val="single" w:sz="4" w:space="0" w:color="7E7E7E"/>
            </w:tcBorders>
          </w:tcPr>
          <w:p w14:paraId="38D472C0" w14:textId="77777777" w:rsidR="00C774B2" w:rsidRDefault="00000000">
            <w:pPr>
              <w:pStyle w:val="TableParagraph"/>
              <w:spacing w:line="244" w:lineRule="exact"/>
              <w:ind w:left="141" w:right="144"/>
              <w:rPr>
                <w:rFonts w:ascii="Calibri"/>
              </w:rPr>
            </w:pPr>
            <w:r>
              <w:rPr>
                <w:rFonts w:ascii="Calibri"/>
              </w:rPr>
              <w:t>0.25</w:t>
            </w:r>
          </w:p>
        </w:tc>
      </w:tr>
    </w:tbl>
    <w:p w14:paraId="28C5DAB5" w14:textId="054242BF" w:rsidR="00C774B2" w:rsidRDefault="0021171C">
      <w:pPr>
        <w:pStyle w:val="Textoindependiente"/>
        <w:spacing w:before="10"/>
        <w:rPr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3984" behindDoc="1" locked="0" layoutInCell="1" allowOverlap="1" wp14:anchorId="6D146C24" wp14:editId="4613EB9A">
                <wp:simplePos x="0" y="0"/>
                <wp:positionH relativeFrom="page">
                  <wp:posOffset>1071880</wp:posOffset>
                </wp:positionH>
                <wp:positionV relativeFrom="paragraph">
                  <wp:posOffset>155575</wp:posOffset>
                </wp:positionV>
                <wp:extent cx="5231130" cy="6350"/>
                <wp:effectExtent l="0" t="0" r="0" b="0"/>
                <wp:wrapTopAndBottom/>
                <wp:docPr id="150781639" name="Rectangl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231130" cy="6350"/>
                        </a:xfrm>
                        <a:prstGeom prst="rect">
                          <a:avLst/>
                        </a:prstGeom>
                        <a:solidFill>
                          <a:srgbClr val="7E7E7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39C9D47" id="Rectangle 3" o:spid="_x0000_s1026" style="position:absolute;margin-left:84.4pt;margin-top:12.25pt;width:411.9pt;height:.5pt;z-index:-15722496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" fillcolor="#7e7e7e" stroked="f">
                <w10:wrap type="topAndBottom" anchorx="page"/>
              </v:rect>
            </w:pict>
          </mc:Fallback>
        </mc:AlternateContent>
      </w:r>
    </w:p>
    <w:p w14:paraId="49640D2C" w14:textId="77777777" w:rsidR="00C774B2" w:rsidRDefault="00000000">
      <w:pPr>
        <w:ind w:left="1702" w:right="1636"/>
        <w:jc w:val="both"/>
        <w:rPr>
          <w:sz w:val="18"/>
        </w:rPr>
      </w:pPr>
      <w:r>
        <w:rPr>
          <w:spacing w:val="-1"/>
          <w:sz w:val="18"/>
        </w:rPr>
        <w:t>PTS: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Persistence,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Tenacity,</w:t>
      </w:r>
      <w:r>
        <w:rPr>
          <w:spacing w:val="-10"/>
          <w:sz w:val="18"/>
        </w:rPr>
        <w:t xml:space="preserve"> </w:t>
      </w:r>
      <w:r>
        <w:rPr>
          <w:spacing w:val="-1"/>
          <w:sz w:val="18"/>
        </w:rPr>
        <w:t>Self-Efficacy;</w:t>
      </w:r>
      <w:r>
        <w:rPr>
          <w:spacing w:val="-10"/>
          <w:sz w:val="18"/>
        </w:rPr>
        <w:t xml:space="preserve"> </w:t>
      </w:r>
      <w:r>
        <w:rPr>
          <w:sz w:val="18"/>
        </w:rPr>
        <w:t>CUP:</w:t>
      </w:r>
      <w:r>
        <w:rPr>
          <w:spacing w:val="-10"/>
          <w:sz w:val="18"/>
        </w:rPr>
        <w:t xml:space="preserve"> </w:t>
      </w:r>
      <w:r>
        <w:rPr>
          <w:sz w:val="18"/>
        </w:rPr>
        <w:t>Control</w:t>
      </w:r>
      <w:r>
        <w:rPr>
          <w:spacing w:val="-8"/>
          <w:sz w:val="18"/>
        </w:rPr>
        <w:t xml:space="preserve"> </w:t>
      </w:r>
      <w:r>
        <w:rPr>
          <w:sz w:val="18"/>
        </w:rPr>
        <w:t>Under</w:t>
      </w:r>
      <w:r>
        <w:rPr>
          <w:spacing w:val="-10"/>
          <w:sz w:val="18"/>
        </w:rPr>
        <w:t xml:space="preserve"> </w:t>
      </w:r>
      <w:r>
        <w:rPr>
          <w:sz w:val="18"/>
        </w:rPr>
        <w:t>Pressure;</w:t>
      </w:r>
      <w:r>
        <w:rPr>
          <w:spacing w:val="-10"/>
          <w:sz w:val="18"/>
        </w:rPr>
        <w:t xml:space="preserve"> </w:t>
      </w:r>
      <w:r>
        <w:rPr>
          <w:sz w:val="18"/>
        </w:rPr>
        <w:t>ASN:</w:t>
      </w:r>
      <w:r>
        <w:rPr>
          <w:spacing w:val="-7"/>
          <w:sz w:val="18"/>
        </w:rPr>
        <w:t xml:space="preserve"> </w:t>
      </w:r>
      <w:r>
        <w:rPr>
          <w:sz w:val="18"/>
        </w:rPr>
        <w:t>Adaptability</w:t>
      </w:r>
      <w:r>
        <w:rPr>
          <w:spacing w:val="-10"/>
          <w:sz w:val="18"/>
        </w:rPr>
        <w:t xml:space="preserve"> </w:t>
      </w:r>
      <w:r>
        <w:rPr>
          <w:sz w:val="18"/>
        </w:rPr>
        <w:t>and</w:t>
      </w:r>
      <w:r>
        <w:rPr>
          <w:spacing w:val="-9"/>
          <w:sz w:val="18"/>
        </w:rPr>
        <w:t xml:space="preserve"> </w:t>
      </w:r>
      <w:r>
        <w:rPr>
          <w:sz w:val="18"/>
        </w:rPr>
        <w:t>Support</w:t>
      </w:r>
      <w:r>
        <w:rPr>
          <w:spacing w:val="-8"/>
          <w:sz w:val="18"/>
        </w:rPr>
        <w:t xml:space="preserve"> </w:t>
      </w:r>
      <w:r>
        <w:rPr>
          <w:sz w:val="18"/>
        </w:rPr>
        <w:t>Networks;</w:t>
      </w:r>
      <w:r>
        <w:rPr>
          <w:spacing w:val="-8"/>
          <w:sz w:val="18"/>
        </w:rPr>
        <w:t xml:space="preserve"> </w:t>
      </w:r>
      <w:r>
        <w:rPr>
          <w:sz w:val="18"/>
        </w:rPr>
        <w:t>C&amp;M:</w:t>
      </w:r>
      <w:r>
        <w:rPr>
          <w:spacing w:val="1"/>
          <w:sz w:val="18"/>
        </w:rPr>
        <w:t xml:space="preserve"> </w:t>
      </w:r>
      <w:r>
        <w:rPr>
          <w:sz w:val="18"/>
        </w:rPr>
        <w:t xml:space="preserve">Control and Meaning; SPI: Spirituality; RSC: Resilience; IG: Intervention Group; </w:t>
      </w:r>
      <w:r>
        <w:rPr>
          <w:i/>
          <w:sz w:val="18"/>
        </w:rPr>
        <w:t>p</w:t>
      </w:r>
      <w:r>
        <w:rPr>
          <w:sz w:val="18"/>
        </w:rPr>
        <w:t>*: statistical significance for ANOVA</w:t>
      </w:r>
      <w:r>
        <w:rPr>
          <w:spacing w:val="1"/>
          <w:sz w:val="18"/>
        </w:rPr>
        <w:t xml:space="preserve"> </w:t>
      </w:r>
      <w:r>
        <w:rPr>
          <w:sz w:val="18"/>
        </w:rPr>
        <w:t>test</w:t>
      </w:r>
      <w:r>
        <w:rPr>
          <w:spacing w:val="-1"/>
          <w:sz w:val="18"/>
        </w:rPr>
        <w:t xml:space="preserve"> </w:t>
      </w:r>
      <w:r>
        <w:rPr>
          <w:sz w:val="18"/>
        </w:rPr>
        <w:t>for comparison</w:t>
      </w:r>
      <w:r>
        <w:rPr>
          <w:spacing w:val="-1"/>
          <w:sz w:val="18"/>
        </w:rPr>
        <w:t xml:space="preserve"> </w:t>
      </w:r>
      <w:r>
        <w:rPr>
          <w:sz w:val="18"/>
        </w:rPr>
        <w:t>of</w:t>
      </w:r>
      <w:r>
        <w:rPr>
          <w:spacing w:val="-1"/>
          <w:sz w:val="18"/>
        </w:rPr>
        <w:t xml:space="preserve"> </w:t>
      </w:r>
      <w:r>
        <w:rPr>
          <w:sz w:val="18"/>
        </w:rPr>
        <w:t>three</w:t>
      </w:r>
      <w:r>
        <w:rPr>
          <w:spacing w:val="-1"/>
          <w:sz w:val="18"/>
        </w:rPr>
        <w:t xml:space="preserve"> </w:t>
      </w:r>
      <w:r>
        <w:rPr>
          <w:sz w:val="18"/>
        </w:rPr>
        <w:t>independent means.</w:t>
      </w:r>
    </w:p>
    <w:p w14:paraId="1E5A2C66" w14:textId="77777777" w:rsidR="00C774B2" w:rsidRDefault="00C774B2">
      <w:pPr>
        <w:jc w:val="both"/>
        <w:rPr>
          <w:sz w:val="18"/>
        </w:rPr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04660F9D" w14:textId="77777777" w:rsidR="00C774B2" w:rsidRDefault="00000000">
      <w:pPr>
        <w:pStyle w:val="Ttulo4"/>
        <w:spacing w:before="34"/>
        <w:ind w:right="1639"/>
      </w:pPr>
      <w:r>
        <w:lastRenderedPageBreak/>
        <w:t>Table</w:t>
      </w:r>
      <w:r>
        <w:rPr>
          <w:spacing w:val="-3"/>
        </w:rPr>
        <w:t xml:space="preserve"> </w:t>
      </w:r>
      <w:r>
        <w:t>5. Results</w:t>
      </w:r>
      <w:r>
        <w:rPr>
          <w:spacing w:val="-2"/>
        </w:rPr>
        <w:t xml:space="preserve"> </w:t>
      </w:r>
      <w:r>
        <w:t>of</w:t>
      </w:r>
      <w:r>
        <w:rPr>
          <w:spacing w:val="-2"/>
        </w:rPr>
        <w:t xml:space="preserve"> </w:t>
      </w:r>
      <w:r>
        <w:t>the</w:t>
      </w:r>
      <w:r>
        <w:rPr>
          <w:spacing w:val="-5"/>
        </w:rPr>
        <w:t xml:space="preserve"> </w:t>
      </w:r>
      <w:r>
        <w:t>NEO-FFI scale</w:t>
      </w:r>
      <w:r>
        <w:rPr>
          <w:spacing w:val="-3"/>
        </w:rPr>
        <w:t xml:space="preserve"> </w:t>
      </w:r>
      <w:r>
        <w:t>by</w:t>
      </w:r>
      <w:r>
        <w:rPr>
          <w:spacing w:val="-3"/>
        </w:rPr>
        <w:t xml:space="preserve"> </w:t>
      </w:r>
      <w:r>
        <w:t>study</w:t>
      </w:r>
      <w:r>
        <w:rPr>
          <w:spacing w:val="-2"/>
        </w:rPr>
        <w:t xml:space="preserve"> </w:t>
      </w:r>
      <w:r>
        <w:t>group</w:t>
      </w:r>
    </w:p>
    <w:p w14:paraId="5A71A33F" w14:textId="77777777" w:rsidR="00C774B2" w:rsidRDefault="00C774B2">
      <w:pPr>
        <w:pStyle w:val="Textoindependiente"/>
        <w:spacing w:before="7" w:after="1"/>
        <w:rPr>
          <w:b/>
          <w:sz w:val="15"/>
        </w:rPr>
      </w:pPr>
    </w:p>
    <w:tbl>
      <w:tblPr>
        <w:tblStyle w:val="TableNormal"/>
        <w:tblW w:w="0" w:type="auto"/>
        <w:tblInd w:w="1695" w:type="dxa"/>
        <w:tblLayout w:type="fixed"/>
        <w:tblLook w:val="01E0" w:firstRow="1" w:lastRow="1" w:firstColumn="1" w:lastColumn="1" w:noHBand="0" w:noVBand="0"/>
      </w:tblPr>
      <w:tblGrid>
        <w:gridCol w:w="1714"/>
        <w:gridCol w:w="1348"/>
        <w:gridCol w:w="1380"/>
        <w:gridCol w:w="1507"/>
        <w:gridCol w:w="1580"/>
        <w:gridCol w:w="852"/>
      </w:tblGrid>
      <w:tr w:rsidR="00C774B2" w14:paraId="6AEB4BAF" w14:textId="77777777">
        <w:trPr>
          <w:trHeight w:val="508"/>
        </w:trPr>
        <w:tc>
          <w:tcPr>
            <w:tcW w:w="1714" w:type="dxa"/>
            <w:tcBorders>
              <w:top w:val="single" w:sz="4" w:space="0" w:color="7E7E7E"/>
            </w:tcBorders>
          </w:tcPr>
          <w:p w14:paraId="54907DFA" w14:textId="77777777" w:rsidR="00C774B2" w:rsidRDefault="00000000">
            <w:pPr>
              <w:pStyle w:val="TableParagraph"/>
              <w:ind w:left="354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Dimension</w:t>
            </w:r>
          </w:p>
        </w:tc>
        <w:tc>
          <w:tcPr>
            <w:tcW w:w="1348" w:type="dxa"/>
            <w:tcBorders>
              <w:top w:val="single" w:sz="4" w:space="0" w:color="7E7E7E"/>
              <w:bottom w:val="single" w:sz="4" w:space="0" w:color="7E7E7E"/>
            </w:tcBorders>
          </w:tcPr>
          <w:p w14:paraId="463DD4B5" w14:textId="77777777" w:rsidR="00C774B2" w:rsidRDefault="00000000">
            <w:pPr>
              <w:pStyle w:val="TableParagraph"/>
              <w:ind w:left="402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Total</w:t>
            </w:r>
          </w:p>
        </w:tc>
        <w:tc>
          <w:tcPr>
            <w:tcW w:w="1380" w:type="dxa"/>
            <w:tcBorders>
              <w:top w:val="single" w:sz="4" w:space="0" w:color="7E7E7E"/>
              <w:bottom w:val="single" w:sz="4" w:space="0" w:color="7E7E7E"/>
            </w:tcBorders>
          </w:tcPr>
          <w:p w14:paraId="4D160B61" w14:textId="77777777" w:rsidR="00C774B2" w:rsidRDefault="00000000">
            <w:pPr>
              <w:pStyle w:val="TableParagraph"/>
              <w:ind w:left="124" w:right="22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Control</w:t>
            </w:r>
          </w:p>
        </w:tc>
        <w:tc>
          <w:tcPr>
            <w:tcW w:w="1507" w:type="dxa"/>
            <w:tcBorders>
              <w:top w:val="single" w:sz="4" w:space="0" w:color="7E7E7E"/>
              <w:bottom w:val="single" w:sz="4" w:space="0" w:color="7E7E7E"/>
            </w:tcBorders>
          </w:tcPr>
          <w:p w14:paraId="61BF6A18" w14:textId="77777777" w:rsidR="00C774B2" w:rsidRDefault="00000000">
            <w:pPr>
              <w:pStyle w:val="TableParagraph"/>
              <w:ind w:left="228" w:right="276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IG-1</w:t>
            </w:r>
          </w:p>
        </w:tc>
        <w:tc>
          <w:tcPr>
            <w:tcW w:w="1580" w:type="dxa"/>
            <w:tcBorders>
              <w:top w:val="single" w:sz="4" w:space="0" w:color="7E7E7E"/>
              <w:bottom w:val="single" w:sz="4" w:space="0" w:color="7E7E7E"/>
            </w:tcBorders>
          </w:tcPr>
          <w:p w14:paraId="0755FD1A" w14:textId="77777777" w:rsidR="00C774B2" w:rsidRDefault="00000000">
            <w:pPr>
              <w:pStyle w:val="TableParagraph"/>
              <w:ind w:left="281" w:right="30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IG-2</w:t>
            </w:r>
          </w:p>
        </w:tc>
        <w:tc>
          <w:tcPr>
            <w:tcW w:w="852" w:type="dxa"/>
            <w:tcBorders>
              <w:top w:val="single" w:sz="4" w:space="0" w:color="7E7E7E"/>
            </w:tcBorders>
          </w:tcPr>
          <w:p w14:paraId="08DB94E2" w14:textId="77777777" w:rsidR="00C774B2" w:rsidRDefault="00000000">
            <w:pPr>
              <w:pStyle w:val="TableParagraph"/>
              <w:ind w:left="155" w:right="155"/>
              <w:rPr>
                <w:rFonts w:ascii="Calibri"/>
                <w:b/>
              </w:rPr>
            </w:pPr>
            <w:r>
              <w:rPr>
                <w:rFonts w:ascii="Calibri"/>
                <w:b/>
                <w:i/>
              </w:rPr>
              <w:t>p</w:t>
            </w:r>
            <w:r>
              <w:rPr>
                <w:rFonts w:ascii="Calibri"/>
                <w:b/>
              </w:rPr>
              <w:t>*</w:t>
            </w:r>
          </w:p>
        </w:tc>
      </w:tr>
      <w:tr w:rsidR="00C774B2" w14:paraId="195E3A83" w14:textId="77777777">
        <w:trPr>
          <w:trHeight w:val="508"/>
        </w:trPr>
        <w:tc>
          <w:tcPr>
            <w:tcW w:w="1714" w:type="dxa"/>
            <w:tcBorders>
              <w:bottom w:val="single" w:sz="4" w:space="0" w:color="7E7E7E"/>
            </w:tcBorders>
          </w:tcPr>
          <w:p w14:paraId="5FC37182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  <w:tc>
          <w:tcPr>
            <w:tcW w:w="1348" w:type="dxa"/>
            <w:tcBorders>
              <w:top w:val="single" w:sz="4" w:space="0" w:color="7E7E7E"/>
              <w:bottom w:val="single" w:sz="4" w:space="0" w:color="7E7E7E"/>
            </w:tcBorders>
          </w:tcPr>
          <w:p w14:paraId="67E668A8" w14:textId="77777777" w:rsidR="00C774B2" w:rsidRDefault="00000000">
            <w:pPr>
              <w:pStyle w:val="TableParagraph"/>
              <w:ind w:left="213"/>
              <w:jc w:val="left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380" w:type="dxa"/>
            <w:tcBorders>
              <w:top w:val="single" w:sz="4" w:space="0" w:color="7E7E7E"/>
              <w:bottom w:val="single" w:sz="4" w:space="0" w:color="7E7E7E"/>
            </w:tcBorders>
          </w:tcPr>
          <w:p w14:paraId="0D49EC78" w14:textId="77777777" w:rsidR="00C774B2" w:rsidRDefault="00000000">
            <w:pPr>
              <w:pStyle w:val="TableParagraph"/>
              <w:ind w:left="156" w:right="228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4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507" w:type="dxa"/>
            <w:tcBorders>
              <w:top w:val="single" w:sz="4" w:space="0" w:color="7E7E7E"/>
              <w:bottom w:val="single" w:sz="4" w:space="0" w:color="7E7E7E"/>
            </w:tcBorders>
          </w:tcPr>
          <w:p w14:paraId="68017F99" w14:textId="77777777" w:rsidR="00C774B2" w:rsidRDefault="00000000">
            <w:pPr>
              <w:pStyle w:val="TableParagraph"/>
              <w:ind w:left="228" w:right="282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1580" w:type="dxa"/>
            <w:tcBorders>
              <w:top w:val="single" w:sz="4" w:space="0" w:color="7E7E7E"/>
              <w:bottom w:val="single" w:sz="4" w:space="0" w:color="7E7E7E"/>
            </w:tcBorders>
          </w:tcPr>
          <w:p w14:paraId="1C88FFC7" w14:textId="77777777" w:rsidR="00C774B2" w:rsidRDefault="00000000">
            <w:pPr>
              <w:pStyle w:val="TableParagraph"/>
              <w:ind w:left="281" w:right="302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Mean</w:t>
            </w:r>
            <w:r>
              <w:rPr>
                <w:rFonts w:ascii="Calibri"/>
                <w:b/>
                <w:spacing w:val="-3"/>
              </w:rPr>
              <w:t xml:space="preserve"> </w:t>
            </w:r>
            <w:r>
              <w:rPr>
                <w:rFonts w:ascii="Calibri"/>
                <w:b/>
              </w:rPr>
              <w:t>(SD)</w:t>
            </w:r>
          </w:p>
        </w:tc>
        <w:tc>
          <w:tcPr>
            <w:tcW w:w="852" w:type="dxa"/>
            <w:tcBorders>
              <w:bottom w:val="single" w:sz="4" w:space="0" w:color="7E7E7E"/>
            </w:tcBorders>
          </w:tcPr>
          <w:p w14:paraId="4EC93E0C" w14:textId="77777777" w:rsidR="00C774B2" w:rsidRDefault="00C774B2">
            <w:pPr>
              <w:pStyle w:val="TableParagraph"/>
              <w:spacing w:line="240" w:lineRule="auto"/>
              <w:jc w:val="left"/>
              <w:rPr>
                <w:rFonts w:ascii="Times New Roman"/>
                <w:sz w:val="20"/>
              </w:rPr>
            </w:pPr>
          </w:p>
        </w:tc>
      </w:tr>
      <w:tr w:rsidR="00C774B2" w14:paraId="437F8EE7" w14:textId="77777777">
        <w:trPr>
          <w:trHeight w:val="508"/>
        </w:trPr>
        <w:tc>
          <w:tcPr>
            <w:tcW w:w="1714" w:type="dxa"/>
            <w:tcBorders>
              <w:top w:val="single" w:sz="4" w:space="0" w:color="7E7E7E"/>
              <w:bottom w:val="single" w:sz="4" w:space="0" w:color="7E7E7E"/>
            </w:tcBorders>
          </w:tcPr>
          <w:p w14:paraId="4EF7797F" w14:textId="77777777" w:rsidR="00C774B2" w:rsidRDefault="00000000">
            <w:pPr>
              <w:pStyle w:val="TableParagraph"/>
              <w:ind w:left="354" w:right="33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NTC</w:t>
            </w:r>
          </w:p>
        </w:tc>
        <w:tc>
          <w:tcPr>
            <w:tcW w:w="1348" w:type="dxa"/>
            <w:tcBorders>
              <w:top w:val="single" w:sz="4" w:space="0" w:color="7E7E7E"/>
              <w:bottom w:val="single" w:sz="4" w:space="0" w:color="7E7E7E"/>
            </w:tcBorders>
          </w:tcPr>
          <w:p w14:paraId="06FCE90A" w14:textId="77777777" w:rsidR="00C774B2" w:rsidRDefault="00000000">
            <w:pPr>
              <w:pStyle w:val="TableParagraph"/>
              <w:ind w:left="208"/>
              <w:jc w:val="left"/>
              <w:rPr>
                <w:rFonts w:ascii="Calibri"/>
              </w:rPr>
            </w:pPr>
            <w:r>
              <w:rPr>
                <w:rFonts w:ascii="Calibri"/>
              </w:rPr>
              <w:t>23.9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(9.1)</w:t>
            </w:r>
          </w:p>
        </w:tc>
        <w:tc>
          <w:tcPr>
            <w:tcW w:w="1380" w:type="dxa"/>
            <w:tcBorders>
              <w:top w:val="single" w:sz="4" w:space="0" w:color="7E7E7E"/>
              <w:bottom w:val="single" w:sz="4" w:space="0" w:color="7E7E7E"/>
            </w:tcBorders>
          </w:tcPr>
          <w:p w14:paraId="2F84C753" w14:textId="77777777" w:rsidR="00C774B2" w:rsidRDefault="00000000">
            <w:pPr>
              <w:pStyle w:val="TableParagraph"/>
              <w:ind w:left="123" w:right="228"/>
              <w:rPr>
                <w:rFonts w:ascii="Calibri"/>
              </w:rPr>
            </w:pPr>
            <w:r>
              <w:rPr>
                <w:rFonts w:ascii="Calibri"/>
              </w:rPr>
              <w:t>22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(8.1)</w:t>
            </w:r>
          </w:p>
        </w:tc>
        <w:tc>
          <w:tcPr>
            <w:tcW w:w="1507" w:type="dxa"/>
            <w:tcBorders>
              <w:top w:val="single" w:sz="4" w:space="0" w:color="7E7E7E"/>
              <w:bottom w:val="single" w:sz="4" w:space="0" w:color="7E7E7E"/>
            </w:tcBorders>
          </w:tcPr>
          <w:p w14:paraId="13DF98D1" w14:textId="77777777" w:rsidR="00C774B2" w:rsidRDefault="00000000">
            <w:pPr>
              <w:pStyle w:val="TableParagraph"/>
              <w:ind w:left="228" w:right="278"/>
              <w:rPr>
                <w:rFonts w:ascii="Calibri"/>
              </w:rPr>
            </w:pPr>
            <w:r>
              <w:rPr>
                <w:rFonts w:ascii="Calibri"/>
              </w:rPr>
              <w:t>25.4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(9.8)</w:t>
            </w:r>
          </w:p>
        </w:tc>
        <w:tc>
          <w:tcPr>
            <w:tcW w:w="1580" w:type="dxa"/>
            <w:tcBorders>
              <w:top w:val="single" w:sz="4" w:space="0" w:color="7E7E7E"/>
              <w:bottom w:val="single" w:sz="4" w:space="0" w:color="7E7E7E"/>
            </w:tcBorders>
          </w:tcPr>
          <w:p w14:paraId="03F63F5B" w14:textId="77777777" w:rsidR="00C774B2" w:rsidRDefault="00000000">
            <w:pPr>
              <w:pStyle w:val="TableParagraph"/>
              <w:ind w:left="281" w:right="302"/>
              <w:rPr>
                <w:rFonts w:ascii="Calibri"/>
              </w:rPr>
            </w:pPr>
            <w:r>
              <w:rPr>
                <w:rFonts w:ascii="Calibri"/>
              </w:rPr>
              <w:t>23.6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(8.5)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18E926BB" w14:textId="77777777" w:rsidR="00C774B2" w:rsidRDefault="00000000">
            <w:pPr>
              <w:pStyle w:val="TableParagraph"/>
              <w:ind w:left="155" w:right="156"/>
              <w:rPr>
                <w:rFonts w:ascii="Calibri"/>
              </w:rPr>
            </w:pPr>
            <w:r>
              <w:rPr>
                <w:rFonts w:ascii="Calibri"/>
              </w:rPr>
              <w:t>0.08</w:t>
            </w:r>
          </w:p>
        </w:tc>
      </w:tr>
      <w:tr w:rsidR="00C774B2" w14:paraId="15CF3C68" w14:textId="77777777">
        <w:trPr>
          <w:trHeight w:val="510"/>
        </w:trPr>
        <w:tc>
          <w:tcPr>
            <w:tcW w:w="1714" w:type="dxa"/>
            <w:tcBorders>
              <w:top w:val="single" w:sz="4" w:space="0" w:color="7E7E7E"/>
              <w:bottom w:val="single" w:sz="4" w:space="0" w:color="7E7E7E"/>
            </w:tcBorders>
          </w:tcPr>
          <w:p w14:paraId="0F9A0BE3" w14:textId="77777777" w:rsidR="00C774B2" w:rsidRDefault="00000000">
            <w:pPr>
              <w:pStyle w:val="TableParagraph"/>
              <w:spacing w:before="1" w:line="240" w:lineRule="auto"/>
              <w:ind w:left="353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EXT</w:t>
            </w:r>
          </w:p>
        </w:tc>
        <w:tc>
          <w:tcPr>
            <w:tcW w:w="1348" w:type="dxa"/>
            <w:tcBorders>
              <w:top w:val="single" w:sz="4" w:space="0" w:color="7E7E7E"/>
              <w:bottom w:val="single" w:sz="4" w:space="0" w:color="7E7E7E"/>
            </w:tcBorders>
          </w:tcPr>
          <w:p w14:paraId="23C6C062" w14:textId="77777777" w:rsidR="00C774B2" w:rsidRDefault="00000000">
            <w:pPr>
              <w:pStyle w:val="TableParagraph"/>
              <w:spacing w:before="1" w:line="240" w:lineRule="auto"/>
              <w:ind w:left="186"/>
              <w:jc w:val="left"/>
              <w:rPr>
                <w:rFonts w:ascii="Calibri"/>
              </w:rPr>
            </w:pPr>
            <w:r>
              <w:rPr>
                <w:rFonts w:ascii="Calibri"/>
              </w:rPr>
              <w:t>32.3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87.3)</w:t>
            </w:r>
          </w:p>
        </w:tc>
        <w:tc>
          <w:tcPr>
            <w:tcW w:w="1380" w:type="dxa"/>
            <w:tcBorders>
              <w:top w:val="single" w:sz="4" w:space="0" w:color="7E7E7E"/>
              <w:bottom w:val="single" w:sz="4" w:space="0" w:color="7E7E7E"/>
            </w:tcBorders>
          </w:tcPr>
          <w:p w14:paraId="1ACF3CEE" w14:textId="77777777" w:rsidR="00C774B2" w:rsidRDefault="00000000">
            <w:pPr>
              <w:pStyle w:val="TableParagraph"/>
              <w:spacing w:before="1" w:line="240" w:lineRule="auto"/>
              <w:ind w:left="123" w:right="228"/>
              <w:rPr>
                <w:rFonts w:ascii="Calibri"/>
              </w:rPr>
            </w:pPr>
            <w:r>
              <w:rPr>
                <w:rFonts w:ascii="Calibri"/>
              </w:rPr>
              <w:t>32.3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(7.1)</w:t>
            </w:r>
          </w:p>
        </w:tc>
        <w:tc>
          <w:tcPr>
            <w:tcW w:w="1507" w:type="dxa"/>
            <w:tcBorders>
              <w:top w:val="single" w:sz="4" w:space="0" w:color="7E7E7E"/>
              <w:bottom w:val="single" w:sz="4" w:space="0" w:color="7E7E7E"/>
            </w:tcBorders>
          </w:tcPr>
          <w:p w14:paraId="1B613B53" w14:textId="77777777" w:rsidR="00C774B2" w:rsidRDefault="00000000">
            <w:pPr>
              <w:pStyle w:val="TableParagraph"/>
              <w:spacing w:before="1" w:line="240" w:lineRule="auto"/>
              <w:ind w:left="228" w:right="278"/>
              <w:rPr>
                <w:rFonts w:ascii="Calibri"/>
              </w:rPr>
            </w:pPr>
            <w:r>
              <w:rPr>
                <w:rFonts w:ascii="Calibri"/>
              </w:rPr>
              <w:t>30.7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(7.8)</w:t>
            </w:r>
          </w:p>
        </w:tc>
        <w:tc>
          <w:tcPr>
            <w:tcW w:w="1580" w:type="dxa"/>
            <w:tcBorders>
              <w:top w:val="single" w:sz="4" w:space="0" w:color="7E7E7E"/>
              <w:bottom w:val="single" w:sz="4" w:space="0" w:color="7E7E7E"/>
            </w:tcBorders>
          </w:tcPr>
          <w:p w14:paraId="7C2D8FDA" w14:textId="77777777" w:rsidR="00C774B2" w:rsidRDefault="00000000">
            <w:pPr>
              <w:pStyle w:val="TableParagraph"/>
              <w:spacing w:before="1" w:line="240" w:lineRule="auto"/>
              <w:ind w:left="281" w:right="302"/>
              <w:rPr>
                <w:rFonts w:ascii="Calibri"/>
              </w:rPr>
            </w:pPr>
            <w:r>
              <w:rPr>
                <w:rFonts w:ascii="Calibri"/>
              </w:rPr>
              <w:t>33.5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(6.4)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7AF4A0F1" w14:textId="77777777" w:rsidR="00C774B2" w:rsidRDefault="00000000">
            <w:pPr>
              <w:pStyle w:val="TableParagraph"/>
              <w:spacing w:before="1" w:line="240" w:lineRule="auto"/>
              <w:ind w:left="155" w:right="156"/>
              <w:rPr>
                <w:rFonts w:ascii="Calibri"/>
              </w:rPr>
            </w:pPr>
            <w:r>
              <w:rPr>
                <w:rFonts w:ascii="Calibri"/>
              </w:rPr>
              <w:t>&lt;0.05</w:t>
            </w:r>
          </w:p>
        </w:tc>
      </w:tr>
      <w:tr w:rsidR="00C774B2" w14:paraId="157964C8" w14:textId="77777777">
        <w:trPr>
          <w:trHeight w:val="508"/>
        </w:trPr>
        <w:tc>
          <w:tcPr>
            <w:tcW w:w="1714" w:type="dxa"/>
            <w:tcBorders>
              <w:top w:val="single" w:sz="4" w:space="0" w:color="7E7E7E"/>
              <w:bottom w:val="single" w:sz="4" w:space="0" w:color="7E7E7E"/>
            </w:tcBorders>
          </w:tcPr>
          <w:p w14:paraId="4A4D2930" w14:textId="77777777" w:rsidR="00C774B2" w:rsidRDefault="00000000">
            <w:pPr>
              <w:pStyle w:val="TableParagraph"/>
              <w:ind w:left="354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OPN</w:t>
            </w:r>
          </w:p>
        </w:tc>
        <w:tc>
          <w:tcPr>
            <w:tcW w:w="1348" w:type="dxa"/>
            <w:tcBorders>
              <w:top w:val="single" w:sz="4" w:space="0" w:color="7E7E7E"/>
              <w:bottom w:val="single" w:sz="4" w:space="0" w:color="7E7E7E"/>
            </w:tcBorders>
          </w:tcPr>
          <w:p w14:paraId="0D31F440" w14:textId="77777777" w:rsidR="00C774B2" w:rsidRDefault="00000000">
            <w:pPr>
              <w:pStyle w:val="TableParagraph"/>
              <w:ind w:left="208"/>
              <w:jc w:val="left"/>
              <w:rPr>
                <w:rFonts w:ascii="Calibri"/>
              </w:rPr>
            </w:pPr>
            <w:r>
              <w:rPr>
                <w:rFonts w:ascii="Calibri"/>
              </w:rPr>
              <w:t>28.2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(7.6)</w:t>
            </w:r>
          </w:p>
        </w:tc>
        <w:tc>
          <w:tcPr>
            <w:tcW w:w="1380" w:type="dxa"/>
            <w:tcBorders>
              <w:top w:val="single" w:sz="4" w:space="0" w:color="7E7E7E"/>
              <w:bottom w:val="single" w:sz="4" w:space="0" w:color="7E7E7E"/>
            </w:tcBorders>
          </w:tcPr>
          <w:p w14:paraId="5073FE9C" w14:textId="77777777" w:rsidR="00C774B2" w:rsidRDefault="00000000">
            <w:pPr>
              <w:pStyle w:val="TableParagraph"/>
              <w:ind w:left="123" w:right="228"/>
              <w:rPr>
                <w:rFonts w:ascii="Calibri"/>
              </w:rPr>
            </w:pPr>
            <w:r>
              <w:rPr>
                <w:rFonts w:ascii="Calibri"/>
              </w:rPr>
              <w:t>27</w:t>
            </w:r>
            <w:r>
              <w:rPr>
                <w:rFonts w:ascii="Calibri"/>
                <w:spacing w:val="-4"/>
              </w:rPr>
              <w:t xml:space="preserve"> </w:t>
            </w:r>
            <w:r>
              <w:rPr>
                <w:rFonts w:ascii="Calibri"/>
              </w:rPr>
              <w:t>(7.6)</w:t>
            </w:r>
          </w:p>
        </w:tc>
        <w:tc>
          <w:tcPr>
            <w:tcW w:w="1507" w:type="dxa"/>
            <w:tcBorders>
              <w:top w:val="single" w:sz="4" w:space="0" w:color="7E7E7E"/>
              <w:bottom w:val="single" w:sz="4" w:space="0" w:color="7E7E7E"/>
            </w:tcBorders>
          </w:tcPr>
          <w:p w14:paraId="0CFB8BD4" w14:textId="77777777" w:rsidR="00C774B2" w:rsidRDefault="00000000">
            <w:pPr>
              <w:pStyle w:val="TableParagraph"/>
              <w:ind w:left="228" w:right="278"/>
              <w:rPr>
                <w:rFonts w:ascii="Calibri"/>
              </w:rPr>
            </w:pPr>
            <w:r>
              <w:rPr>
                <w:rFonts w:ascii="Calibri"/>
              </w:rPr>
              <w:t>28.1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(6.9)</w:t>
            </w:r>
          </w:p>
        </w:tc>
        <w:tc>
          <w:tcPr>
            <w:tcW w:w="1580" w:type="dxa"/>
            <w:tcBorders>
              <w:top w:val="single" w:sz="4" w:space="0" w:color="7E7E7E"/>
              <w:bottom w:val="single" w:sz="4" w:space="0" w:color="7E7E7E"/>
            </w:tcBorders>
          </w:tcPr>
          <w:p w14:paraId="292FFFBC" w14:textId="77777777" w:rsidR="00C774B2" w:rsidRDefault="00000000">
            <w:pPr>
              <w:pStyle w:val="TableParagraph"/>
              <w:ind w:left="281" w:right="302"/>
              <w:rPr>
                <w:rFonts w:ascii="Calibri"/>
              </w:rPr>
            </w:pPr>
            <w:r>
              <w:rPr>
                <w:rFonts w:ascii="Calibri"/>
              </w:rPr>
              <w:t>29.3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(8.3)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3172A038" w14:textId="77777777" w:rsidR="00C774B2" w:rsidRDefault="00000000">
            <w:pPr>
              <w:pStyle w:val="TableParagraph"/>
              <w:ind w:left="155" w:right="156"/>
              <w:rPr>
                <w:rFonts w:ascii="Calibri"/>
              </w:rPr>
            </w:pPr>
            <w:r>
              <w:rPr>
                <w:rFonts w:ascii="Calibri"/>
              </w:rPr>
              <w:t>0.19</w:t>
            </w:r>
          </w:p>
        </w:tc>
      </w:tr>
      <w:tr w:rsidR="00C774B2" w14:paraId="0379B0DE" w14:textId="77777777">
        <w:trPr>
          <w:trHeight w:val="508"/>
        </w:trPr>
        <w:tc>
          <w:tcPr>
            <w:tcW w:w="1714" w:type="dxa"/>
            <w:tcBorders>
              <w:top w:val="single" w:sz="4" w:space="0" w:color="7E7E7E"/>
              <w:bottom w:val="single" w:sz="4" w:space="0" w:color="7E7E7E"/>
            </w:tcBorders>
          </w:tcPr>
          <w:p w14:paraId="6D1BF75D" w14:textId="77777777" w:rsidR="00C774B2" w:rsidRDefault="00000000">
            <w:pPr>
              <w:pStyle w:val="TableParagraph"/>
              <w:ind w:left="354" w:right="339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AGR</w:t>
            </w:r>
          </w:p>
        </w:tc>
        <w:tc>
          <w:tcPr>
            <w:tcW w:w="1348" w:type="dxa"/>
            <w:tcBorders>
              <w:top w:val="single" w:sz="4" w:space="0" w:color="7E7E7E"/>
              <w:bottom w:val="single" w:sz="4" w:space="0" w:color="7E7E7E"/>
            </w:tcBorders>
          </w:tcPr>
          <w:p w14:paraId="64ED9927" w14:textId="77777777" w:rsidR="00C774B2" w:rsidRDefault="00000000">
            <w:pPr>
              <w:pStyle w:val="TableParagraph"/>
              <w:ind w:left="292"/>
              <w:jc w:val="left"/>
              <w:rPr>
                <w:rFonts w:ascii="Calibri"/>
              </w:rPr>
            </w:pPr>
            <w:r>
              <w:rPr>
                <w:rFonts w:ascii="Calibri"/>
              </w:rPr>
              <w:t>30.4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(6)</w:t>
            </w:r>
          </w:p>
        </w:tc>
        <w:tc>
          <w:tcPr>
            <w:tcW w:w="1380" w:type="dxa"/>
            <w:tcBorders>
              <w:top w:val="single" w:sz="4" w:space="0" w:color="7E7E7E"/>
              <w:bottom w:val="single" w:sz="4" w:space="0" w:color="7E7E7E"/>
            </w:tcBorders>
          </w:tcPr>
          <w:p w14:paraId="0A195C71" w14:textId="77777777" w:rsidR="00C774B2" w:rsidRDefault="00000000">
            <w:pPr>
              <w:pStyle w:val="TableParagraph"/>
              <w:ind w:left="124" w:right="228"/>
              <w:rPr>
                <w:rFonts w:ascii="Calibri"/>
              </w:rPr>
            </w:pPr>
            <w:r>
              <w:rPr>
                <w:rFonts w:ascii="Calibri"/>
              </w:rPr>
              <w:t>30.8</w:t>
            </w:r>
            <w:r>
              <w:rPr>
                <w:rFonts w:ascii="Calibri"/>
                <w:spacing w:val="-2"/>
              </w:rPr>
              <w:t xml:space="preserve"> </w:t>
            </w:r>
            <w:r>
              <w:rPr>
                <w:rFonts w:ascii="Calibri"/>
              </w:rPr>
              <w:t>(5.8)</w:t>
            </w:r>
          </w:p>
        </w:tc>
        <w:tc>
          <w:tcPr>
            <w:tcW w:w="1507" w:type="dxa"/>
            <w:tcBorders>
              <w:top w:val="single" w:sz="4" w:space="0" w:color="7E7E7E"/>
              <w:bottom w:val="single" w:sz="4" w:space="0" w:color="7E7E7E"/>
            </w:tcBorders>
          </w:tcPr>
          <w:p w14:paraId="09FC046A" w14:textId="77777777" w:rsidR="00C774B2" w:rsidRDefault="00000000">
            <w:pPr>
              <w:pStyle w:val="TableParagraph"/>
              <w:ind w:left="228" w:right="278"/>
              <w:rPr>
                <w:rFonts w:ascii="Calibri"/>
              </w:rPr>
            </w:pPr>
            <w:r>
              <w:rPr>
                <w:rFonts w:ascii="Calibri"/>
              </w:rPr>
              <w:t>29.8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(6.4)</w:t>
            </w:r>
          </w:p>
        </w:tc>
        <w:tc>
          <w:tcPr>
            <w:tcW w:w="1580" w:type="dxa"/>
            <w:tcBorders>
              <w:top w:val="single" w:sz="4" w:space="0" w:color="7E7E7E"/>
              <w:bottom w:val="single" w:sz="4" w:space="0" w:color="7E7E7E"/>
            </w:tcBorders>
          </w:tcPr>
          <w:p w14:paraId="2442142D" w14:textId="77777777" w:rsidR="00C774B2" w:rsidRDefault="00000000">
            <w:pPr>
              <w:pStyle w:val="TableParagraph"/>
              <w:ind w:left="281" w:right="302"/>
              <w:rPr>
                <w:rFonts w:ascii="Calibri"/>
              </w:rPr>
            </w:pPr>
            <w:r>
              <w:rPr>
                <w:rFonts w:ascii="Calibri"/>
              </w:rPr>
              <w:t>30.7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(5.5)</w:t>
            </w:r>
          </w:p>
        </w:tc>
        <w:tc>
          <w:tcPr>
            <w:tcW w:w="852" w:type="dxa"/>
            <w:tcBorders>
              <w:top w:val="single" w:sz="4" w:space="0" w:color="7E7E7E"/>
              <w:bottom w:val="single" w:sz="4" w:space="0" w:color="7E7E7E"/>
            </w:tcBorders>
          </w:tcPr>
          <w:p w14:paraId="160CC8A2" w14:textId="77777777" w:rsidR="00C774B2" w:rsidRDefault="00000000">
            <w:pPr>
              <w:pStyle w:val="TableParagraph"/>
              <w:ind w:left="155" w:right="155"/>
              <w:rPr>
                <w:rFonts w:ascii="Calibri"/>
              </w:rPr>
            </w:pPr>
            <w:r>
              <w:rPr>
                <w:rFonts w:ascii="Calibri"/>
              </w:rPr>
              <w:t>0.6</w:t>
            </w:r>
          </w:p>
        </w:tc>
      </w:tr>
      <w:tr w:rsidR="00C774B2" w14:paraId="32844CC0" w14:textId="77777777">
        <w:trPr>
          <w:trHeight w:val="263"/>
        </w:trPr>
        <w:tc>
          <w:tcPr>
            <w:tcW w:w="1714" w:type="dxa"/>
            <w:tcBorders>
              <w:top w:val="single" w:sz="4" w:space="0" w:color="7E7E7E"/>
            </w:tcBorders>
          </w:tcPr>
          <w:p w14:paraId="6E82E919" w14:textId="77777777" w:rsidR="00C774B2" w:rsidRDefault="00000000">
            <w:pPr>
              <w:pStyle w:val="TableParagraph"/>
              <w:spacing w:line="244" w:lineRule="exact"/>
              <w:ind w:left="354" w:right="341"/>
              <w:rPr>
                <w:rFonts w:ascii="Calibri"/>
                <w:b/>
              </w:rPr>
            </w:pPr>
            <w:r>
              <w:rPr>
                <w:rFonts w:ascii="Calibri"/>
                <w:b/>
              </w:rPr>
              <w:t>CON</w:t>
            </w:r>
          </w:p>
        </w:tc>
        <w:tc>
          <w:tcPr>
            <w:tcW w:w="1348" w:type="dxa"/>
            <w:tcBorders>
              <w:top w:val="single" w:sz="4" w:space="0" w:color="7E7E7E"/>
            </w:tcBorders>
          </w:tcPr>
          <w:p w14:paraId="2F35439E" w14:textId="77777777" w:rsidR="00C774B2" w:rsidRDefault="00000000">
            <w:pPr>
              <w:pStyle w:val="TableParagraph"/>
              <w:spacing w:line="244" w:lineRule="exact"/>
              <w:ind w:left="208"/>
              <w:jc w:val="left"/>
              <w:rPr>
                <w:rFonts w:ascii="Calibri"/>
              </w:rPr>
            </w:pPr>
            <w:r>
              <w:rPr>
                <w:rFonts w:ascii="Calibri"/>
              </w:rPr>
              <w:t>31.2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(6.6)</w:t>
            </w:r>
          </w:p>
        </w:tc>
        <w:tc>
          <w:tcPr>
            <w:tcW w:w="1380" w:type="dxa"/>
            <w:tcBorders>
              <w:top w:val="single" w:sz="4" w:space="0" w:color="7E7E7E"/>
            </w:tcBorders>
          </w:tcPr>
          <w:p w14:paraId="296FCEA7" w14:textId="77777777" w:rsidR="00C774B2" w:rsidRDefault="00000000">
            <w:pPr>
              <w:pStyle w:val="TableParagraph"/>
              <w:spacing w:line="244" w:lineRule="exact"/>
              <w:ind w:left="123" w:right="228"/>
              <w:rPr>
                <w:rFonts w:ascii="Calibri"/>
              </w:rPr>
            </w:pPr>
            <w:r>
              <w:rPr>
                <w:rFonts w:ascii="Calibri"/>
              </w:rPr>
              <w:t>32.4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(6.3)</w:t>
            </w:r>
          </w:p>
        </w:tc>
        <w:tc>
          <w:tcPr>
            <w:tcW w:w="1507" w:type="dxa"/>
            <w:tcBorders>
              <w:top w:val="single" w:sz="4" w:space="0" w:color="7E7E7E"/>
            </w:tcBorders>
          </w:tcPr>
          <w:p w14:paraId="4157B6BB" w14:textId="77777777" w:rsidR="00C774B2" w:rsidRDefault="00000000">
            <w:pPr>
              <w:pStyle w:val="TableParagraph"/>
              <w:spacing w:line="244" w:lineRule="exact"/>
              <w:ind w:left="228" w:right="278"/>
              <w:rPr>
                <w:rFonts w:ascii="Calibri"/>
              </w:rPr>
            </w:pPr>
            <w:r>
              <w:rPr>
                <w:rFonts w:ascii="Calibri"/>
              </w:rPr>
              <w:t>30.2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(6.6)</w:t>
            </w:r>
          </w:p>
        </w:tc>
        <w:tc>
          <w:tcPr>
            <w:tcW w:w="1580" w:type="dxa"/>
            <w:tcBorders>
              <w:top w:val="single" w:sz="4" w:space="0" w:color="7E7E7E"/>
            </w:tcBorders>
          </w:tcPr>
          <w:p w14:paraId="5D0A0A82" w14:textId="77777777" w:rsidR="00C774B2" w:rsidRDefault="00000000">
            <w:pPr>
              <w:pStyle w:val="TableParagraph"/>
              <w:spacing w:line="244" w:lineRule="exact"/>
              <w:ind w:left="281" w:right="302"/>
              <w:rPr>
                <w:rFonts w:ascii="Calibri"/>
              </w:rPr>
            </w:pPr>
            <w:r>
              <w:rPr>
                <w:rFonts w:ascii="Calibri"/>
              </w:rPr>
              <w:t>31.3</w:t>
            </w:r>
            <w:r>
              <w:rPr>
                <w:rFonts w:ascii="Calibri"/>
                <w:spacing w:val="-3"/>
              </w:rPr>
              <w:t xml:space="preserve"> </w:t>
            </w:r>
            <w:r>
              <w:rPr>
                <w:rFonts w:ascii="Calibri"/>
              </w:rPr>
              <w:t>(6.9)</w:t>
            </w:r>
          </w:p>
        </w:tc>
        <w:tc>
          <w:tcPr>
            <w:tcW w:w="852" w:type="dxa"/>
            <w:tcBorders>
              <w:top w:val="single" w:sz="4" w:space="0" w:color="7E7E7E"/>
            </w:tcBorders>
          </w:tcPr>
          <w:p w14:paraId="6542109D" w14:textId="77777777" w:rsidR="00C774B2" w:rsidRDefault="00000000">
            <w:pPr>
              <w:pStyle w:val="TableParagraph"/>
              <w:spacing w:line="244" w:lineRule="exact"/>
              <w:ind w:left="155" w:right="156"/>
              <w:rPr>
                <w:rFonts w:ascii="Calibri"/>
              </w:rPr>
            </w:pPr>
            <w:r>
              <w:rPr>
                <w:rFonts w:ascii="Calibri"/>
              </w:rPr>
              <w:t>0.15</w:t>
            </w:r>
          </w:p>
        </w:tc>
      </w:tr>
    </w:tbl>
    <w:p w14:paraId="188122F1" w14:textId="35A0F3CD" w:rsidR="00C774B2" w:rsidRDefault="0021171C">
      <w:pPr>
        <w:pStyle w:val="Textoindependiente"/>
        <w:spacing w:before="10"/>
        <w:rPr>
          <w:b/>
          <w:sz w:val="16"/>
        </w:rPr>
      </w:pPr>
      <w:r>
        <w:rPr>
          <w:noProof/>
        </w:rPr>
        <mc:AlternateContent>
          <mc:Choice Requires="wps">
            <w:drawing>
              <wp:anchor distT="0" distB="0" distL="0" distR="0" simplePos="0" relativeHeight="487594496" behindDoc="1" locked="0" layoutInCell="1" allowOverlap="1" wp14:anchorId="43858449" wp14:editId="264EBC77">
                <wp:simplePos x="0" y="0"/>
                <wp:positionH relativeFrom="page">
                  <wp:posOffset>1071880</wp:posOffset>
                </wp:positionH>
                <wp:positionV relativeFrom="paragraph">
                  <wp:posOffset>155575</wp:posOffset>
                </wp:positionV>
                <wp:extent cx="5321300" cy="6350"/>
                <wp:effectExtent l="0" t="0" r="0" b="0"/>
                <wp:wrapTopAndBottom/>
                <wp:docPr id="1936804854" name="Rectangle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21300" cy="6350"/>
                        </a:xfrm>
                        <a:prstGeom prst="rect">
                          <a:avLst/>
                        </a:prstGeom>
                        <a:solidFill>
                          <a:srgbClr val="7E7E7E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30700427" id="Rectangle 2" o:spid="_x0000_s1026" style="position:absolute;margin-left:84.4pt;margin-top:12.25pt;width:419pt;height:.5pt;z-index:-1572198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" fillcolor="#7e7e7e" stroked="f">
                <w10:wrap type="topAndBottom" anchorx="page"/>
              </v:rect>
            </w:pict>
          </mc:Fallback>
        </mc:AlternateContent>
      </w:r>
    </w:p>
    <w:p w14:paraId="2D262C14" w14:textId="77777777" w:rsidR="00C774B2" w:rsidRDefault="00000000">
      <w:pPr>
        <w:ind w:left="1702" w:right="1478"/>
        <w:rPr>
          <w:sz w:val="18"/>
        </w:rPr>
      </w:pPr>
      <w:r>
        <w:rPr>
          <w:sz w:val="18"/>
        </w:rPr>
        <w:t>NTC:</w:t>
      </w:r>
      <w:r>
        <w:rPr>
          <w:spacing w:val="-7"/>
          <w:sz w:val="18"/>
        </w:rPr>
        <w:t xml:space="preserve"> </w:t>
      </w:r>
      <w:r>
        <w:rPr>
          <w:sz w:val="18"/>
        </w:rPr>
        <w:t>Neuroticism;</w:t>
      </w:r>
      <w:r>
        <w:rPr>
          <w:spacing w:val="-6"/>
          <w:sz w:val="18"/>
        </w:rPr>
        <w:t xml:space="preserve"> </w:t>
      </w:r>
      <w:r>
        <w:rPr>
          <w:sz w:val="18"/>
        </w:rPr>
        <w:t>EXT:</w:t>
      </w:r>
      <w:r>
        <w:rPr>
          <w:spacing w:val="-6"/>
          <w:sz w:val="18"/>
        </w:rPr>
        <w:t xml:space="preserve"> </w:t>
      </w:r>
      <w:r>
        <w:rPr>
          <w:sz w:val="18"/>
        </w:rPr>
        <w:t>Extraversion;</w:t>
      </w:r>
      <w:r>
        <w:rPr>
          <w:spacing w:val="-6"/>
          <w:sz w:val="18"/>
        </w:rPr>
        <w:t xml:space="preserve"> </w:t>
      </w:r>
      <w:r>
        <w:rPr>
          <w:sz w:val="18"/>
        </w:rPr>
        <w:t>OPN:</w:t>
      </w:r>
      <w:r>
        <w:rPr>
          <w:spacing w:val="-6"/>
          <w:sz w:val="18"/>
        </w:rPr>
        <w:t xml:space="preserve"> </w:t>
      </w:r>
      <w:r>
        <w:rPr>
          <w:sz w:val="18"/>
        </w:rPr>
        <w:t>Openness;</w:t>
      </w:r>
      <w:r>
        <w:rPr>
          <w:spacing w:val="-6"/>
          <w:sz w:val="18"/>
        </w:rPr>
        <w:t xml:space="preserve"> </w:t>
      </w:r>
      <w:r>
        <w:rPr>
          <w:sz w:val="18"/>
        </w:rPr>
        <w:t>AGR:</w:t>
      </w:r>
      <w:r>
        <w:rPr>
          <w:spacing w:val="-3"/>
          <w:sz w:val="18"/>
        </w:rPr>
        <w:t xml:space="preserve"> </w:t>
      </w:r>
      <w:r>
        <w:rPr>
          <w:sz w:val="18"/>
        </w:rPr>
        <w:t>Agreeableness;</w:t>
      </w:r>
      <w:r>
        <w:rPr>
          <w:spacing w:val="-4"/>
          <w:sz w:val="18"/>
        </w:rPr>
        <w:t xml:space="preserve"> </w:t>
      </w:r>
      <w:r>
        <w:rPr>
          <w:sz w:val="18"/>
        </w:rPr>
        <w:t>CON:</w:t>
      </w:r>
      <w:r>
        <w:rPr>
          <w:spacing w:val="-6"/>
          <w:sz w:val="18"/>
        </w:rPr>
        <w:t xml:space="preserve"> </w:t>
      </w:r>
      <w:r>
        <w:rPr>
          <w:sz w:val="18"/>
        </w:rPr>
        <w:t>Conscientiousness;</w:t>
      </w:r>
      <w:r>
        <w:rPr>
          <w:spacing w:val="-4"/>
          <w:sz w:val="18"/>
        </w:rPr>
        <w:t xml:space="preserve"> </w:t>
      </w:r>
      <w:r>
        <w:rPr>
          <w:sz w:val="18"/>
        </w:rPr>
        <w:t>IG:</w:t>
      </w:r>
      <w:r>
        <w:rPr>
          <w:spacing w:val="-6"/>
          <w:sz w:val="18"/>
        </w:rPr>
        <w:t xml:space="preserve"> </w:t>
      </w:r>
      <w:r>
        <w:rPr>
          <w:sz w:val="18"/>
        </w:rPr>
        <w:t>Intervention</w:t>
      </w:r>
      <w:r>
        <w:rPr>
          <w:spacing w:val="-38"/>
          <w:sz w:val="18"/>
        </w:rPr>
        <w:t xml:space="preserve"> </w:t>
      </w:r>
      <w:r>
        <w:rPr>
          <w:sz w:val="18"/>
        </w:rPr>
        <w:t>Group;</w:t>
      </w:r>
      <w:r>
        <w:rPr>
          <w:spacing w:val="-2"/>
          <w:sz w:val="18"/>
        </w:rPr>
        <w:t xml:space="preserve"> </w:t>
      </w:r>
      <w:r>
        <w:rPr>
          <w:i/>
          <w:sz w:val="18"/>
        </w:rPr>
        <w:t>p</w:t>
      </w:r>
      <w:r>
        <w:rPr>
          <w:sz w:val="18"/>
        </w:rPr>
        <w:t>*: statistical</w:t>
      </w:r>
      <w:r>
        <w:rPr>
          <w:spacing w:val="-2"/>
          <w:sz w:val="18"/>
        </w:rPr>
        <w:t xml:space="preserve"> </w:t>
      </w:r>
      <w:r>
        <w:rPr>
          <w:sz w:val="18"/>
        </w:rPr>
        <w:t>significance</w:t>
      </w:r>
      <w:r>
        <w:rPr>
          <w:spacing w:val="1"/>
          <w:sz w:val="18"/>
        </w:rPr>
        <w:t xml:space="preserve"> </w:t>
      </w:r>
      <w:r>
        <w:rPr>
          <w:sz w:val="18"/>
        </w:rPr>
        <w:t>for</w:t>
      </w:r>
      <w:r>
        <w:rPr>
          <w:spacing w:val="-1"/>
          <w:sz w:val="18"/>
        </w:rPr>
        <w:t xml:space="preserve"> </w:t>
      </w:r>
      <w:r>
        <w:rPr>
          <w:sz w:val="18"/>
        </w:rPr>
        <w:t>ANOVA</w:t>
      </w:r>
      <w:r>
        <w:rPr>
          <w:spacing w:val="-2"/>
          <w:sz w:val="18"/>
        </w:rPr>
        <w:t xml:space="preserve"> </w:t>
      </w:r>
      <w:r>
        <w:rPr>
          <w:sz w:val="18"/>
        </w:rPr>
        <w:t>test</w:t>
      </w:r>
      <w:r>
        <w:rPr>
          <w:spacing w:val="-1"/>
          <w:sz w:val="18"/>
        </w:rPr>
        <w:t xml:space="preserve"> </w:t>
      </w:r>
      <w:r>
        <w:rPr>
          <w:sz w:val="18"/>
        </w:rPr>
        <w:t>for</w:t>
      </w:r>
      <w:r>
        <w:rPr>
          <w:spacing w:val="1"/>
          <w:sz w:val="18"/>
        </w:rPr>
        <w:t xml:space="preserve"> </w:t>
      </w:r>
      <w:r>
        <w:rPr>
          <w:sz w:val="18"/>
        </w:rPr>
        <w:t>comparison</w:t>
      </w:r>
      <w:r>
        <w:rPr>
          <w:spacing w:val="-1"/>
          <w:sz w:val="18"/>
        </w:rPr>
        <w:t xml:space="preserve"> </w:t>
      </w:r>
      <w:r>
        <w:rPr>
          <w:sz w:val="18"/>
        </w:rPr>
        <w:t>of</w:t>
      </w:r>
      <w:r>
        <w:rPr>
          <w:spacing w:val="-2"/>
          <w:sz w:val="18"/>
        </w:rPr>
        <w:t xml:space="preserve"> </w:t>
      </w:r>
      <w:r>
        <w:rPr>
          <w:sz w:val="18"/>
        </w:rPr>
        <w:t>three</w:t>
      </w:r>
      <w:r>
        <w:rPr>
          <w:spacing w:val="-1"/>
          <w:sz w:val="18"/>
        </w:rPr>
        <w:t xml:space="preserve"> </w:t>
      </w:r>
      <w:r>
        <w:rPr>
          <w:sz w:val="18"/>
        </w:rPr>
        <w:t>independent</w:t>
      </w:r>
      <w:r>
        <w:rPr>
          <w:spacing w:val="-1"/>
          <w:sz w:val="18"/>
        </w:rPr>
        <w:t xml:space="preserve"> </w:t>
      </w:r>
      <w:r>
        <w:rPr>
          <w:sz w:val="18"/>
        </w:rPr>
        <w:t>means.</w:t>
      </w:r>
    </w:p>
    <w:p w14:paraId="2C75BB68" w14:textId="77777777" w:rsidR="00C774B2" w:rsidRDefault="00C774B2">
      <w:pPr>
        <w:rPr>
          <w:sz w:val="18"/>
        </w:rPr>
        <w:sectPr w:rsidR="00C774B2" w:rsidSect="003D4159">
          <w:pgSz w:w="11910" w:h="16840"/>
          <w:pgMar w:top="1360" w:right="60" w:bottom="280" w:left="0" w:header="720" w:footer="720" w:gutter="0"/>
          <w:cols w:space="720"/>
        </w:sectPr>
      </w:pPr>
    </w:p>
    <w:p w14:paraId="027AED94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40F90794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2CA4972E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41488518" w14:textId="77777777" w:rsidR="00C774B2" w:rsidRDefault="00C774B2">
      <w:pPr>
        <w:pStyle w:val="Textoindependiente"/>
        <w:rPr>
          <w:rFonts w:ascii="Arial MT"/>
          <w:sz w:val="20"/>
        </w:rPr>
      </w:pPr>
    </w:p>
    <w:p w14:paraId="1626CB34" w14:textId="77777777" w:rsidR="00C774B2" w:rsidRDefault="00C774B2">
      <w:pPr>
        <w:pStyle w:val="Textoindependiente"/>
        <w:spacing w:before="5"/>
        <w:rPr>
          <w:rFonts w:ascii="Arial MT"/>
          <w:sz w:val="18"/>
        </w:rPr>
      </w:pPr>
    </w:p>
    <w:p w14:paraId="694E496D" w14:textId="77777777" w:rsidR="00C774B2" w:rsidRDefault="00000000">
      <w:pPr>
        <w:spacing w:before="1"/>
        <w:ind w:left="1702"/>
        <w:rPr>
          <w:b/>
          <w:sz w:val="20"/>
        </w:rPr>
      </w:pPr>
      <w:r>
        <w:rPr>
          <w:b/>
          <w:sz w:val="20"/>
        </w:rPr>
        <w:t>CRediT</w:t>
      </w:r>
      <w:r>
        <w:rPr>
          <w:b/>
          <w:spacing w:val="-4"/>
          <w:sz w:val="20"/>
        </w:rPr>
        <w:t xml:space="preserve"> </w:t>
      </w:r>
      <w:r>
        <w:rPr>
          <w:b/>
          <w:sz w:val="20"/>
        </w:rPr>
        <w:t>author</w:t>
      </w:r>
      <w:r>
        <w:rPr>
          <w:b/>
          <w:spacing w:val="-2"/>
          <w:sz w:val="20"/>
        </w:rPr>
        <w:t xml:space="preserve"> </w:t>
      </w:r>
      <w:r>
        <w:rPr>
          <w:b/>
          <w:sz w:val="20"/>
        </w:rPr>
        <w:t>statement</w:t>
      </w:r>
    </w:p>
    <w:p w14:paraId="7B63DBFF" w14:textId="77777777" w:rsidR="00C774B2" w:rsidRDefault="00C774B2">
      <w:pPr>
        <w:pStyle w:val="Textoindependiente"/>
        <w:rPr>
          <w:b/>
          <w:sz w:val="23"/>
        </w:rPr>
      </w:pPr>
    </w:p>
    <w:p w14:paraId="40FBBA13" w14:textId="77777777" w:rsidR="00C774B2" w:rsidRDefault="00000000">
      <w:pPr>
        <w:spacing w:before="1" w:line="259" w:lineRule="auto"/>
        <w:ind w:left="1702" w:right="1896"/>
        <w:rPr>
          <w:sz w:val="20"/>
        </w:rPr>
      </w:pPr>
      <w:r>
        <w:rPr>
          <w:sz w:val="20"/>
        </w:rPr>
        <w:t>Manuel Romero-Saldaña, as the corresponding author ensures that the descriptions are accurate and</w:t>
      </w:r>
      <w:r>
        <w:rPr>
          <w:spacing w:val="-43"/>
          <w:sz w:val="20"/>
        </w:rPr>
        <w:t xml:space="preserve"> </w:t>
      </w:r>
      <w:r>
        <w:rPr>
          <w:sz w:val="20"/>
        </w:rPr>
        <w:t>agreed</w:t>
      </w:r>
      <w:r>
        <w:rPr>
          <w:spacing w:val="-1"/>
          <w:sz w:val="20"/>
        </w:rPr>
        <w:t xml:space="preserve"> </w:t>
      </w:r>
      <w:r>
        <w:rPr>
          <w:sz w:val="20"/>
        </w:rPr>
        <w:t>by all authors.</w:t>
      </w:r>
    </w:p>
    <w:p w14:paraId="141E4F3C" w14:textId="77777777" w:rsidR="00C774B2" w:rsidRDefault="00000000">
      <w:pPr>
        <w:spacing w:before="159" w:line="415" w:lineRule="auto"/>
        <w:ind w:left="1702" w:right="3179"/>
        <w:rPr>
          <w:sz w:val="20"/>
        </w:rPr>
      </w:pPr>
      <w:r>
        <w:rPr>
          <w:sz w:val="20"/>
        </w:rPr>
        <w:t>Luis Iván Mayor-Silva</w:t>
      </w:r>
      <w:r>
        <w:rPr>
          <w:b/>
          <w:sz w:val="20"/>
        </w:rPr>
        <w:t xml:space="preserve">: </w:t>
      </w:r>
      <w:r>
        <w:rPr>
          <w:sz w:val="20"/>
        </w:rPr>
        <w:t>Conceptualization, Investigation, writing-reviewing and editing.</w:t>
      </w:r>
      <w:r>
        <w:rPr>
          <w:spacing w:val="-43"/>
          <w:sz w:val="20"/>
        </w:rPr>
        <w:t xml:space="preserve"> </w:t>
      </w:r>
      <w:r>
        <w:rPr>
          <w:sz w:val="20"/>
        </w:rPr>
        <w:t>Manuel Romero-Saldaña: Methodology, formal analysis, writing-reviewing, software.</w:t>
      </w:r>
      <w:r>
        <w:rPr>
          <w:spacing w:val="1"/>
          <w:sz w:val="20"/>
        </w:rPr>
        <w:t xml:space="preserve"> </w:t>
      </w:r>
      <w:r>
        <w:rPr>
          <w:sz w:val="20"/>
        </w:rPr>
        <w:t>Antonio Gabriel Moreno-Pimentel: data curation, Writing- Original draft preparation</w:t>
      </w:r>
      <w:r>
        <w:rPr>
          <w:spacing w:val="1"/>
          <w:sz w:val="20"/>
        </w:rPr>
        <w:t xml:space="preserve"> </w:t>
      </w:r>
      <w:r>
        <w:rPr>
          <w:sz w:val="20"/>
        </w:rPr>
        <w:t>Ángela</w:t>
      </w:r>
      <w:r>
        <w:rPr>
          <w:spacing w:val="-1"/>
          <w:sz w:val="20"/>
        </w:rPr>
        <w:t xml:space="preserve"> </w:t>
      </w:r>
      <w:r>
        <w:rPr>
          <w:sz w:val="20"/>
        </w:rPr>
        <w:t>Álvarez-Melcón:</w:t>
      </w:r>
      <w:r>
        <w:rPr>
          <w:spacing w:val="-2"/>
          <w:sz w:val="20"/>
        </w:rPr>
        <w:t xml:space="preserve"> </w:t>
      </w:r>
      <w:r>
        <w:rPr>
          <w:sz w:val="20"/>
        </w:rPr>
        <w:t>Investigation,</w:t>
      </w:r>
      <w:r>
        <w:rPr>
          <w:spacing w:val="2"/>
          <w:sz w:val="20"/>
        </w:rPr>
        <w:t xml:space="preserve"> </w:t>
      </w:r>
      <w:r>
        <w:rPr>
          <w:sz w:val="20"/>
        </w:rPr>
        <w:t>Writing-</w:t>
      </w:r>
      <w:r>
        <w:rPr>
          <w:spacing w:val="-2"/>
          <w:sz w:val="20"/>
        </w:rPr>
        <w:t xml:space="preserve"> </w:t>
      </w:r>
      <w:r>
        <w:rPr>
          <w:sz w:val="20"/>
        </w:rPr>
        <w:t>Original</w:t>
      </w:r>
      <w:r>
        <w:rPr>
          <w:spacing w:val="-1"/>
          <w:sz w:val="20"/>
        </w:rPr>
        <w:t xml:space="preserve"> </w:t>
      </w:r>
      <w:r>
        <w:rPr>
          <w:sz w:val="20"/>
        </w:rPr>
        <w:t>draft</w:t>
      </w:r>
      <w:r>
        <w:rPr>
          <w:spacing w:val="-1"/>
          <w:sz w:val="20"/>
        </w:rPr>
        <w:t xml:space="preserve"> </w:t>
      </w:r>
      <w:r>
        <w:rPr>
          <w:sz w:val="20"/>
        </w:rPr>
        <w:t>preparation.</w:t>
      </w:r>
    </w:p>
    <w:p w14:paraId="69D26C96" w14:textId="77777777" w:rsidR="00C774B2" w:rsidRDefault="00000000">
      <w:pPr>
        <w:spacing w:before="5" w:line="415" w:lineRule="auto"/>
        <w:ind w:left="1702" w:right="2964"/>
        <w:rPr>
          <w:sz w:val="20"/>
        </w:rPr>
      </w:pPr>
      <w:r>
        <w:rPr>
          <w:sz w:val="20"/>
        </w:rPr>
        <w:t>Rafael Molina-Luque: Methodology, formal analysis, writing-reviewing, software.</w:t>
      </w:r>
      <w:r>
        <w:rPr>
          <w:spacing w:val="1"/>
          <w:sz w:val="20"/>
        </w:rPr>
        <w:t xml:space="preserve"> </w:t>
      </w:r>
      <w:r>
        <w:rPr>
          <w:sz w:val="20"/>
        </w:rPr>
        <w:t>Alfonso</w:t>
      </w:r>
      <w:r>
        <w:rPr>
          <w:spacing w:val="-5"/>
          <w:sz w:val="20"/>
        </w:rPr>
        <w:t xml:space="preserve"> </w:t>
      </w:r>
      <w:r>
        <w:rPr>
          <w:sz w:val="20"/>
        </w:rPr>
        <w:t>Meneses-Monroy.</w:t>
      </w:r>
      <w:r>
        <w:rPr>
          <w:spacing w:val="-5"/>
          <w:sz w:val="20"/>
        </w:rPr>
        <w:t xml:space="preserve"> </w:t>
      </w:r>
      <w:r>
        <w:rPr>
          <w:sz w:val="20"/>
        </w:rPr>
        <w:t>Conceptualization,</w:t>
      </w:r>
      <w:r>
        <w:rPr>
          <w:spacing w:val="-4"/>
          <w:sz w:val="20"/>
        </w:rPr>
        <w:t xml:space="preserve"> </w:t>
      </w:r>
      <w:r>
        <w:rPr>
          <w:sz w:val="20"/>
        </w:rPr>
        <w:t>Supervision, writing-reviewing</w:t>
      </w:r>
      <w:r>
        <w:rPr>
          <w:spacing w:val="-5"/>
          <w:sz w:val="20"/>
        </w:rPr>
        <w:t xml:space="preserve"> </w:t>
      </w:r>
      <w:r>
        <w:rPr>
          <w:sz w:val="20"/>
        </w:rPr>
        <w:t>and</w:t>
      </w:r>
      <w:r>
        <w:rPr>
          <w:spacing w:val="-5"/>
          <w:sz w:val="20"/>
        </w:rPr>
        <w:t xml:space="preserve"> </w:t>
      </w:r>
      <w:r>
        <w:rPr>
          <w:sz w:val="20"/>
        </w:rPr>
        <w:t>editing</w:t>
      </w:r>
    </w:p>
    <w:sectPr w:rsidR="00C774B2">
      <w:pgSz w:w="11910" w:h="16840"/>
      <w:pgMar w:top="0" w:right="60" w:bottom="280" w:left="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7A2498"/>
    <w:multiLevelType w:val="hybridMultilevel"/>
    <w:tmpl w:val="43CA2B74"/>
    <w:lvl w:ilvl="0" w:tplc="7382BB40">
      <w:start w:val="1"/>
      <w:numFmt w:val="decimal"/>
      <w:lvlText w:val="%1."/>
      <w:lvlJc w:val="left"/>
      <w:pPr>
        <w:ind w:left="3619" w:hanging="152"/>
        <w:jc w:val="left"/>
      </w:pPr>
      <w:rPr>
        <w:rFonts w:ascii="Arial MT" w:eastAsia="Arial MT" w:hAnsi="Arial MT" w:cs="Arial MT" w:hint="default"/>
        <w:color w:val="333566"/>
        <w:spacing w:val="-1"/>
        <w:w w:val="100"/>
        <w:sz w:val="16"/>
        <w:szCs w:val="16"/>
        <w:lang w:val="en-US" w:eastAsia="en-US" w:bidi="ar-SA"/>
      </w:rPr>
    </w:lvl>
    <w:lvl w:ilvl="1" w:tplc="3B46662C">
      <w:numFmt w:val="bullet"/>
      <w:lvlText w:val="•"/>
      <w:lvlJc w:val="left"/>
      <w:pPr>
        <w:ind w:left="4330" w:hanging="152"/>
      </w:pPr>
      <w:rPr>
        <w:rFonts w:hint="default"/>
        <w:lang w:val="en-US" w:eastAsia="en-US" w:bidi="ar-SA"/>
      </w:rPr>
    </w:lvl>
    <w:lvl w:ilvl="2" w:tplc="37DC596C">
      <w:numFmt w:val="bullet"/>
      <w:lvlText w:val="•"/>
      <w:lvlJc w:val="left"/>
      <w:pPr>
        <w:ind w:left="5040" w:hanging="152"/>
      </w:pPr>
      <w:rPr>
        <w:rFonts w:hint="default"/>
        <w:lang w:val="en-US" w:eastAsia="en-US" w:bidi="ar-SA"/>
      </w:rPr>
    </w:lvl>
    <w:lvl w:ilvl="3" w:tplc="EAD22204">
      <w:numFmt w:val="bullet"/>
      <w:lvlText w:val="•"/>
      <w:lvlJc w:val="left"/>
      <w:pPr>
        <w:ind w:left="5750" w:hanging="152"/>
      </w:pPr>
      <w:rPr>
        <w:rFonts w:hint="default"/>
        <w:lang w:val="en-US" w:eastAsia="en-US" w:bidi="ar-SA"/>
      </w:rPr>
    </w:lvl>
    <w:lvl w:ilvl="4" w:tplc="5BCACC3C">
      <w:numFmt w:val="bullet"/>
      <w:lvlText w:val="•"/>
      <w:lvlJc w:val="left"/>
      <w:pPr>
        <w:ind w:left="6460" w:hanging="152"/>
      </w:pPr>
      <w:rPr>
        <w:rFonts w:hint="default"/>
        <w:lang w:val="en-US" w:eastAsia="en-US" w:bidi="ar-SA"/>
      </w:rPr>
    </w:lvl>
    <w:lvl w:ilvl="5" w:tplc="D4E84C90">
      <w:numFmt w:val="bullet"/>
      <w:lvlText w:val="•"/>
      <w:lvlJc w:val="left"/>
      <w:pPr>
        <w:ind w:left="7170" w:hanging="152"/>
      </w:pPr>
      <w:rPr>
        <w:rFonts w:hint="default"/>
        <w:lang w:val="en-US" w:eastAsia="en-US" w:bidi="ar-SA"/>
      </w:rPr>
    </w:lvl>
    <w:lvl w:ilvl="6" w:tplc="C8E6C7BE">
      <w:numFmt w:val="bullet"/>
      <w:lvlText w:val="•"/>
      <w:lvlJc w:val="left"/>
      <w:pPr>
        <w:ind w:left="7880" w:hanging="152"/>
      </w:pPr>
      <w:rPr>
        <w:rFonts w:hint="default"/>
        <w:lang w:val="en-US" w:eastAsia="en-US" w:bidi="ar-SA"/>
      </w:rPr>
    </w:lvl>
    <w:lvl w:ilvl="7" w:tplc="657A9800">
      <w:numFmt w:val="bullet"/>
      <w:lvlText w:val="•"/>
      <w:lvlJc w:val="left"/>
      <w:pPr>
        <w:ind w:left="8590" w:hanging="152"/>
      </w:pPr>
      <w:rPr>
        <w:rFonts w:hint="default"/>
        <w:lang w:val="en-US" w:eastAsia="en-US" w:bidi="ar-SA"/>
      </w:rPr>
    </w:lvl>
    <w:lvl w:ilvl="8" w:tplc="D652C1D6">
      <w:numFmt w:val="bullet"/>
      <w:lvlText w:val="•"/>
      <w:lvlJc w:val="left"/>
      <w:pPr>
        <w:ind w:left="9300" w:hanging="152"/>
      </w:pPr>
      <w:rPr>
        <w:rFonts w:hint="default"/>
        <w:lang w:val="en-US" w:eastAsia="en-US" w:bidi="ar-SA"/>
      </w:rPr>
    </w:lvl>
  </w:abstractNum>
  <w:abstractNum w:abstractNumId="1" w15:restartNumberingAfterBreak="0">
    <w:nsid w:val="03410175"/>
    <w:multiLevelType w:val="hybridMultilevel"/>
    <w:tmpl w:val="3D288BEA"/>
    <w:lvl w:ilvl="0" w:tplc="3BFC9402">
      <w:start w:val="1"/>
      <w:numFmt w:val="decimal"/>
      <w:lvlText w:val="%1."/>
      <w:lvlJc w:val="left"/>
      <w:pPr>
        <w:ind w:left="2422" w:hanging="360"/>
        <w:jc w:val="left"/>
      </w:pPr>
      <w:rPr>
        <w:rFonts w:hint="default"/>
        <w:w w:val="100"/>
        <w:lang w:val="en-US" w:eastAsia="en-US" w:bidi="ar-SA"/>
      </w:rPr>
    </w:lvl>
    <w:lvl w:ilvl="1" w:tplc="941C8A46">
      <w:numFmt w:val="bullet"/>
      <w:lvlText w:val="•"/>
      <w:lvlJc w:val="left"/>
      <w:pPr>
        <w:ind w:left="3210" w:hanging="360"/>
      </w:pPr>
      <w:rPr>
        <w:rFonts w:hint="default"/>
        <w:lang w:val="en-US" w:eastAsia="en-US" w:bidi="ar-SA"/>
      </w:rPr>
    </w:lvl>
    <w:lvl w:ilvl="2" w:tplc="0B6EDF10">
      <w:numFmt w:val="bullet"/>
      <w:lvlText w:val="•"/>
      <w:lvlJc w:val="left"/>
      <w:pPr>
        <w:ind w:left="4001" w:hanging="360"/>
      </w:pPr>
      <w:rPr>
        <w:rFonts w:hint="default"/>
        <w:lang w:val="en-US" w:eastAsia="en-US" w:bidi="ar-SA"/>
      </w:rPr>
    </w:lvl>
    <w:lvl w:ilvl="3" w:tplc="0D1A027A">
      <w:numFmt w:val="bullet"/>
      <w:lvlText w:val="•"/>
      <w:lvlJc w:val="left"/>
      <w:pPr>
        <w:ind w:left="4791" w:hanging="360"/>
      </w:pPr>
      <w:rPr>
        <w:rFonts w:hint="default"/>
        <w:lang w:val="en-US" w:eastAsia="en-US" w:bidi="ar-SA"/>
      </w:rPr>
    </w:lvl>
    <w:lvl w:ilvl="4" w:tplc="567E80D4">
      <w:numFmt w:val="bullet"/>
      <w:lvlText w:val="•"/>
      <w:lvlJc w:val="left"/>
      <w:pPr>
        <w:ind w:left="5582" w:hanging="360"/>
      </w:pPr>
      <w:rPr>
        <w:rFonts w:hint="default"/>
        <w:lang w:val="en-US" w:eastAsia="en-US" w:bidi="ar-SA"/>
      </w:rPr>
    </w:lvl>
    <w:lvl w:ilvl="5" w:tplc="AE2C7628">
      <w:numFmt w:val="bullet"/>
      <w:lvlText w:val="•"/>
      <w:lvlJc w:val="left"/>
      <w:pPr>
        <w:ind w:left="6373" w:hanging="360"/>
      </w:pPr>
      <w:rPr>
        <w:rFonts w:hint="default"/>
        <w:lang w:val="en-US" w:eastAsia="en-US" w:bidi="ar-SA"/>
      </w:rPr>
    </w:lvl>
    <w:lvl w:ilvl="6" w:tplc="6760698A">
      <w:numFmt w:val="bullet"/>
      <w:lvlText w:val="•"/>
      <w:lvlJc w:val="left"/>
      <w:pPr>
        <w:ind w:left="7163" w:hanging="360"/>
      </w:pPr>
      <w:rPr>
        <w:rFonts w:hint="default"/>
        <w:lang w:val="en-US" w:eastAsia="en-US" w:bidi="ar-SA"/>
      </w:rPr>
    </w:lvl>
    <w:lvl w:ilvl="7" w:tplc="2C4A701E">
      <w:numFmt w:val="bullet"/>
      <w:lvlText w:val="•"/>
      <w:lvlJc w:val="left"/>
      <w:pPr>
        <w:ind w:left="7954" w:hanging="360"/>
      </w:pPr>
      <w:rPr>
        <w:rFonts w:hint="default"/>
        <w:lang w:val="en-US" w:eastAsia="en-US" w:bidi="ar-SA"/>
      </w:rPr>
    </w:lvl>
    <w:lvl w:ilvl="8" w:tplc="AD3A0192">
      <w:numFmt w:val="bullet"/>
      <w:lvlText w:val="•"/>
      <w:lvlJc w:val="left"/>
      <w:pPr>
        <w:ind w:left="8745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37D82524"/>
    <w:multiLevelType w:val="hybridMultilevel"/>
    <w:tmpl w:val="1F5C8788"/>
    <w:lvl w:ilvl="0" w:tplc="0652D63A">
      <w:start w:val="5"/>
      <w:numFmt w:val="lowerLetter"/>
      <w:lvlText w:val="%1"/>
      <w:lvlJc w:val="left"/>
      <w:pPr>
        <w:ind w:left="1702" w:hanging="375"/>
        <w:jc w:val="left"/>
      </w:pPr>
      <w:rPr>
        <w:rFonts w:hint="default"/>
        <w:lang w:val="en-US" w:eastAsia="en-US" w:bidi="ar-SA"/>
      </w:rPr>
    </w:lvl>
    <w:lvl w:ilvl="1" w:tplc="0FC0973C">
      <w:start w:val="1"/>
      <w:numFmt w:val="decimal"/>
      <w:lvlText w:val="%2."/>
      <w:lvlJc w:val="left"/>
      <w:pPr>
        <w:ind w:left="2422" w:hanging="360"/>
        <w:jc w:val="left"/>
      </w:pPr>
      <w:rPr>
        <w:rFonts w:ascii="Calibri" w:eastAsia="Calibri" w:hAnsi="Calibri" w:cs="Calibri" w:hint="default"/>
        <w:color w:val="FF0000"/>
        <w:w w:val="100"/>
        <w:sz w:val="22"/>
        <w:szCs w:val="22"/>
        <w:lang w:val="en-US" w:eastAsia="en-US" w:bidi="ar-SA"/>
      </w:rPr>
    </w:lvl>
    <w:lvl w:ilvl="2" w:tplc="8334FDC4">
      <w:numFmt w:val="bullet"/>
      <w:lvlText w:val="•"/>
      <w:lvlJc w:val="left"/>
      <w:pPr>
        <w:ind w:left="3298" w:hanging="360"/>
      </w:pPr>
      <w:rPr>
        <w:rFonts w:hint="default"/>
        <w:lang w:val="en-US" w:eastAsia="en-US" w:bidi="ar-SA"/>
      </w:rPr>
    </w:lvl>
    <w:lvl w:ilvl="3" w:tplc="CF52FF8C">
      <w:numFmt w:val="bullet"/>
      <w:lvlText w:val="•"/>
      <w:lvlJc w:val="left"/>
      <w:pPr>
        <w:ind w:left="4176" w:hanging="360"/>
      </w:pPr>
      <w:rPr>
        <w:rFonts w:hint="default"/>
        <w:lang w:val="en-US" w:eastAsia="en-US" w:bidi="ar-SA"/>
      </w:rPr>
    </w:lvl>
    <w:lvl w:ilvl="4" w:tplc="55C26158">
      <w:numFmt w:val="bullet"/>
      <w:lvlText w:val="•"/>
      <w:lvlJc w:val="left"/>
      <w:pPr>
        <w:ind w:left="5055" w:hanging="360"/>
      </w:pPr>
      <w:rPr>
        <w:rFonts w:hint="default"/>
        <w:lang w:val="en-US" w:eastAsia="en-US" w:bidi="ar-SA"/>
      </w:rPr>
    </w:lvl>
    <w:lvl w:ilvl="5" w:tplc="E04419C8">
      <w:numFmt w:val="bullet"/>
      <w:lvlText w:val="•"/>
      <w:lvlJc w:val="left"/>
      <w:pPr>
        <w:ind w:left="5933" w:hanging="360"/>
      </w:pPr>
      <w:rPr>
        <w:rFonts w:hint="default"/>
        <w:lang w:val="en-US" w:eastAsia="en-US" w:bidi="ar-SA"/>
      </w:rPr>
    </w:lvl>
    <w:lvl w:ilvl="6" w:tplc="759C86A8">
      <w:numFmt w:val="bullet"/>
      <w:lvlText w:val="•"/>
      <w:lvlJc w:val="left"/>
      <w:pPr>
        <w:ind w:left="6812" w:hanging="360"/>
      </w:pPr>
      <w:rPr>
        <w:rFonts w:hint="default"/>
        <w:lang w:val="en-US" w:eastAsia="en-US" w:bidi="ar-SA"/>
      </w:rPr>
    </w:lvl>
    <w:lvl w:ilvl="7" w:tplc="4DEA921C">
      <w:numFmt w:val="bullet"/>
      <w:lvlText w:val="•"/>
      <w:lvlJc w:val="left"/>
      <w:pPr>
        <w:ind w:left="7690" w:hanging="360"/>
      </w:pPr>
      <w:rPr>
        <w:rFonts w:hint="default"/>
        <w:lang w:val="en-US" w:eastAsia="en-US" w:bidi="ar-SA"/>
      </w:rPr>
    </w:lvl>
    <w:lvl w:ilvl="8" w:tplc="E73A49DA">
      <w:numFmt w:val="bullet"/>
      <w:lvlText w:val="•"/>
      <w:lvlJc w:val="left"/>
      <w:pPr>
        <w:ind w:left="8569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3E812AB9"/>
    <w:multiLevelType w:val="hybridMultilevel"/>
    <w:tmpl w:val="6944E34C"/>
    <w:lvl w:ilvl="0" w:tplc="61A68C98">
      <w:numFmt w:val="bullet"/>
      <w:lvlText w:val="•"/>
      <w:lvlJc w:val="left"/>
      <w:pPr>
        <w:ind w:left="1702" w:hanging="149"/>
      </w:pPr>
      <w:rPr>
        <w:rFonts w:ascii="Calibri" w:eastAsia="Calibri" w:hAnsi="Calibri" w:cs="Calibri" w:hint="default"/>
        <w:w w:val="99"/>
        <w:sz w:val="20"/>
        <w:szCs w:val="20"/>
        <w:lang w:val="en-US" w:eastAsia="en-US" w:bidi="ar-SA"/>
      </w:rPr>
    </w:lvl>
    <w:lvl w:ilvl="1" w:tplc="4D8EAD54">
      <w:numFmt w:val="bullet"/>
      <w:lvlText w:val="•"/>
      <w:lvlJc w:val="left"/>
      <w:pPr>
        <w:ind w:left="2559" w:hanging="149"/>
      </w:pPr>
      <w:rPr>
        <w:rFonts w:hint="default"/>
        <w:lang w:val="en-US" w:eastAsia="en-US" w:bidi="ar-SA"/>
      </w:rPr>
    </w:lvl>
    <w:lvl w:ilvl="2" w:tplc="2438F3C2">
      <w:numFmt w:val="bullet"/>
      <w:lvlText w:val="•"/>
      <w:lvlJc w:val="left"/>
      <w:pPr>
        <w:ind w:left="3419" w:hanging="149"/>
      </w:pPr>
      <w:rPr>
        <w:rFonts w:hint="default"/>
        <w:lang w:val="en-US" w:eastAsia="en-US" w:bidi="ar-SA"/>
      </w:rPr>
    </w:lvl>
    <w:lvl w:ilvl="3" w:tplc="100A9482">
      <w:numFmt w:val="bullet"/>
      <w:lvlText w:val="•"/>
      <w:lvlJc w:val="left"/>
      <w:pPr>
        <w:ind w:left="4279" w:hanging="149"/>
      </w:pPr>
      <w:rPr>
        <w:rFonts w:hint="default"/>
        <w:lang w:val="en-US" w:eastAsia="en-US" w:bidi="ar-SA"/>
      </w:rPr>
    </w:lvl>
    <w:lvl w:ilvl="4" w:tplc="B7B071EC">
      <w:numFmt w:val="bullet"/>
      <w:lvlText w:val="•"/>
      <w:lvlJc w:val="left"/>
      <w:pPr>
        <w:ind w:left="5139" w:hanging="149"/>
      </w:pPr>
      <w:rPr>
        <w:rFonts w:hint="default"/>
        <w:lang w:val="en-US" w:eastAsia="en-US" w:bidi="ar-SA"/>
      </w:rPr>
    </w:lvl>
    <w:lvl w:ilvl="5" w:tplc="C3AC4784">
      <w:numFmt w:val="bullet"/>
      <w:lvlText w:val="•"/>
      <w:lvlJc w:val="left"/>
      <w:pPr>
        <w:ind w:left="5999" w:hanging="149"/>
      </w:pPr>
      <w:rPr>
        <w:rFonts w:hint="default"/>
        <w:lang w:val="en-US" w:eastAsia="en-US" w:bidi="ar-SA"/>
      </w:rPr>
    </w:lvl>
    <w:lvl w:ilvl="6" w:tplc="22907554">
      <w:numFmt w:val="bullet"/>
      <w:lvlText w:val="•"/>
      <w:lvlJc w:val="left"/>
      <w:pPr>
        <w:ind w:left="6859" w:hanging="149"/>
      </w:pPr>
      <w:rPr>
        <w:rFonts w:hint="default"/>
        <w:lang w:val="en-US" w:eastAsia="en-US" w:bidi="ar-SA"/>
      </w:rPr>
    </w:lvl>
    <w:lvl w:ilvl="7" w:tplc="A8DA1D3C">
      <w:numFmt w:val="bullet"/>
      <w:lvlText w:val="•"/>
      <w:lvlJc w:val="left"/>
      <w:pPr>
        <w:ind w:left="7719" w:hanging="149"/>
      </w:pPr>
      <w:rPr>
        <w:rFonts w:hint="default"/>
        <w:lang w:val="en-US" w:eastAsia="en-US" w:bidi="ar-SA"/>
      </w:rPr>
    </w:lvl>
    <w:lvl w:ilvl="8" w:tplc="C81C58AC">
      <w:numFmt w:val="bullet"/>
      <w:lvlText w:val="•"/>
      <w:lvlJc w:val="left"/>
      <w:pPr>
        <w:ind w:left="8579" w:hanging="149"/>
      </w:pPr>
      <w:rPr>
        <w:rFonts w:hint="default"/>
        <w:lang w:val="en-US" w:eastAsia="en-US" w:bidi="ar-SA"/>
      </w:rPr>
    </w:lvl>
  </w:abstractNum>
  <w:abstractNum w:abstractNumId="4" w15:restartNumberingAfterBreak="0">
    <w:nsid w:val="40566D05"/>
    <w:multiLevelType w:val="hybridMultilevel"/>
    <w:tmpl w:val="59A23730"/>
    <w:lvl w:ilvl="0" w:tplc="9FEA597E">
      <w:start w:val="1"/>
      <w:numFmt w:val="decimal"/>
      <w:lvlText w:val="%1."/>
      <w:lvlJc w:val="left"/>
      <w:pPr>
        <w:ind w:left="2268" w:hanging="284"/>
        <w:jc w:val="left"/>
      </w:pPr>
      <w:rPr>
        <w:rFonts w:hint="default"/>
        <w:w w:val="100"/>
        <w:lang w:val="en-US" w:eastAsia="en-US" w:bidi="ar-SA"/>
      </w:rPr>
    </w:lvl>
    <w:lvl w:ilvl="1" w:tplc="CF48AAFC">
      <w:numFmt w:val="bullet"/>
      <w:lvlText w:val="•"/>
      <w:lvlJc w:val="left"/>
      <w:pPr>
        <w:ind w:left="3218" w:hanging="284"/>
      </w:pPr>
      <w:rPr>
        <w:rFonts w:hint="default"/>
        <w:lang w:val="en-US" w:eastAsia="en-US" w:bidi="ar-SA"/>
      </w:rPr>
    </w:lvl>
    <w:lvl w:ilvl="2" w:tplc="01440A46">
      <w:numFmt w:val="bullet"/>
      <w:lvlText w:val="•"/>
      <w:lvlJc w:val="left"/>
      <w:pPr>
        <w:ind w:left="4177" w:hanging="284"/>
      </w:pPr>
      <w:rPr>
        <w:rFonts w:hint="default"/>
        <w:lang w:val="en-US" w:eastAsia="en-US" w:bidi="ar-SA"/>
      </w:rPr>
    </w:lvl>
    <w:lvl w:ilvl="3" w:tplc="5A025DD2">
      <w:numFmt w:val="bullet"/>
      <w:lvlText w:val="•"/>
      <w:lvlJc w:val="left"/>
      <w:pPr>
        <w:ind w:left="5135" w:hanging="284"/>
      </w:pPr>
      <w:rPr>
        <w:rFonts w:hint="default"/>
        <w:lang w:val="en-US" w:eastAsia="en-US" w:bidi="ar-SA"/>
      </w:rPr>
    </w:lvl>
    <w:lvl w:ilvl="4" w:tplc="B9C426C0">
      <w:numFmt w:val="bullet"/>
      <w:lvlText w:val="•"/>
      <w:lvlJc w:val="left"/>
      <w:pPr>
        <w:ind w:left="6094" w:hanging="284"/>
      </w:pPr>
      <w:rPr>
        <w:rFonts w:hint="default"/>
        <w:lang w:val="en-US" w:eastAsia="en-US" w:bidi="ar-SA"/>
      </w:rPr>
    </w:lvl>
    <w:lvl w:ilvl="5" w:tplc="D6784AEA">
      <w:numFmt w:val="bullet"/>
      <w:lvlText w:val="•"/>
      <w:lvlJc w:val="left"/>
      <w:pPr>
        <w:ind w:left="7053" w:hanging="284"/>
      </w:pPr>
      <w:rPr>
        <w:rFonts w:hint="default"/>
        <w:lang w:val="en-US" w:eastAsia="en-US" w:bidi="ar-SA"/>
      </w:rPr>
    </w:lvl>
    <w:lvl w:ilvl="6" w:tplc="4BE4CEAC">
      <w:numFmt w:val="bullet"/>
      <w:lvlText w:val="•"/>
      <w:lvlJc w:val="left"/>
      <w:pPr>
        <w:ind w:left="8011" w:hanging="284"/>
      </w:pPr>
      <w:rPr>
        <w:rFonts w:hint="default"/>
        <w:lang w:val="en-US" w:eastAsia="en-US" w:bidi="ar-SA"/>
      </w:rPr>
    </w:lvl>
    <w:lvl w:ilvl="7" w:tplc="404C3128">
      <w:numFmt w:val="bullet"/>
      <w:lvlText w:val="•"/>
      <w:lvlJc w:val="left"/>
      <w:pPr>
        <w:ind w:left="8970" w:hanging="284"/>
      </w:pPr>
      <w:rPr>
        <w:rFonts w:hint="default"/>
        <w:lang w:val="en-US" w:eastAsia="en-US" w:bidi="ar-SA"/>
      </w:rPr>
    </w:lvl>
    <w:lvl w:ilvl="8" w:tplc="14509DAC">
      <w:numFmt w:val="bullet"/>
      <w:lvlText w:val="•"/>
      <w:lvlJc w:val="left"/>
      <w:pPr>
        <w:ind w:left="9929" w:hanging="284"/>
      </w:pPr>
      <w:rPr>
        <w:rFonts w:hint="default"/>
        <w:lang w:val="en-US" w:eastAsia="en-US" w:bidi="ar-SA"/>
      </w:rPr>
    </w:lvl>
  </w:abstractNum>
  <w:abstractNum w:abstractNumId="5" w15:restartNumberingAfterBreak="0">
    <w:nsid w:val="50F17A6B"/>
    <w:multiLevelType w:val="hybridMultilevel"/>
    <w:tmpl w:val="757C9AA4"/>
    <w:lvl w:ilvl="0" w:tplc="2FAAF6EC">
      <w:start w:val="1"/>
      <w:numFmt w:val="decimal"/>
      <w:lvlText w:val="%1."/>
      <w:lvlJc w:val="left"/>
      <w:pPr>
        <w:ind w:left="2268" w:hanging="284"/>
        <w:jc w:val="left"/>
      </w:pPr>
      <w:rPr>
        <w:rFonts w:hint="default"/>
        <w:w w:val="100"/>
        <w:lang w:val="en-US" w:eastAsia="en-US" w:bidi="ar-SA"/>
      </w:rPr>
    </w:lvl>
    <w:lvl w:ilvl="1" w:tplc="737E381E">
      <w:numFmt w:val="bullet"/>
      <w:lvlText w:val="•"/>
      <w:lvlJc w:val="left"/>
      <w:pPr>
        <w:ind w:left="3218" w:hanging="284"/>
      </w:pPr>
      <w:rPr>
        <w:rFonts w:hint="default"/>
        <w:lang w:val="en-US" w:eastAsia="en-US" w:bidi="ar-SA"/>
      </w:rPr>
    </w:lvl>
    <w:lvl w:ilvl="2" w:tplc="625A7E88">
      <w:numFmt w:val="bullet"/>
      <w:lvlText w:val="•"/>
      <w:lvlJc w:val="left"/>
      <w:pPr>
        <w:ind w:left="4177" w:hanging="284"/>
      </w:pPr>
      <w:rPr>
        <w:rFonts w:hint="default"/>
        <w:lang w:val="en-US" w:eastAsia="en-US" w:bidi="ar-SA"/>
      </w:rPr>
    </w:lvl>
    <w:lvl w:ilvl="3" w:tplc="8D16E99A">
      <w:numFmt w:val="bullet"/>
      <w:lvlText w:val="•"/>
      <w:lvlJc w:val="left"/>
      <w:pPr>
        <w:ind w:left="5135" w:hanging="284"/>
      </w:pPr>
      <w:rPr>
        <w:rFonts w:hint="default"/>
        <w:lang w:val="en-US" w:eastAsia="en-US" w:bidi="ar-SA"/>
      </w:rPr>
    </w:lvl>
    <w:lvl w:ilvl="4" w:tplc="6C1A7A08">
      <w:numFmt w:val="bullet"/>
      <w:lvlText w:val="•"/>
      <w:lvlJc w:val="left"/>
      <w:pPr>
        <w:ind w:left="6094" w:hanging="284"/>
      </w:pPr>
      <w:rPr>
        <w:rFonts w:hint="default"/>
        <w:lang w:val="en-US" w:eastAsia="en-US" w:bidi="ar-SA"/>
      </w:rPr>
    </w:lvl>
    <w:lvl w:ilvl="5" w:tplc="04521422">
      <w:numFmt w:val="bullet"/>
      <w:lvlText w:val="•"/>
      <w:lvlJc w:val="left"/>
      <w:pPr>
        <w:ind w:left="7053" w:hanging="284"/>
      </w:pPr>
      <w:rPr>
        <w:rFonts w:hint="default"/>
        <w:lang w:val="en-US" w:eastAsia="en-US" w:bidi="ar-SA"/>
      </w:rPr>
    </w:lvl>
    <w:lvl w:ilvl="6" w:tplc="CDB63634">
      <w:numFmt w:val="bullet"/>
      <w:lvlText w:val="•"/>
      <w:lvlJc w:val="left"/>
      <w:pPr>
        <w:ind w:left="8011" w:hanging="284"/>
      </w:pPr>
      <w:rPr>
        <w:rFonts w:hint="default"/>
        <w:lang w:val="en-US" w:eastAsia="en-US" w:bidi="ar-SA"/>
      </w:rPr>
    </w:lvl>
    <w:lvl w:ilvl="7" w:tplc="E73432F2">
      <w:numFmt w:val="bullet"/>
      <w:lvlText w:val="•"/>
      <w:lvlJc w:val="left"/>
      <w:pPr>
        <w:ind w:left="8970" w:hanging="284"/>
      </w:pPr>
      <w:rPr>
        <w:rFonts w:hint="default"/>
        <w:lang w:val="en-US" w:eastAsia="en-US" w:bidi="ar-SA"/>
      </w:rPr>
    </w:lvl>
    <w:lvl w:ilvl="8" w:tplc="C2163B26">
      <w:numFmt w:val="bullet"/>
      <w:lvlText w:val="•"/>
      <w:lvlJc w:val="left"/>
      <w:pPr>
        <w:ind w:left="9929" w:hanging="284"/>
      </w:pPr>
      <w:rPr>
        <w:rFonts w:hint="default"/>
        <w:lang w:val="en-US" w:eastAsia="en-US" w:bidi="ar-SA"/>
      </w:rPr>
    </w:lvl>
  </w:abstractNum>
  <w:abstractNum w:abstractNumId="6" w15:restartNumberingAfterBreak="0">
    <w:nsid w:val="78E0094B"/>
    <w:multiLevelType w:val="hybridMultilevel"/>
    <w:tmpl w:val="865872F6"/>
    <w:lvl w:ilvl="0" w:tplc="B54837A4">
      <w:start w:val="3"/>
      <w:numFmt w:val="decimal"/>
      <w:lvlText w:val="%1."/>
      <w:lvlJc w:val="left"/>
      <w:pPr>
        <w:ind w:left="3619" w:hanging="152"/>
        <w:jc w:val="left"/>
      </w:pPr>
      <w:rPr>
        <w:rFonts w:ascii="Arial MT" w:eastAsia="Arial MT" w:hAnsi="Arial MT" w:cs="Arial MT" w:hint="default"/>
        <w:color w:val="333566"/>
        <w:spacing w:val="-1"/>
        <w:w w:val="100"/>
        <w:sz w:val="16"/>
        <w:szCs w:val="16"/>
        <w:lang w:val="en-US" w:eastAsia="en-US" w:bidi="ar-SA"/>
      </w:rPr>
    </w:lvl>
    <w:lvl w:ilvl="1" w:tplc="F98C090A">
      <w:numFmt w:val="bullet"/>
      <w:lvlText w:val="•"/>
      <w:lvlJc w:val="left"/>
      <w:pPr>
        <w:ind w:left="4330" w:hanging="152"/>
      </w:pPr>
      <w:rPr>
        <w:rFonts w:hint="default"/>
        <w:lang w:val="en-US" w:eastAsia="en-US" w:bidi="ar-SA"/>
      </w:rPr>
    </w:lvl>
    <w:lvl w:ilvl="2" w:tplc="26C0D752">
      <w:numFmt w:val="bullet"/>
      <w:lvlText w:val="•"/>
      <w:lvlJc w:val="left"/>
      <w:pPr>
        <w:ind w:left="5040" w:hanging="152"/>
      </w:pPr>
      <w:rPr>
        <w:rFonts w:hint="default"/>
        <w:lang w:val="en-US" w:eastAsia="en-US" w:bidi="ar-SA"/>
      </w:rPr>
    </w:lvl>
    <w:lvl w:ilvl="3" w:tplc="11F8AF30">
      <w:numFmt w:val="bullet"/>
      <w:lvlText w:val="•"/>
      <w:lvlJc w:val="left"/>
      <w:pPr>
        <w:ind w:left="5750" w:hanging="152"/>
      </w:pPr>
      <w:rPr>
        <w:rFonts w:hint="default"/>
        <w:lang w:val="en-US" w:eastAsia="en-US" w:bidi="ar-SA"/>
      </w:rPr>
    </w:lvl>
    <w:lvl w:ilvl="4" w:tplc="6BE826A2">
      <w:numFmt w:val="bullet"/>
      <w:lvlText w:val="•"/>
      <w:lvlJc w:val="left"/>
      <w:pPr>
        <w:ind w:left="6460" w:hanging="152"/>
      </w:pPr>
      <w:rPr>
        <w:rFonts w:hint="default"/>
        <w:lang w:val="en-US" w:eastAsia="en-US" w:bidi="ar-SA"/>
      </w:rPr>
    </w:lvl>
    <w:lvl w:ilvl="5" w:tplc="646CFE3C">
      <w:numFmt w:val="bullet"/>
      <w:lvlText w:val="•"/>
      <w:lvlJc w:val="left"/>
      <w:pPr>
        <w:ind w:left="7170" w:hanging="152"/>
      </w:pPr>
      <w:rPr>
        <w:rFonts w:hint="default"/>
        <w:lang w:val="en-US" w:eastAsia="en-US" w:bidi="ar-SA"/>
      </w:rPr>
    </w:lvl>
    <w:lvl w:ilvl="6" w:tplc="E89A1DA6">
      <w:numFmt w:val="bullet"/>
      <w:lvlText w:val="•"/>
      <w:lvlJc w:val="left"/>
      <w:pPr>
        <w:ind w:left="7880" w:hanging="152"/>
      </w:pPr>
      <w:rPr>
        <w:rFonts w:hint="default"/>
        <w:lang w:val="en-US" w:eastAsia="en-US" w:bidi="ar-SA"/>
      </w:rPr>
    </w:lvl>
    <w:lvl w:ilvl="7" w:tplc="EBA47C22">
      <w:numFmt w:val="bullet"/>
      <w:lvlText w:val="•"/>
      <w:lvlJc w:val="left"/>
      <w:pPr>
        <w:ind w:left="8590" w:hanging="152"/>
      </w:pPr>
      <w:rPr>
        <w:rFonts w:hint="default"/>
        <w:lang w:val="en-US" w:eastAsia="en-US" w:bidi="ar-SA"/>
      </w:rPr>
    </w:lvl>
    <w:lvl w:ilvl="8" w:tplc="A51CA438">
      <w:numFmt w:val="bullet"/>
      <w:lvlText w:val="•"/>
      <w:lvlJc w:val="left"/>
      <w:pPr>
        <w:ind w:left="9300" w:hanging="152"/>
      </w:pPr>
      <w:rPr>
        <w:rFonts w:hint="default"/>
        <w:lang w:val="en-US" w:eastAsia="en-US" w:bidi="ar-SA"/>
      </w:rPr>
    </w:lvl>
  </w:abstractNum>
  <w:abstractNum w:abstractNumId="7" w15:restartNumberingAfterBreak="0">
    <w:nsid w:val="79242A9E"/>
    <w:multiLevelType w:val="hybridMultilevel"/>
    <w:tmpl w:val="2EB8CA00"/>
    <w:lvl w:ilvl="0" w:tplc="E592B052">
      <w:numFmt w:val="bullet"/>
      <w:lvlText w:val=""/>
      <w:lvlJc w:val="left"/>
      <w:pPr>
        <w:ind w:left="2695" w:hanging="286"/>
      </w:pPr>
      <w:rPr>
        <w:rFonts w:ascii="Symbol" w:eastAsia="Symbol" w:hAnsi="Symbol" w:cs="Symbol" w:hint="default"/>
        <w:color w:val="FF0000"/>
        <w:w w:val="100"/>
        <w:sz w:val="22"/>
        <w:szCs w:val="22"/>
        <w:lang w:val="en-US" w:eastAsia="en-US" w:bidi="ar-SA"/>
      </w:rPr>
    </w:lvl>
    <w:lvl w:ilvl="1" w:tplc="E6C4A31E">
      <w:numFmt w:val="bullet"/>
      <w:lvlText w:val="•"/>
      <w:lvlJc w:val="left"/>
      <w:pPr>
        <w:ind w:left="3462" w:hanging="286"/>
      </w:pPr>
      <w:rPr>
        <w:rFonts w:hint="default"/>
        <w:lang w:val="en-US" w:eastAsia="en-US" w:bidi="ar-SA"/>
      </w:rPr>
    </w:lvl>
    <w:lvl w:ilvl="2" w:tplc="382C389E">
      <w:numFmt w:val="bullet"/>
      <w:lvlText w:val="•"/>
      <w:lvlJc w:val="left"/>
      <w:pPr>
        <w:ind w:left="4225" w:hanging="286"/>
      </w:pPr>
      <w:rPr>
        <w:rFonts w:hint="default"/>
        <w:lang w:val="en-US" w:eastAsia="en-US" w:bidi="ar-SA"/>
      </w:rPr>
    </w:lvl>
    <w:lvl w:ilvl="3" w:tplc="4E081FAC">
      <w:numFmt w:val="bullet"/>
      <w:lvlText w:val="•"/>
      <w:lvlJc w:val="left"/>
      <w:pPr>
        <w:ind w:left="4987" w:hanging="286"/>
      </w:pPr>
      <w:rPr>
        <w:rFonts w:hint="default"/>
        <w:lang w:val="en-US" w:eastAsia="en-US" w:bidi="ar-SA"/>
      </w:rPr>
    </w:lvl>
    <w:lvl w:ilvl="4" w:tplc="6FB84EF6">
      <w:numFmt w:val="bullet"/>
      <w:lvlText w:val="•"/>
      <w:lvlJc w:val="left"/>
      <w:pPr>
        <w:ind w:left="5750" w:hanging="286"/>
      </w:pPr>
      <w:rPr>
        <w:rFonts w:hint="default"/>
        <w:lang w:val="en-US" w:eastAsia="en-US" w:bidi="ar-SA"/>
      </w:rPr>
    </w:lvl>
    <w:lvl w:ilvl="5" w:tplc="981C0EAE">
      <w:numFmt w:val="bullet"/>
      <w:lvlText w:val="•"/>
      <w:lvlJc w:val="left"/>
      <w:pPr>
        <w:ind w:left="6513" w:hanging="286"/>
      </w:pPr>
      <w:rPr>
        <w:rFonts w:hint="default"/>
        <w:lang w:val="en-US" w:eastAsia="en-US" w:bidi="ar-SA"/>
      </w:rPr>
    </w:lvl>
    <w:lvl w:ilvl="6" w:tplc="94062FC6">
      <w:numFmt w:val="bullet"/>
      <w:lvlText w:val="•"/>
      <w:lvlJc w:val="left"/>
      <w:pPr>
        <w:ind w:left="7275" w:hanging="286"/>
      </w:pPr>
      <w:rPr>
        <w:rFonts w:hint="default"/>
        <w:lang w:val="en-US" w:eastAsia="en-US" w:bidi="ar-SA"/>
      </w:rPr>
    </w:lvl>
    <w:lvl w:ilvl="7" w:tplc="445E4930">
      <w:numFmt w:val="bullet"/>
      <w:lvlText w:val="•"/>
      <w:lvlJc w:val="left"/>
      <w:pPr>
        <w:ind w:left="8038" w:hanging="286"/>
      </w:pPr>
      <w:rPr>
        <w:rFonts w:hint="default"/>
        <w:lang w:val="en-US" w:eastAsia="en-US" w:bidi="ar-SA"/>
      </w:rPr>
    </w:lvl>
    <w:lvl w:ilvl="8" w:tplc="254889BC">
      <w:numFmt w:val="bullet"/>
      <w:lvlText w:val="•"/>
      <w:lvlJc w:val="left"/>
      <w:pPr>
        <w:ind w:left="8801" w:hanging="286"/>
      </w:pPr>
      <w:rPr>
        <w:rFonts w:hint="default"/>
        <w:lang w:val="en-US" w:eastAsia="en-US" w:bidi="ar-SA"/>
      </w:rPr>
    </w:lvl>
  </w:abstractNum>
  <w:num w:numId="1" w16cid:durableId="499346071">
    <w:abstractNumId w:val="5"/>
  </w:num>
  <w:num w:numId="2" w16cid:durableId="402222631">
    <w:abstractNumId w:val="4"/>
  </w:num>
  <w:num w:numId="3" w16cid:durableId="2080789171">
    <w:abstractNumId w:val="3"/>
  </w:num>
  <w:num w:numId="4" w16cid:durableId="1191605651">
    <w:abstractNumId w:val="1"/>
  </w:num>
  <w:num w:numId="5" w16cid:durableId="2026517140">
    <w:abstractNumId w:val="7"/>
  </w:num>
  <w:num w:numId="6" w16cid:durableId="1309826770">
    <w:abstractNumId w:val="2"/>
  </w:num>
  <w:num w:numId="7" w16cid:durableId="1856918608">
    <w:abstractNumId w:val="0"/>
  </w:num>
  <w:num w:numId="8" w16cid:durableId="84478915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774B2"/>
    <w:rsid w:val="0021171C"/>
    <w:rsid w:val="003D4159"/>
    <w:rsid w:val="00C77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1F1908"/>
  <w15:docId w15:val="{2F8FEEBC-1FC4-4167-9896-6E0CBCA34A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</w:rPr>
  </w:style>
  <w:style w:type="paragraph" w:styleId="Ttulo1">
    <w:name w:val="heading 1"/>
    <w:basedOn w:val="Normal"/>
    <w:uiPriority w:val="9"/>
    <w:qFormat/>
    <w:pPr>
      <w:ind w:left="197"/>
      <w:jc w:val="center"/>
      <w:outlineLvl w:val="0"/>
    </w:pPr>
    <w:rPr>
      <w:b/>
      <w:bCs/>
      <w:sz w:val="32"/>
      <w:szCs w:val="32"/>
    </w:rPr>
  </w:style>
  <w:style w:type="paragraph" w:styleId="Ttulo2">
    <w:name w:val="heading 2"/>
    <w:basedOn w:val="Normal"/>
    <w:uiPriority w:val="9"/>
    <w:unhideWhenUsed/>
    <w:qFormat/>
    <w:pPr>
      <w:spacing w:before="83"/>
      <w:ind w:left="201"/>
      <w:outlineLvl w:val="1"/>
    </w:pPr>
    <w:rPr>
      <w:rFonts w:ascii="Arial" w:eastAsia="Arial" w:hAnsi="Arial" w:cs="Arial"/>
      <w:b/>
      <w:bCs/>
      <w:sz w:val="28"/>
      <w:szCs w:val="28"/>
    </w:rPr>
  </w:style>
  <w:style w:type="paragraph" w:styleId="Ttulo3">
    <w:name w:val="heading 3"/>
    <w:basedOn w:val="Normal"/>
    <w:uiPriority w:val="9"/>
    <w:unhideWhenUsed/>
    <w:qFormat/>
    <w:pPr>
      <w:ind w:left="2410"/>
      <w:outlineLvl w:val="2"/>
    </w:pPr>
    <w:rPr>
      <w:b/>
      <w:bCs/>
      <w:sz w:val="24"/>
      <w:szCs w:val="24"/>
      <w:u w:val="single" w:color="000000"/>
    </w:rPr>
  </w:style>
  <w:style w:type="paragraph" w:styleId="Ttulo4">
    <w:name w:val="heading 4"/>
    <w:basedOn w:val="Normal"/>
    <w:uiPriority w:val="9"/>
    <w:unhideWhenUsed/>
    <w:qFormat/>
    <w:pPr>
      <w:ind w:left="1700"/>
      <w:jc w:val="center"/>
      <w:outlineLvl w:val="3"/>
    </w:pPr>
    <w:rPr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  <w:pPr>
      <w:ind w:left="2695" w:right="116" w:hanging="286"/>
      <w:jc w:val="both"/>
    </w:pPr>
  </w:style>
  <w:style w:type="paragraph" w:customStyle="1" w:styleId="TableParagraph">
    <w:name w:val="Table Paragraph"/>
    <w:basedOn w:val="Normal"/>
    <w:uiPriority w:val="1"/>
    <w:qFormat/>
    <w:pPr>
      <w:spacing w:line="268" w:lineRule="exact"/>
      <w:jc w:val="center"/>
    </w:pPr>
    <w:rPr>
      <w:rFonts w:ascii="Arial MT" w:eastAsia="Arial MT" w:hAnsi="Arial MT" w:cs="Arial M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177/2156587216663565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dx.doi.org/10.6018/analesps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doi.org/10.21500/19002386.1203" TargetMode="External"/><Relationship Id="rId11" Type="http://schemas.openxmlformats.org/officeDocument/2006/relationships/fontTable" Target="fontTable.xml"/><Relationship Id="rId5" Type="http://schemas.openxmlformats.org/officeDocument/2006/relationships/hyperlink" Target="https://www-sciencedirect-com.bucm.idm.oclc.org/science/article/pii/S0260691718307597" TargetMode="External"/><Relationship Id="rId10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hyperlink" Target="http://www.psyciencia.com/wp-content/uploads/2012/12/Manual-de-inoculacion-de-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5869</Words>
  <Characters>32285</Characters>
  <Application>Microsoft Office Word</Application>
  <DocSecurity>0</DocSecurity>
  <Lines>269</Lines>
  <Paragraphs>76</Paragraphs>
  <ScaleCrop>false</ScaleCrop>
  <Company/>
  <LinksUpToDate>false</LinksUpToDate>
  <CharactersWithSpaces>38078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52</dc:creator>
  <cp:lastModifiedBy>luis mayor</cp:lastModifiedBy>
  <cp:revision>2</cp:revision>
  <dcterms:created xsi:type="dcterms:W3CDTF">2024-01-23T17:26:00Z</dcterms:created>
  <dcterms:modified xsi:type="dcterms:W3CDTF">2024-01-23T17:26:00Z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2021-01-06T00:00:00Z</vt:filetime>
  </property>
  <property fmtid="{D5CDD505-2E9C-101B-9397-08002B2CF9AE}" pid="3" name="LastSaved">
    <vt:filetime>2024-01-23T00:00:00Z</vt:filetime>
  </property>
</Properties>
</file>