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1F2C2" w14:textId="08A547A7" w:rsidR="004C0859" w:rsidRDefault="00B235AD" w:rsidP="00D34ADE">
      <w:pPr>
        <w:jc w:val="center"/>
      </w:pPr>
      <w:r w:rsidRPr="00B235AD">
        <w:rPr>
          <w:noProof/>
        </w:rPr>
        <w:drawing>
          <wp:inline distT="0" distB="0" distL="0" distR="0" wp14:anchorId="0277ACAB" wp14:editId="69840449">
            <wp:extent cx="4632960" cy="35585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2960" cy="355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A44A4" w14:textId="47894334" w:rsidR="00D34ADE" w:rsidRPr="00AD4F28" w:rsidRDefault="00D34ADE" w:rsidP="00D34ADE">
      <w:pPr>
        <w:pStyle w:val="Caption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D4F28">
        <w:rPr>
          <w:rFonts w:asciiTheme="minorHAnsi" w:hAnsiTheme="minorHAnsi" w:cstheme="minorHAnsi"/>
          <w:sz w:val="24"/>
          <w:szCs w:val="24"/>
        </w:rPr>
        <w:t>Figure 7: Cycles to failure of tested ZX00 specimens.</w:t>
      </w:r>
    </w:p>
    <w:p w14:paraId="7D07D75D" w14:textId="77777777" w:rsidR="00D34ADE" w:rsidRDefault="00D34ADE" w:rsidP="00D34ADE">
      <w:pPr>
        <w:jc w:val="center"/>
      </w:pPr>
    </w:p>
    <w:sectPr w:rsidR="00D34A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ADE"/>
    <w:rsid w:val="004C0859"/>
    <w:rsid w:val="00AD4F28"/>
    <w:rsid w:val="00B235AD"/>
    <w:rsid w:val="00D3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52F1083"/>
  <w15:chartTrackingRefBased/>
  <w15:docId w15:val="{99613777-8E77-4224-A9D0-C9DC2E2D6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D34ADE"/>
    <w:pPr>
      <w:spacing w:after="200" w:line="240" w:lineRule="auto"/>
      <w:jc w:val="center"/>
    </w:pPr>
    <w:rPr>
      <w:rFonts w:ascii="Calibri" w:eastAsia="Calibri" w:hAnsi="Calibri" w:cs="Calibri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morteza daavari</dc:creator>
  <cp:keywords/>
  <dc:description/>
  <cp:lastModifiedBy>NADIMICO.COM</cp:lastModifiedBy>
  <cp:revision>3</cp:revision>
  <dcterms:created xsi:type="dcterms:W3CDTF">2024-10-24T06:02:00Z</dcterms:created>
  <dcterms:modified xsi:type="dcterms:W3CDTF">2025-03-08T16:59:00Z</dcterms:modified>
</cp:coreProperties>
</file>