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5A377C" w14:textId="1BA918E8" w:rsidR="001A20FF" w:rsidRPr="00BA4A4B" w:rsidRDefault="00BA4A4B" w:rsidP="00BA4A4B">
      <w:pPr>
        <w:autoSpaceDE w:val="0"/>
        <w:autoSpaceDN w:val="0"/>
        <w:adjustRightInd w:val="0"/>
        <w:spacing w:line="480" w:lineRule="auto"/>
        <w:jc w:val="both"/>
        <w:rPr>
          <w:rFonts w:ascii="Arial" w:hAnsi="Arial" w:cs="Arial"/>
          <w:color w:val="B30080"/>
          <w:sz w:val="28"/>
          <w:szCs w:val="28"/>
        </w:rPr>
      </w:pPr>
      <w:r w:rsidRPr="000C2D3E">
        <w:rPr>
          <w:rFonts w:ascii="Arial" w:hAnsi="Arial" w:cs="Arial"/>
          <w:b/>
          <w:bCs/>
          <w:color w:val="000000" w:themeColor="text1"/>
          <w:sz w:val="28"/>
          <w:szCs w:val="28"/>
        </w:rPr>
        <w:t>Intervenciones para la prevención de la hemorragia digestiva alta en pacientes ingresados en unidades de cuidados intensivos</w:t>
      </w:r>
    </w:p>
    <w:p w14:paraId="073CACD2" w14:textId="77777777" w:rsidR="000C2D3E" w:rsidRPr="00706917" w:rsidRDefault="000C2D3E" w:rsidP="000C2D3E">
      <w:pPr>
        <w:autoSpaceDE w:val="0"/>
        <w:autoSpaceDN w:val="0"/>
        <w:adjustRightInd w:val="0"/>
        <w:spacing w:line="480" w:lineRule="auto"/>
        <w:jc w:val="both"/>
        <w:rPr>
          <w:rFonts w:ascii="Arial" w:hAnsi="Arial" w:cs="Arial"/>
          <w:b/>
          <w:bCs/>
          <w:color w:val="000000"/>
        </w:rPr>
      </w:pPr>
    </w:p>
    <w:p w14:paraId="6BA243BC" w14:textId="3DBE9E40" w:rsidR="000C2D3E" w:rsidRDefault="000C2D3E" w:rsidP="000C2D3E">
      <w:pPr>
        <w:autoSpaceDE w:val="0"/>
        <w:autoSpaceDN w:val="0"/>
        <w:adjustRightInd w:val="0"/>
        <w:spacing w:line="480" w:lineRule="auto"/>
        <w:jc w:val="both"/>
        <w:rPr>
          <w:rFonts w:ascii="Arial" w:hAnsi="Arial" w:cs="Arial"/>
          <w:b/>
          <w:bCs/>
          <w:color w:val="000000"/>
          <w:lang w:val="en-US"/>
        </w:rPr>
      </w:pPr>
      <w:r w:rsidRPr="000C2D3E">
        <w:rPr>
          <w:rFonts w:ascii="Arial" w:hAnsi="Arial" w:cs="Arial"/>
          <w:b/>
          <w:bCs/>
          <w:color w:val="000000"/>
          <w:lang w:val="en-US"/>
        </w:rPr>
        <w:t>Interventions for preventing upper gastrointestinal bleeding in people admitted to intensive care units</w:t>
      </w:r>
    </w:p>
    <w:p w14:paraId="54C9CC4C" w14:textId="77777777" w:rsidR="000C2D3E" w:rsidRPr="000C2D3E" w:rsidRDefault="000C2D3E" w:rsidP="000C2D3E">
      <w:pPr>
        <w:autoSpaceDE w:val="0"/>
        <w:autoSpaceDN w:val="0"/>
        <w:adjustRightInd w:val="0"/>
        <w:spacing w:line="480" w:lineRule="auto"/>
        <w:jc w:val="both"/>
        <w:rPr>
          <w:rFonts w:ascii="Arial" w:hAnsi="Arial" w:cs="Arial"/>
          <w:b/>
          <w:bCs/>
          <w:color w:val="000000"/>
          <w:lang w:val="en-US"/>
        </w:rPr>
      </w:pPr>
    </w:p>
    <w:p w14:paraId="14BCEAA0" w14:textId="6A3AAC53" w:rsidR="000C2D3E" w:rsidRPr="000C2D3E" w:rsidRDefault="000C2D3E" w:rsidP="000C2D3E">
      <w:pPr>
        <w:autoSpaceDE w:val="0"/>
        <w:autoSpaceDN w:val="0"/>
        <w:adjustRightInd w:val="0"/>
        <w:spacing w:line="480" w:lineRule="auto"/>
        <w:jc w:val="both"/>
        <w:rPr>
          <w:rFonts w:ascii="Arial" w:hAnsi="Arial" w:cs="Arial"/>
          <w:b/>
          <w:bCs/>
          <w:color w:val="000000"/>
          <w:sz w:val="22"/>
          <w:szCs w:val="22"/>
        </w:rPr>
      </w:pPr>
      <w:r w:rsidRPr="000C2D3E">
        <w:rPr>
          <w:rFonts w:ascii="Arial" w:hAnsi="Arial" w:cs="Arial"/>
          <w:b/>
          <w:bCs/>
          <w:color w:val="000000"/>
          <w:sz w:val="22"/>
          <w:szCs w:val="22"/>
        </w:rPr>
        <w:t xml:space="preserve">O. Arrogante </w:t>
      </w:r>
      <w:r w:rsidR="004E6AD3">
        <w:rPr>
          <w:rFonts w:ascii="Arial" w:hAnsi="Arial" w:cs="Arial"/>
          <w:b/>
          <w:bCs/>
          <w:color w:val="000000"/>
          <w:sz w:val="22"/>
          <w:szCs w:val="22"/>
        </w:rPr>
        <w:t>(</w:t>
      </w:r>
      <w:r w:rsidRPr="000C2D3E">
        <w:rPr>
          <w:rFonts w:ascii="Arial" w:hAnsi="Arial" w:cs="Arial"/>
          <w:b/>
          <w:bCs/>
          <w:color w:val="000000"/>
          <w:sz w:val="22"/>
          <w:szCs w:val="22"/>
        </w:rPr>
        <w:t xml:space="preserve">RN, </w:t>
      </w:r>
      <w:proofErr w:type="spellStart"/>
      <w:r w:rsidRPr="000C2D3E">
        <w:rPr>
          <w:rFonts w:ascii="Arial" w:hAnsi="Arial" w:cs="Arial"/>
          <w:b/>
          <w:bCs/>
          <w:color w:val="000000"/>
          <w:sz w:val="22"/>
          <w:szCs w:val="22"/>
        </w:rPr>
        <w:t>MSc</w:t>
      </w:r>
      <w:proofErr w:type="spellEnd"/>
      <w:r w:rsidRPr="000C2D3E">
        <w:rPr>
          <w:rFonts w:ascii="Arial" w:hAnsi="Arial" w:cs="Arial"/>
          <w:b/>
          <w:bCs/>
          <w:color w:val="000000"/>
          <w:sz w:val="22"/>
          <w:szCs w:val="22"/>
        </w:rPr>
        <w:t xml:space="preserve">, </w:t>
      </w:r>
      <w:proofErr w:type="gramStart"/>
      <w:r w:rsidRPr="000C2D3E">
        <w:rPr>
          <w:rFonts w:ascii="Arial" w:hAnsi="Arial" w:cs="Arial"/>
          <w:b/>
          <w:bCs/>
          <w:color w:val="000000"/>
          <w:sz w:val="22"/>
          <w:szCs w:val="22"/>
        </w:rPr>
        <w:t>PhD)</w:t>
      </w:r>
      <w:r w:rsidRPr="000C2D3E">
        <w:rPr>
          <w:rFonts w:ascii="Arial" w:hAnsi="Arial" w:cs="Arial"/>
          <w:b/>
          <w:bCs/>
          <w:color w:val="000000"/>
          <w:sz w:val="22"/>
          <w:szCs w:val="22"/>
          <w:vertAlign w:val="superscript"/>
        </w:rPr>
        <w:t>a</w:t>
      </w:r>
      <w:proofErr w:type="gramEnd"/>
      <w:r w:rsidR="004E6AD3">
        <w:rPr>
          <w:rFonts w:ascii="Arial" w:hAnsi="Arial" w:cs="Arial"/>
          <w:b/>
          <w:bCs/>
          <w:color w:val="000000"/>
          <w:sz w:val="22"/>
          <w:szCs w:val="22"/>
        </w:rPr>
        <w:t>,</w:t>
      </w:r>
      <w:r w:rsidRPr="000C2D3E">
        <w:rPr>
          <w:rFonts w:ascii="Arial" w:hAnsi="Arial" w:cs="Arial"/>
          <w:b/>
          <w:bCs/>
          <w:color w:val="000000"/>
          <w:sz w:val="22"/>
          <w:szCs w:val="22"/>
        </w:rPr>
        <w:t xml:space="preserve"> I. Zaragoza-García (RN, </w:t>
      </w:r>
      <w:proofErr w:type="spellStart"/>
      <w:r w:rsidRPr="000C2D3E">
        <w:rPr>
          <w:rFonts w:ascii="Arial" w:hAnsi="Arial" w:cs="Arial"/>
          <w:b/>
          <w:bCs/>
          <w:color w:val="000000"/>
          <w:sz w:val="22"/>
          <w:szCs w:val="22"/>
        </w:rPr>
        <w:t>MSc</w:t>
      </w:r>
      <w:proofErr w:type="spellEnd"/>
      <w:r w:rsidRPr="000C2D3E">
        <w:rPr>
          <w:rFonts w:ascii="Arial" w:hAnsi="Arial" w:cs="Arial"/>
          <w:b/>
          <w:bCs/>
          <w:color w:val="000000"/>
          <w:sz w:val="22"/>
          <w:szCs w:val="22"/>
        </w:rPr>
        <w:t>, PhD)</w:t>
      </w:r>
      <w:r w:rsidRPr="000C2D3E">
        <w:rPr>
          <w:rFonts w:ascii="Arial" w:hAnsi="Arial" w:cs="Arial"/>
          <w:b/>
          <w:bCs/>
          <w:color w:val="000000"/>
          <w:sz w:val="22"/>
          <w:szCs w:val="22"/>
          <w:vertAlign w:val="superscript"/>
        </w:rPr>
        <w:t>b</w:t>
      </w:r>
    </w:p>
    <w:p w14:paraId="186F6408" w14:textId="654956C5" w:rsidR="000C2D3E" w:rsidRPr="004C41C8" w:rsidRDefault="000C2D3E" w:rsidP="000C2D3E">
      <w:pPr>
        <w:autoSpaceDE w:val="0"/>
        <w:autoSpaceDN w:val="0"/>
        <w:adjustRightInd w:val="0"/>
        <w:spacing w:line="480" w:lineRule="auto"/>
        <w:jc w:val="both"/>
        <w:rPr>
          <w:rFonts w:ascii="Arial" w:hAnsi="Arial" w:cs="Arial"/>
          <w:i/>
          <w:iCs/>
          <w:color w:val="000000"/>
          <w:sz w:val="20"/>
          <w:szCs w:val="20"/>
        </w:rPr>
      </w:pPr>
      <w:r w:rsidRPr="004C41C8">
        <w:rPr>
          <w:rFonts w:ascii="Arial" w:hAnsi="Arial" w:cs="Arial"/>
          <w:color w:val="000000"/>
          <w:sz w:val="20"/>
          <w:szCs w:val="20"/>
          <w:vertAlign w:val="superscript"/>
        </w:rPr>
        <w:t>a</w:t>
      </w:r>
      <w:r w:rsidRPr="004C41C8">
        <w:rPr>
          <w:rFonts w:ascii="Arial" w:hAnsi="Arial" w:cs="Arial"/>
          <w:color w:val="000000"/>
          <w:sz w:val="20"/>
          <w:szCs w:val="20"/>
        </w:rPr>
        <w:t xml:space="preserve"> </w:t>
      </w:r>
      <w:r w:rsidRPr="004C41C8">
        <w:rPr>
          <w:rFonts w:ascii="Arial" w:hAnsi="Arial" w:cs="Arial"/>
          <w:i/>
          <w:iCs/>
          <w:color w:val="000000"/>
          <w:sz w:val="20"/>
          <w:szCs w:val="20"/>
        </w:rPr>
        <w:t xml:space="preserve">Fundación San Juan de Dios, Centro de Ciencias de la Salud San Rafael, Universidad de Nebrija, Madrid, España </w:t>
      </w:r>
    </w:p>
    <w:p w14:paraId="16323259" w14:textId="198DA65E" w:rsidR="000C2D3E" w:rsidRPr="004C41C8" w:rsidRDefault="000C2D3E" w:rsidP="000C2D3E">
      <w:pPr>
        <w:autoSpaceDE w:val="0"/>
        <w:autoSpaceDN w:val="0"/>
        <w:adjustRightInd w:val="0"/>
        <w:spacing w:line="480" w:lineRule="auto"/>
        <w:jc w:val="both"/>
        <w:rPr>
          <w:rFonts w:ascii="Arial" w:hAnsi="Arial" w:cs="Arial"/>
          <w:i/>
          <w:iCs/>
          <w:color w:val="000000"/>
          <w:sz w:val="20"/>
          <w:szCs w:val="20"/>
        </w:rPr>
      </w:pPr>
      <w:r w:rsidRPr="004C41C8">
        <w:rPr>
          <w:rFonts w:ascii="Arial" w:hAnsi="Arial" w:cs="Arial"/>
          <w:color w:val="000000"/>
          <w:sz w:val="20"/>
          <w:szCs w:val="20"/>
          <w:vertAlign w:val="superscript"/>
        </w:rPr>
        <w:t>b</w:t>
      </w:r>
      <w:r w:rsidRPr="004C41C8">
        <w:rPr>
          <w:rFonts w:ascii="Arial" w:hAnsi="Arial" w:cs="Arial"/>
          <w:color w:val="000000"/>
          <w:sz w:val="20"/>
          <w:szCs w:val="20"/>
        </w:rPr>
        <w:t xml:space="preserve"> </w:t>
      </w:r>
      <w:r w:rsidRPr="004C41C8">
        <w:rPr>
          <w:rFonts w:ascii="Arial" w:hAnsi="Arial" w:cs="Arial"/>
          <w:i/>
          <w:iCs/>
          <w:color w:val="000000"/>
          <w:sz w:val="20"/>
          <w:szCs w:val="20"/>
        </w:rPr>
        <w:t xml:space="preserve">Departamento de Enfermería, Facultad de Enfermería, Fisioterapia y Podología, Universidad Complutense de Madrid; Instituto de Investigación Sanitaria del Hospital 12 de </w:t>
      </w:r>
      <w:proofErr w:type="gramStart"/>
      <w:r w:rsidRPr="004C41C8">
        <w:rPr>
          <w:rFonts w:ascii="Arial" w:hAnsi="Arial" w:cs="Arial"/>
          <w:i/>
          <w:iCs/>
          <w:color w:val="000000"/>
          <w:sz w:val="20"/>
          <w:szCs w:val="20"/>
        </w:rPr>
        <w:t>Octubre</w:t>
      </w:r>
      <w:proofErr w:type="gramEnd"/>
      <w:r w:rsidRPr="004C41C8">
        <w:rPr>
          <w:rFonts w:ascii="Arial" w:hAnsi="Arial" w:cs="Arial"/>
          <w:i/>
          <w:iCs/>
          <w:color w:val="000000"/>
          <w:sz w:val="20"/>
          <w:szCs w:val="20"/>
        </w:rPr>
        <w:t xml:space="preserve"> «imas12», Madrid, España</w:t>
      </w:r>
    </w:p>
    <w:p w14:paraId="6A342F00" w14:textId="317E6A9B" w:rsidR="000C2D3E" w:rsidRDefault="000C2D3E" w:rsidP="000C2D3E">
      <w:pPr>
        <w:autoSpaceDE w:val="0"/>
        <w:autoSpaceDN w:val="0"/>
        <w:adjustRightInd w:val="0"/>
        <w:spacing w:line="480" w:lineRule="auto"/>
        <w:jc w:val="both"/>
        <w:rPr>
          <w:rFonts w:ascii="Arial" w:hAnsi="Arial" w:cs="Arial"/>
          <w:i/>
          <w:iCs/>
          <w:color w:val="000000"/>
          <w:sz w:val="21"/>
          <w:szCs w:val="21"/>
        </w:rPr>
      </w:pPr>
    </w:p>
    <w:p w14:paraId="59CC8164" w14:textId="77777777" w:rsidR="004C41C8" w:rsidRPr="000C2D3E" w:rsidRDefault="004C41C8" w:rsidP="000C2D3E">
      <w:pPr>
        <w:autoSpaceDE w:val="0"/>
        <w:autoSpaceDN w:val="0"/>
        <w:adjustRightInd w:val="0"/>
        <w:spacing w:line="480" w:lineRule="auto"/>
        <w:jc w:val="both"/>
        <w:rPr>
          <w:rFonts w:ascii="Arial" w:hAnsi="Arial" w:cs="Arial"/>
          <w:i/>
          <w:iCs/>
          <w:color w:val="000000"/>
          <w:sz w:val="21"/>
          <w:szCs w:val="21"/>
        </w:rPr>
      </w:pPr>
    </w:p>
    <w:p w14:paraId="040F4FE4" w14:textId="6B21B72A" w:rsidR="001A20FF" w:rsidRPr="000C2D3E" w:rsidRDefault="00BA4A4B" w:rsidP="00F25633">
      <w:pPr>
        <w:autoSpaceDE w:val="0"/>
        <w:autoSpaceDN w:val="0"/>
        <w:adjustRightInd w:val="0"/>
        <w:spacing w:line="480" w:lineRule="auto"/>
        <w:jc w:val="both"/>
        <w:rPr>
          <w:rFonts w:ascii="Arial" w:hAnsi="Arial" w:cs="Arial"/>
          <w:b/>
          <w:bCs/>
          <w:color w:val="000000" w:themeColor="text1"/>
          <w:sz w:val="22"/>
          <w:szCs w:val="22"/>
        </w:rPr>
      </w:pPr>
      <w:r w:rsidRPr="000C2D3E">
        <w:rPr>
          <w:rFonts w:ascii="Arial" w:hAnsi="Arial" w:cs="Arial"/>
          <w:b/>
          <w:bCs/>
          <w:color w:val="000000" w:themeColor="text1"/>
          <w:sz w:val="22"/>
          <w:szCs w:val="22"/>
        </w:rPr>
        <w:t>Objetivo</w:t>
      </w:r>
    </w:p>
    <w:p w14:paraId="66DBEEAC" w14:textId="5BAE732E" w:rsidR="001A20FF" w:rsidRPr="000C2D3E" w:rsidRDefault="00BA4A4B" w:rsidP="00F25633">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 xml:space="preserve">Evaluar la efectividad y los </w:t>
      </w:r>
      <w:r w:rsidR="00A64448" w:rsidRPr="000C2D3E">
        <w:rPr>
          <w:rFonts w:ascii="Arial" w:hAnsi="Arial" w:cs="Arial"/>
          <w:color w:val="000000"/>
          <w:sz w:val="22"/>
          <w:szCs w:val="22"/>
        </w:rPr>
        <w:t>efectos adversos</w:t>
      </w:r>
      <w:r w:rsidR="005979DB" w:rsidRPr="000C2D3E">
        <w:rPr>
          <w:rFonts w:ascii="Arial" w:hAnsi="Arial" w:cs="Arial"/>
          <w:color w:val="000000"/>
          <w:sz w:val="22"/>
          <w:szCs w:val="22"/>
        </w:rPr>
        <w:t xml:space="preserve"> de las intervenciones para prevenir la hemorragia digestiva alta (HAD) en pacientes ingresados en la</w:t>
      </w:r>
      <w:r w:rsidR="00A051D6">
        <w:rPr>
          <w:rFonts w:ascii="Arial" w:hAnsi="Arial" w:cs="Arial"/>
          <w:color w:val="000000"/>
          <w:sz w:val="22"/>
          <w:szCs w:val="22"/>
        </w:rPr>
        <w:t>s</w:t>
      </w:r>
      <w:r w:rsidR="005979DB" w:rsidRPr="000C2D3E">
        <w:rPr>
          <w:rFonts w:ascii="Arial" w:hAnsi="Arial" w:cs="Arial"/>
          <w:color w:val="000000"/>
          <w:sz w:val="22"/>
          <w:szCs w:val="22"/>
        </w:rPr>
        <w:t xml:space="preserve"> unidad</w:t>
      </w:r>
      <w:r w:rsidR="00A051D6">
        <w:rPr>
          <w:rFonts w:ascii="Arial" w:hAnsi="Arial" w:cs="Arial"/>
          <w:color w:val="000000"/>
          <w:sz w:val="22"/>
          <w:szCs w:val="22"/>
        </w:rPr>
        <w:t>es</w:t>
      </w:r>
      <w:r w:rsidR="005979DB" w:rsidRPr="000C2D3E">
        <w:rPr>
          <w:rFonts w:ascii="Arial" w:hAnsi="Arial" w:cs="Arial"/>
          <w:color w:val="000000"/>
          <w:sz w:val="22"/>
          <w:szCs w:val="22"/>
        </w:rPr>
        <w:t xml:space="preserve"> de cuidados intensivos (UCI). </w:t>
      </w:r>
    </w:p>
    <w:p w14:paraId="0253B7AF" w14:textId="77777777" w:rsidR="00015A7E" w:rsidRPr="000C2D3E" w:rsidRDefault="00015A7E" w:rsidP="00ED1D2A">
      <w:pPr>
        <w:pBdr>
          <w:bottom w:val="single" w:sz="12" w:space="1" w:color="auto"/>
        </w:pBdr>
        <w:autoSpaceDE w:val="0"/>
        <w:autoSpaceDN w:val="0"/>
        <w:adjustRightInd w:val="0"/>
        <w:spacing w:line="480" w:lineRule="auto"/>
        <w:ind w:firstLine="708"/>
        <w:jc w:val="both"/>
        <w:rPr>
          <w:rFonts w:ascii="Arial" w:hAnsi="Arial" w:cs="Arial"/>
          <w:color w:val="000000"/>
          <w:sz w:val="22"/>
          <w:szCs w:val="22"/>
        </w:rPr>
      </w:pPr>
    </w:p>
    <w:p w14:paraId="4245E71F" w14:textId="1260BABF" w:rsidR="00015A7E" w:rsidRPr="003669E1" w:rsidRDefault="00171AF1" w:rsidP="00171AF1">
      <w:pPr>
        <w:autoSpaceDE w:val="0"/>
        <w:autoSpaceDN w:val="0"/>
        <w:adjustRightInd w:val="0"/>
        <w:spacing w:line="480" w:lineRule="auto"/>
        <w:jc w:val="both"/>
        <w:rPr>
          <w:rFonts w:ascii="Arial" w:hAnsi="Arial" w:cs="Arial"/>
          <w:color w:val="000000"/>
          <w:sz w:val="20"/>
          <w:szCs w:val="20"/>
        </w:rPr>
      </w:pPr>
      <w:r w:rsidRPr="004C41C8">
        <w:rPr>
          <w:rFonts w:ascii="Arial" w:hAnsi="Arial" w:cs="Arial"/>
          <w:color w:val="000000"/>
          <w:sz w:val="20"/>
          <w:szCs w:val="20"/>
        </w:rPr>
        <w:t xml:space="preserve">Este artículo es la traducción del resumen realizado por Adam S. Cooper, RN-BC, MSN a la revisión Cochrane: </w:t>
      </w:r>
      <w:proofErr w:type="spellStart"/>
      <w:r w:rsidR="00015A7E" w:rsidRPr="004C41C8">
        <w:rPr>
          <w:rFonts w:ascii="Arial" w:hAnsi="Arial" w:cs="Arial"/>
          <w:color w:val="000000"/>
          <w:sz w:val="20"/>
          <w:szCs w:val="20"/>
        </w:rPr>
        <w:t>Toews</w:t>
      </w:r>
      <w:proofErr w:type="spellEnd"/>
      <w:r w:rsidR="00015A7E" w:rsidRPr="004C41C8">
        <w:rPr>
          <w:rFonts w:ascii="Arial" w:hAnsi="Arial" w:cs="Arial"/>
          <w:color w:val="000000"/>
          <w:sz w:val="20"/>
          <w:szCs w:val="20"/>
        </w:rPr>
        <w:t xml:space="preserve"> I, George AT, Peter JV, </w:t>
      </w:r>
      <w:proofErr w:type="spellStart"/>
      <w:r w:rsidR="00015A7E" w:rsidRPr="004C41C8">
        <w:rPr>
          <w:rFonts w:ascii="Arial" w:hAnsi="Arial" w:cs="Arial"/>
          <w:color w:val="000000"/>
          <w:sz w:val="20"/>
          <w:szCs w:val="20"/>
        </w:rPr>
        <w:t>Kirubakaran</w:t>
      </w:r>
      <w:proofErr w:type="spellEnd"/>
      <w:r w:rsidR="00015A7E" w:rsidRPr="004C41C8">
        <w:rPr>
          <w:rFonts w:ascii="Arial" w:hAnsi="Arial" w:cs="Arial"/>
          <w:color w:val="000000"/>
          <w:sz w:val="20"/>
          <w:szCs w:val="20"/>
        </w:rPr>
        <w:t xml:space="preserve"> R, </w:t>
      </w:r>
      <w:proofErr w:type="spellStart"/>
      <w:r w:rsidR="00015A7E" w:rsidRPr="004C41C8">
        <w:rPr>
          <w:rFonts w:ascii="Arial" w:hAnsi="Arial" w:cs="Arial"/>
          <w:color w:val="000000"/>
          <w:sz w:val="20"/>
          <w:szCs w:val="20"/>
        </w:rPr>
        <w:t>Fontes</w:t>
      </w:r>
      <w:proofErr w:type="spellEnd"/>
      <w:r w:rsidR="00015A7E" w:rsidRPr="004C41C8">
        <w:rPr>
          <w:rFonts w:ascii="Arial" w:hAnsi="Arial" w:cs="Arial"/>
          <w:color w:val="000000"/>
          <w:sz w:val="20"/>
          <w:szCs w:val="20"/>
        </w:rPr>
        <w:t xml:space="preserve"> LES, </w:t>
      </w:r>
      <w:proofErr w:type="spellStart"/>
      <w:r w:rsidR="00015A7E" w:rsidRPr="004C41C8">
        <w:rPr>
          <w:rFonts w:ascii="Arial" w:hAnsi="Arial" w:cs="Arial"/>
          <w:color w:val="000000"/>
          <w:sz w:val="20"/>
          <w:szCs w:val="20"/>
        </w:rPr>
        <w:t>Ezekiel</w:t>
      </w:r>
      <w:proofErr w:type="spellEnd"/>
      <w:r w:rsidR="00015A7E" w:rsidRPr="004C41C8">
        <w:rPr>
          <w:rFonts w:ascii="Arial" w:hAnsi="Arial" w:cs="Arial"/>
          <w:color w:val="000000"/>
          <w:sz w:val="20"/>
          <w:szCs w:val="20"/>
        </w:rPr>
        <w:t xml:space="preserve"> JPB, </w:t>
      </w:r>
      <w:proofErr w:type="spellStart"/>
      <w:r w:rsidR="00015A7E" w:rsidRPr="004C41C8">
        <w:rPr>
          <w:rFonts w:ascii="Arial" w:hAnsi="Arial" w:cs="Arial"/>
          <w:color w:val="000000"/>
          <w:sz w:val="20"/>
          <w:szCs w:val="20"/>
        </w:rPr>
        <w:t>Meerpohl</w:t>
      </w:r>
      <w:proofErr w:type="spellEnd"/>
      <w:r w:rsidR="00015A7E" w:rsidRPr="004C41C8">
        <w:rPr>
          <w:rFonts w:ascii="Arial" w:hAnsi="Arial" w:cs="Arial"/>
          <w:color w:val="000000"/>
          <w:sz w:val="20"/>
          <w:szCs w:val="20"/>
        </w:rPr>
        <w:t xml:space="preserve"> JJ. </w:t>
      </w:r>
      <w:r w:rsidR="00015A7E" w:rsidRPr="00145100">
        <w:rPr>
          <w:rFonts w:ascii="Arial" w:hAnsi="Arial" w:cs="Arial"/>
          <w:color w:val="000000"/>
          <w:sz w:val="20"/>
          <w:szCs w:val="20"/>
          <w:lang w:val="en-US"/>
        </w:rPr>
        <w:t xml:space="preserve">Interventions for preventing upper gastrointestinal bleeding in people admitted to intensive care units. </w:t>
      </w:r>
      <w:r w:rsidR="00015A7E" w:rsidRPr="004C41C8">
        <w:rPr>
          <w:rFonts w:ascii="Arial" w:hAnsi="Arial" w:cs="Arial"/>
          <w:color w:val="000000"/>
          <w:sz w:val="20"/>
          <w:szCs w:val="20"/>
          <w:lang w:val="en-US"/>
        </w:rPr>
        <w:t>Cochrane Database Syst Rev. 2018</w:t>
      </w:r>
      <w:r w:rsidR="00CE7A96" w:rsidRPr="004C41C8">
        <w:rPr>
          <w:rFonts w:ascii="Arial" w:hAnsi="Arial" w:cs="Arial"/>
          <w:color w:val="000000"/>
          <w:sz w:val="20"/>
          <w:szCs w:val="20"/>
          <w:lang w:val="en-US"/>
        </w:rPr>
        <w:t>; 6</w:t>
      </w:r>
      <w:r w:rsidR="00015A7E" w:rsidRPr="004C41C8">
        <w:rPr>
          <w:rFonts w:ascii="Arial" w:hAnsi="Arial" w:cs="Arial"/>
          <w:color w:val="000000"/>
          <w:sz w:val="20"/>
          <w:szCs w:val="20"/>
          <w:lang w:val="en-US"/>
        </w:rPr>
        <w:t>(6):CD008687.</w:t>
      </w:r>
      <w:r w:rsidR="00CE7A96" w:rsidRPr="004C41C8">
        <w:rPr>
          <w:rFonts w:ascii="Arial" w:hAnsi="Arial" w:cs="Arial"/>
          <w:color w:val="000000"/>
          <w:sz w:val="20"/>
          <w:szCs w:val="20"/>
          <w:lang w:val="en-US"/>
        </w:rPr>
        <w:t xml:space="preserve"> </w:t>
      </w:r>
      <w:proofErr w:type="spellStart"/>
      <w:r w:rsidR="00015A7E" w:rsidRPr="004C41C8">
        <w:rPr>
          <w:rFonts w:ascii="Arial" w:hAnsi="Arial" w:cs="Arial"/>
          <w:color w:val="000000"/>
          <w:sz w:val="20"/>
          <w:szCs w:val="20"/>
          <w:lang w:val="en-US"/>
        </w:rPr>
        <w:t>doi</w:t>
      </w:r>
      <w:proofErr w:type="spellEnd"/>
      <w:r w:rsidR="00015A7E" w:rsidRPr="004C41C8">
        <w:rPr>
          <w:rFonts w:ascii="Arial" w:hAnsi="Arial" w:cs="Arial"/>
          <w:color w:val="000000"/>
          <w:sz w:val="20"/>
          <w:szCs w:val="20"/>
          <w:lang w:val="en-US"/>
        </w:rPr>
        <w:t>:  10.1002/14651858.CD008687.pub2.</w:t>
      </w:r>
      <w:r w:rsidR="00CE7A96" w:rsidRPr="004C41C8">
        <w:rPr>
          <w:rFonts w:ascii="Arial" w:hAnsi="Arial" w:cs="Arial"/>
          <w:color w:val="000000"/>
          <w:sz w:val="20"/>
          <w:szCs w:val="20"/>
          <w:lang w:val="en-US"/>
        </w:rPr>
        <w:t xml:space="preserve"> </w:t>
      </w:r>
      <w:r w:rsidR="00015A7E" w:rsidRPr="003669E1">
        <w:rPr>
          <w:rFonts w:ascii="Arial" w:hAnsi="Arial" w:cs="Arial"/>
          <w:color w:val="000000"/>
          <w:sz w:val="20"/>
          <w:szCs w:val="20"/>
        </w:rPr>
        <w:t xml:space="preserve">Acceso directo: </w:t>
      </w:r>
      <w:hyperlink r:id="rId11" w:history="1">
        <w:r w:rsidR="00015A7E" w:rsidRPr="003669E1">
          <w:rPr>
            <w:rStyle w:val="Hipervnculo"/>
            <w:rFonts w:ascii="Arial" w:hAnsi="Arial" w:cs="Arial"/>
            <w:sz w:val="20"/>
            <w:szCs w:val="20"/>
          </w:rPr>
          <w:t>https://www.cochranelibrary.com/cdsr/doi/10.1002/14651858.CD008687.pub2/full</w:t>
        </w:r>
      </w:hyperlink>
      <w:r w:rsidR="00015A7E" w:rsidRPr="003669E1">
        <w:rPr>
          <w:rFonts w:ascii="Arial" w:hAnsi="Arial" w:cs="Arial"/>
          <w:color w:val="000000"/>
          <w:sz w:val="20"/>
          <w:szCs w:val="20"/>
        </w:rPr>
        <w:t xml:space="preserve"> </w:t>
      </w:r>
    </w:p>
    <w:p w14:paraId="5479EAFF" w14:textId="77777777" w:rsidR="004C41C8" w:rsidRPr="003669E1" w:rsidRDefault="004C41C8" w:rsidP="004C41C8">
      <w:pPr>
        <w:autoSpaceDE w:val="0"/>
        <w:autoSpaceDN w:val="0"/>
        <w:adjustRightInd w:val="0"/>
        <w:spacing w:line="480" w:lineRule="auto"/>
        <w:jc w:val="both"/>
        <w:rPr>
          <w:rFonts w:ascii="Arial" w:hAnsi="Arial" w:cs="Arial"/>
          <w:b/>
          <w:bCs/>
          <w:color w:val="000000"/>
          <w:sz w:val="22"/>
          <w:szCs w:val="22"/>
        </w:rPr>
      </w:pPr>
    </w:p>
    <w:p w14:paraId="04EC9F25" w14:textId="158CC54D" w:rsidR="004C41C8" w:rsidRPr="004C41C8" w:rsidRDefault="004C41C8" w:rsidP="004C41C8">
      <w:pPr>
        <w:autoSpaceDE w:val="0"/>
        <w:autoSpaceDN w:val="0"/>
        <w:adjustRightInd w:val="0"/>
        <w:spacing w:line="480" w:lineRule="auto"/>
        <w:jc w:val="both"/>
        <w:rPr>
          <w:rFonts w:ascii="Arial" w:hAnsi="Arial" w:cs="Arial"/>
          <w:b/>
          <w:bCs/>
          <w:color w:val="000000"/>
          <w:sz w:val="22"/>
          <w:szCs w:val="22"/>
        </w:rPr>
      </w:pPr>
      <w:r w:rsidRPr="004C41C8">
        <w:rPr>
          <w:rFonts w:ascii="Arial" w:hAnsi="Arial" w:cs="Arial"/>
          <w:b/>
          <w:bCs/>
          <w:color w:val="000000"/>
          <w:sz w:val="22"/>
          <w:szCs w:val="22"/>
        </w:rPr>
        <w:lastRenderedPageBreak/>
        <w:t>Importancia para la práctica clínica enfermera</w:t>
      </w:r>
    </w:p>
    <w:p w14:paraId="51B2BDC2" w14:textId="72000694" w:rsidR="004C41C8" w:rsidRDefault="004C41C8" w:rsidP="004C41C8">
      <w:pPr>
        <w:autoSpaceDE w:val="0"/>
        <w:autoSpaceDN w:val="0"/>
        <w:adjustRightInd w:val="0"/>
        <w:spacing w:line="480" w:lineRule="auto"/>
        <w:ind w:firstLine="708"/>
        <w:jc w:val="both"/>
        <w:rPr>
          <w:rFonts w:ascii="Arial" w:hAnsi="Arial" w:cs="Arial"/>
          <w:color w:val="000000"/>
          <w:sz w:val="22"/>
          <w:szCs w:val="22"/>
        </w:rPr>
      </w:pPr>
      <w:r w:rsidRPr="004C41C8">
        <w:rPr>
          <w:rFonts w:ascii="Arial" w:hAnsi="Arial" w:cs="Arial"/>
          <w:color w:val="000000"/>
          <w:sz w:val="22"/>
          <w:szCs w:val="22"/>
        </w:rPr>
        <w:t>A pesar de los avances en las intervenciones y tratamientos médicos, la HDA provoca anualmente más de 300.000 ingresos hospitalarios en Estados Unidos y tiene una tasa de mortalidad del 3,5% al 14%</w:t>
      </w:r>
      <w:r w:rsidRPr="004C41C8">
        <w:rPr>
          <w:rFonts w:ascii="Arial" w:hAnsi="Arial" w:cs="Arial"/>
          <w:color w:val="000000"/>
          <w:sz w:val="22"/>
          <w:szCs w:val="22"/>
          <w:vertAlign w:val="superscript"/>
        </w:rPr>
        <w:t>1,2</w:t>
      </w:r>
      <w:r w:rsidRPr="004C41C8">
        <w:rPr>
          <w:rFonts w:ascii="Arial" w:hAnsi="Arial" w:cs="Arial"/>
          <w:color w:val="000000"/>
          <w:sz w:val="22"/>
          <w:szCs w:val="22"/>
        </w:rPr>
        <w:t xml:space="preserve">. </w:t>
      </w:r>
      <w:r w:rsidR="00A051D6">
        <w:rPr>
          <w:rFonts w:ascii="Arial" w:hAnsi="Arial" w:cs="Arial"/>
          <w:color w:val="000000"/>
          <w:sz w:val="22"/>
          <w:szCs w:val="22"/>
        </w:rPr>
        <w:t>La causa más frecuente de HDA son las</w:t>
      </w:r>
      <w:r w:rsidRPr="004C41C8">
        <w:rPr>
          <w:rFonts w:ascii="Arial" w:hAnsi="Arial" w:cs="Arial"/>
          <w:color w:val="000000"/>
          <w:sz w:val="22"/>
          <w:szCs w:val="22"/>
        </w:rPr>
        <w:t xml:space="preserve"> úlceras por estrés—daño superficial del revestimiento de la mucosa del estómago o </w:t>
      </w:r>
      <w:r w:rsidR="00A051D6">
        <w:rPr>
          <w:rFonts w:ascii="Arial" w:hAnsi="Arial" w:cs="Arial"/>
          <w:color w:val="000000"/>
          <w:sz w:val="22"/>
          <w:szCs w:val="22"/>
        </w:rPr>
        <w:t>del intestino</w:t>
      </w:r>
      <w:r w:rsidRPr="004C41C8">
        <w:rPr>
          <w:rFonts w:ascii="Arial" w:hAnsi="Arial" w:cs="Arial"/>
          <w:color w:val="000000"/>
          <w:sz w:val="22"/>
          <w:szCs w:val="22"/>
        </w:rPr>
        <w:t xml:space="preserve"> que puede ocurrir como resultado de un shock, una sepsis o un trauma</w:t>
      </w:r>
      <w:r w:rsidR="00596B5F">
        <w:rPr>
          <w:rFonts w:ascii="Arial" w:hAnsi="Arial" w:cs="Arial"/>
          <w:color w:val="000000"/>
          <w:sz w:val="22"/>
          <w:szCs w:val="22"/>
        </w:rPr>
        <w:t>-</w:t>
      </w:r>
      <w:r w:rsidRPr="004C41C8">
        <w:rPr>
          <w:rFonts w:ascii="Arial" w:hAnsi="Arial" w:cs="Arial"/>
          <w:color w:val="000000"/>
          <w:sz w:val="22"/>
          <w:szCs w:val="22"/>
        </w:rPr>
        <w:t xml:space="preserve">. </w:t>
      </w:r>
      <w:r w:rsidR="00C22800">
        <w:rPr>
          <w:rFonts w:ascii="Arial" w:hAnsi="Arial" w:cs="Arial"/>
          <w:color w:val="000000"/>
          <w:sz w:val="22"/>
          <w:szCs w:val="22"/>
        </w:rPr>
        <w:t>Gracias a las mejoras de las opciones terapéuticas</w:t>
      </w:r>
      <w:r w:rsidRPr="004C41C8">
        <w:rPr>
          <w:rFonts w:ascii="Arial" w:hAnsi="Arial" w:cs="Arial"/>
          <w:color w:val="000000"/>
          <w:sz w:val="22"/>
          <w:szCs w:val="22"/>
        </w:rPr>
        <w:t xml:space="preserve"> y los estándares de atención, la incidencia de HDA en las UCI ha ido disminuyendo</w:t>
      </w:r>
      <w:r w:rsidRPr="004C41C8">
        <w:rPr>
          <w:rFonts w:ascii="Arial" w:hAnsi="Arial" w:cs="Arial"/>
          <w:color w:val="000000"/>
          <w:sz w:val="22"/>
          <w:szCs w:val="22"/>
          <w:vertAlign w:val="superscript"/>
        </w:rPr>
        <w:t>3</w:t>
      </w:r>
      <w:r w:rsidR="00C22800">
        <w:rPr>
          <w:rFonts w:ascii="Arial" w:hAnsi="Arial" w:cs="Arial"/>
          <w:color w:val="000000"/>
          <w:sz w:val="22"/>
          <w:szCs w:val="22"/>
        </w:rPr>
        <w:t xml:space="preserve"> y,</w:t>
      </w:r>
      <w:r w:rsidRPr="004C41C8">
        <w:rPr>
          <w:rFonts w:ascii="Arial" w:hAnsi="Arial" w:cs="Arial"/>
          <w:color w:val="000000"/>
          <w:sz w:val="22"/>
          <w:szCs w:val="22"/>
        </w:rPr>
        <w:t xml:space="preserve"> </w:t>
      </w:r>
      <w:r w:rsidR="00C22800">
        <w:rPr>
          <w:rFonts w:ascii="Arial" w:hAnsi="Arial" w:cs="Arial"/>
          <w:color w:val="000000"/>
          <w:sz w:val="22"/>
          <w:szCs w:val="22"/>
        </w:rPr>
        <w:t>sin embargo,</w:t>
      </w:r>
      <w:r w:rsidRPr="004C41C8">
        <w:rPr>
          <w:rFonts w:ascii="Arial" w:hAnsi="Arial" w:cs="Arial"/>
          <w:color w:val="000000"/>
          <w:sz w:val="22"/>
          <w:szCs w:val="22"/>
        </w:rPr>
        <w:t xml:space="preserve"> la profilaxis de las úlceras por estrés</w:t>
      </w:r>
      <w:r w:rsidR="00C22800">
        <w:rPr>
          <w:rFonts w:ascii="Arial" w:hAnsi="Arial" w:cs="Arial"/>
          <w:color w:val="000000"/>
          <w:sz w:val="22"/>
          <w:szCs w:val="22"/>
        </w:rPr>
        <w:t xml:space="preserve"> sigue siendo habitual</w:t>
      </w:r>
      <w:r w:rsidRPr="004C41C8">
        <w:rPr>
          <w:rFonts w:ascii="Arial" w:hAnsi="Arial" w:cs="Arial"/>
          <w:color w:val="000000"/>
          <w:sz w:val="22"/>
          <w:szCs w:val="22"/>
        </w:rPr>
        <w:t>. Debido a que existen riesgos potenciales asociados con la prevención de las úlceras por estrés, esta práctica debe analizarse.</w:t>
      </w:r>
    </w:p>
    <w:p w14:paraId="7A30FED1" w14:textId="67F1D9C5" w:rsidR="00F25633" w:rsidRPr="000C2D3E" w:rsidRDefault="00083F93" w:rsidP="00596B5F">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 xml:space="preserve">La desventaja de la profilaxis de las úlceras por estrés estriba en que muchas de las intervenciones empleadas para </w:t>
      </w:r>
      <w:r w:rsidR="00C22800">
        <w:rPr>
          <w:rFonts w:ascii="Arial" w:hAnsi="Arial" w:cs="Arial"/>
          <w:color w:val="000000"/>
          <w:sz w:val="22"/>
          <w:szCs w:val="22"/>
        </w:rPr>
        <w:t>inhibir</w:t>
      </w:r>
      <w:r w:rsidRPr="000C2D3E">
        <w:rPr>
          <w:rFonts w:ascii="Arial" w:hAnsi="Arial" w:cs="Arial"/>
          <w:color w:val="000000"/>
          <w:sz w:val="22"/>
          <w:szCs w:val="22"/>
        </w:rPr>
        <w:t xml:space="preserve"> el ácido gástrico pueden alterar la flora gástrica y favorecer la colonización de bacterias, causando una infección</w:t>
      </w:r>
      <w:r w:rsidR="001A20FF" w:rsidRPr="000C2D3E">
        <w:rPr>
          <w:rFonts w:ascii="Arial" w:hAnsi="Arial" w:cs="Arial"/>
          <w:color w:val="000000"/>
          <w:sz w:val="22"/>
          <w:szCs w:val="22"/>
        </w:rPr>
        <w:t xml:space="preserve">. </w:t>
      </w:r>
      <w:r w:rsidR="00FD453A" w:rsidRPr="000C2D3E">
        <w:rPr>
          <w:rFonts w:ascii="Arial" w:hAnsi="Arial" w:cs="Arial"/>
          <w:color w:val="000000"/>
          <w:sz w:val="22"/>
          <w:szCs w:val="22"/>
        </w:rPr>
        <w:t>Por ejemplo, la profilaxis de las úlceras por estrés está relacionada con la neumonía asociada a ventilación mecánica (NAV). Al inhibir la secreción del ácido gástrico, la colonización</w:t>
      </w:r>
      <w:r w:rsidR="00596B5F">
        <w:rPr>
          <w:rFonts w:ascii="Arial" w:hAnsi="Arial" w:cs="Arial"/>
          <w:color w:val="000000"/>
          <w:sz w:val="22"/>
          <w:szCs w:val="22"/>
        </w:rPr>
        <w:t xml:space="preserve"> </w:t>
      </w:r>
      <w:r w:rsidR="00FD453A" w:rsidRPr="000C2D3E">
        <w:rPr>
          <w:rFonts w:ascii="Arial" w:hAnsi="Arial" w:cs="Arial"/>
          <w:color w:val="000000"/>
          <w:sz w:val="22"/>
          <w:szCs w:val="22"/>
        </w:rPr>
        <w:t>de bacterias gástricas puede también conducir a la colonización de la faringe, provocando su aspiración y la NAV</w:t>
      </w:r>
      <w:r w:rsidR="00FD453A" w:rsidRPr="000C2D3E">
        <w:rPr>
          <w:rFonts w:ascii="Arial" w:hAnsi="Arial" w:cs="Arial"/>
          <w:color w:val="000000"/>
          <w:sz w:val="22"/>
          <w:szCs w:val="22"/>
          <w:vertAlign w:val="superscript"/>
        </w:rPr>
        <w:t>4</w:t>
      </w:r>
      <w:r w:rsidR="00FD453A" w:rsidRPr="000C2D3E">
        <w:rPr>
          <w:rFonts w:ascii="Arial" w:hAnsi="Arial" w:cs="Arial"/>
          <w:color w:val="000000"/>
          <w:sz w:val="22"/>
          <w:szCs w:val="22"/>
        </w:rPr>
        <w:t>.</w:t>
      </w:r>
      <w:r w:rsidR="00817C30" w:rsidRPr="000C2D3E">
        <w:rPr>
          <w:rFonts w:ascii="Arial" w:hAnsi="Arial" w:cs="Arial"/>
          <w:color w:val="000000"/>
          <w:sz w:val="22"/>
          <w:szCs w:val="22"/>
        </w:rPr>
        <w:t xml:space="preserve"> </w:t>
      </w:r>
      <w:r w:rsidR="00FD453A" w:rsidRPr="000C2D3E">
        <w:rPr>
          <w:rFonts w:ascii="Arial" w:hAnsi="Arial" w:cs="Arial"/>
          <w:color w:val="000000"/>
          <w:sz w:val="22"/>
          <w:szCs w:val="22"/>
        </w:rPr>
        <w:t>Por lo tanto, es necesario evaluar estrategias que disminuyan de manera segura la incidencia de HDA.</w:t>
      </w:r>
    </w:p>
    <w:p w14:paraId="55805BFE" w14:textId="05AD4E7E" w:rsidR="00817C30" w:rsidRPr="000C2D3E" w:rsidRDefault="00817C30" w:rsidP="00F25633">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 xml:space="preserve">El foco de atención de las anteriores revisiones sistemáticas relacionadas con la profilaxis de úlceras por estrés y la HDA se ha centrado en las terapias más tradicionales o en los efectos de un solo fármaco frente a otro.  </w:t>
      </w:r>
      <w:r w:rsidR="00ED64AA">
        <w:rPr>
          <w:rFonts w:ascii="Arial" w:hAnsi="Arial" w:cs="Arial"/>
          <w:color w:val="000000"/>
          <w:sz w:val="22"/>
          <w:szCs w:val="22"/>
        </w:rPr>
        <w:t>Por ello</w:t>
      </w:r>
      <w:r w:rsidR="00BB39DD" w:rsidRPr="000C2D3E">
        <w:rPr>
          <w:rFonts w:ascii="Arial" w:hAnsi="Arial" w:cs="Arial"/>
          <w:color w:val="000000"/>
          <w:sz w:val="22"/>
          <w:szCs w:val="22"/>
        </w:rPr>
        <w:t>, queda justificada una revisión sistemática de las actuales profilaxis farmacológicas y no farmacológicas de la HDA, comparándolas con</w:t>
      </w:r>
      <w:r w:rsidR="00ED64AA">
        <w:rPr>
          <w:rFonts w:ascii="Arial" w:hAnsi="Arial" w:cs="Arial"/>
          <w:color w:val="000000"/>
          <w:sz w:val="22"/>
          <w:szCs w:val="22"/>
        </w:rPr>
        <w:t xml:space="preserve"> la ausencia de </w:t>
      </w:r>
      <w:r w:rsidR="00BB39DD" w:rsidRPr="000C2D3E">
        <w:rPr>
          <w:rFonts w:ascii="Arial" w:hAnsi="Arial" w:cs="Arial"/>
          <w:color w:val="000000"/>
          <w:sz w:val="22"/>
          <w:szCs w:val="22"/>
        </w:rPr>
        <w:t>tratamiento u otros tratamientos</w:t>
      </w:r>
      <w:r w:rsidR="00ED64AA">
        <w:rPr>
          <w:rFonts w:ascii="Arial" w:hAnsi="Arial" w:cs="Arial"/>
          <w:color w:val="000000"/>
          <w:sz w:val="22"/>
          <w:szCs w:val="22"/>
        </w:rPr>
        <w:t>,</w:t>
      </w:r>
      <w:r w:rsidR="00BB39DD" w:rsidRPr="000C2D3E">
        <w:rPr>
          <w:rFonts w:ascii="Arial" w:hAnsi="Arial" w:cs="Arial"/>
          <w:color w:val="000000"/>
          <w:sz w:val="22"/>
          <w:szCs w:val="22"/>
        </w:rPr>
        <w:t xml:space="preserve"> </w:t>
      </w:r>
      <w:r w:rsidR="00ED64AA">
        <w:rPr>
          <w:rFonts w:ascii="Arial" w:hAnsi="Arial" w:cs="Arial"/>
          <w:color w:val="000000"/>
          <w:sz w:val="22"/>
          <w:szCs w:val="22"/>
        </w:rPr>
        <w:t xml:space="preserve">con el fin de </w:t>
      </w:r>
      <w:r w:rsidR="00BB39DD" w:rsidRPr="000C2D3E">
        <w:rPr>
          <w:rFonts w:ascii="Arial" w:hAnsi="Arial" w:cs="Arial"/>
          <w:color w:val="000000"/>
          <w:sz w:val="22"/>
          <w:szCs w:val="22"/>
        </w:rPr>
        <w:t xml:space="preserve">comprender mejor su efectividad y efectos adversos. </w:t>
      </w:r>
    </w:p>
    <w:p w14:paraId="4E4B08DD" w14:textId="77777777" w:rsidR="00150FF5" w:rsidRPr="000C2D3E" w:rsidRDefault="00150FF5" w:rsidP="00F25633">
      <w:pPr>
        <w:autoSpaceDE w:val="0"/>
        <w:autoSpaceDN w:val="0"/>
        <w:adjustRightInd w:val="0"/>
        <w:spacing w:line="480" w:lineRule="auto"/>
        <w:jc w:val="both"/>
        <w:rPr>
          <w:rFonts w:ascii="Arial" w:hAnsi="Arial" w:cs="Arial"/>
          <w:color w:val="0080B3"/>
          <w:sz w:val="22"/>
          <w:szCs w:val="22"/>
        </w:rPr>
      </w:pPr>
    </w:p>
    <w:p w14:paraId="68012163" w14:textId="5D598A48" w:rsidR="001A20FF" w:rsidRPr="004C41C8" w:rsidRDefault="00BA4A4B" w:rsidP="00F25633">
      <w:pPr>
        <w:autoSpaceDE w:val="0"/>
        <w:autoSpaceDN w:val="0"/>
        <w:adjustRightInd w:val="0"/>
        <w:spacing w:line="480" w:lineRule="auto"/>
        <w:jc w:val="both"/>
        <w:rPr>
          <w:rFonts w:ascii="Arial" w:hAnsi="Arial" w:cs="Arial"/>
          <w:b/>
          <w:bCs/>
          <w:color w:val="000000" w:themeColor="text1"/>
          <w:sz w:val="22"/>
          <w:szCs w:val="22"/>
        </w:rPr>
      </w:pPr>
      <w:r w:rsidRPr="004C41C8">
        <w:rPr>
          <w:rFonts w:ascii="Arial" w:hAnsi="Arial" w:cs="Arial"/>
          <w:b/>
          <w:bCs/>
          <w:color w:val="000000" w:themeColor="text1"/>
          <w:sz w:val="22"/>
          <w:szCs w:val="22"/>
        </w:rPr>
        <w:t xml:space="preserve">Descripción del </w:t>
      </w:r>
      <w:r w:rsidR="00817C30" w:rsidRPr="004C41C8">
        <w:rPr>
          <w:rFonts w:ascii="Arial" w:hAnsi="Arial" w:cs="Arial"/>
          <w:b/>
          <w:bCs/>
          <w:color w:val="000000" w:themeColor="text1"/>
          <w:sz w:val="22"/>
          <w:szCs w:val="22"/>
        </w:rPr>
        <w:t>e</w:t>
      </w:r>
      <w:r w:rsidRPr="004C41C8">
        <w:rPr>
          <w:rFonts w:ascii="Arial" w:hAnsi="Arial" w:cs="Arial"/>
          <w:b/>
          <w:bCs/>
          <w:color w:val="000000" w:themeColor="text1"/>
          <w:sz w:val="22"/>
          <w:szCs w:val="22"/>
        </w:rPr>
        <w:t>studio y sus resultados</w:t>
      </w:r>
    </w:p>
    <w:p w14:paraId="3E13AC68" w14:textId="2EB28C41" w:rsidR="00F25633" w:rsidRPr="000C2D3E" w:rsidRDefault="008657BD" w:rsidP="009A22C5">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 xml:space="preserve">Este resumen se basa en la revisión sistemática Cochrane de </w:t>
      </w:r>
      <w:proofErr w:type="spellStart"/>
      <w:r w:rsidRPr="000C2D3E">
        <w:rPr>
          <w:rFonts w:ascii="Arial" w:hAnsi="Arial" w:cs="Arial"/>
          <w:color w:val="000000"/>
          <w:sz w:val="22"/>
          <w:szCs w:val="22"/>
        </w:rPr>
        <w:t>Toews</w:t>
      </w:r>
      <w:proofErr w:type="spellEnd"/>
      <w:r w:rsidRPr="000C2D3E">
        <w:rPr>
          <w:rFonts w:ascii="Arial" w:hAnsi="Arial" w:cs="Arial"/>
          <w:color w:val="000000"/>
          <w:sz w:val="22"/>
          <w:szCs w:val="22"/>
        </w:rPr>
        <w:t xml:space="preserve"> et al.</w:t>
      </w:r>
      <w:r w:rsidR="001A20FF" w:rsidRPr="000C2D3E">
        <w:rPr>
          <w:rFonts w:ascii="Arial" w:hAnsi="Arial" w:cs="Arial"/>
          <w:color w:val="000000"/>
          <w:sz w:val="22"/>
          <w:szCs w:val="22"/>
          <w:vertAlign w:val="superscript"/>
        </w:rPr>
        <w:t>5</w:t>
      </w:r>
      <w:r w:rsidR="001A20FF" w:rsidRPr="000C2D3E">
        <w:rPr>
          <w:rFonts w:ascii="Arial" w:hAnsi="Arial" w:cs="Arial"/>
          <w:color w:val="000000"/>
          <w:sz w:val="22"/>
          <w:szCs w:val="22"/>
        </w:rPr>
        <w:t xml:space="preserve"> </w:t>
      </w:r>
      <w:r w:rsidRPr="000C2D3E">
        <w:rPr>
          <w:rFonts w:ascii="Arial" w:hAnsi="Arial" w:cs="Arial"/>
          <w:color w:val="000000"/>
          <w:sz w:val="22"/>
          <w:szCs w:val="22"/>
        </w:rPr>
        <w:t>que incluyó datos de 107 estudios con un total de 15.057 pacientes</w:t>
      </w:r>
      <w:r w:rsidR="001A20FF" w:rsidRPr="000C2D3E">
        <w:rPr>
          <w:rFonts w:ascii="Arial" w:hAnsi="Arial" w:cs="Arial"/>
          <w:color w:val="000000"/>
          <w:sz w:val="22"/>
          <w:szCs w:val="22"/>
        </w:rPr>
        <w:t xml:space="preserve">. </w:t>
      </w:r>
      <w:r w:rsidRPr="000C2D3E">
        <w:rPr>
          <w:rFonts w:ascii="Arial" w:hAnsi="Arial" w:cs="Arial"/>
          <w:color w:val="000000"/>
          <w:sz w:val="22"/>
          <w:szCs w:val="22"/>
        </w:rPr>
        <w:t xml:space="preserve">La </w:t>
      </w:r>
      <w:r w:rsidR="00A70D7B" w:rsidRPr="000C2D3E">
        <w:rPr>
          <w:rFonts w:ascii="Arial" w:hAnsi="Arial" w:cs="Arial"/>
          <w:color w:val="000000"/>
          <w:sz w:val="22"/>
          <w:szCs w:val="22"/>
        </w:rPr>
        <w:t>revisión</w:t>
      </w:r>
      <w:r w:rsidRPr="000C2D3E">
        <w:rPr>
          <w:rFonts w:ascii="Arial" w:hAnsi="Arial" w:cs="Arial"/>
          <w:color w:val="000000"/>
          <w:sz w:val="22"/>
          <w:szCs w:val="22"/>
        </w:rPr>
        <w:t xml:space="preserve"> incluyó 27 </w:t>
      </w:r>
      <w:r w:rsidRPr="000C2D3E">
        <w:rPr>
          <w:rFonts w:ascii="Arial" w:hAnsi="Arial" w:cs="Arial"/>
          <w:color w:val="000000"/>
          <w:sz w:val="22"/>
          <w:szCs w:val="22"/>
        </w:rPr>
        <w:lastRenderedPageBreak/>
        <w:t>comparaciones abarcando 14 modalidades de tratamiento diferentes (</w:t>
      </w:r>
      <w:r w:rsidR="00A06E40">
        <w:rPr>
          <w:rFonts w:ascii="Arial" w:hAnsi="Arial" w:cs="Arial"/>
          <w:color w:val="000000"/>
          <w:sz w:val="22"/>
          <w:szCs w:val="22"/>
        </w:rPr>
        <w:t>especialmente</w:t>
      </w:r>
      <w:r w:rsidRPr="000C2D3E">
        <w:rPr>
          <w:rFonts w:ascii="Arial" w:hAnsi="Arial" w:cs="Arial"/>
          <w:color w:val="000000"/>
          <w:sz w:val="22"/>
          <w:szCs w:val="22"/>
        </w:rPr>
        <w:t xml:space="preserve"> los inhibidores de la bomba de protones y los antagonistas de</w:t>
      </w:r>
      <w:r w:rsidR="005B1C90" w:rsidRPr="000C2D3E">
        <w:rPr>
          <w:rFonts w:ascii="Arial" w:hAnsi="Arial" w:cs="Arial"/>
          <w:color w:val="000000"/>
          <w:sz w:val="22"/>
          <w:szCs w:val="22"/>
        </w:rPr>
        <w:t xml:space="preserve">l </w:t>
      </w:r>
      <w:r w:rsidRPr="000C2D3E">
        <w:rPr>
          <w:rFonts w:ascii="Arial" w:hAnsi="Arial" w:cs="Arial"/>
          <w:color w:val="000000"/>
          <w:sz w:val="22"/>
          <w:szCs w:val="22"/>
        </w:rPr>
        <w:t>recepto</w:t>
      </w:r>
      <w:r w:rsidR="005B1C90" w:rsidRPr="000C2D3E">
        <w:rPr>
          <w:rFonts w:ascii="Arial" w:hAnsi="Arial" w:cs="Arial"/>
          <w:color w:val="000000"/>
          <w:sz w:val="22"/>
          <w:szCs w:val="22"/>
        </w:rPr>
        <w:t>r</w:t>
      </w:r>
      <w:r w:rsidRPr="000C2D3E">
        <w:rPr>
          <w:rFonts w:ascii="Arial" w:hAnsi="Arial" w:cs="Arial"/>
          <w:color w:val="000000"/>
          <w:sz w:val="22"/>
          <w:szCs w:val="22"/>
        </w:rPr>
        <w:t xml:space="preserve"> H2). </w:t>
      </w:r>
      <w:r w:rsidR="005B1C90" w:rsidRPr="000C2D3E">
        <w:rPr>
          <w:rFonts w:ascii="Arial" w:hAnsi="Arial" w:cs="Arial"/>
          <w:color w:val="000000"/>
          <w:sz w:val="22"/>
          <w:szCs w:val="22"/>
        </w:rPr>
        <w:t xml:space="preserve">La variable de resultado primaria de la </w:t>
      </w:r>
      <w:r w:rsidR="009A22C5" w:rsidRPr="000C2D3E">
        <w:rPr>
          <w:rFonts w:ascii="Arial" w:hAnsi="Arial" w:cs="Arial"/>
          <w:color w:val="000000"/>
          <w:sz w:val="22"/>
          <w:szCs w:val="22"/>
        </w:rPr>
        <w:t>revisión</w:t>
      </w:r>
      <w:r w:rsidR="005B1C90" w:rsidRPr="000C2D3E">
        <w:rPr>
          <w:rFonts w:ascii="Arial" w:hAnsi="Arial" w:cs="Arial"/>
          <w:color w:val="000000"/>
          <w:sz w:val="22"/>
          <w:szCs w:val="22"/>
        </w:rPr>
        <w:t xml:space="preserve"> fue </w:t>
      </w:r>
      <w:r w:rsidR="00A06E40">
        <w:rPr>
          <w:rFonts w:ascii="Arial" w:hAnsi="Arial" w:cs="Arial"/>
          <w:color w:val="000000"/>
          <w:sz w:val="22"/>
          <w:szCs w:val="22"/>
        </w:rPr>
        <w:t>el</w:t>
      </w:r>
      <w:r w:rsidR="005B1C90" w:rsidRPr="000C2D3E">
        <w:rPr>
          <w:rFonts w:ascii="Arial" w:hAnsi="Arial" w:cs="Arial"/>
          <w:color w:val="000000"/>
          <w:sz w:val="22"/>
          <w:szCs w:val="22"/>
        </w:rPr>
        <w:t xml:space="preserve"> sangrado gastrointestinal</w:t>
      </w:r>
      <w:r w:rsidR="009A22C5" w:rsidRPr="000C2D3E">
        <w:rPr>
          <w:rFonts w:ascii="Arial" w:hAnsi="Arial" w:cs="Arial"/>
          <w:color w:val="000000"/>
          <w:sz w:val="22"/>
          <w:szCs w:val="22"/>
        </w:rPr>
        <w:t xml:space="preserve"> clínicamente</w:t>
      </w:r>
      <w:r w:rsidR="005B1C90" w:rsidRPr="000C2D3E">
        <w:rPr>
          <w:rFonts w:ascii="Arial" w:hAnsi="Arial" w:cs="Arial"/>
          <w:color w:val="000000"/>
          <w:sz w:val="22"/>
          <w:szCs w:val="22"/>
        </w:rPr>
        <w:t xml:space="preserve"> importante (definido por los autores de </w:t>
      </w:r>
      <w:r w:rsidR="00A06E40">
        <w:rPr>
          <w:rFonts w:ascii="Arial" w:hAnsi="Arial" w:cs="Arial"/>
          <w:color w:val="000000"/>
          <w:sz w:val="22"/>
          <w:szCs w:val="22"/>
        </w:rPr>
        <w:t xml:space="preserve">cada </w:t>
      </w:r>
      <w:r w:rsidR="005B1C90" w:rsidRPr="000C2D3E">
        <w:rPr>
          <w:rFonts w:ascii="Arial" w:hAnsi="Arial" w:cs="Arial"/>
          <w:color w:val="000000"/>
          <w:sz w:val="22"/>
          <w:szCs w:val="22"/>
        </w:rPr>
        <w:t>estudio individual</w:t>
      </w:r>
      <w:r w:rsidR="00A06E40">
        <w:rPr>
          <w:rFonts w:ascii="Arial" w:hAnsi="Arial" w:cs="Arial"/>
          <w:color w:val="000000"/>
          <w:sz w:val="22"/>
          <w:szCs w:val="22"/>
        </w:rPr>
        <w:t>)</w:t>
      </w:r>
      <w:r w:rsidR="005B1C90" w:rsidRPr="000C2D3E">
        <w:rPr>
          <w:rFonts w:ascii="Arial" w:hAnsi="Arial" w:cs="Arial"/>
          <w:color w:val="000000"/>
          <w:sz w:val="22"/>
          <w:szCs w:val="22"/>
        </w:rPr>
        <w:t>; las variables de resultado secundarias fueron la neumonía nosocomial y la NAV; la muerte en la UCI; la duración de la estancia en UCI; la duración del soporte con ventilación mecánica;</w:t>
      </w:r>
      <w:r w:rsidR="009A22C5" w:rsidRPr="000C2D3E">
        <w:rPr>
          <w:rFonts w:ascii="Arial" w:hAnsi="Arial" w:cs="Arial"/>
          <w:color w:val="000000"/>
          <w:sz w:val="22"/>
          <w:szCs w:val="22"/>
        </w:rPr>
        <w:t xml:space="preserve"> el número de pacientes que precisaron de transfusiones sanguíneas; número de unidades de sangre transfundidas; y efectos adversos graves (</w:t>
      </w:r>
      <w:r w:rsidR="008045C1">
        <w:rPr>
          <w:rFonts w:ascii="Arial" w:hAnsi="Arial" w:cs="Arial"/>
          <w:color w:val="000000"/>
          <w:sz w:val="22"/>
          <w:szCs w:val="22"/>
        </w:rPr>
        <w:t>p. ej.</w:t>
      </w:r>
      <w:r w:rsidR="004C41C8">
        <w:rPr>
          <w:rFonts w:ascii="Arial" w:hAnsi="Arial" w:cs="Arial"/>
          <w:color w:val="000000"/>
          <w:sz w:val="22"/>
          <w:szCs w:val="22"/>
        </w:rPr>
        <w:t>,</w:t>
      </w:r>
      <w:r w:rsidR="009A22C5" w:rsidRPr="000C2D3E">
        <w:rPr>
          <w:rFonts w:ascii="Arial" w:hAnsi="Arial" w:cs="Arial"/>
          <w:color w:val="000000"/>
          <w:sz w:val="22"/>
          <w:szCs w:val="22"/>
        </w:rPr>
        <w:t xml:space="preserve"> trombocitopenia) de las intervenciones</w:t>
      </w:r>
      <w:r w:rsidR="001A20FF" w:rsidRPr="000C2D3E">
        <w:rPr>
          <w:rFonts w:ascii="Arial" w:hAnsi="Arial" w:cs="Arial"/>
          <w:color w:val="000000"/>
          <w:sz w:val="22"/>
          <w:szCs w:val="22"/>
          <w:vertAlign w:val="superscript"/>
        </w:rPr>
        <w:t>5</w:t>
      </w:r>
      <w:r w:rsidR="009A22C5" w:rsidRPr="000C2D3E">
        <w:rPr>
          <w:rFonts w:ascii="Arial" w:hAnsi="Arial" w:cs="Arial"/>
          <w:color w:val="000000"/>
          <w:sz w:val="22"/>
          <w:szCs w:val="22"/>
        </w:rPr>
        <w:t>. Los autores evaluaron de forma independiente los riesgos de sesgo para cada estudio, incluyendo los sesgos de selección, rendimiento, detección, desgaste, información y publicación; y</w:t>
      </w:r>
      <w:r w:rsidR="008045C1">
        <w:rPr>
          <w:rFonts w:ascii="Arial" w:hAnsi="Arial" w:cs="Arial"/>
          <w:color w:val="000000"/>
          <w:sz w:val="22"/>
          <w:szCs w:val="22"/>
        </w:rPr>
        <w:t xml:space="preserve">, además, </w:t>
      </w:r>
      <w:r w:rsidR="009A22C5" w:rsidRPr="000C2D3E">
        <w:rPr>
          <w:rFonts w:ascii="Arial" w:hAnsi="Arial" w:cs="Arial"/>
          <w:color w:val="000000"/>
          <w:sz w:val="22"/>
          <w:szCs w:val="22"/>
        </w:rPr>
        <w:t>resolvieron cualquier discrepancia revisando conjuntamente los datos y mediante discusión</w:t>
      </w:r>
      <w:r w:rsidR="001A20FF" w:rsidRPr="000C2D3E">
        <w:rPr>
          <w:rFonts w:ascii="Arial" w:hAnsi="Arial" w:cs="Arial"/>
          <w:color w:val="000000"/>
          <w:sz w:val="22"/>
          <w:szCs w:val="22"/>
          <w:vertAlign w:val="superscript"/>
        </w:rPr>
        <w:t>5</w:t>
      </w:r>
      <w:r w:rsidR="009A22C5" w:rsidRPr="000C2D3E">
        <w:rPr>
          <w:rFonts w:ascii="Arial" w:hAnsi="Arial" w:cs="Arial"/>
          <w:color w:val="000000"/>
          <w:sz w:val="22"/>
          <w:szCs w:val="22"/>
        </w:rPr>
        <w:t>.</w:t>
      </w:r>
    </w:p>
    <w:p w14:paraId="39DE7D1A" w14:textId="4100A239" w:rsidR="001A20FF" w:rsidRPr="000C2D3E" w:rsidRDefault="003A1C3E" w:rsidP="003A1C3E">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El riesgo relativo (RR) y las diferencias de medias con los intervalos de confianza (IC) se utilizaron como medidas del efecto del tratamiento entre diferentes comparaciones y resultados</w:t>
      </w:r>
      <w:r w:rsidRPr="000C2D3E">
        <w:rPr>
          <w:rFonts w:ascii="Arial" w:hAnsi="Arial" w:cs="Arial"/>
          <w:color w:val="000000"/>
          <w:sz w:val="22"/>
          <w:szCs w:val="22"/>
          <w:vertAlign w:val="superscript"/>
        </w:rPr>
        <w:t>5</w:t>
      </w:r>
      <w:r w:rsidRPr="000C2D3E">
        <w:rPr>
          <w:rFonts w:ascii="Arial" w:hAnsi="Arial" w:cs="Arial"/>
          <w:color w:val="000000"/>
          <w:sz w:val="22"/>
          <w:szCs w:val="22"/>
        </w:rPr>
        <w:t xml:space="preserve">. </w:t>
      </w:r>
      <w:r w:rsidR="008B332E" w:rsidRPr="000C2D3E">
        <w:rPr>
          <w:rFonts w:ascii="Arial" w:hAnsi="Arial" w:cs="Arial"/>
          <w:color w:val="000000"/>
          <w:sz w:val="22"/>
          <w:szCs w:val="22"/>
        </w:rPr>
        <w:t xml:space="preserve">Los grados de recomendación del sistema GRADE (recomendación, evaluación, desarrollo y evaluación) </w:t>
      </w:r>
      <w:r w:rsidR="00951E99" w:rsidRPr="000C2D3E">
        <w:rPr>
          <w:rFonts w:ascii="Arial" w:hAnsi="Arial" w:cs="Arial"/>
          <w:color w:val="000000"/>
          <w:sz w:val="22"/>
          <w:szCs w:val="22"/>
        </w:rPr>
        <w:t xml:space="preserve">aceptados internacionales </w:t>
      </w:r>
      <w:r w:rsidR="008B332E" w:rsidRPr="000C2D3E">
        <w:rPr>
          <w:rFonts w:ascii="Arial" w:hAnsi="Arial" w:cs="Arial"/>
          <w:color w:val="000000"/>
          <w:sz w:val="22"/>
          <w:szCs w:val="22"/>
        </w:rPr>
        <w:t>se emplearon para asignar un nivel de calidad de la evidencia a cada resultado</w:t>
      </w:r>
      <w:r w:rsidR="001A20FF" w:rsidRPr="000C2D3E">
        <w:rPr>
          <w:rFonts w:ascii="Arial" w:hAnsi="Arial" w:cs="Arial"/>
          <w:color w:val="000000"/>
          <w:sz w:val="22"/>
          <w:szCs w:val="22"/>
          <w:vertAlign w:val="superscript"/>
        </w:rPr>
        <w:t>6</w:t>
      </w:r>
      <w:r w:rsidR="00951E99" w:rsidRPr="000C2D3E">
        <w:rPr>
          <w:rFonts w:ascii="Arial" w:hAnsi="Arial" w:cs="Arial"/>
          <w:color w:val="000000"/>
          <w:sz w:val="22"/>
          <w:szCs w:val="22"/>
        </w:rPr>
        <w:t>.</w:t>
      </w:r>
      <w:r w:rsidR="001A20FF" w:rsidRPr="000C2D3E">
        <w:rPr>
          <w:rFonts w:ascii="Arial" w:hAnsi="Arial" w:cs="Arial"/>
          <w:color w:val="000000"/>
          <w:sz w:val="22"/>
          <w:szCs w:val="22"/>
        </w:rPr>
        <w:t xml:space="preserve"> </w:t>
      </w:r>
      <w:r w:rsidRPr="000C2D3E">
        <w:rPr>
          <w:rFonts w:ascii="Arial" w:hAnsi="Arial" w:cs="Arial"/>
          <w:color w:val="000000"/>
          <w:sz w:val="22"/>
          <w:szCs w:val="22"/>
        </w:rPr>
        <w:t xml:space="preserve">Los 4 niveles se resumen a continuación: (1) un nivel </w:t>
      </w:r>
      <w:r w:rsidR="00F70BC4" w:rsidRPr="000C2D3E">
        <w:rPr>
          <w:rFonts w:ascii="Arial" w:hAnsi="Arial" w:cs="Arial"/>
          <w:color w:val="000000"/>
          <w:sz w:val="22"/>
          <w:szCs w:val="22"/>
        </w:rPr>
        <w:t xml:space="preserve">alto </w:t>
      </w:r>
      <w:r w:rsidRPr="000C2D3E">
        <w:rPr>
          <w:rFonts w:ascii="Arial" w:hAnsi="Arial" w:cs="Arial"/>
          <w:color w:val="000000"/>
          <w:sz w:val="22"/>
          <w:szCs w:val="22"/>
        </w:rPr>
        <w:t xml:space="preserve">de calidad indica que </w:t>
      </w:r>
      <w:r w:rsidR="00D56852" w:rsidRPr="000C2D3E">
        <w:rPr>
          <w:rFonts w:ascii="Arial" w:hAnsi="Arial" w:cs="Arial"/>
          <w:color w:val="000000"/>
          <w:sz w:val="22"/>
          <w:szCs w:val="22"/>
        </w:rPr>
        <w:t xml:space="preserve">es muy improbable que </w:t>
      </w:r>
      <w:r w:rsidR="008045C1">
        <w:rPr>
          <w:rFonts w:ascii="Arial" w:hAnsi="Arial" w:cs="Arial"/>
          <w:color w:val="000000"/>
          <w:sz w:val="22"/>
          <w:szCs w:val="22"/>
        </w:rPr>
        <w:t>futuras</w:t>
      </w:r>
      <w:r w:rsidR="00D56852" w:rsidRPr="000C2D3E">
        <w:rPr>
          <w:rFonts w:ascii="Arial" w:hAnsi="Arial" w:cs="Arial"/>
          <w:color w:val="000000"/>
          <w:sz w:val="22"/>
          <w:szCs w:val="22"/>
        </w:rPr>
        <w:t xml:space="preserve"> investigaciones cambien la fiabilidad de las conclusiones;  </w:t>
      </w:r>
      <w:r w:rsidR="001A20FF" w:rsidRPr="000C2D3E">
        <w:rPr>
          <w:rFonts w:ascii="Arial" w:hAnsi="Arial" w:cs="Arial"/>
          <w:color w:val="000000"/>
          <w:sz w:val="22"/>
          <w:szCs w:val="22"/>
        </w:rPr>
        <w:t xml:space="preserve">(2) </w:t>
      </w:r>
      <w:r w:rsidR="00ED1D2A" w:rsidRPr="000C2D3E">
        <w:rPr>
          <w:rFonts w:ascii="Arial" w:hAnsi="Arial" w:cs="Arial"/>
          <w:color w:val="000000"/>
          <w:sz w:val="22"/>
          <w:szCs w:val="22"/>
        </w:rPr>
        <w:t xml:space="preserve">un nivel </w:t>
      </w:r>
      <w:r w:rsidR="00F70BC4" w:rsidRPr="000C2D3E">
        <w:rPr>
          <w:rFonts w:ascii="Arial" w:hAnsi="Arial" w:cs="Arial"/>
          <w:color w:val="000000"/>
          <w:sz w:val="22"/>
          <w:szCs w:val="22"/>
        </w:rPr>
        <w:t xml:space="preserve">moderado </w:t>
      </w:r>
      <w:r w:rsidR="00ED1D2A" w:rsidRPr="000C2D3E">
        <w:rPr>
          <w:rFonts w:ascii="Arial" w:hAnsi="Arial" w:cs="Arial"/>
          <w:color w:val="000000"/>
          <w:sz w:val="22"/>
          <w:szCs w:val="22"/>
        </w:rPr>
        <w:t xml:space="preserve">de calidad indica que es probable que </w:t>
      </w:r>
      <w:r w:rsidR="008045C1">
        <w:rPr>
          <w:rFonts w:ascii="Arial" w:hAnsi="Arial" w:cs="Arial"/>
          <w:color w:val="000000"/>
          <w:sz w:val="22"/>
          <w:szCs w:val="22"/>
        </w:rPr>
        <w:t>futuras</w:t>
      </w:r>
      <w:r w:rsidR="00ED1D2A" w:rsidRPr="000C2D3E">
        <w:rPr>
          <w:rFonts w:ascii="Arial" w:hAnsi="Arial" w:cs="Arial"/>
          <w:color w:val="000000"/>
          <w:sz w:val="22"/>
          <w:szCs w:val="22"/>
        </w:rPr>
        <w:t xml:space="preserve"> investigaciones tengan un impacto importante sobre la fiabilidad de la conclusión y que puedan cambiarla; </w:t>
      </w:r>
      <w:r w:rsidR="001A20FF" w:rsidRPr="000C2D3E">
        <w:rPr>
          <w:rFonts w:ascii="Arial" w:hAnsi="Arial" w:cs="Arial"/>
          <w:color w:val="000000"/>
          <w:sz w:val="22"/>
          <w:szCs w:val="22"/>
        </w:rPr>
        <w:t xml:space="preserve">(3) </w:t>
      </w:r>
      <w:r w:rsidR="00ED1D2A" w:rsidRPr="000C2D3E">
        <w:rPr>
          <w:rFonts w:ascii="Arial" w:hAnsi="Arial" w:cs="Arial"/>
          <w:color w:val="000000"/>
          <w:sz w:val="22"/>
          <w:szCs w:val="22"/>
        </w:rPr>
        <w:t xml:space="preserve">un nivel </w:t>
      </w:r>
      <w:r w:rsidR="00F70BC4" w:rsidRPr="000C2D3E">
        <w:rPr>
          <w:rFonts w:ascii="Arial" w:hAnsi="Arial" w:cs="Arial"/>
          <w:color w:val="000000"/>
          <w:sz w:val="22"/>
          <w:szCs w:val="22"/>
        </w:rPr>
        <w:t xml:space="preserve">bajo </w:t>
      </w:r>
      <w:r w:rsidR="00ED1D2A" w:rsidRPr="000C2D3E">
        <w:rPr>
          <w:rFonts w:ascii="Arial" w:hAnsi="Arial" w:cs="Arial"/>
          <w:color w:val="000000"/>
          <w:sz w:val="22"/>
          <w:szCs w:val="22"/>
        </w:rPr>
        <w:t xml:space="preserve">de calidad indica que es muy probable que </w:t>
      </w:r>
      <w:r w:rsidR="008045C1">
        <w:rPr>
          <w:rFonts w:ascii="Arial" w:hAnsi="Arial" w:cs="Arial"/>
          <w:color w:val="000000"/>
          <w:sz w:val="22"/>
          <w:szCs w:val="22"/>
        </w:rPr>
        <w:t>futuras</w:t>
      </w:r>
      <w:r w:rsidR="00ED1D2A" w:rsidRPr="000C2D3E">
        <w:rPr>
          <w:rFonts w:ascii="Arial" w:hAnsi="Arial" w:cs="Arial"/>
          <w:color w:val="000000"/>
          <w:sz w:val="22"/>
          <w:szCs w:val="22"/>
        </w:rPr>
        <w:t xml:space="preserve"> investigaciones tengan un impacto importante sobre la fiabilidad de la conclusión y que es probable que la cambien; y </w:t>
      </w:r>
      <w:r w:rsidR="001A20FF" w:rsidRPr="000C2D3E">
        <w:rPr>
          <w:rFonts w:ascii="Arial" w:hAnsi="Arial" w:cs="Arial"/>
          <w:color w:val="000000"/>
          <w:sz w:val="22"/>
          <w:szCs w:val="22"/>
        </w:rPr>
        <w:t xml:space="preserve">(4) </w:t>
      </w:r>
      <w:r w:rsidR="00ED1D2A" w:rsidRPr="000C2D3E">
        <w:rPr>
          <w:rFonts w:ascii="Arial" w:hAnsi="Arial" w:cs="Arial"/>
          <w:color w:val="000000"/>
          <w:sz w:val="22"/>
          <w:szCs w:val="22"/>
        </w:rPr>
        <w:t xml:space="preserve">un nivel muy bajo de calidad significa que existe incertidumbre sobre </w:t>
      </w:r>
      <w:r w:rsidR="00F70BC4" w:rsidRPr="000C2D3E">
        <w:rPr>
          <w:rFonts w:ascii="Arial" w:hAnsi="Arial" w:cs="Arial"/>
          <w:color w:val="000000"/>
          <w:sz w:val="22"/>
          <w:szCs w:val="22"/>
        </w:rPr>
        <w:t>la conclusión</w:t>
      </w:r>
      <w:r w:rsidR="001A20FF" w:rsidRPr="000C2D3E">
        <w:rPr>
          <w:rFonts w:ascii="Arial" w:hAnsi="Arial" w:cs="Arial"/>
          <w:color w:val="000000"/>
          <w:sz w:val="22"/>
          <w:szCs w:val="22"/>
          <w:vertAlign w:val="superscript"/>
        </w:rPr>
        <w:t>6</w:t>
      </w:r>
      <w:r w:rsidR="00F70BC4" w:rsidRPr="000C2D3E">
        <w:rPr>
          <w:rFonts w:ascii="Arial" w:hAnsi="Arial" w:cs="Arial"/>
          <w:color w:val="000000"/>
          <w:sz w:val="22"/>
          <w:szCs w:val="22"/>
        </w:rPr>
        <w:t>.</w:t>
      </w:r>
    </w:p>
    <w:p w14:paraId="68C174FE" w14:textId="78CADE88" w:rsidR="001A20FF" w:rsidRPr="000C2D3E" w:rsidRDefault="00F70BC4" w:rsidP="00F25633">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 xml:space="preserve">Los siguientes aspectos resumen los principales resultados de la revisión de </w:t>
      </w:r>
      <w:proofErr w:type="spellStart"/>
      <w:r w:rsidR="001A20FF" w:rsidRPr="000C2D3E">
        <w:rPr>
          <w:rFonts w:ascii="Arial" w:hAnsi="Arial" w:cs="Arial"/>
          <w:color w:val="000000"/>
          <w:sz w:val="22"/>
          <w:szCs w:val="22"/>
        </w:rPr>
        <w:t>Toews</w:t>
      </w:r>
      <w:proofErr w:type="spellEnd"/>
      <w:r w:rsidR="00150FF5" w:rsidRPr="000C2D3E">
        <w:rPr>
          <w:rFonts w:ascii="Arial" w:hAnsi="Arial" w:cs="Arial"/>
          <w:color w:val="000000"/>
          <w:sz w:val="22"/>
          <w:szCs w:val="22"/>
        </w:rPr>
        <w:t xml:space="preserve"> </w:t>
      </w:r>
      <w:r w:rsidR="001A20FF" w:rsidRPr="000C2D3E">
        <w:rPr>
          <w:rFonts w:ascii="Arial" w:hAnsi="Arial" w:cs="Arial"/>
          <w:color w:val="000000"/>
          <w:sz w:val="22"/>
          <w:szCs w:val="22"/>
        </w:rPr>
        <w:t>et al</w:t>
      </w:r>
      <w:r w:rsidRPr="000C2D3E">
        <w:rPr>
          <w:rFonts w:ascii="Arial" w:hAnsi="Arial" w:cs="Arial"/>
          <w:color w:val="000000"/>
          <w:sz w:val="22"/>
          <w:szCs w:val="22"/>
        </w:rPr>
        <w:t>.</w:t>
      </w:r>
      <w:r w:rsidR="001A20FF" w:rsidRPr="000C2D3E">
        <w:rPr>
          <w:rFonts w:ascii="Arial" w:hAnsi="Arial" w:cs="Arial"/>
          <w:color w:val="000000"/>
          <w:sz w:val="22"/>
          <w:szCs w:val="22"/>
          <w:vertAlign w:val="superscript"/>
        </w:rPr>
        <w:t>5</w:t>
      </w:r>
      <w:r w:rsidR="001A20FF" w:rsidRPr="000C2D3E">
        <w:rPr>
          <w:rFonts w:ascii="Arial" w:hAnsi="Arial" w:cs="Arial"/>
          <w:color w:val="000000"/>
          <w:sz w:val="22"/>
          <w:szCs w:val="22"/>
        </w:rPr>
        <w:t>:</w:t>
      </w:r>
    </w:p>
    <w:p w14:paraId="5D09D832" w14:textId="787A6A3B" w:rsidR="001A20FF" w:rsidRPr="000C2D3E" w:rsidRDefault="00332897" w:rsidP="00F25633">
      <w:pPr>
        <w:pStyle w:val="Prrafodelista"/>
        <w:numPr>
          <w:ilvl w:val="0"/>
          <w:numId w:val="1"/>
        </w:numPr>
        <w:autoSpaceDE w:val="0"/>
        <w:autoSpaceDN w:val="0"/>
        <w:adjustRightInd w:val="0"/>
        <w:spacing w:line="480" w:lineRule="auto"/>
        <w:jc w:val="both"/>
        <w:rPr>
          <w:rFonts w:ascii="Arial" w:hAnsi="Arial" w:cs="Arial"/>
          <w:color w:val="000000"/>
          <w:sz w:val="22"/>
          <w:szCs w:val="22"/>
        </w:rPr>
      </w:pPr>
      <w:r w:rsidRPr="000C2D3E">
        <w:rPr>
          <w:rFonts w:ascii="Arial" w:hAnsi="Arial" w:cs="Arial"/>
          <w:color w:val="000000"/>
          <w:sz w:val="22"/>
          <w:szCs w:val="22"/>
        </w:rPr>
        <w:lastRenderedPageBreak/>
        <w:t xml:space="preserve">Existe un efecto beneficioso de cualquier intervención frente al placebo o la </w:t>
      </w:r>
      <w:r w:rsidR="008045C1">
        <w:rPr>
          <w:rFonts w:ascii="Arial" w:hAnsi="Arial" w:cs="Arial"/>
          <w:color w:val="000000"/>
          <w:sz w:val="22"/>
          <w:szCs w:val="22"/>
        </w:rPr>
        <w:t xml:space="preserve">ausencia de </w:t>
      </w:r>
      <w:r w:rsidRPr="000C2D3E">
        <w:rPr>
          <w:rFonts w:ascii="Arial" w:hAnsi="Arial" w:cs="Arial"/>
          <w:color w:val="000000"/>
          <w:sz w:val="22"/>
          <w:szCs w:val="22"/>
        </w:rPr>
        <w:t xml:space="preserve">profilaxis en la aparición de una HDA clínicamente importante </w:t>
      </w:r>
      <w:r w:rsidR="001A20FF" w:rsidRPr="000C2D3E">
        <w:rPr>
          <w:rFonts w:ascii="Arial" w:hAnsi="Arial" w:cs="Arial"/>
          <w:color w:val="000000"/>
          <w:sz w:val="22"/>
          <w:szCs w:val="22"/>
        </w:rPr>
        <w:t>(RR</w:t>
      </w:r>
      <w:r w:rsidRPr="000C2D3E">
        <w:rPr>
          <w:rFonts w:ascii="Arial" w:hAnsi="Arial" w:cs="Arial"/>
          <w:color w:val="000000"/>
          <w:sz w:val="22"/>
          <w:szCs w:val="22"/>
        </w:rPr>
        <w:t xml:space="preserve"> </w:t>
      </w:r>
      <w:r w:rsidR="001A20FF" w:rsidRPr="000C2D3E">
        <w:rPr>
          <w:rFonts w:ascii="Arial" w:hAnsi="Arial" w:cs="Arial"/>
          <w:color w:val="000000"/>
          <w:sz w:val="22"/>
          <w:szCs w:val="22"/>
        </w:rPr>
        <w:t>0</w:t>
      </w:r>
      <w:r w:rsidRPr="000C2D3E">
        <w:rPr>
          <w:rFonts w:ascii="Arial" w:hAnsi="Arial" w:cs="Arial"/>
          <w:color w:val="000000"/>
          <w:sz w:val="22"/>
          <w:szCs w:val="22"/>
        </w:rPr>
        <w:t>,</w:t>
      </w:r>
      <w:r w:rsidR="001A20FF" w:rsidRPr="000C2D3E">
        <w:rPr>
          <w:rFonts w:ascii="Arial" w:hAnsi="Arial" w:cs="Arial"/>
          <w:color w:val="000000"/>
          <w:sz w:val="22"/>
          <w:szCs w:val="22"/>
        </w:rPr>
        <w:t>47;</w:t>
      </w:r>
      <w:r w:rsidR="00150FF5" w:rsidRPr="000C2D3E">
        <w:rPr>
          <w:rFonts w:ascii="Arial" w:hAnsi="Arial" w:cs="Arial"/>
          <w:color w:val="000000"/>
          <w:sz w:val="22"/>
          <w:szCs w:val="22"/>
        </w:rPr>
        <w:t xml:space="preserve"> </w:t>
      </w:r>
      <w:r w:rsidRPr="000C2D3E">
        <w:rPr>
          <w:rFonts w:ascii="Arial" w:hAnsi="Arial" w:cs="Arial"/>
          <w:color w:val="000000"/>
          <w:sz w:val="22"/>
          <w:szCs w:val="22"/>
        </w:rPr>
        <w:t xml:space="preserve">IC </w:t>
      </w:r>
      <w:r w:rsidR="001A20FF" w:rsidRPr="000C2D3E">
        <w:rPr>
          <w:rFonts w:ascii="Arial" w:hAnsi="Arial" w:cs="Arial"/>
          <w:color w:val="000000"/>
          <w:sz w:val="22"/>
          <w:szCs w:val="22"/>
        </w:rPr>
        <w:t>95%</w:t>
      </w:r>
      <w:r w:rsidRPr="000C2D3E">
        <w:rPr>
          <w:rFonts w:ascii="Arial" w:hAnsi="Arial" w:cs="Arial"/>
          <w:color w:val="000000"/>
          <w:sz w:val="22"/>
          <w:szCs w:val="22"/>
        </w:rPr>
        <w:t xml:space="preserve">: </w:t>
      </w:r>
      <w:r w:rsidR="001A20FF" w:rsidRPr="000C2D3E">
        <w:rPr>
          <w:rFonts w:ascii="Arial" w:hAnsi="Arial" w:cs="Arial"/>
          <w:color w:val="000000"/>
          <w:sz w:val="22"/>
          <w:szCs w:val="22"/>
        </w:rPr>
        <w:t>0</w:t>
      </w:r>
      <w:r w:rsidRPr="000C2D3E">
        <w:rPr>
          <w:rFonts w:ascii="Arial" w:hAnsi="Arial" w:cs="Arial"/>
          <w:color w:val="000000"/>
          <w:sz w:val="22"/>
          <w:szCs w:val="22"/>
        </w:rPr>
        <w:t>,</w:t>
      </w:r>
      <w:r w:rsidR="001A20FF" w:rsidRPr="000C2D3E">
        <w:rPr>
          <w:rFonts w:ascii="Arial" w:hAnsi="Arial" w:cs="Arial"/>
          <w:color w:val="000000"/>
          <w:sz w:val="22"/>
          <w:szCs w:val="22"/>
        </w:rPr>
        <w:t>39-0</w:t>
      </w:r>
      <w:r w:rsidRPr="000C2D3E">
        <w:rPr>
          <w:rFonts w:ascii="Arial" w:hAnsi="Arial" w:cs="Arial"/>
          <w:color w:val="000000"/>
          <w:sz w:val="22"/>
          <w:szCs w:val="22"/>
        </w:rPr>
        <w:t>,</w:t>
      </w:r>
      <w:r w:rsidR="001A20FF" w:rsidRPr="000C2D3E">
        <w:rPr>
          <w:rFonts w:ascii="Arial" w:hAnsi="Arial" w:cs="Arial"/>
          <w:color w:val="000000"/>
          <w:sz w:val="22"/>
          <w:szCs w:val="22"/>
        </w:rPr>
        <w:t xml:space="preserve">57; </w:t>
      </w:r>
      <w:r w:rsidRPr="000C2D3E">
        <w:rPr>
          <w:rFonts w:ascii="Arial" w:hAnsi="Arial" w:cs="Arial"/>
          <w:color w:val="000000"/>
          <w:sz w:val="22"/>
          <w:szCs w:val="22"/>
        </w:rPr>
        <w:t>evidencia de calidad</w:t>
      </w:r>
      <w:r w:rsidR="000F09D9">
        <w:rPr>
          <w:rFonts w:ascii="Arial" w:hAnsi="Arial" w:cs="Arial"/>
          <w:color w:val="000000"/>
          <w:sz w:val="22"/>
          <w:szCs w:val="22"/>
        </w:rPr>
        <w:t xml:space="preserve"> moderada</w:t>
      </w:r>
      <w:r w:rsidR="001A20FF" w:rsidRPr="000C2D3E">
        <w:rPr>
          <w:rFonts w:ascii="Arial" w:hAnsi="Arial" w:cs="Arial"/>
          <w:color w:val="000000"/>
          <w:sz w:val="22"/>
          <w:szCs w:val="22"/>
        </w:rPr>
        <w:t>).</w:t>
      </w:r>
    </w:p>
    <w:p w14:paraId="268C4776" w14:textId="5D1CC325" w:rsidR="001A20FF" w:rsidRPr="000C2D3E" w:rsidRDefault="00332897" w:rsidP="00F25633">
      <w:pPr>
        <w:pStyle w:val="Prrafodelista"/>
        <w:numPr>
          <w:ilvl w:val="0"/>
          <w:numId w:val="1"/>
        </w:numPr>
        <w:autoSpaceDE w:val="0"/>
        <w:autoSpaceDN w:val="0"/>
        <w:adjustRightInd w:val="0"/>
        <w:spacing w:line="480" w:lineRule="auto"/>
        <w:jc w:val="both"/>
        <w:rPr>
          <w:rFonts w:ascii="Arial" w:hAnsi="Arial" w:cs="Arial"/>
          <w:color w:val="000000"/>
          <w:sz w:val="22"/>
          <w:szCs w:val="22"/>
        </w:rPr>
      </w:pPr>
      <w:r w:rsidRPr="000C2D3E">
        <w:rPr>
          <w:rFonts w:ascii="Arial" w:hAnsi="Arial" w:cs="Arial"/>
          <w:color w:val="000000"/>
          <w:sz w:val="22"/>
          <w:szCs w:val="22"/>
        </w:rPr>
        <w:t xml:space="preserve">No hubo una diferencia </w:t>
      </w:r>
      <w:r w:rsidR="00B1523B">
        <w:rPr>
          <w:rFonts w:ascii="Arial" w:hAnsi="Arial" w:cs="Arial"/>
          <w:color w:val="000000"/>
          <w:sz w:val="22"/>
          <w:szCs w:val="22"/>
        </w:rPr>
        <w:t xml:space="preserve">estadísticamente </w:t>
      </w:r>
      <w:r w:rsidRPr="000C2D3E">
        <w:rPr>
          <w:rFonts w:ascii="Arial" w:hAnsi="Arial" w:cs="Arial"/>
          <w:color w:val="000000"/>
          <w:sz w:val="22"/>
          <w:szCs w:val="22"/>
        </w:rPr>
        <w:t xml:space="preserve">significativa en la aparición de neumonía nosocomial y NAV </w:t>
      </w:r>
      <w:r w:rsidR="001A20FF" w:rsidRPr="000C2D3E">
        <w:rPr>
          <w:rFonts w:ascii="Arial" w:hAnsi="Arial" w:cs="Arial"/>
          <w:color w:val="000000"/>
          <w:sz w:val="22"/>
          <w:szCs w:val="22"/>
        </w:rPr>
        <w:t>(RR 1</w:t>
      </w:r>
      <w:r w:rsidRPr="000C2D3E">
        <w:rPr>
          <w:rFonts w:ascii="Arial" w:hAnsi="Arial" w:cs="Arial"/>
          <w:color w:val="000000"/>
          <w:sz w:val="22"/>
          <w:szCs w:val="22"/>
        </w:rPr>
        <w:t>,</w:t>
      </w:r>
      <w:r w:rsidR="001A20FF" w:rsidRPr="000C2D3E">
        <w:rPr>
          <w:rFonts w:ascii="Arial" w:hAnsi="Arial" w:cs="Arial"/>
          <w:color w:val="000000"/>
          <w:sz w:val="22"/>
          <w:szCs w:val="22"/>
        </w:rPr>
        <w:t xml:space="preserve">15; </w:t>
      </w:r>
      <w:r w:rsidRPr="000C2D3E">
        <w:rPr>
          <w:rFonts w:ascii="Arial" w:hAnsi="Arial" w:cs="Arial"/>
          <w:color w:val="000000"/>
          <w:sz w:val="22"/>
          <w:szCs w:val="22"/>
        </w:rPr>
        <w:t xml:space="preserve">IC </w:t>
      </w:r>
      <w:r w:rsidR="001A20FF" w:rsidRPr="000C2D3E">
        <w:rPr>
          <w:rFonts w:ascii="Arial" w:hAnsi="Arial" w:cs="Arial"/>
          <w:color w:val="000000"/>
          <w:sz w:val="22"/>
          <w:szCs w:val="22"/>
        </w:rPr>
        <w:t>95%</w:t>
      </w:r>
      <w:r w:rsidRPr="000C2D3E">
        <w:rPr>
          <w:rFonts w:ascii="Arial" w:hAnsi="Arial" w:cs="Arial"/>
          <w:color w:val="000000"/>
          <w:sz w:val="22"/>
          <w:szCs w:val="22"/>
        </w:rPr>
        <w:t xml:space="preserve">: </w:t>
      </w:r>
      <w:r w:rsidR="001A20FF" w:rsidRPr="000C2D3E">
        <w:rPr>
          <w:rFonts w:ascii="Arial" w:hAnsi="Arial" w:cs="Arial"/>
          <w:color w:val="000000"/>
          <w:sz w:val="22"/>
          <w:szCs w:val="22"/>
        </w:rPr>
        <w:t>0</w:t>
      </w:r>
      <w:r w:rsidRPr="000C2D3E">
        <w:rPr>
          <w:rFonts w:ascii="Arial" w:hAnsi="Arial" w:cs="Arial"/>
          <w:color w:val="000000"/>
          <w:sz w:val="22"/>
          <w:szCs w:val="22"/>
        </w:rPr>
        <w:t>,</w:t>
      </w:r>
      <w:r w:rsidR="001A20FF" w:rsidRPr="000C2D3E">
        <w:rPr>
          <w:rFonts w:ascii="Arial" w:hAnsi="Arial" w:cs="Arial"/>
          <w:color w:val="000000"/>
          <w:sz w:val="22"/>
          <w:szCs w:val="22"/>
        </w:rPr>
        <w:t>90-1</w:t>
      </w:r>
      <w:r w:rsidRPr="000C2D3E">
        <w:rPr>
          <w:rFonts w:ascii="Arial" w:hAnsi="Arial" w:cs="Arial"/>
          <w:color w:val="000000"/>
          <w:sz w:val="22"/>
          <w:szCs w:val="22"/>
        </w:rPr>
        <w:t>,</w:t>
      </w:r>
      <w:r w:rsidR="001A20FF" w:rsidRPr="000C2D3E">
        <w:rPr>
          <w:rFonts w:ascii="Arial" w:hAnsi="Arial" w:cs="Arial"/>
          <w:color w:val="000000"/>
          <w:sz w:val="22"/>
          <w:szCs w:val="22"/>
        </w:rPr>
        <w:t xml:space="preserve">48; </w:t>
      </w:r>
      <w:r w:rsidRPr="000C2D3E">
        <w:rPr>
          <w:rFonts w:ascii="Arial" w:hAnsi="Arial" w:cs="Arial"/>
          <w:color w:val="000000"/>
          <w:sz w:val="22"/>
          <w:szCs w:val="22"/>
        </w:rPr>
        <w:t>evidencia de calidad</w:t>
      </w:r>
      <w:r w:rsidR="000F09D9">
        <w:rPr>
          <w:rFonts w:ascii="Arial" w:hAnsi="Arial" w:cs="Arial"/>
          <w:color w:val="000000"/>
          <w:sz w:val="22"/>
          <w:szCs w:val="22"/>
        </w:rPr>
        <w:t xml:space="preserve"> baja</w:t>
      </w:r>
      <w:r w:rsidR="001A20FF" w:rsidRPr="000C2D3E">
        <w:rPr>
          <w:rFonts w:ascii="Arial" w:hAnsi="Arial" w:cs="Arial"/>
          <w:color w:val="000000"/>
          <w:sz w:val="22"/>
          <w:szCs w:val="22"/>
        </w:rPr>
        <w:t>).</w:t>
      </w:r>
    </w:p>
    <w:p w14:paraId="2CAAC12B" w14:textId="6C08BACF" w:rsidR="001A20FF" w:rsidRPr="000C2D3E" w:rsidRDefault="00D77B99" w:rsidP="00F25633">
      <w:pPr>
        <w:pStyle w:val="Prrafodelista"/>
        <w:numPr>
          <w:ilvl w:val="0"/>
          <w:numId w:val="1"/>
        </w:numPr>
        <w:autoSpaceDE w:val="0"/>
        <w:autoSpaceDN w:val="0"/>
        <w:adjustRightInd w:val="0"/>
        <w:spacing w:line="480" w:lineRule="auto"/>
        <w:jc w:val="both"/>
        <w:rPr>
          <w:rFonts w:ascii="Arial" w:hAnsi="Arial" w:cs="Arial"/>
          <w:color w:val="000000"/>
          <w:sz w:val="22"/>
          <w:szCs w:val="22"/>
        </w:rPr>
      </w:pPr>
      <w:r w:rsidRPr="000C2D3E">
        <w:rPr>
          <w:rFonts w:ascii="Arial" w:hAnsi="Arial" w:cs="Arial"/>
          <w:color w:val="000000"/>
          <w:sz w:val="22"/>
          <w:szCs w:val="22"/>
        </w:rPr>
        <w:t xml:space="preserve">No hubo una diferencia </w:t>
      </w:r>
      <w:r w:rsidR="00B1523B">
        <w:rPr>
          <w:rFonts w:ascii="Arial" w:hAnsi="Arial" w:cs="Arial"/>
          <w:color w:val="000000"/>
          <w:sz w:val="22"/>
          <w:szCs w:val="22"/>
        </w:rPr>
        <w:t xml:space="preserve">estadísticamente </w:t>
      </w:r>
      <w:r w:rsidRPr="000C2D3E">
        <w:rPr>
          <w:rFonts w:ascii="Arial" w:hAnsi="Arial" w:cs="Arial"/>
          <w:color w:val="000000"/>
          <w:sz w:val="22"/>
          <w:szCs w:val="22"/>
        </w:rPr>
        <w:t xml:space="preserve">significativa relacionada con la mortalidad </w:t>
      </w:r>
      <w:r w:rsidR="00596B5F">
        <w:rPr>
          <w:rFonts w:ascii="Arial" w:hAnsi="Arial" w:cs="Arial"/>
          <w:color w:val="000000"/>
          <w:sz w:val="22"/>
          <w:szCs w:val="22"/>
        </w:rPr>
        <w:t xml:space="preserve">asociada a cualquier </w:t>
      </w:r>
      <w:r w:rsidR="007C6487">
        <w:rPr>
          <w:rFonts w:ascii="Arial" w:hAnsi="Arial" w:cs="Arial"/>
          <w:color w:val="000000"/>
          <w:sz w:val="22"/>
          <w:szCs w:val="22"/>
        </w:rPr>
        <w:t xml:space="preserve">causa </w:t>
      </w:r>
      <w:r w:rsidR="007C6487" w:rsidRPr="000C2D3E">
        <w:rPr>
          <w:rFonts w:ascii="Arial" w:hAnsi="Arial" w:cs="Arial"/>
          <w:color w:val="000000"/>
          <w:sz w:val="22"/>
          <w:szCs w:val="22"/>
        </w:rPr>
        <w:t>en</w:t>
      </w:r>
      <w:r w:rsidRPr="000C2D3E">
        <w:rPr>
          <w:rFonts w:ascii="Arial" w:hAnsi="Arial" w:cs="Arial"/>
          <w:color w:val="000000"/>
          <w:sz w:val="22"/>
          <w:szCs w:val="22"/>
        </w:rPr>
        <w:t xml:space="preserve"> la UCI </w:t>
      </w:r>
      <w:r w:rsidR="001A20FF" w:rsidRPr="000C2D3E">
        <w:rPr>
          <w:rFonts w:ascii="Arial" w:hAnsi="Arial" w:cs="Arial"/>
          <w:color w:val="000000"/>
          <w:sz w:val="22"/>
          <w:szCs w:val="22"/>
        </w:rPr>
        <w:t>(RR</w:t>
      </w:r>
      <w:r w:rsidRPr="000C2D3E">
        <w:rPr>
          <w:rFonts w:ascii="Arial" w:hAnsi="Arial" w:cs="Arial"/>
          <w:color w:val="000000"/>
          <w:sz w:val="22"/>
          <w:szCs w:val="22"/>
        </w:rPr>
        <w:t xml:space="preserve"> </w:t>
      </w:r>
      <w:r w:rsidR="001A20FF" w:rsidRPr="000C2D3E">
        <w:rPr>
          <w:rFonts w:ascii="Arial" w:hAnsi="Arial" w:cs="Arial"/>
          <w:color w:val="000000"/>
          <w:sz w:val="22"/>
          <w:szCs w:val="22"/>
        </w:rPr>
        <w:t>1</w:t>
      </w:r>
      <w:r w:rsidRPr="000C2D3E">
        <w:rPr>
          <w:rFonts w:ascii="Arial" w:hAnsi="Arial" w:cs="Arial"/>
          <w:color w:val="000000"/>
          <w:sz w:val="22"/>
          <w:szCs w:val="22"/>
        </w:rPr>
        <w:t>,</w:t>
      </w:r>
      <w:r w:rsidR="001A20FF" w:rsidRPr="000C2D3E">
        <w:rPr>
          <w:rFonts w:ascii="Arial" w:hAnsi="Arial" w:cs="Arial"/>
          <w:color w:val="000000"/>
          <w:sz w:val="22"/>
          <w:szCs w:val="22"/>
        </w:rPr>
        <w:t xml:space="preserve">10; </w:t>
      </w:r>
      <w:r w:rsidRPr="000C2D3E">
        <w:rPr>
          <w:rFonts w:ascii="Arial" w:hAnsi="Arial" w:cs="Arial"/>
          <w:color w:val="000000"/>
          <w:sz w:val="22"/>
          <w:szCs w:val="22"/>
        </w:rPr>
        <w:t xml:space="preserve">IC </w:t>
      </w:r>
      <w:r w:rsidR="001A20FF" w:rsidRPr="000C2D3E">
        <w:rPr>
          <w:rFonts w:ascii="Arial" w:hAnsi="Arial" w:cs="Arial"/>
          <w:color w:val="000000"/>
          <w:sz w:val="22"/>
          <w:szCs w:val="22"/>
        </w:rPr>
        <w:t>95</w:t>
      </w:r>
      <w:r w:rsidRPr="000C2D3E">
        <w:rPr>
          <w:rFonts w:ascii="Arial" w:hAnsi="Arial" w:cs="Arial"/>
          <w:color w:val="000000"/>
          <w:sz w:val="22"/>
          <w:szCs w:val="22"/>
        </w:rPr>
        <w:t>%:</w:t>
      </w:r>
      <w:r w:rsidR="001A20FF" w:rsidRPr="000C2D3E">
        <w:rPr>
          <w:rFonts w:ascii="Arial" w:hAnsi="Arial" w:cs="Arial"/>
          <w:color w:val="000000"/>
          <w:sz w:val="22"/>
          <w:szCs w:val="22"/>
        </w:rPr>
        <w:t xml:space="preserve"> 0</w:t>
      </w:r>
      <w:r w:rsidRPr="000C2D3E">
        <w:rPr>
          <w:rFonts w:ascii="Arial" w:hAnsi="Arial" w:cs="Arial"/>
          <w:color w:val="000000"/>
          <w:sz w:val="22"/>
          <w:szCs w:val="22"/>
        </w:rPr>
        <w:t>,</w:t>
      </w:r>
      <w:r w:rsidR="001A20FF" w:rsidRPr="000C2D3E">
        <w:rPr>
          <w:rFonts w:ascii="Arial" w:hAnsi="Arial" w:cs="Arial"/>
          <w:color w:val="000000"/>
          <w:sz w:val="22"/>
          <w:szCs w:val="22"/>
        </w:rPr>
        <w:t>90-1</w:t>
      </w:r>
      <w:r w:rsidRPr="000C2D3E">
        <w:rPr>
          <w:rFonts w:ascii="Arial" w:hAnsi="Arial" w:cs="Arial"/>
          <w:color w:val="000000"/>
          <w:sz w:val="22"/>
          <w:szCs w:val="22"/>
        </w:rPr>
        <w:t>,</w:t>
      </w:r>
      <w:r w:rsidR="001A20FF" w:rsidRPr="000C2D3E">
        <w:rPr>
          <w:rFonts w:ascii="Arial" w:hAnsi="Arial" w:cs="Arial"/>
          <w:color w:val="000000"/>
          <w:sz w:val="22"/>
          <w:szCs w:val="22"/>
        </w:rPr>
        <w:t xml:space="preserve">34; </w:t>
      </w:r>
      <w:r w:rsidRPr="000C2D3E">
        <w:rPr>
          <w:rFonts w:ascii="Arial" w:hAnsi="Arial" w:cs="Arial"/>
          <w:color w:val="000000"/>
          <w:sz w:val="22"/>
          <w:szCs w:val="22"/>
        </w:rPr>
        <w:t>evidencia de calidad</w:t>
      </w:r>
      <w:r w:rsidR="000F09D9">
        <w:rPr>
          <w:rFonts w:ascii="Arial" w:hAnsi="Arial" w:cs="Arial"/>
          <w:color w:val="000000"/>
          <w:sz w:val="22"/>
          <w:szCs w:val="22"/>
        </w:rPr>
        <w:t xml:space="preserve"> baja</w:t>
      </w:r>
      <w:r w:rsidR="001A20FF" w:rsidRPr="000C2D3E">
        <w:rPr>
          <w:rFonts w:ascii="Arial" w:hAnsi="Arial" w:cs="Arial"/>
          <w:color w:val="000000"/>
          <w:sz w:val="22"/>
          <w:szCs w:val="22"/>
        </w:rPr>
        <w:t>).</w:t>
      </w:r>
    </w:p>
    <w:p w14:paraId="682C4585" w14:textId="1C847A3F" w:rsidR="001A20FF" w:rsidRPr="000C2D3E" w:rsidRDefault="00D77B99" w:rsidP="00F25633">
      <w:pPr>
        <w:pStyle w:val="Prrafodelista"/>
        <w:numPr>
          <w:ilvl w:val="0"/>
          <w:numId w:val="1"/>
        </w:numPr>
        <w:autoSpaceDE w:val="0"/>
        <w:autoSpaceDN w:val="0"/>
        <w:adjustRightInd w:val="0"/>
        <w:spacing w:line="480" w:lineRule="auto"/>
        <w:jc w:val="both"/>
        <w:rPr>
          <w:rFonts w:ascii="Arial" w:hAnsi="Arial" w:cs="Arial"/>
          <w:color w:val="000000"/>
          <w:sz w:val="22"/>
          <w:szCs w:val="22"/>
        </w:rPr>
      </w:pPr>
      <w:r w:rsidRPr="000C2D3E">
        <w:rPr>
          <w:rFonts w:ascii="Arial" w:hAnsi="Arial" w:cs="Arial"/>
          <w:color w:val="000000"/>
          <w:sz w:val="22"/>
          <w:szCs w:val="22"/>
        </w:rPr>
        <w:t xml:space="preserve">No hubo una diferencia </w:t>
      </w:r>
      <w:r w:rsidR="00D91BCC">
        <w:rPr>
          <w:rFonts w:ascii="Arial" w:hAnsi="Arial" w:cs="Arial"/>
          <w:color w:val="000000"/>
          <w:sz w:val="22"/>
          <w:szCs w:val="22"/>
        </w:rPr>
        <w:t xml:space="preserve">estadísticamente </w:t>
      </w:r>
      <w:r w:rsidRPr="000C2D3E">
        <w:rPr>
          <w:rFonts w:ascii="Arial" w:hAnsi="Arial" w:cs="Arial"/>
          <w:color w:val="000000"/>
          <w:sz w:val="22"/>
          <w:szCs w:val="22"/>
        </w:rPr>
        <w:t xml:space="preserve">significativa en la duración de la estancia en UCI </w:t>
      </w:r>
      <w:r w:rsidR="001A20FF" w:rsidRPr="000C2D3E">
        <w:rPr>
          <w:rFonts w:ascii="Arial" w:hAnsi="Arial" w:cs="Arial"/>
          <w:color w:val="000000"/>
          <w:sz w:val="22"/>
          <w:szCs w:val="22"/>
        </w:rPr>
        <w:t>(</w:t>
      </w:r>
      <w:r w:rsidRPr="000C2D3E">
        <w:rPr>
          <w:rFonts w:ascii="Arial" w:hAnsi="Arial" w:cs="Arial"/>
          <w:color w:val="000000"/>
          <w:sz w:val="22"/>
          <w:szCs w:val="22"/>
        </w:rPr>
        <w:t>diferencia media</w:t>
      </w:r>
      <w:r w:rsidR="00150FF5" w:rsidRPr="000C2D3E">
        <w:rPr>
          <w:rFonts w:ascii="Arial" w:hAnsi="Arial" w:cs="Arial"/>
          <w:color w:val="000000"/>
          <w:sz w:val="22"/>
          <w:szCs w:val="22"/>
        </w:rPr>
        <w:t xml:space="preserve"> </w:t>
      </w:r>
      <w:r w:rsidR="001A20FF" w:rsidRPr="000C2D3E">
        <w:rPr>
          <w:rFonts w:ascii="Arial" w:hAnsi="Arial" w:cs="Arial"/>
          <w:color w:val="000000"/>
          <w:sz w:val="22"/>
          <w:szCs w:val="22"/>
        </w:rPr>
        <w:t>0</w:t>
      </w:r>
      <w:r w:rsidRPr="000C2D3E">
        <w:rPr>
          <w:rFonts w:ascii="Arial" w:hAnsi="Arial" w:cs="Arial"/>
          <w:color w:val="000000"/>
          <w:sz w:val="22"/>
          <w:szCs w:val="22"/>
        </w:rPr>
        <w:t>,</w:t>
      </w:r>
      <w:r w:rsidR="001A20FF" w:rsidRPr="000C2D3E">
        <w:rPr>
          <w:rFonts w:ascii="Arial" w:hAnsi="Arial" w:cs="Arial"/>
          <w:color w:val="000000"/>
          <w:sz w:val="22"/>
          <w:szCs w:val="22"/>
        </w:rPr>
        <w:t>24 d</w:t>
      </w:r>
      <w:r w:rsidRPr="000C2D3E">
        <w:rPr>
          <w:rFonts w:ascii="Arial" w:hAnsi="Arial" w:cs="Arial"/>
          <w:color w:val="000000"/>
          <w:sz w:val="22"/>
          <w:szCs w:val="22"/>
        </w:rPr>
        <w:t>ías</w:t>
      </w:r>
      <w:r w:rsidR="001A20FF" w:rsidRPr="000C2D3E">
        <w:rPr>
          <w:rFonts w:ascii="Arial" w:hAnsi="Arial" w:cs="Arial"/>
          <w:color w:val="000000"/>
          <w:sz w:val="22"/>
          <w:szCs w:val="22"/>
        </w:rPr>
        <w:t xml:space="preserve">; </w:t>
      </w:r>
      <w:r w:rsidR="005E784F" w:rsidRPr="000C2D3E">
        <w:rPr>
          <w:rFonts w:ascii="Arial" w:hAnsi="Arial" w:cs="Arial"/>
          <w:color w:val="000000"/>
          <w:sz w:val="22"/>
          <w:szCs w:val="22"/>
        </w:rPr>
        <w:t>IC</w:t>
      </w:r>
      <w:r w:rsidRPr="000C2D3E">
        <w:rPr>
          <w:rFonts w:ascii="Arial" w:hAnsi="Arial" w:cs="Arial"/>
          <w:color w:val="000000"/>
          <w:sz w:val="22"/>
          <w:szCs w:val="22"/>
        </w:rPr>
        <w:t xml:space="preserve"> </w:t>
      </w:r>
      <w:r w:rsidR="001A20FF" w:rsidRPr="000C2D3E">
        <w:rPr>
          <w:rFonts w:ascii="Arial" w:hAnsi="Arial" w:cs="Arial"/>
          <w:color w:val="000000"/>
          <w:sz w:val="22"/>
          <w:szCs w:val="22"/>
        </w:rPr>
        <w:t>95%</w:t>
      </w:r>
      <w:r w:rsidRPr="000C2D3E">
        <w:rPr>
          <w:rFonts w:ascii="Arial" w:hAnsi="Arial" w:cs="Arial"/>
          <w:color w:val="000000"/>
          <w:sz w:val="22"/>
          <w:szCs w:val="22"/>
        </w:rPr>
        <w:t xml:space="preserve">; </w:t>
      </w:r>
      <w:r w:rsidR="001A20FF" w:rsidRPr="000C2D3E">
        <w:rPr>
          <w:rFonts w:ascii="Arial" w:hAnsi="Arial" w:cs="Arial"/>
          <w:color w:val="000000"/>
          <w:sz w:val="22"/>
          <w:szCs w:val="22"/>
        </w:rPr>
        <w:t>-1</w:t>
      </w:r>
      <w:r w:rsidRPr="000C2D3E">
        <w:rPr>
          <w:rFonts w:ascii="Arial" w:hAnsi="Arial" w:cs="Arial"/>
          <w:color w:val="000000"/>
          <w:sz w:val="22"/>
          <w:szCs w:val="22"/>
        </w:rPr>
        <w:t>,</w:t>
      </w:r>
      <w:r w:rsidR="001A20FF" w:rsidRPr="000C2D3E">
        <w:rPr>
          <w:rFonts w:ascii="Arial" w:hAnsi="Arial" w:cs="Arial"/>
          <w:color w:val="000000"/>
          <w:sz w:val="22"/>
          <w:szCs w:val="22"/>
        </w:rPr>
        <w:t xml:space="preserve">13 </w:t>
      </w:r>
      <w:r w:rsidRPr="000C2D3E">
        <w:rPr>
          <w:rFonts w:ascii="Arial" w:hAnsi="Arial" w:cs="Arial"/>
          <w:color w:val="000000"/>
          <w:sz w:val="22"/>
          <w:szCs w:val="22"/>
        </w:rPr>
        <w:t>a</w:t>
      </w:r>
      <w:r w:rsidR="00150FF5" w:rsidRPr="000C2D3E">
        <w:rPr>
          <w:rFonts w:ascii="Arial" w:hAnsi="Arial" w:cs="Arial"/>
          <w:color w:val="000000"/>
          <w:sz w:val="22"/>
          <w:szCs w:val="22"/>
        </w:rPr>
        <w:t xml:space="preserve"> </w:t>
      </w:r>
      <w:r w:rsidR="001A20FF" w:rsidRPr="000C2D3E">
        <w:rPr>
          <w:rFonts w:ascii="Arial" w:hAnsi="Arial" w:cs="Arial"/>
          <w:color w:val="000000"/>
          <w:sz w:val="22"/>
          <w:szCs w:val="22"/>
        </w:rPr>
        <w:t>1</w:t>
      </w:r>
      <w:r w:rsidRPr="000C2D3E">
        <w:rPr>
          <w:rFonts w:ascii="Arial" w:hAnsi="Arial" w:cs="Arial"/>
          <w:color w:val="000000"/>
          <w:sz w:val="22"/>
          <w:szCs w:val="22"/>
        </w:rPr>
        <w:t>,</w:t>
      </w:r>
      <w:r w:rsidR="001A20FF" w:rsidRPr="000C2D3E">
        <w:rPr>
          <w:rFonts w:ascii="Arial" w:hAnsi="Arial" w:cs="Arial"/>
          <w:color w:val="000000"/>
          <w:sz w:val="22"/>
          <w:szCs w:val="22"/>
        </w:rPr>
        <w:t xml:space="preserve">61; </w:t>
      </w:r>
      <w:r w:rsidRPr="000C2D3E">
        <w:rPr>
          <w:rFonts w:ascii="Arial" w:hAnsi="Arial" w:cs="Arial"/>
          <w:color w:val="000000"/>
          <w:sz w:val="22"/>
          <w:szCs w:val="22"/>
        </w:rPr>
        <w:t>evidencia de calidad</w:t>
      </w:r>
      <w:r w:rsidR="000F09D9">
        <w:rPr>
          <w:rFonts w:ascii="Arial" w:hAnsi="Arial" w:cs="Arial"/>
          <w:color w:val="000000"/>
          <w:sz w:val="22"/>
          <w:szCs w:val="22"/>
        </w:rPr>
        <w:t xml:space="preserve"> baja</w:t>
      </w:r>
      <w:r w:rsidR="001A20FF" w:rsidRPr="000C2D3E">
        <w:rPr>
          <w:rFonts w:ascii="Arial" w:hAnsi="Arial" w:cs="Arial"/>
          <w:color w:val="000000"/>
          <w:sz w:val="22"/>
          <w:szCs w:val="22"/>
        </w:rPr>
        <w:t>).</w:t>
      </w:r>
    </w:p>
    <w:p w14:paraId="53FE575C" w14:textId="7692937C" w:rsidR="001A20FF" w:rsidRPr="000C2D3E" w:rsidRDefault="00D77B99" w:rsidP="00F25633">
      <w:pPr>
        <w:pStyle w:val="Prrafodelista"/>
        <w:numPr>
          <w:ilvl w:val="0"/>
          <w:numId w:val="1"/>
        </w:numPr>
        <w:autoSpaceDE w:val="0"/>
        <w:autoSpaceDN w:val="0"/>
        <w:adjustRightInd w:val="0"/>
        <w:spacing w:line="480" w:lineRule="auto"/>
        <w:jc w:val="both"/>
        <w:rPr>
          <w:rFonts w:ascii="Arial" w:hAnsi="Arial" w:cs="Arial"/>
          <w:color w:val="000000"/>
          <w:sz w:val="22"/>
          <w:szCs w:val="22"/>
        </w:rPr>
      </w:pPr>
      <w:r w:rsidRPr="000C2D3E">
        <w:rPr>
          <w:rFonts w:ascii="Arial" w:hAnsi="Arial" w:cs="Arial"/>
          <w:color w:val="000000"/>
          <w:sz w:val="22"/>
          <w:szCs w:val="22"/>
        </w:rPr>
        <w:t xml:space="preserve">No hubo una diferencia </w:t>
      </w:r>
      <w:r w:rsidR="00947042">
        <w:rPr>
          <w:rFonts w:ascii="Arial" w:hAnsi="Arial" w:cs="Arial"/>
          <w:color w:val="000000"/>
          <w:sz w:val="22"/>
          <w:szCs w:val="22"/>
        </w:rPr>
        <w:t xml:space="preserve">estadísticamente </w:t>
      </w:r>
      <w:r w:rsidRPr="000C2D3E">
        <w:rPr>
          <w:rFonts w:ascii="Arial" w:hAnsi="Arial" w:cs="Arial"/>
          <w:color w:val="000000"/>
          <w:sz w:val="22"/>
          <w:szCs w:val="22"/>
        </w:rPr>
        <w:t xml:space="preserve">significativa en la duración de la ventilación mecánica </w:t>
      </w:r>
      <w:r w:rsidR="001A20FF" w:rsidRPr="000C2D3E">
        <w:rPr>
          <w:rFonts w:ascii="Arial" w:hAnsi="Arial" w:cs="Arial"/>
          <w:color w:val="000000"/>
          <w:sz w:val="22"/>
          <w:szCs w:val="22"/>
        </w:rPr>
        <w:t>(</w:t>
      </w:r>
      <w:r w:rsidR="005E784F" w:rsidRPr="000C2D3E">
        <w:rPr>
          <w:rFonts w:ascii="Arial" w:hAnsi="Arial" w:cs="Arial"/>
          <w:color w:val="000000"/>
          <w:sz w:val="22"/>
          <w:szCs w:val="22"/>
        </w:rPr>
        <w:t>diferencia media 0,</w:t>
      </w:r>
      <w:r w:rsidR="001A20FF" w:rsidRPr="000C2D3E">
        <w:rPr>
          <w:rFonts w:ascii="Arial" w:hAnsi="Arial" w:cs="Arial"/>
          <w:color w:val="000000"/>
          <w:sz w:val="22"/>
          <w:szCs w:val="22"/>
        </w:rPr>
        <w:t xml:space="preserve">87 </w:t>
      </w:r>
      <w:r w:rsidR="005E784F" w:rsidRPr="000C2D3E">
        <w:rPr>
          <w:rFonts w:ascii="Arial" w:hAnsi="Arial" w:cs="Arial"/>
          <w:color w:val="000000"/>
          <w:sz w:val="22"/>
          <w:szCs w:val="22"/>
        </w:rPr>
        <w:t>días</w:t>
      </w:r>
      <w:r w:rsidR="001A20FF" w:rsidRPr="000C2D3E">
        <w:rPr>
          <w:rFonts w:ascii="Arial" w:hAnsi="Arial" w:cs="Arial"/>
          <w:color w:val="000000"/>
          <w:sz w:val="22"/>
          <w:szCs w:val="22"/>
        </w:rPr>
        <w:t xml:space="preserve">; </w:t>
      </w:r>
      <w:r w:rsidR="005E784F" w:rsidRPr="000C2D3E">
        <w:rPr>
          <w:rFonts w:ascii="Arial" w:hAnsi="Arial" w:cs="Arial"/>
          <w:color w:val="000000"/>
          <w:sz w:val="22"/>
          <w:szCs w:val="22"/>
        </w:rPr>
        <w:t xml:space="preserve">IC </w:t>
      </w:r>
      <w:r w:rsidR="001A20FF" w:rsidRPr="000C2D3E">
        <w:rPr>
          <w:rFonts w:ascii="Arial" w:hAnsi="Arial" w:cs="Arial"/>
          <w:color w:val="000000"/>
          <w:sz w:val="22"/>
          <w:szCs w:val="22"/>
        </w:rPr>
        <w:t>95%</w:t>
      </w:r>
      <w:r w:rsidR="005E784F" w:rsidRPr="000C2D3E">
        <w:rPr>
          <w:rFonts w:ascii="Arial" w:hAnsi="Arial" w:cs="Arial"/>
          <w:color w:val="000000"/>
          <w:sz w:val="22"/>
          <w:szCs w:val="22"/>
        </w:rPr>
        <w:t xml:space="preserve">: </w:t>
      </w:r>
      <w:r w:rsidR="001A20FF" w:rsidRPr="000C2D3E">
        <w:rPr>
          <w:rFonts w:ascii="Arial" w:hAnsi="Arial" w:cs="Arial"/>
          <w:color w:val="000000"/>
          <w:sz w:val="22"/>
          <w:szCs w:val="22"/>
        </w:rPr>
        <w:t>-0</w:t>
      </w:r>
      <w:r w:rsidR="005E784F" w:rsidRPr="000C2D3E">
        <w:rPr>
          <w:rFonts w:ascii="Arial" w:hAnsi="Arial" w:cs="Arial"/>
          <w:color w:val="000000"/>
          <w:sz w:val="22"/>
          <w:szCs w:val="22"/>
        </w:rPr>
        <w:t>,</w:t>
      </w:r>
      <w:r w:rsidR="001A20FF" w:rsidRPr="000C2D3E">
        <w:rPr>
          <w:rFonts w:ascii="Arial" w:hAnsi="Arial" w:cs="Arial"/>
          <w:color w:val="000000"/>
          <w:sz w:val="22"/>
          <w:szCs w:val="22"/>
        </w:rPr>
        <w:t xml:space="preserve">58 </w:t>
      </w:r>
      <w:r w:rsidR="005E784F" w:rsidRPr="000C2D3E">
        <w:rPr>
          <w:rFonts w:ascii="Arial" w:hAnsi="Arial" w:cs="Arial"/>
          <w:color w:val="000000"/>
          <w:sz w:val="22"/>
          <w:szCs w:val="22"/>
        </w:rPr>
        <w:t>a</w:t>
      </w:r>
      <w:r w:rsidR="00150FF5" w:rsidRPr="000C2D3E">
        <w:rPr>
          <w:rFonts w:ascii="Arial" w:hAnsi="Arial" w:cs="Arial"/>
          <w:color w:val="000000"/>
          <w:sz w:val="22"/>
          <w:szCs w:val="22"/>
        </w:rPr>
        <w:t xml:space="preserve"> </w:t>
      </w:r>
      <w:r w:rsidR="001A20FF" w:rsidRPr="000C2D3E">
        <w:rPr>
          <w:rFonts w:ascii="Arial" w:hAnsi="Arial" w:cs="Arial"/>
          <w:color w:val="000000"/>
          <w:sz w:val="22"/>
          <w:szCs w:val="22"/>
        </w:rPr>
        <w:t>2</w:t>
      </w:r>
      <w:r w:rsidR="005E784F" w:rsidRPr="000C2D3E">
        <w:rPr>
          <w:rFonts w:ascii="Arial" w:hAnsi="Arial" w:cs="Arial"/>
          <w:color w:val="000000"/>
          <w:sz w:val="22"/>
          <w:szCs w:val="22"/>
        </w:rPr>
        <w:t>,</w:t>
      </w:r>
      <w:r w:rsidR="001A20FF" w:rsidRPr="000C2D3E">
        <w:rPr>
          <w:rFonts w:ascii="Arial" w:hAnsi="Arial" w:cs="Arial"/>
          <w:color w:val="000000"/>
          <w:sz w:val="22"/>
          <w:szCs w:val="22"/>
        </w:rPr>
        <w:t xml:space="preserve">31; </w:t>
      </w:r>
      <w:r w:rsidRPr="000C2D3E">
        <w:rPr>
          <w:rFonts w:ascii="Arial" w:hAnsi="Arial" w:cs="Arial"/>
          <w:color w:val="000000"/>
          <w:sz w:val="22"/>
          <w:szCs w:val="22"/>
        </w:rPr>
        <w:t>evidencia de calidad</w:t>
      </w:r>
      <w:r w:rsidR="000F09D9">
        <w:rPr>
          <w:rFonts w:ascii="Arial" w:hAnsi="Arial" w:cs="Arial"/>
          <w:color w:val="000000"/>
          <w:sz w:val="22"/>
          <w:szCs w:val="22"/>
        </w:rPr>
        <w:t xml:space="preserve"> baja</w:t>
      </w:r>
      <w:r w:rsidR="001A20FF" w:rsidRPr="000C2D3E">
        <w:rPr>
          <w:rFonts w:ascii="Arial" w:hAnsi="Arial" w:cs="Arial"/>
          <w:color w:val="000000"/>
          <w:sz w:val="22"/>
          <w:szCs w:val="22"/>
        </w:rPr>
        <w:t>).</w:t>
      </w:r>
    </w:p>
    <w:p w14:paraId="5DB123E0" w14:textId="64472B7A" w:rsidR="001A20FF" w:rsidRPr="000C2D3E" w:rsidRDefault="005E784F" w:rsidP="00F25633">
      <w:pPr>
        <w:pStyle w:val="Prrafodelista"/>
        <w:numPr>
          <w:ilvl w:val="0"/>
          <w:numId w:val="1"/>
        </w:numPr>
        <w:autoSpaceDE w:val="0"/>
        <w:autoSpaceDN w:val="0"/>
        <w:adjustRightInd w:val="0"/>
        <w:spacing w:line="480" w:lineRule="auto"/>
        <w:jc w:val="both"/>
        <w:rPr>
          <w:rFonts w:ascii="Arial" w:hAnsi="Arial" w:cs="Arial"/>
          <w:color w:val="000000"/>
          <w:sz w:val="22"/>
          <w:szCs w:val="22"/>
        </w:rPr>
      </w:pPr>
      <w:r w:rsidRPr="000C2D3E">
        <w:rPr>
          <w:rFonts w:ascii="Arial" w:hAnsi="Arial" w:cs="Arial"/>
          <w:color w:val="000000"/>
          <w:sz w:val="22"/>
          <w:szCs w:val="22"/>
        </w:rPr>
        <w:t xml:space="preserve">Hubo una reducción en el número de participantes de los grupos intervención que precisaron transfusión sanguínea </w:t>
      </w:r>
      <w:r w:rsidR="001A20FF" w:rsidRPr="000C2D3E">
        <w:rPr>
          <w:rFonts w:ascii="Arial" w:hAnsi="Arial" w:cs="Arial"/>
          <w:color w:val="000000"/>
          <w:sz w:val="22"/>
          <w:szCs w:val="22"/>
        </w:rPr>
        <w:t>(RR</w:t>
      </w:r>
      <w:r w:rsidRPr="000C2D3E">
        <w:rPr>
          <w:rFonts w:ascii="Arial" w:hAnsi="Arial" w:cs="Arial"/>
          <w:color w:val="000000"/>
          <w:sz w:val="22"/>
          <w:szCs w:val="22"/>
        </w:rPr>
        <w:t xml:space="preserve"> </w:t>
      </w:r>
      <w:r w:rsidR="001A20FF" w:rsidRPr="000C2D3E">
        <w:rPr>
          <w:rFonts w:ascii="Arial" w:hAnsi="Arial" w:cs="Arial"/>
          <w:color w:val="000000"/>
          <w:sz w:val="22"/>
          <w:szCs w:val="22"/>
        </w:rPr>
        <w:t>0</w:t>
      </w:r>
      <w:r w:rsidRPr="000C2D3E">
        <w:rPr>
          <w:rFonts w:ascii="Arial" w:hAnsi="Arial" w:cs="Arial"/>
          <w:color w:val="000000"/>
          <w:sz w:val="22"/>
          <w:szCs w:val="22"/>
        </w:rPr>
        <w:t>,</w:t>
      </w:r>
      <w:r w:rsidR="001A20FF" w:rsidRPr="000C2D3E">
        <w:rPr>
          <w:rFonts w:ascii="Arial" w:hAnsi="Arial" w:cs="Arial"/>
          <w:color w:val="000000"/>
          <w:sz w:val="22"/>
          <w:szCs w:val="22"/>
        </w:rPr>
        <w:t>63;</w:t>
      </w:r>
      <w:r w:rsidR="00150FF5" w:rsidRPr="000C2D3E">
        <w:rPr>
          <w:rFonts w:ascii="Arial" w:hAnsi="Arial" w:cs="Arial"/>
          <w:color w:val="000000"/>
          <w:sz w:val="22"/>
          <w:szCs w:val="22"/>
        </w:rPr>
        <w:t xml:space="preserve"> </w:t>
      </w:r>
      <w:r w:rsidRPr="000C2D3E">
        <w:rPr>
          <w:rFonts w:ascii="Arial" w:hAnsi="Arial" w:cs="Arial"/>
          <w:color w:val="000000"/>
          <w:sz w:val="22"/>
          <w:szCs w:val="22"/>
        </w:rPr>
        <w:t xml:space="preserve">IC </w:t>
      </w:r>
      <w:r w:rsidR="001A20FF" w:rsidRPr="000C2D3E">
        <w:rPr>
          <w:rFonts w:ascii="Arial" w:hAnsi="Arial" w:cs="Arial"/>
          <w:color w:val="000000"/>
          <w:sz w:val="22"/>
          <w:szCs w:val="22"/>
        </w:rPr>
        <w:t>95%</w:t>
      </w:r>
      <w:r w:rsidRPr="000C2D3E">
        <w:rPr>
          <w:rFonts w:ascii="Arial" w:hAnsi="Arial" w:cs="Arial"/>
          <w:color w:val="000000"/>
          <w:sz w:val="22"/>
          <w:szCs w:val="22"/>
        </w:rPr>
        <w:t xml:space="preserve">; </w:t>
      </w:r>
      <w:r w:rsidR="001A20FF" w:rsidRPr="000C2D3E">
        <w:rPr>
          <w:rFonts w:ascii="Arial" w:hAnsi="Arial" w:cs="Arial"/>
          <w:color w:val="000000"/>
          <w:sz w:val="22"/>
          <w:szCs w:val="22"/>
        </w:rPr>
        <w:t>0</w:t>
      </w:r>
      <w:r w:rsidRPr="000C2D3E">
        <w:rPr>
          <w:rFonts w:ascii="Arial" w:hAnsi="Arial" w:cs="Arial"/>
          <w:color w:val="000000"/>
          <w:sz w:val="22"/>
          <w:szCs w:val="22"/>
        </w:rPr>
        <w:t>,</w:t>
      </w:r>
      <w:r w:rsidR="001A20FF" w:rsidRPr="000C2D3E">
        <w:rPr>
          <w:rFonts w:ascii="Arial" w:hAnsi="Arial" w:cs="Arial"/>
          <w:color w:val="000000"/>
          <w:sz w:val="22"/>
          <w:szCs w:val="22"/>
        </w:rPr>
        <w:t>41-0</w:t>
      </w:r>
      <w:r w:rsidRPr="000C2D3E">
        <w:rPr>
          <w:rFonts w:ascii="Arial" w:hAnsi="Arial" w:cs="Arial"/>
          <w:color w:val="000000"/>
          <w:sz w:val="22"/>
          <w:szCs w:val="22"/>
        </w:rPr>
        <w:t>,</w:t>
      </w:r>
      <w:r w:rsidR="001A20FF" w:rsidRPr="000C2D3E">
        <w:rPr>
          <w:rFonts w:ascii="Arial" w:hAnsi="Arial" w:cs="Arial"/>
          <w:color w:val="000000"/>
          <w:sz w:val="22"/>
          <w:szCs w:val="22"/>
        </w:rPr>
        <w:t xml:space="preserve">97; </w:t>
      </w:r>
      <w:r w:rsidR="00D77B99" w:rsidRPr="000C2D3E">
        <w:rPr>
          <w:rFonts w:ascii="Arial" w:hAnsi="Arial" w:cs="Arial"/>
          <w:color w:val="000000"/>
          <w:sz w:val="22"/>
          <w:szCs w:val="22"/>
        </w:rPr>
        <w:t>evidencia de calidad</w:t>
      </w:r>
      <w:r w:rsidR="000F09D9">
        <w:rPr>
          <w:rFonts w:ascii="Arial" w:hAnsi="Arial" w:cs="Arial"/>
          <w:color w:val="000000"/>
          <w:sz w:val="22"/>
          <w:szCs w:val="22"/>
        </w:rPr>
        <w:t xml:space="preserve"> moderada</w:t>
      </w:r>
      <w:r w:rsidR="001A20FF" w:rsidRPr="000C2D3E">
        <w:rPr>
          <w:rFonts w:ascii="Arial" w:hAnsi="Arial" w:cs="Arial"/>
          <w:color w:val="000000"/>
          <w:sz w:val="22"/>
          <w:szCs w:val="22"/>
        </w:rPr>
        <w:t>).</w:t>
      </w:r>
    </w:p>
    <w:p w14:paraId="121CAAB2" w14:textId="57DAF313" w:rsidR="001E5B72" w:rsidRPr="000C2D3E" w:rsidRDefault="001E5B72" w:rsidP="001E5B72">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En cuanto a la comparación entre los antagonistas del receptor H</w:t>
      </w:r>
      <w:r w:rsidR="00951E99" w:rsidRPr="000C2D3E">
        <w:rPr>
          <w:rFonts w:ascii="Arial" w:hAnsi="Arial" w:cs="Arial"/>
          <w:color w:val="000000"/>
          <w:sz w:val="22"/>
          <w:szCs w:val="22"/>
        </w:rPr>
        <w:t>2</w:t>
      </w:r>
      <w:r w:rsidRPr="000C2D3E">
        <w:rPr>
          <w:rFonts w:ascii="Arial" w:hAnsi="Arial" w:cs="Arial"/>
          <w:color w:val="000000"/>
          <w:sz w:val="22"/>
          <w:szCs w:val="22"/>
        </w:rPr>
        <w:t xml:space="preserve"> y los inhibidores de la bomba de protones, los resultados fueron los siguientes: </w:t>
      </w:r>
    </w:p>
    <w:p w14:paraId="70446232" w14:textId="2EE9CDB5" w:rsidR="001A20FF" w:rsidRPr="000C2D3E" w:rsidRDefault="001E5B72" w:rsidP="001E5B72">
      <w:pPr>
        <w:pStyle w:val="Prrafodelista"/>
        <w:numPr>
          <w:ilvl w:val="0"/>
          <w:numId w:val="3"/>
        </w:numPr>
        <w:autoSpaceDE w:val="0"/>
        <w:autoSpaceDN w:val="0"/>
        <w:adjustRightInd w:val="0"/>
        <w:spacing w:line="480" w:lineRule="auto"/>
        <w:jc w:val="both"/>
        <w:rPr>
          <w:rFonts w:ascii="Arial" w:hAnsi="Arial" w:cs="Arial"/>
          <w:color w:val="000000"/>
          <w:sz w:val="22"/>
          <w:szCs w:val="22"/>
        </w:rPr>
      </w:pPr>
      <w:r w:rsidRPr="000C2D3E">
        <w:rPr>
          <w:rFonts w:ascii="Arial" w:hAnsi="Arial" w:cs="Arial"/>
          <w:color w:val="000000"/>
          <w:sz w:val="22"/>
          <w:szCs w:val="22"/>
        </w:rPr>
        <w:t xml:space="preserve">Comparados con los antagonistas del receptor H2, los inhibidores de la bomba de protones previnieron significativamente la HDA </w:t>
      </w:r>
      <w:r w:rsidR="005E784F" w:rsidRPr="000C2D3E">
        <w:rPr>
          <w:rFonts w:ascii="Arial" w:hAnsi="Arial" w:cs="Arial"/>
          <w:color w:val="000000"/>
          <w:sz w:val="22"/>
          <w:szCs w:val="22"/>
        </w:rPr>
        <w:t xml:space="preserve">con mayor frecuencia </w:t>
      </w:r>
      <w:r w:rsidRPr="000C2D3E">
        <w:rPr>
          <w:rFonts w:ascii="Arial" w:hAnsi="Arial" w:cs="Arial"/>
          <w:color w:val="000000"/>
          <w:sz w:val="22"/>
          <w:szCs w:val="22"/>
        </w:rPr>
        <w:t xml:space="preserve">en pacientes ingresados en la UCI </w:t>
      </w:r>
      <w:r w:rsidR="001A20FF" w:rsidRPr="000C2D3E">
        <w:rPr>
          <w:rFonts w:ascii="Arial" w:hAnsi="Arial" w:cs="Arial"/>
          <w:color w:val="000000"/>
          <w:sz w:val="22"/>
          <w:szCs w:val="22"/>
        </w:rPr>
        <w:t>(RR</w:t>
      </w:r>
      <w:r w:rsidRPr="000C2D3E">
        <w:rPr>
          <w:rFonts w:ascii="Arial" w:hAnsi="Arial" w:cs="Arial"/>
          <w:color w:val="000000"/>
          <w:sz w:val="22"/>
          <w:szCs w:val="22"/>
        </w:rPr>
        <w:t xml:space="preserve"> </w:t>
      </w:r>
      <w:r w:rsidR="001A20FF" w:rsidRPr="000C2D3E">
        <w:rPr>
          <w:rFonts w:ascii="Arial" w:hAnsi="Arial" w:cs="Arial"/>
          <w:color w:val="000000"/>
          <w:sz w:val="22"/>
          <w:szCs w:val="22"/>
        </w:rPr>
        <w:t>2</w:t>
      </w:r>
      <w:r w:rsidRPr="000C2D3E">
        <w:rPr>
          <w:rFonts w:ascii="Arial" w:hAnsi="Arial" w:cs="Arial"/>
          <w:color w:val="000000"/>
          <w:sz w:val="22"/>
          <w:szCs w:val="22"/>
        </w:rPr>
        <w:t>,</w:t>
      </w:r>
      <w:r w:rsidR="001A20FF" w:rsidRPr="000C2D3E">
        <w:rPr>
          <w:rFonts w:ascii="Arial" w:hAnsi="Arial" w:cs="Arial"/>
          <w:color w:val="000000"/>
          <w:sz w:val="22"/>
          <w:szCs w:val="22"/>
        </w:rPr>
        <w:t xml:space="preserve">90; </w:t>
      </w:r>
      <w:r w:rsidRPr="000C2D3E">
        <w:rPr>
          <w:rFonts w:ascii="Arial" w:hAnsi="Arial" w:cs="Arial"/>
          <w:color w:val="000000"/>
          <w:sz w:val="22"/>
          <w:szCs w:val="22"/>
        </w:rPr>
        <w:t xml:space="preserve">IC </w:t>
      </w:r>
      <w:r w:rsidR="001A20FF" w:rsidRPr="000C2D3E">
        <w:rPr>
          <w:rFonts w:ascii="Arial" w:hAnsi="Arial" w:cs="Arial"/>
          <w:color w:val="000000"/>
          <w:sz w:val="22"/>
          <w:szCs w:val="22"/>
        </w:rPr>
        <w:t>95%</w:t>
      </w:r>
      <w:r w:rsidRPr="000C2D3E">
        <w:rPr>
          <w:rFonts w:ascii="Arial" w:hAnsi="Arial" w:cs="Arial"/>
          <w:color w:val="000000"/>
          <w:sz w:val="22"/>
          <w:szCs w:val="22"/>
        </w:rPr>
        <w:t xml:space="preserve">: </w:t>
      </w:r>
      <w:r w:rsidR="001A20FF" w:rsidRPr="000C2D3E">
        <w:rPr>
          <w:rFonts w:ascii="Arial" w:hAnsi="Arial" w:cs="Arial"/>
          <w:color w:val="000000"/>
          <w:sz w:val="22"/>
          <w:szCs w:val="22"/>
        </w:rPr>
        <w:t>1</w:t>
      </w:r>
      <w:r w:rsidRPr="000C2D3E">
        <w:rPr>
          <w:rFonts w:ascii="Arial" w:hAnsi="Arial" w:cs="Arial"/>
          <w:color w:val="000000"/>
          <w:sz w:val="22"/>
          <w:szCs w:val="22"/>
        </w:rPr>
        <w:t>,</w:t>
      </w:r>
      <w:r w:rsidR="001A20FF" w:rsidRPr="000C2D3E">
        <w:rPr>
          <w:rFonts w:ascii="Arial" w:hAnsi="Arial" w:cs="Arial"/>
          <w:color w:val="000000"/>
          <w:sz w:val="22"/>
          <w:szCs w:val="22"/>
        </w:rPr>
        <w:t>83-4</w:t>
      </w:r>
      <w:r w:rsidRPr="000C2D3E">
        <w:rPr>
          <w:rFonts w:ascii="Arial" w:hAnsi="Arial" w:cs="Arial"/>
          <w:color w:val="000000"/>
          <w:sz w:val="22"/>
          <w:szCs w:val="22"/>
        </w:rPr>
        <w:t>,</w:t>
      </w:r>
      <w:r w:rsidR="001A20FF" w:rsidRPr="000C2D3E">
        <w:rPr>
          <w:rFonts w:ascii="Arial" w:hAnsi="Arial" w:cs="Arial"/>
          <w:color w:val="000000"/>
          <w:sz w:val="22"/>
          <w:szCs w:val="22"/>
        </w:rPr>
        <w:t xml:space="preserve">58; </w:t>
      </w:r>
      <w:r w:rsidRPr="000C2D3E">
        <w:rPr>
          <w:rFonts w:ascii="Arial" w:hAnsi="Arial" w:cs="Arial"/>
          <w:color w:val="000000"/>
          <w:sz w:val="22"/>
          <w:szCs w:val="22"/>
        </w:rPr>
        <w:t>evidencia de baja calidad</w:t>
      </w:r>
      <w:r w:rsidR="001A20FF" w:rsidRPr="000C2D3E">
        <w:rPr>
          <w:rFonts w:ascii="Arial" w:hAnsi="Arial" w:cs="Arial"/>
          <w:color w:val="000000"/>
          <w:sz w:val="22"/>
          <w:szCs w:val="22"/>
        </w:rPr>
        <w:t>).</w:t>
      </w:r>
    </w:p>
    <w:p w14:paraId="21BE9F35" w14:textId="6364224D" w:rsidR="00150FF5" w:rsidRPr="000C2D3E" w:rsidRDefault="001E5B72" w:rsidP="003C0693">
      <w:pPr>
        <w:pStyle w:val="Prrafodelista"/>
        <w:numPr>
          <w:ilvl w:val="0"/>
          <w:numId w:val="2"/>
        </w:numPr>
        <w:autoSpaceDE w:val="0"/>
        <w:autoSpaceDN w:val="0"/>
        <w:adjustRightInd w:val="0"/>
        <w:spacing w:line="480" w:lineRule="auto"/>
        <w:jc w:val="both"/>
        <w:rPr>
          <w:rFonts w:ascii="Arial" w:hAnsi="Arial" w:cs="Arial"/>
          <w:color w:val="0080B3"/>
          <w:sz w:val="22"/>
          <w:szCs w:val="22"/>
        </w:rPr>
      </w:pPr>
      <w:r w:rsidRPr="001F76F0">
        <w:rPr>
          <w:rFonts w:ascii="Arial" w:hAnsi="Arial" w:cs="Arial"/>
          <w:color w:val="000000" w:themeColor="text1"/>
          <w:sz w:val="22"/>
          <w:szCs w:val="22"/>
        </w:rPr>
        <w:t>La NAV se produjo en proporciones similares</w:t>
      </w:r>
      <w:r w:rsidR="008B332E" w:rsidRPr="001F76F0">
        <w:rPr>
          <w:rFonts w:ascii="Arial" w:hAnsi="Arial" w:cs="Arial"/>
          <w:color w:val="000000" w:themeColor="text1"/>
          <w:sz w:val="22"/>
          <w:szCs w:val="22"/>
        </w:rPr>
        <w:t xml:space="preserve"> en pacientes que recibieron antagonistas del receptor H2 y en aquellos que recibieron inhibidores de la bomba de protones </w:t>
      </w:r>
      <w:r w:rsidR="008B332E" w:rsidRPr="000C2D3E">
        <w:rPr>
          <w:rFonts w:ascii="Arial" w:hAnsi="Arial" w:cs="Arial"/>
          <w:color w:val="000000"/>
          <w:sz w:val="22"/>
          <w:szCs w:val="22"/>
        </w:rPr>
        <w:t>(RR 1,02; IC 95%: 0,77-1,35; evidencia de baja calidad).</w:t>
      </w:r>
      <w:r w:rsidR="001A20FF" w:rsidRPr="000C2D3E">
        <w:rPr>
          <w:rFonts w:ascii="Arial" w:hAnsi="Arial" w:cs="Arial"/>
          <w:color w:val="000000"/>
          <w:sz w:val="22"/>
          <w:szCs w:val="22"/>
        </w:rPr>
        <w:t xml:space="preserve"> </w:t>
      </w:r>
    </w:p>
    <w:p w14:paraId="27259544" w14:textId="3928B1C8" w:rsidR="001A20FF" w:rsidRPr="004C41C8" w:rsidRDefault="00D56852" w:rsidP="00F25633">
      <w:pPr>
        <w:autoSpaceDE w:val="0"/>
        <w:autoSpaceDN w:val="0"/>
        <w:adjustRightInd w:val="0"/>
        <w:spacing w:line="480" w:lineRule="auto"/>
        <w:jc w:val="both"/>
        <w:rPr>
          <w:rFonts w:ascii="Arial" w:hAnsi="Arial" w:cs="Arial"/>
          <w:b/>
          <w:bCs/>
          <w:color w:val="000000" w:themeColor="text1"/>
          <w:sz w:val="22"/>
          <w:szCs w:val="22"/>
        </w:rPr>
      </w:pPr>
      <w:r w:rsidRPr="004C41C8">
        <w:rPr>
          <w:rFonts w:ascii="Arial" w:hAnsi="Arial" w:cs="Arial"/>
          <w:b/>
          <w:bCs/>
          <w:color w:val="000000" w:themeColor="text1"/>
          <w:sz w:val="22"/>
          <w:szCs w:val="22"/>
        </w:rPr>
        <w:lastRenderedPageBreak/>
        <w:t>Implicaciones para la práctica clínica enfermera</w:t>
      </w:r>
    </w:p>
    <w:p w14:paraId="7899892B" w14:textId="37E207B0" w:rsidR="0026200D" w:rsidRPr="000C2D3E" w:rsidRDefault="0026200D" w:rsidP="00A70D7B">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 xml:space="preserve">En su </w:t>
      </w:r>
      <w:r w:rsidR="000D61EF" w:rsidRPr="000C2D3E">
        <w:rPr>
          <w:rFonts w:ascii="Arial" w:hAnsi="Arial" w:cs="Arial"/>
          <w:color w:val="000000"/>
          <w:sz w:val="22"/>
          <w:szCs w:val="22"/>
        </w:rPr>
        <w:t>revisión</w:t>
      </w:r>
      <w:r w:rsidRPr="000C2D3E">
        <w:rPr>
          <w:rFonts w:ascii="Arial" w:hAnsi="Arial" w:cs="Arial"/>
          <w:color w:val="000000"/>
          <w:sz w:val="22"/>
          <w:szCs w:val="22"/>
        </w:rPr>
        <w:t xml:space="preserve"> sistemática, </w:t>
      </w:r>
      <w:proofErr w:type="spellStart"/>
      <w:r w:rsidRPr="000C2D3E">
        <w:rPr>
          <w:rFonts w:ascii="Arial" w:hAnsi="Arial" w:cs="Arial"/>
          <w:color w:val="000000"/>
          <w:sz w:val="22"/>
          <w:szCs w:val="22"/>
        </w:rPr>
        <w:t>Toews</w:t>
      </w:r>
      <w:proofErr w:type="spellEnd"/>
      <w:r w:rsidRPr="000C2D3E">
        <w:rPr>
          <w:rFonts w:ascii="Arial" w:hAnsi="Arial" w:cs="Arial"/>
          <w:color w:val="000000"/>
          <w:sz w:val="22"/>
          <w:szCs w:val="22"/>
        </w:rPr>
        <w:t xml:space="preserve"> et al.</w:t>
      </w:r>
      <w:r w:rsidR="001A20FF" w:rsidRPr="000C2D3E">
        <w:rPr>
          <w:rFonts w:ascii="Arial" w:hAnsi="Arial" w:cs="Arial"/>
          <w:color w:val="000000"/>
          <w:sz w:val="22"/>
          <w:szCs w:val="22"/>
          <w:vertAlign w:val="superscript"/>
        </w:rPr>
        <w:t>5</w:t>
      </w:r>
      <w:r w:rsidR="001A20FF" w:rsidRPr="000C2D3E">
        <w:rPr>
          <w:rFonts w:ascii="Arial" w:hAnsi="Arial" w:cs="Arial"/>
          <w:color w:val="000000"/>
          <w:sz w:val="22"/>
          <w:szCs w:val="22"/>
        </w:rPr>
        <w:t xml:space="preserve"> </w:t>
      </w:r>
      <w:r w:rsidRPr="000C2D3E">
        <w:rPr>
          <w:rFonts w:ascii="Arial" w:hAnsi="Arial" w:cs="Arial"/>
          <w:color w:val="000000"/>
          <w:sz w:val="22"/>
          <w:szCs w:val="22"/>
        </w:rPr>
        <w:t xml:space="preserve">encontraron evidencia con un grado </w:t>
      </w:r>
      <w:r w:rsidR="000F09D9">
        <w:rPr>
          <w:rFonts w:ascii="Arial" w:hAnsi="Arial" w:cs="Arial"/>
          <w:color w:val="000000"/>
          <w:sz w:val="22"/>
          <w:szCs w:val="22"/>
        </w:rPr>
        <w:t xml:space="preserve">moderado </w:t>
      </w:r>
      <w:r w:rsidRPr="000C2D3E">
        <w:rPr>
          <w:rFonts w:ascii="Arial" w:hAnsi="Arial" w:cs="Arial"/>
          <w:color w:val="000000"/>
          <w:sz w:val="22"/>
          <w:szCs w:val="22"/>
        </w:rPr>
        <w:t xml:space="preserve">de certeza de que, en comparación con el placebo y la </w:t>
      </w:r>
      <w:r w:rsidR="000F09D9">
        <w:rPr>
          <w:rFonts w:ascii="Arial" w:hAnsi="Arial" w:cs="Arial"/>
          <w:color w:val="000000"/>
          <w:sz w:val="22"/>
          <w:szCs w:val="22"/>
        </w:rPr>
        <w:t>ausencia de</w:t>
      </w:r>
      <w:r w:rsidRPr="000C2D3E">
        <w:rPr>
          <w:rFonts w:ascii="Arial" w:hAnsi="Arial" w:cs="Arial"/>
          <w:color w:val="000000"/>
          <w:sz w:val="22"/>
          <w:szCs w:val="22"/>
        </w:rPr>
        <w:t xml:space="preserve"> profilaxis, las intervenciones de prevención de las úlceras por estrés analizadas podrían ser efectivas</w:t>
      </w:r>
      <w:r w:rsidR="00C14426" w:rsidRPr="000C2D3E">
        <w:rPr>
          <w:rFonts w:ascii="Arial" w:hAnsi="Arial" w:cs="Arial"/>
          <w:color w:val="000000"/>
          <w:sz w:val="22"/>
          <w:szCs w:val="22"/>
        </w:rPr>
        <w:t xml:space="preserve"> para prevenir la HDA en pacientes ingresados en la UCI. Cuando se comparó cualquier tratamiento con la no profilaxis, el riesgo de desarrollar NAV fue aproximadamente el mismo. Hubo un grado bajo de certeza a la hora de sugerir que los inhibidores de la bomba de protones podrían ser más efectivos que los antagonistas </w:t>
      </w:r>
      <w:r w:rsidR="00A70D7B" w:rsidRPr="000C2D3E">
        <w:rPr>
          <w:rFonts w:ascii="Arial" w:hAnsi="Arial" w:cs="Arial"/>
          <w:color w:val="000000"/>
          <w:sz w:val="22"/>
          <w:szCs w:val="22"/>
        </w:rPr>
        <w:t>del receptor</w:t>
      </w:r>
      <w:r w:rsidR="00C14426" w:rsidRPr="000C2D3E">
        <w:rPr>
          <w:rFonts w:ascii="Arial" w:hAnsi="Arial" w:cs="Arial"/>
          <w:color w:val="000000"/>
          <w:sz w:val="22"/>
          <w:szCs w:val="22"/>
        </w:rPr>
        <w:t xml:space="preserve"> H2</w:t>
      </w:r>
      <w:r w:rsidR="00C14426" w:rsidRPr="000C2D3E">
        <w:rPr>
          <w:rFonts w:ascii="Arial" w:hAnsi="Arial" w:cs="Arial"/>
          <w:color w:val="000000"/>
          <w:sz w:val="22"/>
          <w:szCs w:val="22"/>
          <w:vertAlign w:val="superscript"/>
        </w:rPr>
        <w:t>5</w:t>
      </w:r>
      <w:r w:rsidR="00C14426" w:rsidRPr="000C2D3E">
        <w:rPr>
          <w:rFonts w:ascii="Arial" w:hAnsi="Arial" w:cs="Arial"/>
          <w:color w:val="000000"/>
          <w:sz w:val="22"/>
          <w:szCs w:val="22"/>
        </w:rPr>
        <w:t xml:space="preserve">. Como tal, las decisiones sobre qué intervenciones </w:t>
      </w:r>
      <w:r w:rsidR="000F09D9">
        <w:rPr>
          <w:rFonts w:ascii="Arial" w:hAnsi="Arial" w:cs="Arial"/>
          <w:color w:val="000000"/>
          <w:sz w:val="22"/>
          <w:szCs w:val="22"/>
        </w:rPr>
        <w:t>se han de</w:t>
      </w:r>
      <w:r w:rsidR="00A70D7B" w:rsidRPr="000C2D3E">
        <w:rPr>
          <w:rFonts w:ascii="Arial" w:hAnsi="Arial" w:cs="Arial"/>
          <w:color w:val="000000"/>
          <w:sz w:val="22"/>
          <w:szCs w:val="22"/>
        </w:rPr>
        <w:t xml:space="preserve"> aplicar</w:t>
      </w:r>
      <w:r w:rsidR="00C14426" w:rsidRPr="000C2D3E">
        <w:rPr>
          <w:rFonts w:ascii="Arial" w:hAnsi="Arial" w:cs="Arial"/>
          <w:color w:val="000000"/>
          <w:sz w:val="22"/>
          <w:szCs w:val="22"/>
        </w:rPr>
        <w:t xml:space="preserve"> deben basarse en las valoraciones </w:t>
      </w:r>
      <w:r w:rsidR="00A70D7B" w:rsidRPr="000C2D3E">
        <w:rPr>
          <w:rFonts w:ascii="Arial" w:hAnsi="Arial" w:cs="Arial"/>
          <w:color w:val="000000"/>
          <w:sz w:val="22"/>
          <w:szCs w:val="22"/>
        </w:rPr>
        <w:t>clínicas</w:t>
      </w:r>
      <w:r w:rsidR="00C14426" w:rsidRPr="000C2D3E">
        <w:rPr>
          <w:rFonts w:ascii="Arial" w:hAnsi="Arial" w:cs="Arial"/>
          <w:color w:val="000000"/>
          <w:sz w:val="22"/>
          <w:szCs w:val="22"/>
        </w:rPr>
        <w:t xml:space="preserve"> de las necesidades del paciente y las condiciones subyacentes.</w:t>
      </w:r>
    </w:p>
    <w:p w14:paraId="4BBBBEAB" w14:textId="7592ACEC" w:rsidR="00F25633" w:rsidRPr="000C2D3E" w:rsidRDefault="007C6EBE" w:rsidP="00F25633">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La baja calidad de la evidencia en varios aspectos de esta revisión señala que es</w:t>
      </w:r>
      <w:r w:rsidR="00E538A3">
        <w:rPr>
          <w:rFonts w:ascii="Arial" w:hAnsi="Arial" w:cs="Arial"/>
          <w:color w:val="000000"/>
          <w:sz w:val="22"/>
          <w:szCs w:val="22"/>
        </w:rPr>
        <w:t>tarían</w:t>
      </w:r>
      <w:r w:rsidRPr="000C2D3E">
        <w:rPr>
          <w:rFonts w:ascii="Arial" w:hAnsi="Arial" w:cs="Arial"/>
          <w:color w:val="000000"/>
          <w:sz w:val="22"/>
          <w:szCs w:val="22"/>
        </w:rPr>
        <w:t xml:space="preserve"> justificados ensayos clínicos aleatorizados más amplios y de alta calidad para confirmar los resultados obtenidos</w:t>
      </w:r>
      <w:r w:rsidR="001A20FF" w:rsidRPr="000C2D3E">
        <w:rPr>
          <w:rFonts w:ascii="Arial" w:hAnsi="Arial" w:cs="Arial"/>
          <w:color w:val="000000"/>
          <w:sz w:val="22"/>
          <w:szCs w:val="22"/>
        </w:rPr>
        <w:t xml:space="preserve">. </w:t>
      </w:r>
      <w:r w:rsidRPr="000C2D3E">
        <w:rPr>
          <w:rFonts w:ascii="Arial" w:hAnsi="Arial" w:cs="Arial"/>
          <w:color w:val="000000"/>
          <w:sz w:val="22"/>
          <w:szCs w:val="22"/>
        </w:rPr>
        <w:t>Tales estudios inclu</w:t>
      </w:r>
      <w:r w:rsidR="00E538A3">
        <w:rPr>
          <w:rFonts w:ascii="Arial" w:hAnsi="Arial" w:cs="Arial"/>
          <w:color w:val="000000"/>
          <w:sz w:val="22"/>
          <w:szCs w:val="22"/>
        </w:rPr>
        <w:t>irían</w:t>
      </w:r>
      <w:r w:rsidRPr="000C2D3E">
        <w:rPr>
          <w:rFonts w:ascii="Arial" w:hAnsi="Arial" w:cs="Arial"/>
          <w:color w:val="000000"/>
          <w:sz w:val="22"/>
          <w:szCs w:val="22"/>
        </w:rPr>
        <w:t xml:space="preserve"> ensayos de alta calidad que evalúen el riesgo de NAV en pacientes que reciben medicación para prevenir las úlceras por estrés. </w:t>
      </w:r>
    </w:p>
    <w:p w14:paraId="4F3CA4B6" w14:textId="50357EF1" w:rsidR="001A20FF" w:rsidRPr="000C2D3E" w:rsidRDefault="008657BD" w:rsidP="007C6EBE">
      <w:pPr>
        <w:autoSpaceDE w:val="0"/>
        <w:autoSpaceDN w:val="0"/>
        <w:adjustRightInd w:val="0"/>
        <w:spacing w:line="480" w:lineRule="auto"/>
        <w:ind w:firstLine="708"/>
        <w:jc w:val="both"/>
        <w:rPr>
          <w:rFonts w:ascii="Arial" w:hAnsi="Arial" w:cs="Arial"/>
          <w:color w:val="000000"/>
          <w:sz w:val="22"/>
          <w:szCs w:val="22"/>
        </w:rPr>
      </w:pPr>
      <w:r w:rsidRPr="000C2D3E">
        <w:rPr>
          <w:rFonts w:ascii="Arial" w:hAnsi="Arial" w:cs="Arial"/>
          <w:color w:val="000000"/>
          <w:sz w:val="22"/>
          <w:szCs w:val="22"/>
        </w:rPr>
        <w:t>Las enfermeras que</w:t>
      </w:r>
      <w:r w:rsidR="00AB5AC7" w:rsidRPr="000C2D3E">
        <w:rPr>
          <w:rFonts w:ascii="Arial" w:hAnsi="Arial" w:cs="Arial"/>
          <w:color w:val="000000"/>
          <w:sz w:val="22"/>
          <w:szCs w:val="22"/>
        </w:rPr>
        <w:t xml:space="preserve"> cuidan </w:t>
      </w:r>
      <w:r w:rsidR="007C6EBE" w:rsidRPr="000C2D3E">
        <w:rPr>
          <w:rFonts w:ascii="Arial" w:hAnsi="Arial" w:cs="Arial"/>
          <w:color w:val="000000"/>
          <w:sz w:val="22"/>
          <w:szCs w:val="22"/>
        </w:rPr>
        <w:t xml:space="preserve">a pacientes críticos </w:t>
      </w:r>
      <w:r w:rsidR="00A70D7B" w:rsidRPr="000C2D3E">
        <w:rPr>
          <w:rFonts w:ascii="Arial" w:hAnsi="Arial" w:cs="Arial"/>
          <w:color w:val="000000"/>
          <w:sz w:val="22"/>
          <w:szCs w:val="22"/>
        </w:rPr>
        <w:t>deben</w:t>
      </w:r>
      <w:r w:rsidR="00AB5AC7" w:rsidRPr="000C2D3E">
        <w:rPr>
          <w:rFonts w:ascii="Arial" w:hAnsi="Arial" w:cs="Arial"/>
          <w:color w:val="000000"/>
          <w:sz w:val="22"/>
          <w:szCs w:val="22"/>
        </w:rPr>
        <w:t xml:space="preserve"> abogar por el mejor tratamiento basado en la evidencia</w:t>
      </w:r>
      <w:r w:rsidR="001A20FF" w:rsidRPr="000C2D3E">
        <w:rPr>
          <w:rFonts w:ascii="Arial" w:hAnsi="Arial" w:cs="Arial"/>
          <w:color w:val="000000"/>
          <w:sz w:val="22"/>
          <w:szCs w:val="22"/>
        </w:rPr>
        <w:t xml:space="preserve">. </w:t>
      </w:r>
      <w:r w:rsidR="00AB5AC7" w:rsidRPr="000C2D3E">
        <w:rPr>
          <w:rFonts w:ascii="Arial" w:hAnsi="Arial" w:cs="Arial"/>
          <w:color w:val="000000"/>
          <w:sz w:val="22"/>
          <w:szCs w:val="22"/>
        </w:rPr>
        <w:t>Siempre se debe considerar la mejor evidencia disponible y comprender la viabilidad, adecuación, importancia y efectividad de cualquier intervención para determinar si es mejor ponerla</w:t>
      </w:r>
      <w:r w:rsidR="007C6EBE" w:rsidRPr="000C2D3E">
        <w:rPr>
          <w:rFonts w:ascii="Arial" w:hAnsi="Arial" w:cs="Arial"/>
          <w:color w:val="000000"/>
          <w:sz w:val="22"/>
          <w:szCs w:val="22"/>
        </w:rPr>
        <w:t xml:space="preserve"> </w:t>
      </w:r>
      <w:r w:rsidR="00AB5AC7" w:rsidRPr="000C2D3E">
        <w:rPr>
          <w:rFonts w:ascii="Arial" w:hAnsi="Arial" w:cs="Arial"/>
          <w:color w:val="000000"/>
          <w:sz w:val="22"/>
          <w:szCs w:val="22"/>
        </w:rPr>
        <w:t>en práctica en el propio contexto individual.</w:t>
      </w:r>
    </w:p>
    <w:p w14:paraId="40382C26" w14:textId="77777777" w:rsidR="00150FF5" w:rsidRPr="000C2D3E" w:rsidRDefault="00150FF5" w:rsidP="00F25633">
      <w:pPr>
        <w:autoSpaceDE w:val="0"/>
        <w:autoSpaceDN w:val="0"/>
        <w:adjustRightInd w:val="0"/>
        <w:spacing w:line="480" w:lineRule="auto"/>
        <w:jc w:val="both"/>
        <w:rPr>
          <w:rFonts w:ascii="Arial" w:hAnsi="Arial" w:cs="Arial"/>
          <w:sz w:val="22"/>
          <w:szCs w:val="22"/>
        </w:rPr>
      </w:pPr>
    </w:p>
    <w:p w14:paraId="090CE9F8" w14:textId="24545A28" w:rsidR="00150FF5" w:rsidRPr="000C2D3E" w:rsidRDefault="00D56852" w:rsidP="00F25633">
      <w:pPr>
        <w:autoSpaceDE w:val="0"/>
        <w:autoSpaceDN w:val="0"/>
        <w:adjustRightInd w:val="0"/>
        <w:spacing w:line="480" w:lineRule="auto"/>
        <w:jc w:val="both"/>
        <w:rPr>
          <w:rFonts w:ascii="Arial" w:hAnsi="Arial" w:cs="Arial"/>
          <w:b/>
          <w:bCs/>
          <w:sz w:val="22"/>
          <w:szCs w:val="22"/>
          <w:lang w:val="en-US"/>
        </w:rPr>
      </w:pPr>
      <w:proofErr w:type="spellStart"/>
      <w:r w:rsidRPr="000C2D3E">
        <w:rPr>
          <w:rFonts w:ascii="Arial" w:hAnsi="Arial" w:cs="Arial"/>
          <w:b/>
          <w:bCs/>
          <w:sz w:val="22"/>
          <w:szCs w:val="22"/>
          <w:lang w:val="en-US"/>
        </w:rPr>
        <w:t>Bibliografía</w:t>
      </w:r>
      <w:proofErr w:type="spellEnd"/>
    </w:p>
    <w:p w14:paraId="58C11543" w14:textId="6973E44B" w:rsidR="00150FF5" w:rsidRPr="004C41C8" w:rsidRDefault="00150FF5" w:rsidP="00F25633">
      <w:pPr>
        <w:autoSpaceDE w:val="0"/>
        <w:autoSpaceDN w:val="0"/>
        <w:adjustRightInd w:val="0"/>
        <w:spacing w:line="480" w:lineRule="auto"/>
        <w:jc w:val="both"/>
        <w:rPr>
          <w:rFonts w:ascii="Arial" w:hAnsi="Arial" w:cs="Arial"/>
          <w:sz w:val="20"/>
          <w:szCs w:val="20"/>
          <w:lang w:val="en-US"/>
        </w:rPr>
      </w:pPr>
      <w:r w:rsidRPr="004C41C8">
        <w:rPr>
          <w:rFonts w:ascii="Arial" w:hAnsi="Arial" w:cs="Arial"/>
          <w:sz w:val="20"/>
          <w:szCs w:val="20"/>
          <w:lang w:val="en-US"/>
        </w:rPr>
        <w:t xml:space="preserve">1. Hwang JH, Fisher DA, Ben-Menachem T, </w:t>
      </w:r>
      <w:r w:rsidR="00CE7A96" w:rsidRPr="004C41C8">
        <w:rPr>
          <w:rFonts w:ascii="Arial" w:hAnsi="Arial" w:cs="Arial"/>
          <w:sz w:val="20"/>
          <w:szCs w:val="20"/>
          <w:lang w:val="en-US"/>
        </w:rPr>
        <w:t xml:space="preserve">Chandrasekhara V, </w:t>
      </w:r>
      <w:proofErr w:type="spellStart"/>
      <w:r w:rsidR="00CE7A96" w:rsidRPr="004C41C8">
        <w:rPr>
          <w:rFonts w:ascii="Arial" w:hAnsi="Arial" w:cs="Arial"/>
          <w:sz w:val="20"/>
          <w:szCs w:val="20"/>
          <w:lang w:val="en-US"/>
        </w:rPr>
        <w:t>Chathadi</w:t>
      </w:r>
      <w:proofErr w:type="spellEnd"/>
      <w:r w:rsidR="00CE7A96" w:rsidRPr="004C41C8">
        <w:rPr>
          <w:rFonts w:ascii="Arial" w:hAnsi="Arial" w:cs="Arial"/>
          <w:sz w:val="20"/>
          <w:szCs w:val="20"/>
          <w:lang w:val="en-US"/>
        </w:rPr>
        <w:t xml:space="preserve"> K, Decker</w:t>
      </w:r>
      <w:r w:rsidR="000C2D3E" w:rsidRPr="004C41C8">
        <w:rPr>
          <w:rFonts w:ascii="Arial" w:hAnsi="Arial" w:cs="Arial"/>
          <w:sz w:val="20"/>
          <w:szCs w:val="20"/>
          <w:lang w:val="en-US"/>
        </w:rPr>
        <w:t xml:space="preserve"> GA, et </w:t>
      </w:r>
      <w:r w:rsidRPr="004C41C8">
        <w:rPr>
          <w:rFonts w:ascii="Arial" w:hAnsi="Arial" w:cs="Arial"/>
          <w:sz w:val="20"/>
          <w:szCs w:val="20"/>
          <w:lang w:val="en-US"/>
        </w:rPr>
        <w:t xml:space="preserve">al. The role of endoscopy in the management of acute non-variceal upper GI bleeding. </w:t>
      </w:r>
      <w:proofErr w:type="spellStart"/>
      <w:r w:rsidRPr="004C41C8">
        <w:rPr>
          <w:rFonts w:ascii="Arial" w:hAnsi="Arial" w:cs="Arial"/>
          <w:sz w:val="20"/>
          <w:szCs w:val="20"/>
          <w:lang w:val="en-US"/>
        </w:rPr>
        <w:t>Gastrointest</w:t>
      </w:r>
      <w:proofErr w:type="spellEnd"/>
      <w:r w:rsidRPr="004C41C8">
        <w:rPr>
          <w:rFonts w:ascii="Arial" w:hAnsi="Arial" w:cs="Arial"/>
          <w:sz w:val="20"/>
          <w:szCs w:val="20"/>
          <w:lang w:val="en-US"/>
        </w:rPr>
        <w:t xml:space="preserve"> </w:t>
      </w:r>
      <w:proofErr w:type="spellStart"/>
      <w:r w:rsidRPr="004C41C8">
        <w:rPr>
          <w:rFonts w:ascii="Arial" w:hAnsi="Arial" w:cs="Arial"/>
          <w:sz w:val="20"/>
          <w:szCs w:val="20"/>
          <w:lang w:val="en-US"/>
        </w:rPr>
        <w:t>Endosc</w:t>
      </w:r>
      <w:proofErr w:type="spellEnd"/>
      <w:r w:rsidRPr="004C41C8">
        <w:rPr>
          <w:rFonts w:ascii="Arial" w:hAnsi="Arial" w:cs="Arial"/>
          <w:sz w:val="20"/>
          <w:szCs w:val="20"/>
          <w:lang w:val="en-US"/>
        </w:rPr>
        <w:t>. 2012;75(6):1132-8</w:t>
      </w:r>
      <w:r w:rsidR="000C2D3E" w:rsidRPr="004C41C8">
        <w:rPr>
          <w:rFonts w:ascii="Arial" w:hAnsi="Arial" w:cs="Arial"/>
          <w:sz w:val="20"/>
          <w:szCs w:val="20"/>
          <w:lang w:val="en-US"/>
        </w:rPr>
        <w:t>, 10.1016/j.gie.2012.02.033.</w:t>
      </w:r>
    </w:p>
    <w:p w14:paraId="48734777" w14:textId="754D5F5D" w:rsidR="00150FF5" w:rsidRPr="004C41C8" w:rsidRDefault="00150FF5" w:rsidP="00F25633">
      <w:pPr>
        <w:autoSpaceDE w:val="0"/>
        <w:autoSpaceDN w:val="0"/>
        <w:adjustRightInd w:val="0"/>
        <w:spacing w:line="480" w:lineRule="auto"/>
        <w:jc w:val="both"/>
        <w:rPr>
          <w:rFonts w:ascii="Arial" w:hAnsi="Arial" w:cs="Arial"/>
          <w:sz w:val="20"/>
          <w:szCs w:val="20"/>
          <w:lang w:val="en-US"/>
        </w:rPr>
      </w:pPr>
      <w:r w:rsidRPr="004C41C8">
        <w:rPr>
          <w:rFonts w:ascii="Arial" w:hAnsi="Arial" w:cs="Arial"/>
          <w:sz w:val="20"/>
          <w:szCs w:val="20"/>
          <w:lang w:val="en-US"/>
        </w:rPr>
        <w:lastRenderedPageBreak/>
        <w:t xml:space="preserve">2. Rosenstock SJ, Moller MH, Larsson H, </w:t>
      </w:r>
      <w:r w:rsidR="00CE7A96" w:rsidRPr="004C41C8">
        <w:rPr>
          <w:rFonts w:ascii="Arial" w:hAnsi="Arial" w:cs="Arial"/>
          <w:sz w:val="20"/>
          <w:szCs w:val="20"/>
          <w:lang w:val="en-US"/>
        </w:rPr>
        <w:t xml:space="preserve">Johnsen SP, Madsen AH, </w:t>
      </w:r>
      <w:proofErr w:type="spellStart"/>
      <w:r w:rsidR="00CE7A96" w:rsidRPr="004C41C8">
        <w:rPr>
          <w:rFonts w:ascii="Arial" w:hAnsi="Arial" w:cs="Arial"/>
          <w:sz w:val="20"/>
          <w:szCs w:val="20"/>
          <w:lang w:val="en-US"/>
        </w:rPr>
        <w:t>Bendix</w:t>
      </w:r>
      <w:r w:rsidRPr="004C41C8">
        <w:rPr>
          <w:rFonts w:ascii="Arial" w:hAnsi="Arial" w:cs="Arial"/>
          <w:sz w:val="20"/>
          <w:szCs w:val="20"/>
          <w:lang w:val="en-US"/>
        </w:rPr>
        <w:t>et</w:t>
      </w:r>
      <w:proofErr w:type="spellEnd"/>
      <w:r w:rsidR="00CE7A96" w:rsidRPr="004C41C8">
        <w:rPr>
          <w:rFonts w:ascii="Arial" w:hAnsi="Arial" w:cs="Arial"/>
          <w:sz w:val="20"/>
          <w:szCs w:val="20"/>
          <w:lang w:val="en-US"/>
        </w:rPr>
        <w:t xml:space="preserve"> J,</w:t>
      </w:r>
      <w:r w:rsidRPr="004C41C8">
        <w:rPr>
          <w:rFonts w:ascii="Arial" w:hAnsi="Arial" w:cs="Arial"/>
          <w:sz w:val="20"/>
          <w:szCs w:val="20"/>
          <w:lang w:val="en-US"/>
        </w:rPr>
        <w:t xml:space="preserve"> al. Improving quality of care in peptic ulcer bleeding: nationwide cohort study in the Danish Clinical Register of Emergency Surgery. Am J Gastroenterol. 2013;108(9): 1449-57</w:t>
      </w:r>
      <w:r w:rsidR="00CE7A96" w:rsidRPr="004C41C8">
        <w:rPr>
          <w:rFonts w:ascii="Arial" w:hAnsi="Arial" w:cs="Arial"/>
          <w:sz w:val="20"/>
          <w:szCs w:val="20"/>
          <w:lang w:val="en-US"/>
        </w:rPr>
        <w:t>, 10.1038/ajg.2013.162.</w:t>
      </w:r>
    </w:p>
    <w:p w14:paraId="60655E21" w14:textId="226E6EAC" w:rsidR="00150FF5" w:rsidRPr="004C41C8" w:rsidRDefault="00150FF5" w:rsidP="00F25633">
      <w:pPr>
        <w:autoSpaceDE w:val="0"/>
        <w:autoSpaceDN w:val="0"/>
        <w:adjustRightInd w:val="0"/>
        <w:spacing w:line="480" w:lineRule="auto"/>
        <w:jc w:val="both"/>
        <w:rPr>
          <w:rFonts w:ascii="Arial" w:hAnsi="Arial" w:cs="Arial"/>
          <w:sz w:val="20"/>
          <w:szCs w:val="20"/>
          <w:lang w:val="en-US"/>
        </w:rPr>
      </w:pPr>
      <w:r w:rsidRPr="004C41C8">
        <w:rPr>
          <w:rFonts w:ascii="Arial" w:hAnsi="Arial" w:cs="Arial"/>
          <w:sz w:val="20"/>
          <w:szCs w:val="20"/>
          <w:lang w:val="en-US"/>
        </w:rPr>
        <w:t xml:space="preserve">3. </w:t>
      </w:r>
      <w:proofErr w:type="spellStart"/>
      <w:r w:rsidRPr="004C41C8">
        <w:rPr>
          <w:rFonts w:ascii="Arial" w:hAnsi="Arial" w:cs="Arial"/>
          <w:sz w:val="20"/>
          <w:szCs w:val="20"/>
          <w:lang w:val="en-US"/>
        </w:rPr>
        <w:t>Krag</w:t>
      </w:r>
      <w:proofErr w:type="spellEnd"/>
      <w:r w:rsidRPr="004C41C8">
        <w:rPr>
          <w:rFonts w:ascii="Arial" w:hAnsi="Arial" w:cs="Arial"/>
          <w:sz w:val="20"/>
          <w:szCs w:val="20"/>
          <w:lang w:val="en-US"/>
        </w:rPr>
        <w:t xml:space="preserve"> M, </w:t>
      </w:r>
      <w:proofErr w:type="spellStart"/>
      <w:r w:rsidRPr="004C41C8">
        <w:rPr>
          <w:rFonts w:ascii="Arial" w:hAnsi="Arial" w:cs="Arial"/>
          <w:sz w:val="20"/>
          <w:szCs w:val="20"/>
          <w:lang w:val="en-US"/>
        </w:rPr>
        <w:t>Perner</w:t>
      </w:r>
      <w:proofErr w:type="spellEnd"/>
      <w:r w:rsidRPr="004C41C8">
        <w:rPr>
          <w:rFonts w:ascii="Arial" w:hAnsi="Arial" w:cs="Arial"/>
          <w:sz w:val="20"/>
          <w:szCs w:val="20"/>
          <w:lang w:val="en-US"/>
        </w:rPr>
        <w:t xml:space="preserve"> A, </w:t>
      </w:r>
      <w:proofErr w:type="spellStart"/>
      <w:r w:rsidRPr="004C41C8">
        <w:rPr>
          <w:rFonts w:ascii="Arial" w:hAnsi="Arial" w:cs="Arial"/>
          <w:sz w:val="20"/>
          <w:szCs w:val="20"/>
          <w:lang w:val="en-US"/>
        </w:rPr>
        <w:t>Wetterslev</w:t>
      </w:r>
      <w:proofErr w:type="spellEnd"/>
      <w:r w:rsidRPr="004C41C8">
        <w:rPr>
          <w:rFonts w:ascii="Arial" w:hAnsi="Arial" w:cs="Arial"/>
          <w:sz w:val="20"/>
          <w:szCs w:val="20"/>
          <w:lang w:val="en-US"/>
        </w:rPr>
        <w:t xml:space="preserve"> J,</w:t>
      </w:r>
      <w:r w:rsidR="00CE7A96" w:rsidRPr="004C41C8">
        <w:rPr>
          <w:rFonts w:ascii="Arial" w:hAnsi="Arial" w:cs="Arial"/>
          <w:sz w:val="20"/>
          <w:szCs w:val="20"/>
          <w:lang w:val="en-US"/>
        </w:rPr>
        <w:t xml:space="preserve"> Wise MP, Borthwick M, Bendel S, </w:t>
      </w:r>
      <w:r w:rsidRPr="004C41C8">
        <w:rPr>
          <w:rFonts w:ascii="Arial" w:hAnsi="Arial" w:cs="Arial"/>
          <w:sz w:val="20"/>
          <w:szCs w:val="20"/>
          <w:lang w:val="en-US"/>
        </w:rPr>
        <w:t>et al. Prevalence and outcome of gastrointestinal bleeding and use of acid suppressants in acutely ill adult intensive care patients. Intensive Care Med. 2015;41(5):833-45</w:t>
      </w:r>
      <w:r w:rsidR="00CE7A96" w:rsidRPr="004C41C8">
        <w:rPr>
          <w:rFonts w:ascii="Arial" w:hAnsi="Arial" w:cs="Arial"/>
          <w:sz w:val="20"/>
          <w:szCs w:val="20"/>
          <w:lang w:val="en-US"/>
        </w:rPr>
        <w:t>, 10.1007/s00134-015-3725-1.</w:t>
      </w:r>
    </w:p>
    <w:p w14:paraId="6D34BFBD" w14:textId="5B65C4D3" w:rsidR="00150FF5" w:rsidRPr="004C41C8" w:rsidRDefault="00150FF5" w:rsidP="00F25633">
      <w:pPr>
        <w:autoSpaceDE w:val="0"/>
        <w:autoSpaceDN w:val="0"/>
        <w:adjustRightInd w:val="0"/>
        <w:spacing w:line="480" w:lineRule="auto"/>
        <w:jc w:val="both"/>
        <w:rPr>
          <w:rFonts w:ascii="Arial" w:hAnsi="Arial" w:cs="Arial"/>
          <w:sz w:val="20"/>
          <w:szCs w:val="20"/>
          <w:lang w:val="en-US"/>
        </w:rPr>
      </w:pPr>
      <w:r w:rsidRPr="004C41C8">
        <w:rPr>
          <w:rFonts w:ascii="Arial" w:hAnsi="Arial" w:cs="Arial"/>
          <w:sz w:val="20"/>
          <w:szCs w:val="20"/>
          <w:lang w:val="en-US"/>
        </w:rPr>
        <w:t xml:space="preserve">4. Cook D, </w:t>
      </w:r>
      <w:proofErr w:type="spellStart"/>
      <w:r w:rsidRPr="004C41C8">
        <w:rPr>
          <w:rFonts w:ascii="Arial" w:hAnsi="Arial" w:cs="Arial"/>
          <w:sz w:val="20"/>
          <w:szCs w:val="20"/>
          <w:lang w:val="en-US"/>
        </w:rPr>
        <w:t>Heyland</w:t>
      </w:r>
      <w:proofErr w:type="spellEnd"/>
      <w:r w:rsidRPr="004C41C8">
        <w:rPr>
          <w:rFonts w:ascii="Arial" w:hAnsi="Arial" w:cs="Arial"/>
          <w:sz w:val="20"/>
          <w:szCs w:val="20"/>
          <w:lang w:val="en-US"/>
        </w:rPr>
        <w:t xml:space="preserve"> D, Griffith L, Cook R, Marshall J, </w:t>
      </w:r>
      <w:proofErr w:type="spellStart"/>
      <w:r w:rsidRPr="004C41C8">
        <w:rPr>
          <w:rFonts w:ascii="Arial" w:hAnsi="Arial" w:cs="Arial"/>
          <w:sz w:val="20"/>
          <w:szCs w:val="20"/>
          <w:lang w:val="en-US"/>
        </w:rPr>
        <w:t>Pagliarello</w:t>
      </w:r>
      <w:proofErr w:type="spellEnd"/>
      <w:r w:rsidRPr="004C41C8">
        <w:rPr>
          <w:rFonts w:ascii="Arial" w:hAnsi="Arial" w:cs="Arial"/>
          <w:sz w:val="20"/>
          <w:szCs w:val="20"/>
          <w:lang w:val="en-US"/>
        </w:rPr>
        <w:t xml:space="preserve"> J. Risk factors for clinically important upper gastrointestinal bleeding in patients requiring mechanical ventilation. Crit Care Med. 1999;27(12):2812-7</w:t>
      </w:r>
      <w:r w:rsidR="00CE7A96" w:rsidRPr="004C41C8">
        <w:rPr>
          <w:rFonts w:ascii="Arial" w:hAnsi="Arial" w:cs="Arial"/>
          <w:sz w:val="20"/>
          <w:szCs w:val="20"/>
          <w:lang w:val="en-US"/>
        </w:rPr>
        <w:t>, 10.1097/00003246-199912000-00034.</w:t>
      </w:r>
    </w:p>
    <w:p w14:paraId="0F1D6A11" w14:textId="1DA05A56" w:rsidR="00CE7A96" w:rsidRPr="004C41C8" w:rsidRDefault="00150FF5" w:rsidP="00F25633">
      <w:pPr>
        <w:autoSpaceDE w:val="0"/>
        <w:autoSpaceDN w:val="0"/>
        <w:adjustRightInd w:val="0"/>
        <w:spacing w:line="480" w:lineRule="auto"/>
        <w:jc w:val="both"/>
        <w:rPr>
          <w:rFonts w:ascii="Arial" w:hAnsi="Arial" w:cs="Arial"/>
          <w:color w:val="000000"/>
          <w:sz w:val="20"/>
          <w:szCs w:val="20"/>
          <w:lang w:val="en-US"/>
        </w:rPr>
      </w:pPr>
      <w:r w:rsidRPr="004C41C8">
        <w:rPr>
          <w:rFonts w:ascii="Arial" w:hAnsi="Arial" w:cs="Arial"/>
          <w:sz w:val="20"/>
          <w:szCs w:val="20"/>
          <w:lang w:val="en-US"/>
        </w:rPr>
        <w:t xml:space="preserve">5. </w:t>
      </w:r>
      <w:r w:rsidR="00CE7A96" w:rsidRPr="004C41C8">
        <w:rPr>
          <w:rFonts w:ascii="Arial" w:hAnsi="Arial" w:cs="Arial"/>
          <w:color w:val="000000"/>
          <w:sz w:val="20"/>
          <w:szCs w:val="20"/>
          <w:lang w:val="en-US"/>
        </w:rPr>
        <w:t xml:space="preserve">Toews I, George AT, Peter JV, </w:t>
      </w:r>
      <w:proofErr w:type="spellStart"/>
      <w:r w:rsidR="00CE7A96" w:rsidRPr="004C41C8">
        <w:rPr>
          <w:rFonts w:ascii="Arial" w:hAnsi="Arial" w:cs="Arial"/>
          <w:color w:val="000000"/>
          <w:sz w:val="20"/>
          <w:szCs w:val="20"/>
          <w:lang w:val="en-US"/>
        </w:rPr>
        <w:t>Kirubakaran</w:t>
      </w:r>
      <w:proofErr w:type="spellEnd"/>
      <w:r w:rsidR="00CE7A96" w:rsidRPr="004C41C8">
        <w:rPr>
          <w:rFonts w:ascii="Arial" w:hAnsi="Arial" w:cs="Arial"/>
          <w:color w:val="000000"/>
          <w:sz w:val="20"/>
          <w:szCs w:val="20"/>
          <w:lang w:val="en-US"/>
        </w:rPr>
        <w:t xml:space="preserve"> R, Fontes LES, Ezekiel JPB, </w:t>
      </w:r>
      <w:proofErr w:type="spellStart"/>
      <w:r w:rsidR="00CE7A96" w:rsidRPr="004C41C8">
        <w:rPr>
          <w:rFonts w:ascii="Arial" w:hAnsi="Arial" w:cs="Arial"/>
          <w:color w:val="000000"/>
          <w:sz w:val="20"/>
          <w:szCs w:val="20"/>
          <w:lang w:val="en-US"/>
        </w:rPr>
        <w:t>Meerpohl</w:t>
      </w:r>
      <w:proofErr w:type="spellEnd"/>
      <w:r w:rsidR="00CE7A96" w:rsidRPr="004C41C8">
        <w:rPr>
          <w:rFonts w:ascii="Arial" w:hAnsi="Arial" w:cs="Arial"/>
          <w:color w:val="000000"/>
          <w:sz w:val="20"/>
          <w:szCs w:val="20"/>
          <w:lang w:val="en-US"/>
        </w:rPr>
        <w:t xml:space="preserve"> JJ. Interventions for preventing upper gastrointestinal bleeding in people admitted to intensive care units. Cochrane Database Syst Rev. 2018;6(6):CD008687, 10.1002/14651858.CD008687.pub2.</w:t>
      </w:r>
    </w:p>
    <w:p w14:paraId="33086AAE" w14:textId="061A9967" w:rsidR="00171AF1" w:rsidRPr="00F25633" w:rsidRDefault="00150FF5" w:rsidP="00171AF1">
      <w:pPr>
        <w:autoSpaceDE w:val="0"/>
        <w:autoSpaceDN w:val="0"/>
        <w:adjustRightInd w:val="0"/>
        <w:spacing w:line="480" w:lineRule="auto"/>
        <w:jc w:val="both"/>
        <w:rPr>
          <w:rFonts w:ascii="Arial" w:hAnsi="Arial" w:cs="Arial"/>
          <w:sz w:val="22"/>
          <w:szCs w:val="22"/>
          <w:lang w:val="en-US"/>
        </w:rPr>
      </w:pPr>
      <w:r w:rsidRPr="004C41C8">
        <w:rPr>
          <w:rFonts w:ascii="Arial" w:hAnsi="Arial" w:cs="Arial"/>
          <w:sz w:val="20"/>
          <w:szCs w:val="20"/>
          <w:lang w:val="en-US"/>
        </w:rPr>
        <w:t xml:space="preserve">6. </w:t>
      </w:r>
      <w:proofErr w:type="spellStart"/>
      <w:r w:rsidRPr="004C41C8">
        <w:rPr>
          <w:rFonts w:ascii="Arial" w:hAnsi="Arial" w:cs="Arial"/>
          <w:sz w:val="20"/>
          <w:szCs w:val="20"/>
          <w:lang w:val="en-US"/>
        </w:rPr>
        <w:t>Schünemann</w:t>
      </w:r>
      <w:proofErr w:type="spellEnd"/>
      <w:r w:rsidRPr="004C41C8">
        <w:rPr>
          <w:rFonts w:ascii="Arial" w:hAnsi="Arial" w:cs="Arial"/>
          <w:sz w:val="20"/>
          <w:szCs w:val="20"/>
          <w:lang w:val="en-US"/>
        </w:rPr>
        <w:t xml:space="preserve"> H, </w:t>
      </w:r>
      <w:proofErr w:type="spellStart"/>
      <w:r w:rsidRPr="004C41C8">
        <w:rPr>
          <w:rFonts w:ascii="Arial" w:hAnsi="Arial" w:cs="Arial"/>
          <w:sz w:val="20"/>
          <w:szCs w:val="20"/>
          <w:lang w:val="en-US"/>
        </w:rPr>
        <w:t>Brozek</w:t>
      </w:r>
      <w:proofErr w:type="spellEnd"/>
      <w:r w:rsidRPr="004C41C8">
        <w:rPr>
          <w:rFonts w:ascii="Arial" w:hAnsi="Arial" w:cs="Arial"/>
          <w:sz w:val="20"/>
          <w:szCs w:val="20"/>
          <w:lang w:val="en-US"/>
        </w:rPr>
        <w:t xml:space="preserve"> J, </w:t>
      </w:r>
      <w:proofErr w:type="spellStart"/>
      <w:r w:rsidRPr="004C41C8">
        <w:rPr>
          <w:rFonts w:ascii="Arial" w:hAnsi="Arial" w:cs="Arial"/>
          <w:sz w:val="20"/>
          <w:szCs w:val="20"/>
          <w:lang w:val="en-US"/>
        </w:rPr>
        <w:t>Guyatt</w:t>
      </w:r>
      <w:proofErr w:type="spellEnd"/>
      <w:r w:rsidRPr="004C41C8">
        <w:rPr>
          <w:rFonts w:ascii="Arial" w:hAnsi="Arial" w:cs="Arial"/>
          <w:sz w:val="20"/>
          <w:szCs w:val="20"/>
          <w:lang w:val="en-US"/>
        </w:rPr>
        <w:t xml:space="preserve"> G, </w:t>
      </w:r>
      <w:proofErr w:type="spellStart"/>
      <w:r w:rsidRPr="004C41C8">
        <w:rPr>
          <w:rFonts w:ascii="Arial" w:hAnsi="Arial" w:cs="Arial"/>
          <w:sz w:val="20"/>
          <w:szCs w:val="20"/>
          <w:lang w:val="en-US"/>
        </w:rPr>
        <w:t>Oxman</w:t>
      </w:r>
      <w:proofErr w:type="spellEnd"/>
      <w:r w:rsidRPr="004C41C8">
        <w:rPr>
          <w:rFonts w:ascii="Arial" w:hAnsi="Arial" w:cs="Arial"/>
          <w:sz w:val="20"/>
          <w:szCs w:val="20"/>
          <w:lang w:val="en-US"/>
        </w:rPr>
        <w:t xml:space="preserve"> A, eds. GRADE handbook for grading quality of evidence and strength of recommendations. The GRADE Working Group, 2013. </w:t>
      </w:r>
      <w:r w:rsidR="000C2D3E" w:rsidRPr="004C41C8">
        <w:rPr>
          <w:rFonts w:ascii="Arial" w:hAnsi="Arial" w:cs="Arial"/>
          <w:sz w:val="20"/>
          <w:szCs w:val="20"/>
          <w:lang w:val="en-US"/>
        </w:rPr>
        <w:t xml:space="preserve">Disponible </w:t>
      </w:r>
      <w:proofErr w:type="spellStart"/>
      <w:r w:rsidR="000C2D3E" w:rsidRPr="004C41C8">
        <w:rPr>
          <w:rFonts w:ascii="Arial" w:hAnsi="Arial" w:cs="Arial"/>
          <w:sz w:val="20"/>
          <w:szCs w:val="20"/>
          <w:lang w:val="en-US"/>
        </w:rPr>
        <w:t>en</w:t>
      </w:r>
      <w:proofErr w:type="spellEnd"/>
      <w:r w:rsidR="000C2D3E" w:rsidRPr="004C41C8">
        <w:rPr>
          <w:rFonts w:ascii="Arial" w:hAnsi="Arial" w:cs="Arial"/>
          <w:sz w:val="20"/>
          <w:szCs w:val="20"/>
          <w:lang w:val="en-US"/>
        </w:rPr>
        <w:t>:</w:t>
      </w:r>
      <w:r w:rsidR="000C2D3E" w:rsidRPr="00706917">
        <w:rPr>
          <w:rFonts w:ascii="Arial" w:hAnsi="Arial" w:cs="Arial"/>
          <w:sz w:val="21"/>
          <w:szCs w:val="21"/>
          <w:lang w:val="en-GB"/>
        </w:rPr>
        <w:t xml:space="preserve"> </w:t>
      </w:r>
      <w:hyperlink r:id="rId12" w:history="1">
        <w:r w:rsidR="000C2D3E" w:rsidRPr="004C41C8">
          <w:rPr>
            <w:rStyle w:val="Hipervnculo"/>
            <w:rFonts w:ascii="Arial" w:hAnsi="Arial" w:cs="Arial"/>
            <w:sz w:val="20"/>
            <w:szCs w:val="20"/>
            <w:lang w:val="en-US"/>
          </w:rPr>
          <w:t>https://gdt.gradepro.org/app/handbook/handbook.html</w:t>
        </w:r>
      </w:hyperlink>
      <w:r w:rsidR="000C2D3E">
        <w:rPr>
          <w:rFonts w:ascii="Arial" w:hAnsi="Arial" w:cs="Arial"/>
          <w:sz w:val="22"/>
          <w:szCs w:val="22"/>
          <w:lang w:val="en-US"/>
        </w:rPr>
        <w:t xml:space="preserve">  </w:t>
      </w:r>
    </w:p>
    <w:sectPr w:rsidR="00171AF1" w:rsidRPr="00F25633" w:rsidSect="005F0F8D">
      <w:pgSz w:w="11900" w:h="16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8DD7E9" w14:textId="77777777" w:rsidR="005F0F8D" w:rsidRDefault="005F0F8D" w:rsidP="00171AF1">
      <w:r>
        <w:separator/>
      </w:r>
    </w:p>
  </w:endnote>
  <w:endnote w:type="continuationSeparator" w:id="0">
    <w:p w14:paraId="286E37F2" w14:textId="77777777" w:rsidR="005F0F8D" w:rsidRDefault="005F0F8D" w:rsidP="00171A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555BA" w14:textId="77777777" w:rsidR="005F0F8D" w:rsidRDefault="005F0F8D" w:rsidP="00171AF1">
      <w:r>
        <w:separator/>
      </w:r>
    </w:p>
  </w:footnote>
  <w:footnote w:type="continuationSeparator" w:id="0">
    <w:p w14:paraId="412AA109" w14:textId="77777777" w:rsidR="005F0F8D" w:rsidRDefault="005F0F8D" w:rsidP="00171A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3C75E6"/>
    <w:multiLevelType w:val="hybridMultilevel"/>
    <w:tmpl w:val="9D9E511E"/>
    <w:lvl w:ilvl="0" w:tplc="040A0001">
      <w:start w:val="1"/>
      <w:numFmt w:val="bullet"/>
      <w:lvlText w:val=""/>
      <w:lvlJc w:val="left"/>
      <w:pPr>
        <w:ind w:left="1068" w:hanging="360"/>
      </w:pPr>
      <w:rPr>
        <w:rFonts w:ascii="Symbol" w:hAnsi="Symbol" w:hint="default"/>
      </w:rPr>
    </w:lvl>
    <w:lvl w:ilvl="1" w:tplc="040A0003" w:tentative="1">
      <w:start w:val="1"/>
      <w:numFmt w:val="bullet"/>
      <w:lvlText w:val="o"/>
      <w:lvlJc w:val="left"/>
      <w:pPr>
        <w:ind w:left="1788" w:hanging="360"/>
      </w:pPr>
      <w:rPr>
        <w:rFonts w:ascii="Courier New" w:hAnsi="Courier New" w:cs="Courier New" w:hint="default"/>
      </w:rPr>
    </w:lvl>
    <w:lvl w:ilvl="2" w:tplc="040A0005" w:tentative="1">
      <w:start w:val="1"/>
      <w:numFmt w:val="bullet"/>
      <w:lvlText w:val=""/>
      <w:lvlJc w:val="left"/>
      <w:pPr>
        <w:ind w:left="2508" w:hanging="360"/>
      </w:pPr>
      <w:rPr>
        <w:rFonts w:ascii="Wingdings" w:hAnsi="Wingdings" w:hint="default"/>
      </w:rPr>
    </w:lvl>
    <w:lvl w:ilvl="3" w:tplc="040A0001" w:tentative="1">
      <w:start w:val="1"/>
      <w:numFmt w:val="bullet"/>
      <w:lvlText w:val=""/>
      <w:lvlJc w:val="left"/>
      <w:pPr>
        <w:ind w:left="3228" w:hanging="360"/>
      </w:pPr>
      <w:rPr>
        <w:rFonts w:ascii="Symbol" w:hAnsi="Symbol" w:hint="default"/>
      </w:rPr>
    </w:lvl>
    <w:lvl w:ilvl="4" w:tplc="040A0003" w:tentative="1">
      <w:start w:val="1"/>
      <w:numFmt w:val="bullet"/>
      <w:lvlText w:val="o"/>
      <w:lvlJc w:val="left"/>
      <w:pPr>
        <w:ind w:left="3948" w:hanging="360"/>
      </w:pPr>
      <w:rPr>
        <w:rFonts w:ascii="Courier New" w:hAnsi="Courier New" w:cs="Courier New" w:hint="default"/>
      </w:rPr>
    </w:lvl>
    <w:lvl w:ilvl="5" w:tplc="040A0005" w:tentative="1">
      <w:start w:val="1"/>
      <w:numFmt w:val="bullet"/>
      <w:lvlText w:val=""/>
      <w:lvlJc w:val="left"/>
      <w:pPr>
        <w:ind w:left="4668" w:hanging="360"/>
      </w:pPr>
      <w:rPr>
        <w:rFonts w:ascii="Wingdings" w:hAnsi="Wingdings" w:hint="default"/>
      </w:rPr>
    </w:lvl>
    <w:lvl w:ilvl="6" w:tplc="040A0001" w:tentative="1">
      <w:start w:val="1"/>
      <w:numFmt w:val="bullet"/>
      <w:lvlText w:val=""/>
      <w:lvlJc w:val="left"/>
      <w:pPr>
        <w:ind w:left="5388" w:hanging="360"/>
      </w:pPr>
      <w:rPr>
        <w:rFonts w:ascii="Symbol" w:hAnsi="Symbol" w:hint="default"/>
      </w:rPr>
    </w:lvl>
    <w:lvl w:ilvl="7" w:tplc="040A0003" w:tentative="1">
      <w:start w:val="1"/>
      <w:numFmt w:val="bullet"/>
      <w:lvlText w:val="o"/>
      <w:lvlJc w:val="left"/>
      <w:pPr>
        <w:ind w:left="6108" w:hanging="360"/>
      </w:pPr>
      <w:rPr>
        <w:rFonts w:ascii="Courier New" w:hAnsi="Courier New" w:cs="Courier New" w:hint="default"/>
      </w:rPr>
    </w:lvl>
    <w:lvl w:ilvl="8" w:tplc="040A0005" w:tentative="1">
      <w:start w:val="1"/>
      <w:numFmt w:val="bullet"/>
      <w:lvlText w:val=""/>
      <w:lvlJc w:val="left"/>
      <w:pPr>
        <w:ind w:left="6828" w:hanging="360"/>
      </w:pPr>
      <w:rPr>
        <w:rFonts w:ascii="Wingdings" w:hAnsi="Wingdings" w:hint="default"/>
      </w:rPr>
    </w:lvl>
  </w:abstractNum>
  <w:abstractNum w:abstractNumId="1" w15:restartNumberingAfterBreak="0">
    <w:nsid w:val="3EF9108F"/>
    <w:multiLevelType w:val="hybridMultilevel"/>
    <w:tmpl w:val="D0C0FE76"/>
    <w:lvl w:ilvl="0" w:tplc="BC9C5CE2">
      <w:numFmt w:val="bullet"/>
      <w:lvlText w:val=""/>
      <w:lvlJc w:val="left"/>
      <w:pPr>
        <w:ind w:left="720" w:hanging="360"/>
      </w:pPr>
      <w:rPr>
        <w:rFonts w:ascii="Symbol" w:eastAsiaTheme="minorHAnsi" w:hAnsi="Symbo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497265EA"/>
    <w:multiLevelType w:val="hybridMultilevel"/>
    <w:tmpl w:val="D7542EF4"/>
    <w:lvl w:ilvl="0" w:tplc="661CC0D2">
      <w:numFmt w:val="bullet"/>
      <w:lvlText w:val=""/>
      <w:lvlJc w:val="left"/>
      <w:pPr>
        <w:ind w:left="720" w:hanging="360"/>
      </w:pPr>
      <w:rPr>
        <w:rFonts w:ascii="Symbol" w:eastAsiaTheme="minorHAnsi" w:hAnsi="Symbo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4D44751B"/>
    <w:multiLevelType w:val="hybridMultilevel"/>
    <w:tmpl w:val="B0C29D10"/>
    <w:lvl w:ilvl="0" w:tplc="040A0001">
      <w:start w:val="1"/>
      <w:numFmt w:val="bullet"/>
      <w:lvlText w:val=""/>
      <w:lvlJc w:val="left"/>
      <w:pPr>
        <w:ind w:left="1068" w:hanging="360"/>
      </w:pPr>
      <w:rPr>
        <w:rFonts w:ascii="Symbol" w:hAnsi="Symbol" w:hint="default"/>
      </w:rPr>
    </w:lvl>
    <w:lvl w:ilvl="1" w:tplc="040A0003" w:tentative="1">
      <w:start w:val="1"/>
      <w:numFmt w:val="bullet"/>
      <w:lvlText w:val="o"/>
      <w:lvlJc w:val="left"/>
      <w:pPr>
        <w:ind w:left="1788" w:hanging="360"/>
      </w:pPr>
      <w:rPr>
        <w:rFonts w:ascii="Courier New" w:hAnsi="Courier New" w:cs="Courier New" w:hint="default"/>
      </w:rPr>
    </w:lvl>
    <w:lvl w:ilvl="2" w:tplc="040A0005" w:tentative="1">
      <w:start w:val="1"/>
      <w:numFmt w:val="bullet"/>
      <w:lvlText w:val=""/>
      <w:lvlJc w:val="left"/>
      <w:pPr>
        <w:ind w:left="2508" w:hanging="360"/>
      </w:pPr>
      <w:rPr>
        <w:rFonts w:ascii="Wingdings" w:hAnsi="Wingdings" w:hint="default"/>
      </w:rPr>
    </w:lvl>
    <w:lvl w:ilvl="3" w:tplc="040A0001" w:tentative="1">
      <w:start w:val="1"/>
      <w:numFmt w:val="bullet"/>
      <w:lvlText w:val=""/>
      <w:lvlJc w:val="left"/>
      <w:pPr>
        <w:ind w:left="3228" w:hanging="360"/>
      </w:pPr>
      <w:rPr>
        <w:rFonts w:ascii="Symbol" w:hAnsi="Symbol" w:hint="default"/>
      </w:rPr>
    </w:lvl>
    <w:lvl w:ilvl="4" w:tplc="040A0003" w:tentative="1">
      <w:start w:val="1"/>
      <w:numFmt w:val="bullet"/>
      <w:lvlText w:val="o"/>
      <w:lvlJc w:val="left"/>
      <w:pPr>
        <w:ind w:left="3948" w:hanging="360"/>
      </w:pPr>
      <w:rPr>
        <w:rFonts w:ascii="Courier New" w:hAnsi="Courier New" w:cs="Courier New" w:hint="default"/>
      </w:rPr>
    </w:lvl>
    <w:lvl w:ilvl="5" w:tplc="040A0005" w:tentative="1">
      <w:start w:val="1"/>
      <w:numFmt w:val="bullet"/>
      <w:lvlText w:val=""/>
      <w:lvlJc w:val="left"/>
      <w:pPr>
        <w:ind w:left="4668" w:hanging="360"/>
      </w:pPr>
      <w:rPr>
        <w:rFonts w:ascii="Wingdings" w:hAnsi="Wingdings" w:hint="default"/>
      </w:rPr>
    </w:lvl>
    <w:lvl w:ilvl="6" w:tplc="040A0001" w:tentative="1">
      <w:start w:val="1"/>
      <w:numFmt w:val="bullet"/>
      <w:lvlText w:val=""/>
      <w:lvlJc w:val="left"/>
      <w:pPr>
        <w:ind w:left="5388" w:hanging="360"/>
      </w:pPr>
      <w:rPr>
        <w:rFonts w:ascii="Symbol" w:hAnsi="Symbol" w:hint="default"/>
      </w:rPr>
    </w:lvl>
    <w:lvl w:ilvl="7" w:tplc="040A0003" w:tentative="1">
      <w:start w:val="1"/>
      <w:numFmt w:val="bullet"/>
      <w:lvlText w:val="o"/>
      <w:lvlJc w:val="left"/>
      <w:pPr>
        <w:ind w:left="6108" w:hanging="360"/>
      </w:pPr>
      <w:rPr>
        <w:rFonts w:ascii="Courier New" w:hAnsi="Courier New" w:cs="Courier New" w:hint="default"/>
      </w:rPr>
    </w:lvl>
    <w:lvl w:ilvl="8" w:tplc="040A0005" w:tentative="1">
      <w:start w:val="1"/>
      <w:numFmt w:val="bullet"/>
      <w:lvlText w:val=""/>
      <w:lvlJc w:val="left"/>
      <w:pPr>
        <w:ind w:left="6828" w:hanging="360"/>
      </w:pPr>
      <w:rPr>
        <w:rFonts w:ascii="Wingdings" w:hAnsi="Wingdings" w:hint="default"/>
      </w:rPr>
    </w:lvl>
  </w:abstractNum>
  <w:abstractNum w:abstractNumId="4" w15:restartNumberingAfterBreak="0">
    <w:nsid w:val="70CC0C63"/>
    <w:multiLevelType w:val="hybridMultilevel"/>
    <w:tmpl w:val="CBA4DC2C"/>
    <w:lvl w:ilvl="0" w:tplc="040A0001">
      <w:start w:val="1"/>
      <w:numFmt w:val="bullet"/>
      <w:lvlText w:val=""/>
      <w:lvlJc w:val="left"/>
      <w:pPr>
        <w:ind w:left="1068" w:hanging="360"/>
      </w:pPr>
      <w:rPr>
        <w:rFonts w:ascii="Symbol" w:hAnsi="Symbol" w:hint="default"/>
      </w:rPr>
    </w:lvl>
    <w:lvl w:ilvl="1" w:tplc="040A0003" w:tentative="1">
      <w:start w:val="1"/>
      <w:numFmt w:val="bullet"/>
      <w:lvlText w:val="o"/>
      <w:lvlJc w:val="left"/>
      <w:pPr>
        <w:ind w:left="1788" w:hanging="360"/>
      </w:pPr>
      <w:rPr>
        <w:rFonts w:ascii="Courier New" w:hAnsi="Courier New" w:cs="Courier New" w:hint="default"/>
      </w:rPr>
    </w:lvl>
    <w:lvl w:ilvl="2" w:tplc="040A0005" w:tentative="1">
      <w:start w:val="1"/>
      <w:numFmt w:val="bullet"/>
      <w:lvlText w:val=""/>
      <w:lvlJc w:val="left"/>
      <w:pPr>
        <w:ind w:left="2508" w:hanging="360"/>
      </w:pPr>
      <w:rPr>
        <w:rFonts w:ascii="Wingdings" w:hAnsi="Wingdings" w:hint="default"/>
      </w:rPr>
    </w:lvl>
    <w:lvl w:ilvl="3" w:tplc="040A0001" w:tentative="1">
      <w:start w:val="1"/>
      <w:numFmt w:val="bullet"/>
      <w:lvlText w:val=""/>
      <w:lvlJc w:val="left"/>
      <w:pPr>
        <w:ind w:left="3228" w:hanging="360"/>
      </w:pPr>
      <w:rPr>
        <w:rFonts w:ascii="Symbol" w:hAnsi="Symbol" w:hint="default"/>
      </w:rPr>
    </w:lvl>
    <w:lvl w:ilvl="4" w:tplc="040A0003" w:tentative="1">
      <w:start w:val="1"/>
      <w:numFmt w:val="bullet"/>
      <w:lvlText w:val="o"/>
      <w:lvlJc w:val="left"/>
      <w:pPr>
        <w:ind w:left="3948" w:hanging="360"/>
      </w:pPr>
      <w:rPr>
        <w:rFonts w:ascii="Courier New" w:hAnsi="Courier New" w:cs="Courier New" w:hint="default"/>
      </w:rPr>
    </w:lvl>
    <w:lvl w:ilvl="5" w:tplc="040A0005" w:tentative="1">
      <w:start w:val="1"/>
      <w:numFmt w:val="bullet"/>
      <w:lvlText w:val=""/>
      <w:lvlJc w:val="left"/>
      <w:pPr>
        <w:ind w:left="4668" w:hanging="360"/>
      </w:pPr>
      <w:rPr>
        <w:rFonts w:ascii="Wingdings" w:hAnsi="Wingdings" w:hint="default"/>
      </w:rPr>
    </w:lvl>
    <w:lvl w:ilvl="6" w:tplc="040A0001" w:tentative="1">
      <w:start w:val="1"/>
      <w:numFmt w:val="bullet"/>
      <w:lvlText w:val=""/>
      <w:lvlJc w:val="left"/>
      <w:pPr>
        <w:ind w:left="5388" w:hanging="360"/>
      </w:pPr>
      <w:rPr>
        <w:rFonts w:ascii="Symbol" w:hAnsi="Symbol" w:hint="default"/>
      </w:rPr>
    </w:lvl>
    <w:lvl w:ilvl="7" w:tplc="040A0003" w:tentative="1">
      <w:start w:val="1"/>
      <w:numFmt w:val="bullet"/>
      <w:lvlText w:val="o"/>
      <w:lvlJc w:val="left"/>
      <w:pPr>
        <w:ind w:left="6108" w:hanging="360"/>
      </w:pPr>
      <w:rPr>
        <w:rFonts w:ascii="Courier New" w:hAnsi="Courier New" w:cs="Courier New" w:hint="default"/>
      </w:rPr>
    </w:lvl>
    <w:lvl w:ilvl="8" w:tplc="040A0005" w:tentative="1">
      <w:start w:val="1"/>
      <w:numFmt w:val="bullet"/>
      <w:lvlText w:val=""/>
      <w:lvlJc w:val="left"/>
      <w:pPr>
        <w:ind w:left="6828" w:hanging="360"/>
      </w:pPr>
      <w:rPr>
        <w:rFonts w:ascii="Wingdings" w:hAnsi="Wingdings" w:hint="default"/>
      </w:rPr>
    </w:lvl>
  </w:abstractNum>
  <w:num w:numId="1" w16cid:durableId="1318610353">
    <w:abstractNumId w:val="3"/>
  </w:num>
  <w:num w:numId="2" w16cid:durableId="288246726">
    <w:abstractNumId w:val="0"/>
  </w:num>
  <w:num w:numId="3" w16cid:durableId="593364373">
    <w:abstractNumId w:val="4"/>
  </w:num>
  <w:num w:numId="4" w16cid:durableId="1064641845">
    <w:abstractNumId w:val="1"/>
  </w:num>
  <w:num w:numId="5" w16cid:durableId="2141195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20FF"/>
    <w:rsid w:val="00015A7E"/>
    <w:rsid w:val="00054E57"/>
    <w:rsid w:val="00083F93"/>
    <w:rsid w:val="000C2D3E"/>
    <w:rsid w:val="000D4EAA"/>
    <w:rsid w:val="000D61EF"/>
    <w:rsid w:val="000F09D9"/>
    <w:rsid w:val="00145100"/>
    <w:rsid w:val="00150FF5"/>
    <w:rsid w:val="00171AF1"/>
    <w:rsid w:val="001A20FF"/>
    <w:rsid w:val="001E5B72"/>
    <w:rsid w:val="001F76F0"/>
    <w:rsid w:val="0026200D"/>
    <w:rsid w:val="0029622A"/>
    <w:rsid w:val="00314B29"/>
    <w:rsid w:val="00332897"/>
    <w:rsid w:val="00337B7D"/>
    <w:rsid w:val="003669E1"/>
    <w:rsid w:val="003724A0"/>
    <w:rsid w:val="00390F5D"/>
    <w:rsid w:val="003A1C3E"/>
    <w:rsid w:val="003B0E81"/>
    <w:rsid w:val="003B1E00"/>
    <w:rsid w:val="00436E0E"/>
    <w:rsid w:val="00475034"/>
    <w:rsid w:val="00486349"/>
    <w:rsid w:val="004B3B05"/>
    <w:rsid w:val="004C41C8"/>
    <w:rsid w:val="004E6AD3"/>
    <w:rsid w:val="00501F71"/>
    <w:rsid w:val="005508C6"/>
    <w:rsid w:val="00592AA5"/>
    <w:rsid w:val="00596B5F"/>
    <w:rsid w:val="00596FE3"/>
    <w:rsid w:val="005979DB"/>
    <w:rsid w:val="005B1C90"/>
    <w:rsid w:val="005E784F"/>
    <w:rsid w:val="005F0F8D"/>
    <w:rsid w:val="00620002"/>
    <w:rsid w:val="00624D7A"/>
    <w:rsid w:val="00633ECE"/>
    <w:rsid w:val="00653F8A"/>
    <w:rsid w:val="0067579D"/>
    <w:rsid w:val="00695571"/>
    <w:rsid w:val="006D2E56"/>
    <w:rsid w:val="006F3E58"/>
    <w:rsid w:val="00706917"/>
    <w:rsid w:val="00764142"/>
    <w:rsid w:val="007669EF"/>
    <w:rsid w:val="00775749"/>
    <w:rsid w:val="007C6487"/>
    <w:rsid w:val="007C6EBE"/>
    <w:rsid w:val="008006D1"/>
    <w:rsid w:val="008012A2"/>
    <w:rsid w:val="008045C1"/>
    <w:rsid w:val="00817C30"/>
    <w:rsid w:val="0083731C"/>
    <w:rsid w:val="00850B3D"/>
    <w:rsid w:val="008657BD"/>
    <w:rsid w:val="00892069"/>
    <w:rsid w:val="008B332E"/>
    <w:rsid w:val="00913213"/>
    <w:rsid w:val="00947042"/>
    <w:rsid w:val="009500D4"/>
    <w:rsid w:val="00951E99"/>
    <w:rsid w:val="009A22C5"/>
    <w:rsid w:val="009C2064"/>
    <w:rsid w:val="00A051D6"/>
    <w:rsid w:val="00A06E40"/>
    <w:rsid w:val="00A175FD"/>
    <w:rsid w:val="00A64448"/>
    <w:rsid w:val="00A70D7B"/>
    <w:rsid w:val="00A83423"/>
    <w:rsid w:val="00AB5AC7"/>
    <w:rsid w:val="00B1523B"/>
    <w:rsid w:val="00B52336"/>
    <w:rsid w:val="00BA3F83"/>
    <w:rsid w:val="00BA4A4B"/>
    <w:rsid w:val="00BB39DD"/>
    <w:rsid w:val="00C14426"/>
    <w:rsid w:val="00C22800"/>
    <w:rsid w:val="00CC4835"/>
    <w:rsid w:val="00CE7A96"/>
    <w:rsid w:val="00D344E7"/>
    <w:rsid w:val="00D56852"/>
    <w:rsid w:val="00D77B99"/>
    <w:rsid w:val="00D91BCC"/>
    <w:rsid w:val="00E429FE"/>
    <w:rsid w:val="00E46259"/>
    <w:rsid w:val="00E538A3"/>
    <w:rsid w:val="00E84206"/>
    <w:rsid w:val="00EA727A"/>
    <w:rsid w:val="00ED1D2A"/>
    <w:rsid w:val="00ED64AA"/>
    <w:rsid w:val="00F2258C"/>
    <w:rsid w:val="00F25633"/>
    <w:rsid w:val="00F61BC5"/>
    <w:rsid w:val="00F70BC4"/>
    <w:rsid w:val="00FA4816"/>
    <w:rsid w:val="00FD453A"/>
    <w:rsid w:val="00FF744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8E79C0"/>
  <w15:docId w15:val="{E4890C66-0FE9-4A0E-9B4B-F4BD3777B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25633"/>
    <w:pPr>
      <w:ind w:left="720"/>
      <w:contextualSpacing/>
    </w:pPr>
  </w:style>
  <w:style w:type="paragraph" w:styleId="Revisin">
    <w:name w:val="Revision"/>
    <w:hidden/>
    <w:uiPriority w:val="99"/>
    <w:semiHidden/>
    <w:rsid w:val="00BA4A4B"/>
  </w:style>
  <w:style w:type="character" w:styleId="Refdecomentario">
    <w:name w:val="annotation reference"/>
    <w:basedOn w:val="Fuentedeprrafopredeter"/>
    <w:uiPriority w:val="99"/>
    <w:semiHidden/>
    <w:unhideWhenUsed/>
    <w:rsid w:val="00BA4A4B"/>
    <w:rPr>
      <w:sz w:val="16"/>
      <w:szCs w:val="16"/>
    </w:rPr>
  </w:style>
  <w:style w:type="paragraph" w:styleId="Textocomentario">
    <w:name w:val="annotation text"/>
    <w:basedOn w:val="Normal"/>
    <w:link w:val="TextocomentarioCar"/>
    <w:uiPriority w:val="99"/>
    <w:unhideWhenUsed/>
    <w:rsid w:val="00BA4A4B"/>
    <w:rPr>
      <w:sz w:val="20"/>
      <w:szCs w:val="20"/>
    </w:rPr>
  </w:style>
  <w:style w:type="character" w:customStyle="1" w:styleId="TextocomentarioCar">
    <w:name w:val="Texto comentario Car"/>
    <w:basedOn w:val="Fuentedeprrafopredeter"/>
    <w:link w:val="Textocomentario"/>
    <w:uiPriority w:val="99"/>
    <w:rsid w:val="00BA4A4B"/>
    <w:rPr>
      <w:sz w:val="20"/>
      <w:szCs w:val="20"/>
    </w:rPr>
  </w:style>
  <w:style w:type="paragraph" w:styleId="Asuntodelcomentario">
    <w:name w:val="annotation subject"/>
    <w:basedOn w:val="Textocomentario"/>
    <w:next w:val="Textocomentario"/>
    <w:link w:val="AsuntodelcomentarioCar"/>
    <w:uiPriority w:val="99"/>
    <w:semiHidden/>
    <w:unhideWhenUsed/>
    <w:rsid w:val="00BA4A4B"/>
    <w:rPr>
      <w:b/>
      <w:bCs/>
    </w:rPr>
  </w:style>
  <w:style w:type="character" w:customStyle="1" w:styleId="AsuntodelcomentarioCar">
    <w:name w:val="Asunto del comentario Car"/>
    <w:basedOn w:val="TextocomentarioCar"/>
    <w:link w:val="Asuntodelcomentario"/>
    <w:uiPriority w:val="99"/>
    <w:semiHidden/>
    <w:rsid w:val="00BA4A4B"/>
    <w:rPr>
      <w:b/>
      <w:bCs/>
      <w:sz w:val="20"/>
      <w:szCs w:val="20"/>
    </w:rPr>
  </w:style>
  <w:style w:type="paragraph" w:styleId="HTMLconformatoprevio">
    <w:name w:val="HTML Preformatted"/>
    <w:basedOn w:val="Normal"/>
    <w:link w:val="HTMLconformatoprevioCar"/>
    <w:uiPriority w:val="99"/>
    <w:semiHidden/>
    <w:unhideWhenUsed/>
    <w:rsid w:val="002620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s-ES_tradnl"/>
    </w:rPr>
  </w:style>
  <w:style w:type="character" w:customStyle="1" w:styleId="HTMLconformatoprevioCar">
    <w:name w:val="HTML con formato previo Car"/>
    <w:basedOn w:val="Fuentedeprrafopredeter"/>
    <w:link w:val="HTMLconformatoprevio"/>
    <w:uiPriority w:val="99"/>
    <w:semiHidden/>
    <w:rsid w:val="0026200D"/>
    <w:rPr>
      <w:rFonts w:ascii="Courier New" w:eastAsia="Times New Roman" w:hAnsi="Courier New" w:cs="Courier New"/>
      <w:sz w:val="20"/>
      <w:szCs w:val="20"/>
      <w:lang w:eastAsia="es-ES_tradnl"/>
    </w:rPr>
  </w:style>
  <w:style w:type="paragraph" w:styleId="Encabezado">
    <w:name w:val="header"/>
    <w:basedOn w:val="Normal"/>
    <w:link w:val="EncabezadoCar"/>
    <w:uiPriority w:val="99"/>
    <w:unhideWhenUsed/>
    <w:rsid w:val="00171AF1"/>
    <w:pPr>
      <w:tabs>
        <w:tab w:val="center" w:pos="4419"/>
        <w:tab w:val="right" w:pos="8838"/>
      </w:tabs>
    </w:pPr>
  </w:style>
  <w:style w:type="character" w:customStyle="1" w:styleId="EncabezadoCar">
    <w:name w:val="Encabezado Car"/>
    <w:basedOn w:val="Fuentedeprrafopredeter"/>
    <w:link w:val="Encabezado"/>
    <w:uiPriority w:val="99"/>
    <w:rsid w:val="00171AF1"/>
  </w:style>
  <w:style w:type="paragraph" w:styleId="Piedepgina">
    <w:name w:val="footer"/>
    <w:basedOn w:val="Normal"/>
    <w:link w:val="PiedepginaCar"/>
    <w:uiPriority w:val="99"/>
    <w:unhideWhenUsed/>
    <w:rsid w:val="00171AF1"/>
    <w:pPr>
      <w:tabs>
        <w:tab w:val="center" w:pos="4419"/>
        <w:tab w:val="right" w:pos="8838"/>
      </w:tabs>
    </w:pPr>
  </w:style>
  <w:style w:type="character" w:customStyle="1" w:styleId="PiedepginaCar">
    <w:name w:val="Pie de página Car"/>
    <w:basedOn w:val="Fuentedeprrafopredeter"/>
    <w:link w:val="Piedepgina"/>
    <w:uiPriority w:val="99"/>
    <w:rsid w:val="00171AF1"/>
  </w:style>
  <w:style w:type="character" w:styleId="Hipervnculo">
    <w:name w:val="Hyperlink"/>
    <w:basedOn w:val="Fuentedeprrafopredeter"/>
    <w:uiPriority w:val="99"/>
    <w:unhideWhenUsed/>
    <w:rsid w:val="00015A7E"/>
    <w:rPr>
      <w:color w:val="0563C1" w:themeColor="hyperlink"/>
      <w:u w:val="single"/>
    </w:rPr>
  </w:style>
  <w:style w:type="character" w:customStyle="1" w:styleId="Mencisenseresoldre1">
    <w:name w:val="Menció sense resoldre1"/>
    <w:basedOn w:val="Fuentedeprrafopredeter"/>
    <w:uiPriority w:val="99"/>
    <w:semiHidden/>
    <w:unhideWhenUsed/>
    <w:rsid w:val="00015A7E"/>
    <w:rPr>
      <w:color w:val="605E5C"/>
      <w:shd w:val="clear" w:color="auto" w:fill="E1DFDD"/>
    </w:rPr>
  </w:style>
  <w:style w:type="paragraph" w:styleId="Textodeglobo">
    <w:name w:val="Balloon Text"/>
    <w:basedOn w:val="Normal"/>
    <w:link w:val="TextodegloboCar"/>
    <w:uiPriority w:val="99"/>
    <w:semiHidden/>
    <w:unhideWhenUsed/>
    <w:rsid w:val="00596B5F"/>
    <w:rPr>
      <w:rFonts w:ascii="Tahoma" w:hAnsi="Tahoma" w:cs="Tahoma"/>
      <w:sz w:val="16"/>
      <w:szCs w:val="16"/>
    </w:rPr>
  </w:style>
  <w:style w:type="character" w:customStyle="1" w:styleId="TextodegloboCar">
    <w:name w:val="Texto de globo Car"/>
    <w:basedOn w:val="Fuentedeprrafopredeter"/>
    <w:link w:val="Textodeglobo"/>
    <w:uiPriority w:val="99"/>
    <w:semiHidden/>
    <w:rsid w:val="00596B5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06022">
      <w:bodyDiv w:val="1"/>
      <w:marLeft w:val="0"/>
      <w:marRight w:val="0"/>
      <w:marTop w:val="0"/>
      <w:marBottom w:val="0"/>
      <w:divBdr>
        <w:top w:val="none" w:sz="0" w:space="0" w:color="auto"/>
        <w:left w:val="none" w:sz="0" w:space="0" w:color="auto"/>
        <w:bottom w:val="none" w:sz="0" w:space="0" w:color="auto"/>
        <w:right w:val="none" w:sz="0" w:space="0" w:color="auto"/>
      </w:divBdr>
    </w:div>
    <w:div w:id="655763162">
      <w:bodyDiv w:val="1"/>
      <w:marLeft w:val="0"/>
      <w:marRight w:val="0"/>
      <w:marTop w:val="0"/>
      <w:marBottom w:val="0"/>
      <w:divBdr>
        <w:top w:val="none" w:sz="0" w:space="0" w:color="auto"/>
        <w:left w:val="none" w:sz="0" w:space="0" w:color="auto"/>
        <w:bottom w:val="none" w:sz="0" w:space="0" w:color="auto"/>
        <w:right w:val="none" w:sz="0" w:space="0" w:color="auto"/>
      </w:divBdr>
      <w:divsChild>
        <w:div w:id="33384873">
          <w:marLeft w:val="0"/>
          <w:marRight w:val="0"/>
          <w:marTop w:val="0"/>
          <w:marBottom w:val="0"/>
          <w:divBdr>
            <w:top w:val="none" w:sz="0" w:space="0" w:color="auto"/>
            <w:left w:val="none" w:sz="0" w:space="0" w:color="auto"/>
            <w:bottom w:val="none" w:sz="0" w:space="0" w:color="auto"/>
            <w:right w:val="none" w:sz="0" w:space="0" w:color="auto"/>
          </w:divBdr>
        </w:div>
      </w:divsChild>
    </w:div>
    <w:div w:id="691415291">
      <w:bodyDiv w:val="1"/>
      <w:marLeft w:val="0"/>
      <w:marRight w:val="0"/>
      <w:marTop w:val="0"/>
      <w:marBottom w:val="0"/>
      <w:divBdr>
        <w:top w:val="none" w:sz="0" w:space="0" w:color="auto"/>
        <w:left w:val="none" w:sz="0" w:space="0" w:color="auto"/>
        <w:bottom w:val="none" w:sz="0" w:space="0" w:color="auto"/>
        <w:right w:val="none" w:sz="0" w:space="0" w:color="auto"/>
      </w:divBdr>
      <w:divsChild>
        <w:div w:id="1519810609">
          <w:marLeft w:val="0"/>
          <w:marRight w:val="0"/>
          <w:marTop w:val="0"/>
          <w:marBottom w:val="0"/>
          <w:divBdr>
            <w:top w:val="none" w:sz="0" w:space="0" w:color="auto"/>
            <w:left w:val="none" w:sz="0" w:space="0" w:color="auto"/>
            <w:bottom w:val="none" w:sz="0" w:space="0" w:color="auto"/>
            <w:right w:val="none" w:sz="0" w:space="0" w:color="auto"/>
          </w:divBdr>
        </w:div>
      </w:divsChild>
    </w:div>
    <w:div w:id="933395009">
      <w:bodyDiv w:val="1"/>
      <w:marLeft w:val="0"/>
      <w:marRight w:val="0"/>
      <w:marTop w:val="0"/>
      <w:marBottom w:val="0"/>
      <w:divBdr>
        <w:top w:val="none" w:sz="0" w:space="0" w:color="auto"/>
        <w:left w:val="none" w:sz="0" w:space="0" w:color="auto"/>
        <w:bottom w:val="none" w:sz="0" w:space="0" w:color="auto"/>
        <w:right w:val="none" w:sz="0" w:space="0" w:color="auto"/>
      </w:divBdr>
      <w:divsChild>
        <w:div w:id="8110245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dt.gradepro.org/app/handbook/handbook.htm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ochranelibrary.com/cdsr/doi/10.1002/14651858.CD008687.pub2/full"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CDE55552F5F02E4B84EFF9F5A239BBE7" ma:contentTypeVersion="13" ma:contentTypeDescription="Crear nuevo documento." ma:contentTypeScope="" ma:versionID="101f9eb9165d78d217c26f3d2ff9a246">
  <xsd:schema xmlns:xsd="http://www.w3.org/2001/XMLSchema" xmlns:xs="http://www.w3.org/2001/XMLSchema" xmlns:p="http://schemas.microsoft.com/office/2006/metadata/properties" xmlns:ns3="31111d10-2617-46a1-96de-1b85527f0aa5" xmlns:ns4="2bbff32b-d047-4da5-a3c3-ba801e63ee8f" targetNamespace="http://schemas.microsoft.com/office/2006/metadata/properties" ma:root="true" ma:fieldsID="95b51c7956b4de5112cd6ad375a3d745" ns3:_="" ns4:_="">
    <xsd:import namespace="31111d10-2617-46a1-96de-1b85527f0aa5"/>
    <xsd:import namespace="2bbff32b-d047-4da5-a3c3-ba801e63ee8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111d10-2617-46a1-96de-1b85527f0a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bbff32b-d047-4da5-a3c3-ba801e63ee8f" elementFormDefault="qualified">
    <xsd:import namespace="http://schemas.microsoft.com/office/2006/documentManagement/types"/>
    <xsd:import namespace="http://schemas.microsoft.com/office/infopath/2007/PartnerControls"/>
    <xsd:element name="SharedWithUsers" ma:index="15"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Detalles de uso compartido" ma:internalName="SharedWithDetails" ma:readOnly="true">
      <xsd:simpleType>
        <xsd:restriction base="dms:Note">
          <xsd:maxLength value="255"/>
        </xsd:restriction>
      </xsd:simpleType>
    </xsd:element>
    <xsd:element name="SharingHintHash" ma:index="17"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246302-5057-4617-B7C9-DC7C35BEA207}">
  <ds:schemaRefs>
    <ds:schemaRef ds:uri="http://schemas.openxmlformats.org/officeDocument/2006/bibliography"/>
  </ds:schemaRefs>
</ds:datastoreItem>
</file>

<file path=customXml/itemProps2.xml><?xml version="1.0" encoding="utf-8"?>
<ds:datastoreItem xmlns:ds="http://schemas.openxmlformats.org/officeDocument/2006/customXml" ds:itemID="{0846A81E-4AF1-49E3-978A-C9D3789170E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917BCCC-CB33-40D9-B806-DEABFA3765E1}">
  <ds:schemaRefs>
    <ds:schemaRef ds:uri="http://schemas.microsoft.com/sharepoint/v3/contenttype/forms"/>
  </ds:schemaRefs>
</ds:datastoreItem>
</file>

<file path=customXml/itemProps4.xml><?xml version="1.0" encoding="utf-8"?>
<ds:datastoreItem xmlns:ds="http://schemas.openxmlformats.org/officeDocument/2006/customXml" ds:itemID="{8ED292F1-6869-4E39-B36C-D27A366569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111d10-2617-46a1-96de-1b85527f0aa5"/>
    <ds:schemaRef ds:uri="2bbff32b-d047-4da5-a3c3-ba801e63ee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1599</Words>
  <Characters>8799</Characters>
  <Application>Microsoft Office Word</Application>
  <DocSecurity>0</DocSecurity>
  <Lines>73</Lines>
  <Paragraphs>20</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10378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Oscar Arrogante Maroto</dc:creator>
  <cp:keywords/>
  <dc:description/>
  <cp:lastModifiedBy>Oscar Arrogante Maroto</cp:lastModifiedBy>
  <cp:revision>3</cp:revision>
  <dcterms:created xsi:type="dcterms:W3CDTF">2021-02-27T09:47:00Z</dcterms:created>
  <dcterms:modified xsi:type="dcterms:W3CDTF">2024-03-28T15:31:00Z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0x010100CDE55552F5F02E4B84EFF9F5A239BBE7</vt:lpwstr>
  </property>
</Properties>
</file>