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452590" w14:textId="0AACBAD3" w:rsidR="000A4393" w:rsidRPr="001A4A7B" w:rsidRDefault="000A4393" w:rsidP="00EB4E03">
      <w:pPr>
        <w:jc w:val="center"/>
        <w:rPr>
          <w:b/>
          <w:smallCaps/>
          <w:color w:val="000000" w:themeColor="text1"/>
          <w:sz w:val="28"/>
          <w:szCs w:val="28"/>
          <w:lang w:val="en-US"/>
        </w:rPr>
      </w:pPr>
      <w:r w:rsidRPr="001A4A7B">
        <w:rPr>
          <w:b/>
          <w:smallCaps/>
          <w:color w:val="000000" w:themeColor="text1"/>
          <w:sz w:val="28"/>
          <w:szCs w:val="28"/>
          <w:lang w:val="en-US"/>
        </w:rPr>
        <w:t>How do supply or demand shocks affect the US oil market?</w:t>
      </w:r>
    </w:p>
    <w:p w14:paraId="210737B7" w14:textId="77777777" w:rsidR="00A62754" w:rsidRPr="001A4A7B" w:rsidRDefault="00A62754" w:rsidP="00A020F8">
      <w:pPr>
        <w:rPr>
          <w:i/>
          <w:color w:val="000000" w:themeColor="text1"/>
          <w:sz w:val="18"/>
          <w:szCs w:val="21"/>
          <w:lang w:val="en-US"/>
        </w:rPr>
      </w:pPr>
    </w:p>
    <w:p w14:paraId="7945CD82" w14:textId="05695564" w:rsidR="004A51A6" w:rsidRPr="001A4A7B" w:rsidRDefault="004A51A6" w:rsidP="004A51A6">
      <w:pPr>
        <w:spacing w:line="288" w:lineRule="auto"/>
        <w:jc w:val="center"/>
        <w:rPr>
          <w:i/>
          <w:color w:val="000000" w:themeColor="text1"/>
          <w:sz w:val="21"/>
          <w:szCs w:val="21"/>
          <w:lang w:val="en-US"/>
        </w:rPr>
      </w:pPr>
      <w:r w:rsidRPr="001A4A7B">
        <w:rPr>
          <w:i/>
          <w:color w:val="000000" w:themeColor="text1"/>
          <w:sz w:val="21"/>
          <w:szCs w:val="21"/>
          <w:lang w:val="en-US"/>
        </w:rPr>
        <w:t>Abstract</w:t>
      </w:r>
    </w:p>
    <w:p w14:paraId="05E9FEC6" w14:textId="77777777" w:rsidR="004A51A6" w:rsidRPr="001A4A7B" w:rsidRDefault="002836E7" w:rsidP="004A51A6">
      <w:pPr>
        <w:spacing w:line="288" w:lineRule="auto"/>
        <w:jc w:val="center"/>
        <w:rPr>
          <w:i/>
          <w:color w:val="000000" w:themeColor="text1"/>
          <w:sz w:val="21"/>
          <w:szCs w:val="21"/>
          <w:lang w:val="en-US"/>
        </w:rPr>
      </w:pPr>
      <w:r>
        <w:rPr>
          <w:b/>
          <w:noProof/>
          <w:color w:val="000000" w:themeColor="text1"/>
          <w:sz w:val="21"/>
          <w:szCs w:val="21"/>
          <w:lang w:val="en-US"/>
        </w:rPr>
        <w:pict w14:anchorId="2BEE94C2">
          <v:rect id="_x0000_i1026" alt="" style="width:424.95pt;height:.05pt;mso-width-percent:0;mso-height-percent:0;mso-width-percent:0;mso-height-percent:0" o:hralign="center" o:hrstd="t" o:hr="t" fillcolor="#a0a0a0" stroked="f"/>
        </w:pict>
      </w:r>
    </w:p>
    <w:p w14:paraId="1D0F564F" w14:textId="4525E9D2" w:rsidR="008C14FC" w:rsidRPr="001A4A7B" w:rsidRDefault="00F2214C" w:rsidP="004A51A6">
      <w:pPr>
        <w:spacing w:line="276" w:lineRule="auto"/>
        <w:jc w:val="both"/>
        <w:rPr>
          <w:color w:val="000000" w:themeColor="text1"/>
          <w:sz w:val="20"/>
          <w:szCs w:val="20"/>
          <w:lang w:val="en-US"/>
        </w:rPr>
      </w:pPr>
      <w:r w:rsidRPr="001A4A7B">
        <w:rPr>
          <w:color w:val="000000" w:themeColor="text1"/>
          <w:sz w:val="20"/>
          <w:szCs w:val="20"/>
          <w:lang w:val="en-US"/>
        </w:rPr>
        <w:t>The study of the relationship between crude oil and its refined products prices may be perceived as an important tool for testing how are the dynamics and the type of integration of the petro-derivatives market in the United States. In this sense, we have applied a set of causality tests to study the possible presence of asymmetries in the relationship between WTI crude oil and each refined product price and to explore the type of market integration. Furthermore, the application of these causality tests lets us explore the validation of different hypotheses in the literature, such as the Rocket and Feathers hypothesis and the Verleger hypothesis. Our findings reveal that Reformulated Gasoline Blendstock for Oxygen Blending (RBOB), heating oil, diesel and kerosene are supply-driven integrated and conventional gasoline and kerosene are demand-driven integrated when linear effects are assessed. This behaviour changes deeply when the existence of asymmetries is tested, noticing that the Rocket and Feathers hypothesis is not fulfilled when a negative shock appears. Conversely, the Verleger hypothesis is supported when a negative shock appears for conventional gasoline and kerosene. These results provide important policy implications for investors, energy policymakers and refiners.</w:t>
      </w:r>
    </w:p>
    <w:p w14:paraId="2A04A206" w14:textId="77777777" w:rsidR="004A51A6" w:rsidRPr="001A4A7B" w:rsidRDefault="004A51A6" w:rsidP="004A51A6">
      <w:pPr>
        <w:spacing w:before="120" w:after="120" w:line="288" w:lineRule="auto"/>
        <w:jc w:val="both"/>
        <w:rPr>
          <w:color w:val="000000" w:themeColor="text1"/>
          <w:sz w:val="20"/>
          <w:szCs w:val="20"/>
          <w:lang w:val="en-US"/>
        </w:rPr>
      </w:pPr>
      <w:r w:rsidRPr="001A4A7B">
        <w:rPr>
          <w:b/>
          <w:i/>
          <w:color w:val="000000" w:themeColor="text1"/>
          <w:sz w:val="20"/>
          <w:szCs w:val="20"/>
          <w:lang w:val="en-US"/>
        </w:rPr>
        <w:t>Keywords</w:t>
      </w:r>
      <w:r w:rsidRPr="001A4A7B">
        <w:rPr>
          <w:b/>
          <w:color w:val="000000" w:themeColor="text1"/>
          <w:sz w:val="20"/>
          <w:szCs w:val="20"/>
          <w:lang w:val="en-US"/>
        </w:rPr>
        <w:t xml:space="preserve">: </w:t>
      </w:r>
      <w:r w:rsidRPr="001A4A7B">
        <w:rPr>
          <w:color w:val="000000" w:themeColor="text1"/>
          <w:sz w:val="20"/>
          <w:szCs w:val="20"/>
          <w:lang w:val="en-US"/>
        </w:rPr>
        <w:t>Asymmetries, Causality, Crude oil, Refined products</w:t>
      </w:r>
    </w:p>
    <w:p w14:paraId="0EC897A0" w14:textId="77777777" w:rsidR="004A51A6" w:rsidRPr="001A4A7B" w:rsidRDefault="004A51A6" w:rsidP="004A51A6">
      <w:pPr>
        <w:spacing w:before="120" w:after="120" w:line="288" w:lineRule="auto"/>
        <w:jc w:val="both"/>
        <w:rPr>
          <w:color w:val="000000" w:themeColor="text1"/>
          <w:sz w:val="20"/>
          <w:szCs w:val="20"/>
          <w:lang w:val="en-US"/>
        </w:rPr>
      </w:pPr>
      <w:r w:rsidRPr="001A4A7B">
        <w:rPr>
          <w:b/>
          <w:i/>
          <w:color w:val="000000" w:themeColor="text1"/>
          <w:sz w:val="20"/>
          <w:szCs w:val="20"/>
          <w:lang w:val="en-US"/>
        </w:rPr>
        <w:t>JEL classification</w:t>
      </w:r>
      <w:r w:rsidRPr="001A4A7B">
        <w:rPr>
          <w:b/>
          <w:color w:val="000000" w:themeColor="text1"/>
          <w:sz w:val="20"/>
          <w:szCs w:val="20"/>
          <w:lang w:val="en-US"/>
        </w:rPr>
        <w:t xml:space="preserve">: </w:t>
      </w:r>
      <w:r w:rsidRPr="001A4A7B">
        <w:rPr>
          <w:color w:val="000000" w:themeColor="text1"/>
          <w:sz w:val="20"/>
          <w:szCs w:val="20"/>
          <w:lang w:val="en-US"/>
        </w:rPr>
        <w:t>C22, Q31, Q41</w:t>
      </w:r>
    </w:p>
    <w:p w14:paraId="406D87A1" w14:textId="77777777" w:rsidR="004A51A6" w:rsidRPr="001A4A7B" w:rsidRDefault="004A51A6" w:rsidP="004A51A6">
      <w:pPr>
        <w:spacing w:line="288" w:lineRule="auto"/>
        <w:jc w:val="both"/>
        <w:rPr>
          <w:color w:val="000000" w:themeColor="text1"/>
          <w:sz w:val="20"/>
          <w:szCs w:val="20"/>
          <w:lang w:val="en-US"/>
        </w:rPr>
      </w:pPr>
    </w:p>
    <w:p w14:paraId="44F8EF4C" w14:textId="77777777" w:rsidR="004A51A6" w:rsidRPr="001A4A7B" w:rsidRDefault="002836E7" w:rsidP="004A51A6">
      <w:pPr>
        <w:widowControl w:val="0"/>
        <w:autoSpaceDE w:val="0"/>
        <w:autoSpaceDN w:val="0"/>
        <w:adjustRightInd w:val="0"/>
        <w:spacing w:after="240"/>
        <w:jc w:val="both"/>
        <w:outlineLvl w:val="0"/>
        <w:rPr>
          <w:b/>
          <w:color w:val="000000" w:themeColor="text1"/>
          <w:lang w:val="en-US"/>
        </w:rPr>
      </w:pPr>
      <w:r>
        <w:rPr>
          <w:b/>
          <w:noProof/>
          <w:color w:val="000000" w:themeColor="text1"/>
          <w:sz w:val="20"/>
          <w:szCs w:val="20"/>
          <w:lang w:val="en-US"/>
        </w:rPr>
        <w:pict w14:anchorId="15CEF7AC">
          <v:rect id="_x0000_i1025" alt="" style="width:424.95pt;height:.05pt;mso-width-percent:0;mso-height-percent:0;mso-width-percent:0;mso-height-percent:0" o:hralign="center" o:hrstd="t" o:hr="t" fillcolor="#a0a0a0" stroked="f"/>
        </w:pict>
      </w:r>
    </w:p>
    <w:p w14:paraId="1D011F36" w14:textId="77777777" w:rsidR="004A51A6" w:rsidRPr="001A4A7B" w:rsidRDefault="004A51A6" w:rsidP="004A51A6">
      <w:pPr>
        <w:rPr>
          <w:b/>
          <w:color w:val="000000" w:themeColor="text1"/>
          <w:lang w:val="en-US"/>
        </w:rPr>
      </w:pPr>
      <w:r w:rsidRPr="001A4A7B">
        <w:rPr>
          <w:b/>
          <w:color w:val="000000" w:themeColor="text1"/>
          <w:lang w:val="en-US"/>
        </w:rPr>
        <w:br w:type="page"/>
      </w:r>
    </w:p>
    <w:p w14:paraId="7577D288" w14:textId="4F1723F9" w:rsidR="00EB4E03" w:rsidRPr="001A4A7B" w:rsidRDefault="00EB4E03">
      <w:pPr>
        <w:rPr>
          <w:b/>
          <w:color w:val="000000" w:themeColor="text1"/>
          <w:lang w:val="en-US"/>
        </w:rPr>
      </w:pPr>
    </w:p>
    <w:p w14:paraId="6BE03F84" w14:textId="4DA91668" w:rsidR="003A2F85" w:rsidRPr="001A4A7B" w:rsidRDefault="003A2F85" w:rsidP="00D70D72">
      <w:pPr>
        <w:widowControl w:val="0"/>
        <w:autoSpaceDE w:val="0"/>
        <w:autoSpaceDN w:val="0"/>
        <w:adjustRightInd w:val="0"/>
        <w:spacing w:after="240"/>
        <w:jc w:val="both"/>
        <w:outlineLvl w:val="0"/>
        <w:rPr>
          <w:b/>
          <w:color w:val="000000" w:themeColor="text1"/>
          <w:lang w:val="en-US"/>
        </w:rPr>
      </w:pPr>
      <w:r w:rsidRPr="001A4A7B">
        <w:rPr>
          <w:b/>
          <w:color w:val="000000" w:themeColor="text1"/>
          <w:lang w:val="en-US"/>
        </w:rPr>
        <w:t>1. Introduction</w:t>
      </w:r>
    </w:p>
    <w:p w14:paraId="75A425AF" w14:textId="1BDA5A1C" w:rsidR="006B23A3" w:rsidRPr="001A4A7B" w:rsidRDefault="00BC5DE3" w:rsidP="00FE5630">
      <w:pPr>
        <w:spacing w:line="281" w:lineRule="auto"/>
        <w:jc w:val="both"/>
        <w:rPr>
          <w:color w:val="000000" w:themeColor="text1"/>
          <w:lang w:val="en-US"/>
        </w:rPr>
      </w:pPr>
      <w:r w:rsidRPr="001A4A7B">
        <w:rPr>
          <w:color w:val="000000" w:themeColor="text1"/>
          <w:lang w:val="en-US"/>
        </w:rPr>
        <w:t>The study of the shocks in the relationship between crude oil prices and refined product prices bears significant information to refiners, investors, policymakers or practitioners, who would monitor the dynamics to establish different strategies or measures (Fousekis and Grigoriadis, 2017). The abovementioned shocks are often produced by supply and demand forces, and the market participants would be on the lookout to obtain the maximum possible benefit and the reduction of the risk through portfolio diversification and hedging strategies (Hamilton and Wu, 2014; Kyritsis and Serletis, 2018) or taking into account sectoral financial innovations as elastic alternative investment options in order to improve the risk-adjusted returns for oil investors during a crisis (Salisu and Obiora, 2021).</w:t>
      </w:r>
      <w:r w:rsidR="00D01D8E" w:rsidRPr="001A4A7B">
        <w:rPr>
          <w:color w:val="000000" w:themeColor="text1"/>
          <w:lang w:val="en-US"/>
        </w:rPr>
        <w:t xml:space="preserve"> </w:t>
      </w:r>
    </w:p>
    <w:p w14:paraId="090944AE" w14:textId="77777777" w:rsidR="00BC5DE3" w:rsidRPr="001A4A7B" w:rsidRDefault="00BC5DE3" w:rsidP="00FE5630">
      <w:pPr>
        <w:spacing w:line="281" w:lineRule="auto"/>
        <w:jc w:val="both"/>
        <w:rPr>
          <w:color w:val="000000" w:themeColor="text1"/>
          <w:lang w:val="en-US"/>
        </w:rPr>
      </w:pPr>
    </w:p>
    <w:p w14:paraId="7521B233" w14:textId="2922B96A" w:rsidR="00A33E8B" w:rsidRPr="001A4A7B" w:rsidRDefault="008D371A" w:rsidP="001418E7">
      <w:pPr>
        <w:spacing w:line="281" w:lineRule="auto"/>
        <w:ind w:firstLine="284"/>
        <w:jc w:val="both"/>
        <w:rPr>
          <w:color w:val="000000" w:themeColor="text1"/>
          <w:lang w:val="en-US"/>
        </w:rPr>
      </w:pPr>
      <w:r w:rsidRPr="001A4A7B">
        <w:rPr>
          <w:color w:val="000000" w:themeColor="text1"/>
          <w:lang w:val="en-US"/>
        </w:rPr>
        <w:t xml:space="preserve">The COVID-19 outbreak triggered in Wuhan (China) and its rapid spread around the world caused a collapse in West Texas Intermediate (WTI, hereafter) prices in April 2020, for reasons such as the weakness of the demand and ongoing production versus storage limitations (Jefferson, 2020). Another factor that could play an important role is the different lockdown measures </w:t>
      </w:r>
      <w:r w:rsidR="005D12AB" w:rsidRPr="001A4A7B">
        <w:rPr>
          <w:color w:val="000000" w:themeColor="text1"/>
          <w:lang w:val="en-US"/>
        </w:rPr>
        <w:t>implemented</w:t>
      </w:r>
      <w:r w:rsidR="008926A8" w:rsidRPr="001A4A7B">
        <w:rPr>
          <w:rStyle w:val="Refdenotaalpie"/>
          <w:color w:val="000000" w:themeColor="text1"/>
          <w:lang w:val="en-US"/>
        </w:rPr>
        <w:footnoteReference w:id="1"/>
      </w:r>
      <w:r w:rsidR="005D12AB" w:rsidRPr="001A4A7B">
        <w:rPr>
          <w:color w:val="000000" w:themeColor="text1"/>
          <w:lang w:val="en-US"/>
        </w:rPr>
        <w:t xml:space="preserve"> </w:t>
      </w:r>
      <w:r w:rsidRPr="001A4A7B">
        <w:rPr>
          <w:color w:val="000000" w:themeColor="text1"/>
          <w:lang w:val="en-US"/>
        </w:rPr>
        <w:t>by the countries to prevent and impede contagions. These lockdown measures have affected businesses, job securities and services and have brutally impacted all types of transport, either by road, rail, sea or/and air. As previously mentioned, the government's response faces the COVID-19 pandemic. People's behaviour has dramatically changed by the imposition of restrictions on mobility and economic activity, letting to work from home those who could and domestic and international travel severely restricted. People stopped driving, flying, or travelling on public transport (see Billio and Varotto (2020)) so</w:t>
      </w:r>
      <w:r w:rsidR="006B4DF5" w:rsidRPr="001A4A7B">
        <w:rPr>
          <w:color w:val="000000" w:themeColor="text1"/>
          <w:lang w:val="en-US"/>
        </w:rPr>
        <w:t>,</w:t>
      </w:r>
      <w:r w:rsidRPr="001A4A7B">
        <w:rPr>
          <w:color w:val="000000" w:themeColor="text1"/>
          <w:lang w:val="en-US"/>
        </w:rPr>
        <w:t xml:space="preserve"> the flows of people and goods have been reduced. This triggered a decline in demand for energy sources (transport fuels, for instance), leading to a drop in oil prices (Ozili and Arun, 2020) or being a source of systematic risk, provoking a decline in global financial indices (see Ahundjanov et al., 2020; or Sharif et al., 2020). Given this, it is not unreasonable to think that, especially these factors have played an essential role in the shock </w:t>
      </w:r>
      <w:r w:rsidR="006B4DF5" w:rsidRPr="001A4A7B">
        <w:rPr>
          <w:color w:val="000000" w:themeColor="text1"/>
          <w:lang w:val="en-US"/>
        </w:rPr>
        <w:t>influences</w:t>
      </w:r>
      <w:r w:rsidRPr="001A4A7B">
        <w:rPr>
          <w:color w:val="000000" w:themeColor="text1"/>
          <w:lang w:val="en-US"/>
        </w:rPr>
        <w:t xml:space="preserve"> the crude oil market so, as Bakas and Triantafyllou (2020)</w:t>
      </w:r>
      <w:r w:rsidR="006B4DF5" w:rsidRPr="001A4A7B">
        <w:rPr>
          <w:color w:val="000000" w:themeColor="text1"/>
          <w:lang w:val="en-US"/>
        </w:rPr>
        <w:t xml:space="preserve"> or Zhang et al. (2021)</w:t>
      </w:r>
      <w:r w:rsidRPr="001A4A7B">
        <w:rPr>
          <w:color w:val="000000" w:themeColor="text1"/>
          <w:lang w:val="en-US"/>
        </w:rPr>
        <w:t xml:space="preserve"> affirmed, in times of higher uncertainty (as the case of a pandemic like COVID-19), supply and demand drop dramatically and gradually over time because of the rise in the price elasticity.</w:t>
      </w:r>
    </w:p>
    <w:p w14:paraId="23C03D12" w14:textId="77777777" w:rsidR="00A33E8B" w:rsidRPr="001A4A7B" w:rsidRDefault="00A33E8B" w:rsidP="001418E7">
      <w:pPr>
        <w:spacing w:line="281" w:lineRule="auto"/>
        <w:ind w:firstLine="284"/>
        <w:jc w:val="both"/>
        <w:rPr>
          <w:color w:val="000000" w:themeColor="text1"/>
          <w:lang w:val="en-US"/>
        </w:rPr>
      </w:pPr>
    </w:p>
    <w:p w14:paraId="223BB49E" w14:textId="3CBDDDEA" w:rsidR="00FA7D77" w:rsidRPr="001A4A7B" w:rsidRDefault="00FA7D77" w:rsidP="001418E7">
      <w:pPr>
        <w:spacing w:line="281" w:lineRule="auto"/>
        <w:ind w:firstLine="284"/>
        <w:jc w:val="both"/>
        <w:rPr>
          <w:color w:val="000000" w:themeColor="text1"/>
          <w:lang w:val="en-US"/>
        </w:rPr>
      </w:pPr>
      <w:r w:rsidRPr="001A4A7B">
        <w:rPr>
          <w:color w:val="000000" w:themeColor="text1"/>
          <w:lang w:val="en-US"/>
        </w:rPr>
        <w:t xml:space="preserve">Likewise, in 2021 the prices become to rise and recover their original path due to the reactivation of the economy and mobility. On the other hand, there is a combination of the deliberate production cuts agreed by OPEC and other non-OPEC producers, such as Russia; and a drop in production in the United States and elsewhere due to the low prices registered per barrel the previous year. This was translated into the explosiveness of crude oil and its derivatives prices that society is experimenting with nowadays. However, and </w:t>
      </w:r>
      <w:r w:rsidRPr="001A4A7B">
        <w:rPr>
          <w:color w:val="000000" w:themeColor="text1"/>
          <w:lang w:val="en-US"/>
        </w:rPr>
        <w:lastRenderedPageBreak/>
        <w:t>more importantly, by the beginning of 2022 the 'Ukraine – Russian war' pushed the refined product prices up to high levels, around 5 dollars per gallon in the United States, provoking that inflation to reach high levels. In this sense, Li et al. (2020) suggest actual extreme political events will drive crude oil prices and provide that geopolitical factors affect crude oil prices.</w:t>
      </w:r>
      <w:r w:rsidR="006A2FDF" w:rsidRPr="001A4A7B">
        <w:rPr>
          <w:color w:val="000000" w:themeColor="text1"/>
          <w:lang w:val="en-US"/>
        </w:rPr>
        <w:t xml:space="preserve"> </w:t>
      </w:r>
    </w:p>
    <w:p w14:paraId="1E4FB837" w14:textId="77777777" w:rsidR="00FA7D77" w:rsidRPr="001A4A7B" w:rsidRDefault="00FA7D77" w:rsidP="001418E7">
      <w:pPr>
        <w:spacing w:line="281" w:lineRule="auto"/>
        <w:ind w:firstLine="284"/>
        <w:jc w:val="both"/>
        <w:rPr>
          <w:color w:val="000000" w:themeColor="text1"/>
          <w:lang w:val="en-US"/>
        </w:rPr>
      </w:pPr>
    </w:p>
    <w:p w14:paraId="6FD2D0EA" w14:textId="32956B7D" w:rsidR="009B0B2E" w:rsidRPr="001A4A7B" w:rsidRDefault="009A790F" w:rsidP="001418E7">
      <w:pPr>
        <w:spacing w:line="281" w:lineRule="auto"/>
        <w:ind w:firstLine="284"/>
        <w:jc w:val="both"/>
        <w:rPr>
          <w:color w:val="000000" w:themeColor="text1"/>
          <w:lang w:val="en-US"/>
        </w:rPr>
      </w:pPr>
      <w:r w:rsidRPr="001A4A7B">
        <w:rPr>
          <w:color w:val="000000" w:themeColor="text1"/>
          <w:lang w:val="en-US"/>
        </w:rPr>
        <w:t xml:space="preserve">In this sense, </w:t>
      </w:r>
      <w:r w:rsidR="00CC0A65" w:rsidRPr="001A4A7B">
        <w:rPr>
          <w:color w:val="000000" w:themeColor="text1"/>
          <w:lang w:val="en-US"/>
        </w:rPr>
        <w:t xml:space="preserve">the study of energy prices linkages lets researchers </w:t>
      </w:r>
      <w:r w:rsidR="006A7E1F" w:rsidRPr="001A4A7B">
        <w:rPr>
          <w:color w:val="000000" w:themeColor="text1"/>
          <w:lang w:val="en-US"/>
        </w:rPr>
        <w:t>evaluate</w:t>
      </w:r>
      <w:r w:rsidR="00CC0A65" w:rsidRPr="001A4A7B">
        <w:rPr>
          <w:color w:val="000000" w:themeColor="text1"/>
          <w:lang w:val="en-US"/>
        </w:rPr>
        <w:t xml:space="preserve"> the degree and type of integration, </w:t>
      </w:r>
      <w:r w:rsidR="00713534" w:rsidRPr="001A4A7B">
        <w:rPr>
          <w:color w:val="000000" w:themeColor="text1"/>
          <w:lang w:val="en-US"/>
        </w:rPr>
        <w:t>which market (or product) may be the price setter, the asymmetries that could incur in the information transmission, the co-movements between prices</w:t>
      </w:r>
      <w:r w:rsidR="006A7E1F" w:rsidRPr="001A4A7B">
        <w:rPr>
          <w:color w:val="000000" w:themeColor="text1"/>
          <w:lang w:val="en-US"/>
        </w:rPr>
        <w:t>,</w:t>
      </w:r>
      <w:r w:rsidR="00713534" w:rsidRPr="001A4A7B">
        <w:rPr>
          <w:color w:val="000000" w:themeColor="text1"/>
          <w:lang w:val="en-US"/>
        </w:rPr>
        <w:t xml:space="preserve"> </w:t>
      </w:r>
      <w:r w:rsidR="006A7E1F" w:rsidRPr="001A4A7B">
        <w:rPr>
          <w:color w:val="000000" w:themeColor="text1"/>
          <w:lang w:val="en-US"/>
        </w:rPr>
        <w:t>or</w:t>
      </w:r>
      <w:r w:rsidR="00713534" w:rsidRPr="001A4A7B">
        <w:rPr>
          <w:color w:val="000000" w:themeColor="text1"/>
          <w:lang w:val="en-US"/>
        </w:rPr>
        <w:t xml:space="preserve"> to value the price risk (see</w:t>
      </w:r>
      <w:r w:rsidR="003C36BC" w:rsidRPr="001A4A7B">
        <w:rPr>
          <w:color w:val="000000" w:themeColor="text1"/>
          <w:lang w:val="en-US"/>
        </w:rPr>
        <w:t xml:space="preserve"> Girma and Paulson, 1999;</w:t>
      </w:r>
      <w:r w:rsidR="00713534" w:rsidRPr="001A4A7B">
        <w:rPr>
          <w:color w:val="000000" w:themeColor="text1"/>
          <w:lang w:val="en-US"/>
        </w:rPr>
        <w:t xml:space="preserve"> Grasso and Manera, 20</w:t>
      </w:r>
      <w:r w:rsidR="008C4B83" w:rsidRPr="001A4A7B">
        <w:rPr>
          <w:color w:val="000000" w:themeColor="text1"/>
          <w:lang w:val="en-US"/>
        </w:rPr>
        <w:t>07</w:t>
      </w:r>
      <w:r w:rsidR="00713534" w:rsidRPr="001A4A7B">
        <w:rPr>
          <w:color w:val="000000" w:themeColor="text1"/>
          <w:lang w:val="en-US"/>
        </w:rPr>
        <w:t xml:space="preserve">; Douglas, 2010; Bremmer and </w:t>
      </w:r>
      <w:r w:rsidR="006A7E1F" w:rsidRPr="001A4A7B">
        <w:rPr>
          <w:color w:val="000000" w:themeColor="text1"/>
          <w:lang w:val="en-US"/>
        </w:rPr>
        <w:t>Kesselring</w:t>
      </w:r>
      <w:r w:rsidR="00713534" w:rsidRPr="001A4A7B">
        <w:rPr>
          <w:color w:val="000000" w:themeColor="text1"/>
          <w:lang w:val="en-US"/>
        </w:rPr>
        <w:t xml:space="preserve">, 2016; or </w:t>
      </w:r>
      <w:r w:rsidR="0035312E" w:rsidRPr="001A4A7B">
        <w:rPr>
          <w:color w:val="000000" w:themeColor="text1"/>
          <w:lang w:val="en-US"/>
        </w:rPr>
        <w:t>Caro</w:t>
      </w:r>
      <w:r w:rsidR="00713534" w:rsidRPr="001A4A7B">
        <w:rPr>
          <w:color w:val="000000" w:themeColor="text1"/>
          <w:lang w:val="en-US"/>
        </w:rPr>
        <w:t xml:space="preserve"> et al.</w:t>
      </w:r>
      <w:r w:rsidR="00AB7A35" w:rsidRPr="001A4A7B">
        <w:rPr>
          <w:color w:val="000000" w:themeColor="text1"/>
          <w:lang w:val="en-US"/>
        </w:rPr>
        <w:t xml:space="preserve">, </w:t>
      </w:r>
      <w:r w:rsidR="006B296B" w:rsidRPr="001A4A7B">
        <w:rPr>
          <w:color w:val="000000" w:themeColor="text1"/>
          <w:lang w:val="en-US"/>
        </w:rPr>
        <w:t>2020</w:t>
      </w:r>
      <w:r w:rsidR="00AB7A35" w:rsidRPr="001A4A7B">
        <w:rPr>
          <w:color w:val="000000" w:themeColor="text1"/>
          <w:lang w:val="en-US"/>
        </w:rPr>
        <w:t>;</w:t>
      </w:r>
      <w:r w:rsidR="00713534" w:rsidRPr="001A4A7B">
        <w:rPr>
          <w:color w:val="000000" w:themeColor="text1"/>
          <w:lang w:val="en-US"/>
        </w:rPr>
        <w:t xml:space="preserve"> for instance).</w:t>
      </w:r>
      <w:r w:rsidR="003E5C94" w:rsidRPr="001A4A7B">
        <w:rPr>
          <w:color w:val="000000" w:themeColor="text1"/>
          <w:lang w:val="en-US"/>
        </w:rPr>
        <w:t xml:space="preserve"> In this respect, as it is well-known, crude oil is the raw ingredient with which refined products are made so, it stands to reason that a change in the price of oil could affect the price of refined products, being this an example of supply-driven market integration (Asche et al., 2003). Conversely, according to Kilian (</w:t>
      </w:r>
      <w:r w:rsidR="003D6928" w:rsidRPr="001A4A7B">
        <w:rPr>
          <w:color w:val="000000" w:themeColor="text1"/>
          <w:lang w:val="en-US"/>
        </w:rPr>
        <w:t xml:space="preserve">2010, </w:t>
      </w:r>
      <w:r w:rsidR="003E5C94" w:rsidRPr="001A4A7B">
        <w:rPr>
          <w:color w:val="000000" w:themeColor="text1"/>
          <w:lang w:val="en-US"/>
        </w:rPr>
        <w:t>2014), when refined product prices condition crude oil prices due to crude oil is necessary to generate these products, i.e., gasoline, diesel or heating oil, that is consumed straightaway so, the flow demand for oil increases, being this an example of demand-driven market integration, i.e., the demand from crude oil is given from the demand for refined products (see Kilian, 2010).</w:t>
      </w:r>
      <w:r w:rsidR="00D01D8E" w:rsidRPr="001A4A7B">
        <w:rPr>
          <w:color w:val="000000" w:themeColor="text1"/>
          <w:lang w:val="en-US"/>
        </w:rPr>
        <w:t xml:space="preserve"> Thus, accounting the nature of the shocks would provide us information regarding the type of market integration.</w:t>
      </w:r>
    </w:p>
    <w:p w14:paraId="32844676" w14:textId="77777777" w:rsidR="00D5208B" w:rsidRPr="001A4A7B" w:rsidRDefault="00D5208B" w:rsidP="00FE5630">
      <w:pPr>
        <w:spacing w:line="281" w:lineRule="auto"/>
        <w:jc w:val="both"/>
        <w:rPr>
          <w:color w:val="000000" w:themeColor="text1"/>
          <w:lang w:val="en-US"/>
        </w:rPr>
      </w:pPr>
    </w:p>
    <w:p w14:paraId="633042F4" w14:textId="77777777" w:rsidR="00605C72" w:rsidRPr="001A4A7B" w:rsidRDefault="00C713DC" w:rsidP="00275053">
      <w:pPr>
        <w:spacing w:line="288" w:lineRule="auto"/>
        <w:ind w:firstLine="284"/>
        <w:jc w:val="both"/>
        <w:rPr>
          <w:color w:val="000000" w:themeColor="text1"/>
          <w:lang w:val="en-US"/>
        </w:rPr>
      </w:pPr>
      <w:r w:rsidRPr="001A4A7B">
        <w:rPr>
          <w:color w:val="000000" w:themeColor="text1"/>
          <w:lang w:val="en-US"/>
        </w:rPr>
        <w:t>In this context, the study of the causality link regarding the crude oil and its refined products has not been discussed in great depth but has been more related to other commodities (see Villar and Joutz, 2006; Brown and Yucel, 2008; Zhang and Wei, 2010; Wolfe and Rosenman, 2014; Yu et al., 2015; or Rezitis, 2015) or economic</w:t>
      </w:r>
      <w:r w:rsidR="003D6928" w:rsidRPr="001A4A7B">
        <w:rPr>
          <w:rStyle w:val="Refdenotaalpie"/>
          <w:color w:val="000000" w:themeColor="text1"/>
          <w:lang w:val="en-US"/>
        </w:rPr>
        <w:footnoteReference w:id="2"/>
      </w:r>
      <w:r w:rsidRPr="001A4A7B">
        <w:rPr>
          <w:color w:val="000000" w:themeColor="text1"/>
          <w:lang w:val="en-US"/>
        </w:rPr>
        <w:t xml:space="preserve"> and financial variables (see Kilian, 2008; Kilian and Vigfusson, 2011; Brahmasrene et al., 2014; Bal and Rath, 2015; Ding et al., 2016). </w:t>
      </w:r>
    </w:p>
    <w:p w14:paraId="1318E117" w14:textId="77777777" w:rsidR="00605C72" w:rsidRPr="001A4A7B" w:rsidRDefault="00605C72" w:rsidP="00275053">
      <w:pPr>
        <w:spacing w:line="288" w:lineRule="auto"/>
        <w:ind w:firstLine="284"/>
        <w:jc w:val="both"/>
        <w:rPr>
          <w:color w:val="000000" w:themeColor="text1"/>
          <w:lang w:val="en-US"/>
        </w:rPr>
      </w:pPr>
    </w:p>
    <w:p w14:paraId="65526536" w14:textId="065853A3" w:rsidR="008034A5" w:rsidRPr="001A4A7B" w:rsidRDefault="00C713DC" w:rsidP="008C526E">
      <w:pPr>
        <w:spacing w:line="288" w:lineRule="auto"/>
        <w:ind w:firstLine="284"/>
        <w:jc w:val="both"/>
        <w:rPr>
          <w:color w:val="000000" w:themeColor="text1"/>
          <w:lang w:val="en-US"/>
        </w:rPr>
      </w:pPr>
      <w:r w:rsidRPr="001A4A7B">
        <w:rPr>
          <w:color w:val="000000" w:themeColor="text1"/>
          <w:lang w:val="en-US"/>
        </w:rPr>
        <w:t xml:space="preserve">Thus, the contribution of this work is a further step in this area of research so, as far as we know, this is the first time that this methodology (the methodology developed by Hatemi-J (2012), which is an expansion of the model developed by Toda and Yamamoto (1995)) has been used to capture how the different nature of the shocks (positive and negative) can affect the relationships between crude oil and its derivatives and the type of market integration. </w:t>
      </w:r>
      <w:r w:rsidR="008C526E" w:rsidRPr="001A4A7B">
        <w:rPr>
          <w:color w:val="000000" w:themeColor="text1"/>
          <w:lang w:val="en-US"/>
        </w:rPr>
        <w:t xml:space="preserve">Based on Hatemi-J (2012) test, which is an extension of the Toda-Yamamoto (1995) test, is a causality approach that allows for asymmetry. This means that we can assess causality by considering the cumulative sum of positive and negative shocks separately. The impact of these shocks on causal relationships can differ since shocks can be either positive or negative, a characteristic not considered in other causality tests (Mishra et al., 2022). Following Hatemi-J (2012), this method has the advantage of </w:t>
      </w:r>
      <w:r w:rsidR="008C526E" w:rsidRPr="001A4A7B">
        <w:rPr>
          <w:color w:val="000000" w:themeColor="text1"/>
          <w:lang w:val="en-US"/>
        </w:rPr>
        <w:lastRenderedPageBreak/>
        <w:t>causality can be tested among variables of a different order of integration and even in the absence of cointegration (Masih and Masih, 1998).</w:t>
      </w:r>
    </w:p>
    <w:p w14:paraId="75462F4C" w14:textId="77777777" w:rsidR="000A2C3C" w:rsidRPr="001A4A7B" w:rsidRDefault="000A2C3C" w:rsidP="000A2C3C">
      <w:pPr>
        <w:spacing w:line="288" w:lineRule="auto"/>
        <w:ind w:firstLine="284"/>
        <w:jc w:val="both"/>
        <w:rPr>
          <w:color w:val="000000" w:themeColor="text1"/>
          <w:lang w:val="en-US"/>
        </w:rPr>
      </w:pPr>
    </w:p>
    <w:p w14:paraId="41ABFE0D" w14:textId="634EE920" w:rsidR="003E5C94" w:rsidRPr="001A4A7B" w:rsidRDefault="00C713DC" w:rsidP="00605C72">
      <w:pPr>
        <w:spacing w:line="288" w:lineRule="auto"/>
        <w:ind w:firstLine="284"/>
        <w:jc w:val="both"/>
        <w:rPr>
          <w:color w:val="000000" w:themeColor="text1"/>
          <w:lang w:val="en-US"/>
        </w:rPr>
      </w:pPr>
      <w:r w:rsidRPr="001A4A7B">
        <w:rPr>
          <w:color w:val="000000" w:themeColor="text1"/>
          <w:lang w:val="en-US"/>
        </w:rPr>
        <w:t>In fact, the objective of the present study is to investigate whether crude oil and its refined products may represent a demand-driven or supply-driven market integration by analysing the asymmetric causal links between crude oil and its refined products, studying the behaviour when a negative or positive shock affects the variables. To this end, in this paper, we use the asymmetric causality analysis that allows us to explore the type of market integration. Afterwards, when we seek for the different type of market integration, i.e., demand-driven or supply-driven market integration, we could subsequently test the existence of the Rockets and Feathers hypothesis (if the market follows an asymmetric supply-driven market integration) or the Verleger hypothesis (if the market follows an asymmetric demand-driven market integration).</w:t>
      </w:r>
    </w:p>
    <w:p w14:paraId="7DBF87D2" w14:textId="77777777" w:rsidR="00C713DC" w:rsidRPr="001A4A7B" w:rsidRDefault="00C713DC" w:rsidP="00275053">
      <w:pPr>
        <w:spacing w:line="288" w:lineRule="auto"/>
        <w:ind w:firstLine="284"/>
        <w:jc w:val="both"/>
        <w:rPr>
          <w:color w:val="000000" w:themeColor="text1"/>
          <w:lang w:val="en-US"/>
        </w:rPr>
      </w:pPr>
    </w:p>
    <w:p w14:paraId="4A61038B" w14:textId="58F9F037" w:rsidR="0060574B" w:rsidRPr="001A4A7B" w:rsidRDefault="0034319D" w:rsidP="00275053">
      <w:pPr>
        <w:spacing w:line="288" w:lineRule="auto"/>
        <w:ind w:firstLine="284"/>
        <w:jc w:val="both"/>
        <w:rPr>
          <w:color w:val="000000" w:themeColor="text1"/>
          <w:lang w:val="en-US"/>
        </w:rPr>
      </w:pPr>
      <w:r w:rsidRPr="001A4A7B">
        <w:rPr>
          <w:color w:val="000000" w:themeColor="text1"/>
          <w:lang w:val="en-US"/>
        </w:rPr>
        <w:t xml:space="preserve">In this respect, our findings indicate the heterogeneity in the behaviour of the refined products attending to their causal relation to WTI, exposing the need to study the asymmetries regarding the causal relationships given. In this regard, the dependent role to crude oil of kerosene is represented in each type of integration when assessing the effects of linear relation or positive and negative shocks, which makes sense. </w:t>
      </w:r>
      <w:r w:rsidR="00BA29F6" w:rsidRPr="001A4A7B">
        <w:rPr>
          <w:color w:val="000000" w:themeColor="text1"/>
          <w:lang w:val="en-US"/>
        </w:rPr>
        <w:t xml:space="preserve">This aspect would convey us to explore the treatment of this refined product, which is essential to the airlines and the travel industry. In this sense, the hedging strategies followed by airlines are well-known to protect themselves from volatility and explosiveness in fuel prices. </w:t>
      </w:r>
      <w:r w:rsidR="00576E12" w:rsidRPr="001A4A7B">
        <w:rPr>
          <w:color w:val="000000" w:themeColor="text1"/>
          <w:lang w:val="en-US"/>
        </w:rPr>
        <w:t>Furthermore, our results indicate the importance of attending when negative shocks appear, where all refined products would be located under the supply-driven market integration</w:t>
      </w:r>
      <w:r w:rsidR="00971234" w:rsidRPr="001A4A7B">
        <w:rPr>
          <w:color w:val="000000" w:themeColor="text1"/>
          <w:lang w:val="en-US"/>
        </w:rPr>
        <w:t xml:space="preserve">. </w:t>
      </w:r>
      <w:r w:rsidR="00576E12" w:rsidRPr="001A4A7B">
        <w:rPr>
          <w:color w:val="000000" w:themeColor="text1"/>
          <w:lang w:val="en-US"/>
        </w:rPr>
        <w:t xml:space="preserve">On the other hand, </w:t>
      </w:r>
      <w:r w:rsidR="00A020F8" w:rsidRPr="001A4A7B">
        <w:rPr>
          <w:color w:val="000000" w:themeColor="text1"/>
          <w:lang w:val="en-US"/>
        </w:rPr>
        <w:t>c</w:t>
      </w:r>
      <w:r w:rsidR="00576E12" w:rsidRPr="001A4A7B">
        <w:rPr>
          <w:color w:val="000000" w:themeColor="text1"/>
          <w:lang w:val="en-US"/>
        </w:rPr>
        <w:t xml:space="preserve">onventional gasoline joints to kerosene are also placed on the side of demand-driven market integration. In this respect, it catches the eye that, in contrast to linear effects where </w:t>
      </w:r>
      <w:r w:rsidR="00A020F8" w:rsidRPr="001A4A7B">
        <w:rPr>
          <w:color w:val="000000" w:themeColor="text1"/>
          <w:lang w:val="en-US"/>
        </w:rPr>
        <w:t>c</w:t>
      </w:r>
      <w:r w:rsidR="00576E12" w:rsidRPr="001A4A7B">
        <w:rPr>
          <w:color w:val="000000" w:themeColor="text1"/>
          <w:lang w:val="en-US"/>
        </w:rPr>
        <w:t>onventional gasoline is only situated under the demand-driven market integration when the negative effects make their appearance</w:t>
      </w:r>
      <w:r w:rsidR="00A020F8" w:rsidRPr="001A4A7B">
        <w:rPr>
          <w:color w:val="000000" w:themeColor="text1"/>
          <w:lang w:val="en-US"/>
        </w:rPr>
        <w:t xml:space="preserve"> c</w:t>
      </w:r>
      <w:r w:rsidR="00576E12" w:rsidRPr="001A4A7B">
        <w:rPr>
          <w:color w:val="000000" w:themeColor="text1"/>
          <w:lang w:val="en-US"/>
        </w:rPr>
        <w:t>onventional gasoline prices become fully integrated.</w:t>
      </w:r>
    </w:p>
    <w:p w14:paraId="2FEA7E02" w14:textId="51F0EED0" w:rsidR="003E5C94" w:rsidRPr="001A4A7B" w:rsidRDefault="003E5C94" w:rsidP="00275053">
      <w:pPr>
        <w:spacing w:line="288" w:lineRule="auto"/>
        <w:ind w:firstLine="284"/>
        <w:jc w:val="both"/>
        <w:rPr>
          <w:color w:val="000000" w:themeColor="text1"/>
          <w:lang w:val="en-US"/>
        </w:rPr>
      </w:pPr>
    </w:p>
    <w:p w14:paraId="657A83DD" w14:textId="69F18B5A" w:rsidR="003E5C94" w:rsidRPr="001A4A7B" w:rsidRDefault="00AB7A35" w:rsidP="00275053">
      <w:pPr>
        <w:spacing w:line="288" w:lineRule="auto"/>
        <w:ind w:firstLine="284"/>
        <w:jc w:val="both"/>
        <w:rPr>
          <w:color w:val="000000" w:themeColor="text1"/>
          <w:lang w:val="en-US"/>
        </w:rPr>
      </w:pPr>
      <w:r w:rsidRPr="001A4A7B">
        <w:rPr>
          <w:color w:val="000000" w:themeColor="text1"/>
          <w:lang w:val="en-US"/>
        </w:rPr>
        <w:t>The rest of the paper is organized as follows. The following section 2 reviews the existing literature on this topic. Section 3 describes the methodology applied to this topic. Section 4 details and displays the results, and section 5 identifies the conclusions and policy implications.</w:t>
      </w:r>
    </w:p>
    <w:p w14:paraId="727BF407" w14:textId="77777777" w:rsidR="00AB7A35" w:rsidRPr="001A4A7B" w:rsidRDefault="00AB7A35" w:rsidP="00275053">
      <w:pPr>
        <w:spacing w:line="288" w:lineRule="auto"/>
        <w:ind w:firstLine="284"/>
        <w:jc w:val="both"/>
        <w:rPr>
          <w:color w:val="000000" w:themeColor="text1"/>
          <w:lang w:val="en-US"/>
        </w:rPr>
      </w:pPr>
    </w:p>
    <w:p w14:paraId="2D5C6F31" w14:textId="62A4D6CE" w:rsidR="003E5C94" w:rsidRPr="001A4A7B" w:rsidRDefault="003E5C94" w:rsidP="003E5C94">
      <w:pPr>
        <w:spacing w:line="288" w:lineRule="auto"/>
        <w:jc w:val="both"/>
        <w:rPr>
          <w:b/>
          <w:color w:val="000000" w:themeColor="text1"/>
          <w:lang w:val="en-US"/>
        </w:rPr>
      </w:pPr>
      <w:r w:rsidRPr="001A4A7B">
        <w:rPr>
          <w:b/>
          <w:color w:val="000000" w:themeColor="text1"/>
          <w:lang w:val="en-US"/>
        </w:rPr>
        <w:t xml:space="preserve">2. </w:t>
      </w:r>
      <w:r w:rsidR="000A2C3C" w:rsidRPr="001A4A7B">
        <w:rPr>
          <w:b/>
          <w:color w:val="000000" w:themeColor="text1"/>
          <w:lang w:val="en-US"/>
        </w:rPr>
        <w:t>Literature review</w:t>
      </w:r>
    </w:p>
    <w:p w14:paraId="4C295F79" w14:textId="4465100E" w:rsidR="003E5C94" w:rsidRPr="001A4A7B" w:rsidRDefault="003E5C94" w:rsidP="003E5C94">
      <w:pPr>
        <w:spacing w:line="288" w:lineRule="auto"/>
        <w:jc w:val="both"/>
        <w:rPr>
          <w:b/>
          <w:color w:val="000000" w:themeColor="text1"/>
          <w:lang w:val="en-US"/>
        </w:rPr>
      </w:pPr>
    </w:p>
    <w:p w14:paraId="683DC98F" w14:textId="0B290DDB" w:rsidR="003E5C94" w:rsidRPr="001A4A7B" w:rsidRDefault="003E5C94" w:rsidP="003E5C94">
      <w:pPr>
        <w:spacing w:line="281" w:lineRule="auto"/>
        <w:jc w:val="both"/>
        <w:rPr>
          <w:color w:val="000000" w:themeColor="text1"/>
          <w:lang w:val="en-US"/>
        </w:rPr>
      </w:pPr>
      <w:r w:rsidRPr="001A4A7B">
        <w:rPr>
          <w:color w:val="000000" w:themeColor="text1"/>
          <w:lang w:val="en-US"/>
        </w:rPr>
        <w:t xml:space="preserve">Nowadays, due to globalization process and the free market economy, the prices of refined products are projected to adjust with the change in the crude oil price. Nonetheless, some studies evidence that prices of refined products may react faster and on a greater scale to the increase of crude oil price, while the price of the former plunges at a slower rate and slighter size in reaction to drop in crude oil prices. Therefore, the </w:t>
      </w:r>
      <w:r w:rsidRPr="001A4A7B">
        <w:rPr>
          <w:color w:val="000000" w:themeColor="text1"/>
          <w:lang w:val="en-US"/>
        </w:rPr>
        <w:lastRenderedPageBreak/>
        <w:t xml:space="preserve">relationship and the integration between crude oil price and energy (or its refined products) price is essential to disentangle the comportment of the price formation. </w:t>
      </w:r>
    </w:p>
    <w:p w14:paraId="7425C685" w14:textId="77777777" w:rsidR="003E5C94" w:rsidRPr="001A4A7B" w:rsidRDefault="003E5C94" w:rsidP="003E5C94">
      <w:pPr>
        <w:spacing w:line="288" w:lineRule="auto"/>
        <w:jc w:val="both"/>
        <w:rPr>
          <w:b/>
          <w:color w:val="000000" w:themeColor="text1"/>
          <w:lang w:val="en-US"/>
        </w:rPr>
      </w:pPr>
    </w:p>
    <w:p w14:paraId="6959B1CA" w14:textId="143CBEB4" w:rsidR="003E5C94" w:rsidRPr="001A4A7B" w:rsidRDefault="005E7BFD" w:rsidP="003E5C94">
      <w:pPr>
        <w:spacing w:line="281" w:lineRule="auto"/>
        <w:ind w:firstLine="284"/>
        <w:jc w:val="both"/>
        <w:rPr>
          <w:color w:val="000000" w:themeColor="text1"/>
          <w:lang w:val="en-US"/>
        </w:rPr>
      </w:pPr>
      <w:r w:rsidRPr="001A4A7B">
        <w:rPr>
          <w:color w:val="000000" w:themeColor="text1"/>
          <w:lang w:val="en-US"/>
        </w:rPr>
        <w:t>Indeed, following Ederington et al. (2019), the literature has dealt with this topic in two ways. The first strand argues that the causal relation flows from crude oil prices to refined product prices (see Frey and Manera</w:t>
      </w:r>
      <w:r w:rsidR="006F00DC" w:rsidRPr="001A4A7B">
        <w:rPr>
          <w:color w:val="000000" w:themeColor="text1"/>
          <w:lang w:val="en-US"/>
        </w:rPr>
        <w:t xml:space="preserve">, </w:t>
      </w:r>
      <w:r w:rsidRPr="001A4A7B">
        <w:rPr>
          <w:color w:val="000000" w:themeColor="text1"/>
          <w:lang w:val="en-US"/>
        </w:rPr>
        <w:t xml:space="preserve">2007) for a survey). Furthermore, Bacon (1991) explain an influential paper where the Rockets and Feathers Hypothesis is demonstrated. He showed that when prices of crude oil rise, this causes an increment of gasoline prices (or other refined products) in a faster way. Conversely, as previously mentioned, the drop in crude oil prices does not provoke a faster response to gasoline prices. Indeed, the influential paper of </w:t>
      </w:r>
      <w:r w:rsidR="004B6D1E" w:rsidRPr="001A4A7B">
        <w:rPr>
          <w:color w:val="000000" w:themeColor="text1"/>
          <w:shd w:val="clear" w:color="auto" w:fill="FFFFFF"/>
          <w:lang w:val="en-US"/>
        </w:rPr>
        <w:t>Borenstein</w:t>
      </w:r>
      <w:r w:rsidR="004B6D1E" w:rsidRPr="001A4A7B">
        <w:rPr>
          <w:color w:val="000000" w:themeColor="text1"/>
          <w:lang w:val="en-US"/>
        </w:rPr>
        <w:t xml:space="preserve"> </w:t>
      </w:r>
      <w:r w:rsidRPr="001A4A7B">
        <w:rPr>
          <w:color w:val="000000" w:themeColor="text1"/>
          <w:lang w:val="en-US"/>
        </w:rPr>
        <w:t>et al. (1997) shows that when crude oil prices fluctuate, i.e., increase or decrease, the response of the gasoline prices is asymmetric. Gjolberg and Johnsen (1999) used the Error Correction Model (ECM hereafter) to examine the relationship between crude oil monthly prices and refined product prices. They confirmed that any crude oil price deviation from equilibrium could give information on how the refined products behaviour could be in the short-run. Adrangi et al. (2001) employ VAR methodology and a bivariate GARCH model to prove that movements in crude oil prices cause shifts in the price of the refined product used, i.e., the Los Angeles diesel. This can also happen in the opposite direction due to demand inferences</w:t>
      </w:r>
      <w:r w:rsidR="00BE11D0" w:rsidRPr="001A4A7B">
        <w:rPr>
          <w:color w:val="000000" w:themeColor="text1"/>
          <w:lang w:val="en-US"/>
        </w:rPr>
        <w:t xml:space="preserve"> and Venditti (2013) evidences proofs on the rockets and feathers issue by using weekly data on gasoline and gasoil prices for the U.S., the euro area, by using nonlinear impulse response functions and forecast accuracy tests and displaying evidence of asymmetries in the U.S.</w:t>
      </w:r>
    </w:p>
    <w:p w14:paraId="45F1B1D1" w14:textId="77777777" w:rsidR="00BE11D0" w:rsidRPr="001A4A7B" w:rsidRDefault="00BE11D0" w:rsidP="003E5C94">
      <w:pPr>
        <w:spacing w:line="281" w:lineRule="auto"/>
        <w:ind w:firstLine="284"/>
        <w:jc w:val="both"/>
        <w:rPr>
          <w:color w:val="000000" w:themeColor="text1"/>
          <w:lang w:val="en-US"/>
        </w:rPr>
      </w:pPr>
    </w:p>
    <w:p w14:paraId="34959E68" w14:textId="14BEC858" w:rsidR="004925A8" w:rsidRPr="001A4A7B" w:rsidRDefault="005E7BFD" w:rsidP="003E5C94">
      <w:pPr>
        <w:spacing w:line="281" w:lineRule="auto"/>
        <w:ind w:firstLine="284"/>
        <w:jc w:val="both"/>
        <w:rPr>
          <w:color w:val="000000" w:themeColor="text1"/>
          <w:lang w:val="en-US"/>
        </w:rPr>
      </w:pPr>
      <w:r w:rsidRPr="001A4A7B">
        <w:rPr>
          <w:color w:val="000000" w:themeColor="text1"/>
          <w:lang w:val="en-US"/>
        </w:rPr>
        <w:t xml:space="preserve">Another influential paper, as Bachmeier and Griffin (2003) apply the basic and asymmetric ECM, could not evidence a pass-through response from crude oil prices to gasoline prices. Hammoudeh et al. (2003) apply a cointegration, an error-correction representation, and GARCH models to crude oil and gasoline daily prices, suggesting a bidirectional causal relationship between daily crude oil and gasoline prices. </w:t>
      </w:r>
      <w:r w:rsidR="00705CDE" w:rsidRPr="001A4A7B">
        <w:rPr>
          <w:color w:val="000000" w:themeColor="text1"/>
          <w:lang w:val="en-US"/>
        </w:rPr>
        <w:t>They</w:t>
      </w:r>
      <w:r w:rsidRPr="001A4A7B">
        <w:rPr>
          <w:color w:val="000000" w:themeColor="text1"/>
          <w:lang w:val="en-US"/>
        </w:rPr>
        <w:t xml:space="preserve"> also evidences a unidirectional causality from crude oil price to heating oil. Additionally, Yang and Ye (2008) developed a simple search model to explain the performance of refined products prices when a positive (or negative) shock affects crude oil price. Honarvar (2009) explains the behaviour of gasoline and crude oil prices for the USA by using a Crouching ECM, which describes the hidden cointegration. He demonstrates that the behaviour of the forms depends on the fluctuations of the crude oil price, being conditioned by the origin of the shocks, i.e., if there is a shock in the crude oil price, it could be due to market conditions. In contrast, if the shock occurs in the refined product price, the origin may be induced by "efficiency or consumers' incentives", i.e., the demand side. </w:t>
      </w:r>
      <w:r w:rsidR="003D6928" w:rsidRPr="001A4A7B">
        <w:rPr>
          <w:color w:val="000000" w:themeColor="text1"/>
          <w:lang w:val="en-US"/>
        </w:rPr>
        <w:t xml:space="preserve">Later, Kaufmann and Laskowski (2005) use monthly data and ECM to study the possible existence of asymmetries between the crude oil and refined petroleum products prices in the United States, evidencing that the asymmetric relation between crude oil and motor gasoline is explained by refinery utilization rates and inventory behavior. Additionally, the asymmetric relation between crude oil and heating oil maybe is </w:t>
      </w:r>
      <w:r w:rsidR="003D6928" w:rsidRPr="001A4A7B">
        <w:rPr>
          <w:color w:val="000000" w:themeColor="text1"/>
          <w:lang w:val="en-US"/>
        </w:rPr>
        <w:lastRenderedPageBreak/>
        <w:t>produced by contractual arrangements between retailers and consumers. Indeed, these results would suggest that price asymmetries might be caused by efficient markets.</w:t>
      </w:r>
    </w:p>
    <w:p w14:paraId="4A4F11C2" w14:textId="77777777" w:rsidR="004925A8" w:rsidRPr="001A4A7B" w:rsidRDefault="004925A8" w:rsidP="003E5C94">
      <w:pPr>
        <w:spacing w:line="281" w:lineRule="auto"/>
        <w:ind w:firstLine="284"/>
        <w:jc w:val="both"/>
        <w:rPr>
          <w:color w:val="000000" w:themeColor="text1"/>
          <w:lang w:val="en-US"/>
        </w:rPr>
      </w:pPr>
    </w:p>
    <w:p w14:paraId="310694D6" w14:textId="1F7C884F" w:rsidR="003E5C94" w:rsidRPr="001A4A7B" w:rsidRDefault="004925A8" w:rsidP="00F129C9">
      <w:pPr>
        <w:spacing w:line="281" w:lineRule="auto"/>
        <w:ind w:firstLine="284"/>
        <w:jc w:val="both"/>
        <w:rPr>
          <w:color w:val="000000" w:themeColor="text1"/>
          <w:lang w:val="en-US"/>
        </w:rPr>
      </w:pPr>
      <w:r w:rsidRPr="001A4A7B">
        <w:rPr>
          <w:color w:val="000000" w:themeColor="text1"/>
          <w:lang w:val="en-US"/>
        </w:rPr>
        <w:t xml:space="preserve">For its part, </w:t>
      </w:r>
      <w:r w:rsidR="00F129C9" w:rsidRPr="001A4A7B">
        <w:rPr>
          <w:color w:val="000000" w:themeColor="text1"/>
          <w:lang w:val="en-US"/>
        </w:rPr>
        <w:t xml:space="preserve">Karali and Ramirez (2014) examine the volatility and spillover effects in some energy markets such as crude oil, heating oil, and natural gas, by using daily prices in a GARCH model and incorporating changes in important macroeconomic variables and major political and weather-related events. They obtain the presence of asymmetric effects in crude oil following major political, financial, and natural events. Furthermore, seasonality and day-of-the-week effects in the crude oil and heating oil markets are encountered. </w:t>
      </w:r>
      <w:r w:rsidR="005E7BFD" w:rsidRPr="001A4A7B">
        <w:rPr>
          <w:color w:val="000000" w:themeColor="text1"/>
          <w:lang w:val="en-US"/>
        </w:rPr>
        <w:t>Atil et al. (2014) assessed the pass-through from crude oil prices into gasoline and natural gas prices when the non-linear autoregressive distributed lags (NARDL) model is applied. So, if a shock in the crude oil price transfers in a non-linear manner to gasoline and natural gas prices and shows that energy products prices dynamics possess a complex relationship. For its part, Han et al. (2015) use a battery of techniques such as VAR and ECM, Granger causality and impulse-response functions, finding bidirectional causality between crude oil and gasoline prices when facing a supply shock. They show that the interaction between crude oil price and gasoline price possess long-live. Kpodar and Abdallah (2017) also apply the VAR model and impulse-response function to study the price pass-through between retail gasoline prices and crude oil prices for a large dataset that encompasses 162 countries. Their results point out that positive shocks on crude oil prices possess a larger impact than negative shocks on gasoline prices response</w:t>
      </w:r>
      <w:r w:rsidR="00F129C9" w:rsidRPr="001A4A7B">
        <w:rPr>
          <w:color w:val="000000" w:themeColor="text1"/>
          <w:lang w:val="en-US"/>
        </w:rPr>
        <w:t>, and Martinez et al. (2018) apply a novel approach, the wavelet local multiple correlation (WLMC), to evaluate the relationship between oil time series in the time-scale domain. In fact, they use the prices of seven commodities: crude oil (WTI) and six refined products (conventional gasoline, RBOB regular gasoline, heating oil, Ultra-Low-Sulphur diesel fuel, kerosene and propane). They find that the wavelet correlations are strong throughout the period studied and show a strong decline in correlation values from 2013 to 2015 (due to the overproduction of tight oil in the U.S. and a slowdown in global demand for oil).</w:t>
      </w:r>
    </w:p>
    <w:p w14:paraId="64889248" w14:textId="77777777" w:rsidR="003E5C94" w:rsidRPr="001A4A7B" w:rsidRDefault="003E5C94" w:rsidP="003E5C94">
      <w:pPr>
        <w:spacing w:line="281" w:lineRule="auto"/>
        <w:ind w:firstLine="284"/>
        <w:jc w:val="both"/>
        <w:rPr>
          <w:color w:val="000000" w:themeColor="text1"/>
          <w:szCs w:val="27"/>
          <w:lang w:val="en-US"/>
        </w:rPr>
      </w:pPr>
    </w:p>
    <w:p w14:paraId="6660CB5D" w14:textId="00481635" w:rsidR="003E5C94" w:rsidRPr="001A4A7B" w:rsidRDefault="005E7BFD" w:rsidP="003E5C94">
      <w:pPr>
        <w:spacing w:line="281" w:lineRule="auto"/>
        <w:ind w:firstLine="284"/>
        <w:jc w:val="both"/>
        <w:rPr>
          <w:color w:val="000000" w:themeColor="text1"/>
          <w:lang w:val="en-US"/>
        </w:rPr>
      </w:pPr>
      <w:r w:rsidRPr="001A4A7B">
        <w:rPr>
          <w:color w:val="000000" w:themeColor="text1"/>
          <w:szCs w:val="27"/>
          <w:lang w:val="en-US"/>
        </w:rPr>
        <w:t>More recently, Martin-Moreno et al. (2019a, b) applied a Markov-switching model and used it to contrast the robustness of the results obtained with the TAR-ECM methodology to Spanish and German, French, Italian and UK data, respectively, getting significative evidence of asymmetric adjustments of gasoline and diesel prices to variations in crude oil price. Indeed, if changes in retail prices are translated by increases or decreases in input prices thus, the standard economic theory states that the market is perfectly competitive (Martin-Moreno et al., 2019a). Furthermore, Kyritsis and Andersson (2019) explored the causal relationship between crude oil and its refined products. They compared different causality tests and indicated a unidirectional causality relation from crude oil price returns to refined products price returns. Remarkably, they show a bidirectional causal relationship between heating and crude oil price returns and between natural gas and crude oil price returns, respectively.</w:t>
      </w:r>
      <w:r w:rsidR="003E5C94" w:rsidRPr="001A4A7B">
        <w:rPr>
          <w:color w:val="000000" w:themeColor="text1"/>
          <w:szCs w:val="27"/>
          <w:lang w:val="en-US"/>
        </w:rPr>
        <w:t xml:space="preserve"> </w:t>
      </w:r>
      <w:r w:rsidRPr="001A4A7B">
        <w:rPr>
          <w:color w:val="000000" w:themeColor="text1"/>
          <w:szCs w:val="27"/>
          <w:lang w:val="en-US"/>
        </w:rPr>
        <w:t xml:space="preserve">It is worth noting that they interpret causality as a predictability way instead of studying structural economic </w:t>
      </w:r>
      <w:r w:rsidRPr="001A4A7B">
        <w:rPr>
          <w:color w:val="000000" w:themeColor="text1"/>
          <w:szCs w:val="27"/>
          <w:lang w:val="en-US"/>
        </w:rPr>
        <w:lastRenderedPageBreak/>
        <w:t>relations. Finally, Gosinska et al. (2020) examined the European wholesale market, analyzing the relationship between Brent crude oil and unleaded 95 petrol and diesel using a threshold cointegration, concluding that the pass-through of crude oil price to the retail prices is asymmetric. Olayungbo and Ojeyinka (2021) show that an increase in crude oil prices turns out a stronger effect on refined product prices than the effect of a decrease in crude oil prices. This could be indicator of asymmetries in Nigerian crude oil market and further convincing evidence in favour of the Rocket and Feather hypothesis in the pass-through between crude oil and refined product prices.</w:t>
      </w:r>
      <w:r w:rsidR="00CE624E" w:rsidRPr="001A4A7B">
        <w:rPr>
          <w:color w:val="000000" w:themeColor="text1"/>
          <w:szCs w:val="27"/>
          <w:lang w:val="en-US"/>
        </w:rPr>
        <w:t xml:space="preserve"> More recently, Bakhat et al. (2022) provide new evidence on asymmetric price transmissions, by using a NARDL model. They pay attention to the asymmetric response of both diesel and gasoline weekly prices to oil price shocks, particularly not just to the magnitude but also to the duration of the effect, offering an understanding of how diesel and gasoline markets operate and how these markets are efficient.</w:t>
      </w:r>
    </w:p>
    <w:p w14:paraId="2A66AE9D" w14:textId="77777777" w:rsidR="003E5C94" w:rsidRPr="001A4A7B" w:rsidRDefault="003E5C94" w:rsidP="003E5C94">
      <w:pPr>
        <w:spacing w:line="281" w:lineRule="auto"/>
        <w:jc w:val="both"/>
        <w:rPr>
          <w:color w:val="000000" w:themeColor="text1"/>
          <w:lang w:val="en-US"/>
        </w:rPr>
      </w:pPr>
    </w:p>
    <w:p w14:paraId="4A1609B5" w14:textId="0B1A1C9F" w:rsidR="003E5C94" w:rsidRPr="001A4A7B" w:rsidRDefault="005E7BFD" w:rsidP="003E5C94">
      <w:pPr>
        <w:spacing w:line="281" w:lineRule="auto"/>
        <w:ind w:firstLine="284"/>
        <w:jc w:val="both"/>
        <w:rPr>
          <w:color w:val="000000" w:themeColor="text1"/>
          <w:lang w:val="en-US"/>
        </w:rPr>
      </w:pPr>
      <w:r w:rsidRPr="001A4A7B">
        <w:rPr>
          <w:color w:val="000000" w:themeColor="text1"/>
          <w:lang w:val="en-US"/>
        </w:rPr>
        <w:t>The second strand explores the relationship between refined product prices to crude oil prices. It is worth noting that this link has received limited attention but increasing lately. In this respect, it is worth noting Verleger (1982), who states that refined product prices are the primary determinant of crude oil prices, i.e., this is known as the Verleger hypothesis. Indeed, Verleger (2011) exposes that refiners could reduce their production if they do not find a price for crude oil which matches with refined product prices, triggering a decline in the crude oil demand, reducing the price of crude oil and the subsequent fall in the supply of refined products, which would increase their prices, that is, shifts in demand for a determined refined product could have predictive power for the crude oil price (Baumeister et al., 2018).</w:t>
      </w:r>
      <w:r w:rsidR="003E5C94" w:rsidRPr="001A4A7B">
        <w:rPr>
          <w:color w:val="000000" w:themeColor="text1"/>
          <w:lang w:val="en-US"/>
        </w:rPr>
        <w:t xml:space="preserve"> For its part, Kaufmann et al. (2009) apply an ECM to show that shifts in prices of refined products do not affect crude oil prices. Hence, changes in the demand for a given refined product have effects on the product mix of refined products and thus, for the demand for crude oil, arising a situation in which excess demand may result in rising prices (Alquist et al., 2011). Furthermore, Bilgin and Ellwander (2019) evidenced that changes in global demand for fuel explained most of the fluctuations in crude oil prices when a structural VAR model is applied. Finally, Vides et al. (2021) employ the fractionally cointegrated VAR model, showing that the Verleger hypothesis is rejected for all refined products and Ederington et al. (2021) finds that spot crude oil prices Granger-cause spot gasoline and actual spot heating oil prices.</w:t>
      </w:r>
    </w:p>
    <w:p w14:paraId="265F951F" w14:textId="77777777" w:rsidR="001935E2" w:rsidRPr="001A4A7B" w:rsidRDefault="001935E2" w:rsidP="00C47C33">
      <w:pPr>
        <w:spacing w:line="281" w:lineRule="auto"/>
        <w:jc w:val="both"/>
        <w:rPr>
          <w:color w:val="000000" w:themeColor="text1"/>
          <w:lang w:val="en-US"/>
        </w:rPr>
      </w:pPr>
    </w:p>
    <w:p w14:paraId="1AEF2A08" w14:textId="5743FAA1" w:rsidR="003A2F85" w:rsidRPr="001A4A7B" w:rsidRDefault="003A2F85" w:rsidP="00D70D72">
      <w:pPr>
        <w:widowControl w:val="0"/>
        <w:autoSpaceDE w:val="0"/>
        <w:autoSpaceDN w:val="0"/>
        <w:adjustRightInd w:val="0"/>
        <w:spacing w:after="240"/>
        <w:jc w:val="both"/>
        <w:rPr>
          <w:b/>
          <w:color w:val="000000" w:themeColor="text1"/>
          <w:lang w:val="en-US"/>
        </w:rPr>
      </w:pPr>
      <w:r w:rsidRPr="001A4A7B">
        <w:rPr>
          <w:b/>
          <w:color w:val="000000" w:themeColor="text1"/>
          <w:lang w:val="en-US"/>
        </w:rPr>
        <w:t>3. Data and Methodology</w:t>
      </w:r>
    </w:p>
    <w:p w14:paraId="57E39CF2" w14:textId="42F1720B" w:rsidR="0015269F" w:rsidRPr="001A4A7B" w:rsidRDefault="00D2537B" w:rsidP="00950362">
      <w:pPr>
        <w:spacing w:line="276" w:lineRule="auto"/>
        <w:jc w:val="both"/>
        <w:rPr>
          <w:color w:val="000000" w:themeColor="text1"/>
          <w:lang w:val="en-US"/>
        </w:rPr>
      </w:pPr>
      <w:r w:rsidRPr="001A4A7B">
        <w:rPr>
          <w:color w:val="000000" w:themeColor="text1"/>
          <w:lang w:val="en-US"/>
        </w:rPr>
        <w:t>Our econometric strategy implicates obtaining and analysing the model estimation at a weekly frequency, assessing the long-run relationship. Hence, we perform statistical tests for causality and the possibility of asymmetries in those possible causal relations based on the fundamental equation for the bivariate relationship between crude oil price and each of its refined products in an econometric context.</w:t>
      </w:r>
    </w:p>
    <w:p w14:paraId="365BE0D9" w14:textId="77777777" w:rsidR="0015269F" w:rsidRPr="001A4A7B" w:rsidRDefault="0015269F" w:rsidP="00695EC4">
      <w:pPr>
        <w:jc w:val="both"/>
        <w:rPr>
          <w:b/>
          <w:color w:val="000000" w:themeColor="text1"/>
          <w:lang w:val="en-US"/>
        </w:rPr>
      </w:pPr>
    </w:p>
    <w:p w14:paraId="642C2A41" w14:textId="5208CAE0" w:rsidR="003A2F85" w:rsidRPr="001A4A7B" w:rsidRDefault="003A2F85" w:rsidP="00695EC4">
      <w:pPr>
        <w:jc w:val="both"/>
        <w:rPr>
          <w:b/>
          <w:color w:val="000000" w:themeColor="text1"/>
          <w:lang w:val="en-US"/>
        </w:rPr>
      </w:pPr>
      <w:r w:rsidRPr="001A4A7B">
        <w:rPr>
          <w:b/>
          <w:color w:val="000000" w:themeColor="text1"/>
          <w:lang w:val="en-US"/>
        </w:rPr>
        <w:t>3.1 Data</w:t>
      </w:r>
    </w:p>
    <w:p w14:paraId="6DA35715" w14:textId="03355B3A" w:rsidR="001C5EEA" w:rsidRPr="001A4A7B" w:rsidRDefault="001C5EEA" w:rsidP="00695EC4">
      <w:pPr>
        <w:jc w:val="both"/>
        <w:rPr>
          <w:b/>
          <w:color w:val="000000" w:themeColor="text1"/>
          <w:lang w:val="en-US"/>
        </w:rPr>
      </w:pPr>
    </w:p>
    <w:p w14:paraId="49159B06" w14:textId="3C56AA61" w:rsidR="00E4230E" w:rsidRPr="001A4A7B" w:rsidRDefault="00861088" w:rsidP="00950362">
      <w:pPr>
        <w:spacing w:line="276" w:lineRule="auto"/>
        <w:jc w:val="both"/>
        <w:rPr>
          <w:color w:val="000000" w:themeColor="text1"/>
          <w:lang w:val="en-US"/>
        </w:rPr>
      </w:pPr>
      <w:r w:rsidRPr="001A4A7B">
        <w:rPr>
          <w:color w:val="000000" w:themeColor="text1"/>
          <w:lang w:val="en-US"/>
        </w:rPr>
        <w:lastRenderedPageBreak/>
        <w:t xml:space="preserve">In this article, we focus on the </w:t>
      </w:r>
      <w:r w:rsidR="006A7E1F" w:rsidRPr="001A4A7B">
        <w:rPr>
          <w:color w:val="000000" w:themeColor="text1"/>
          <w:lang w:val="en-US"/>
        </w:rPr>
        <w:t>US</w:t>
      </w:r>
      <w:r w:rsidRPr="001A4A7B">
        <w:rPr>
          <w:color w:val="000000" w:themeColor="text1"/>
          <w:lang w:val="en-US"/>
        </w:rPr>
        <w:t xml:space="preserve"> oil market, considering the relationship between the spot price of West Texas Intermediate (WTI) crude oil </w:t>
      </w:r>
      <w:r w:rsidR="00197D53" w:rsidRPr="001A4A7B">
        <w:rPr>
          <w:color w:val="000000" w:themeColor="text1"/>
          <w:lang w:val="en-US"/>
        </w:rPr>
        <w:t>and its refined products</w:t>
      </w:r>
      <w:r w:rsidR="00CA339C" w:rsidRPr="001A4A7B">
        <w:rPr>
          <w:color w:val="000000" w:themeColor="text1"/>
          <w:vertAlign w:val="superscript"/>
        </w:rPr>
        <w:footnoteReference w:id="3"/>
      </w:r>
      <w:r w:rsidR="00197D53" w:rsidRPr="001A4A7B">
        <w:rPr>
          <w:color w:val="000000" w:themeColor="text1"/>
          <w:lang w:val="en-US"/>
        </w:rPr>
        <w:t xml:space="preserve">, named </w:t>
      </w:r>
      <w:r w:rsidR="009F0E83" w:rsidRPr="001A4A7B">
        <w:rPr>
          <w:color w:val="000000" w:themeColor="text1"/>
          <w:lang w:val="en-US"/>
        </w:rPr>
        <w:t>c</w:t>
      </w:r>
      <w:r w:rsidR="00197D53" w:rsidRPr="001A4A7B">
        <w:rPr>
          <w:color w:val="000000" w:themeColor="text1"/>
          <w:lang w:val="en-US"/>
        </w:rPr>
        <w:t xml:space="preserve">onventional </w:t>
      </w:r>
      <w:r w:rsidR="005960C4" w:rsidRPr="001A4A7B">
        <w:rPr>
          <w:color w:val="000000" w:themeColor="text1"/>
          <w:lang w:val="en-US"/>
        </w:rPr>
        <w:t>g</w:t>
      </w:r>
      <w:r w:rsidR="00197D53" w:rsidRPr="001A4A7B">
        <w:rPr>
          <w:color w:val="000000" w:themeColor="text1"/>
          <w:lang w:val="en-US"/>
        </w:rPr>
        <w:t xml:space="preserve">asoline </w:t>
      </w:r>
      <w:r w:rsidR="006A7E1F" w:rsidRPr="001A4A7B">
        <w:rPr>
          <w:color w:val="000000" w:themeColor="text1"/>
          <w:lang w:val="en-US"/>
        </w:rPr>
        <w:t>NY</w:t>
      </w:r>
      <w:r w:rsidR="00197D53" w:rsidRPr="001A4A7B">
        <w:rPr>
          <w:color w:val="000000" w:themeColor="text1"/>
          <w:lang w:val="en-US"/>
        </w:rPr>
        <w:t>, Reformulated Gasoline Blendstock for Oxygen Blending (RBOB</w:t>
      </w:r>
      <w:r w:rsidR="001A43BC" w:rsidRPr="001A4A7B">
        <w:rPr>
          <w:color w:val="000000" w:themeColor="text1"/>
          <w:vertAlign w:val="superscript"/>
        </w:rPr>
        <w:footnoteReference w:id="4"/>
      </w:r>
      <w:r w:rsidR="00197D53" w:rsidRPr="001A4A7B">
        <w:rPr>
          <w:color w:val="000000" w:themeColor="text1"/>
          <w:lang w:val="en-US"/>
        </w:rPr>
        <w:t xml:space="preserve"> </w:t>
      </w:r>
      <w:r w:rsidR="000353EE" w:rsidRPr="001A4A7B">
        <w:rPr>
          <w:color w:val="000000" w:themeColor="text1"/>
          <w:lang w:val="en-US"/>
        </w:rPr>
        <w:t>hereafter</w:t>
      </w:r>
      <w:r w:rsidR="00197D53" w:rsidRPr="001A4A7B">
        <w:rPr>
          <w:color w:val="000000" w:themeColor="text1"/>
          <w:lang w:val="en-US"/>
        </w:rPr>
        <w:t xml:space="preserve">), </w:t>
      </w:r>
      <w:r w:rsidR="00A71AB2" w:rsidRPr="001A4A7B">
        <w:rPr>
          <w:color w:val="000000" w:themeColor="text1"/>
          <w:lang w:val="en-US"/>
        </w:rPr>
        <w:t xml:space="preserve">Ultra-Low-Sulphur </w:t>
      </w:r>
      <w:r w:rsidR="00197D53" w:rsidRPr="001A4A7B">
        <w:rPr>
          <w:color w:val="000000" w:themeColor="text1"/>
          <w:lang w:val="en-US"/>
        </w:rPr>
        <w:t>Diesel NY</w:t>
      </w:r>
      <w:r w:rsidR="005960C4" w:rsidRPr="001A4A7B">
        <w:rPr>
          <w:color w:val="000000" w:themeColor="text1"/>
          <w:lang w:val="en-US"/>
        </w:rPr>
        <w:t xml:space="preserve"> (</w:t>
      </w:r>
      <w:r w:rsidR="009F0E83" w:rsidRPr="001A4A7B">
        <w:rPr>
          <w:color w:val="000000" w:themeColor="text1"/>
          <w:lang w:val="en-US"/>
        </w:rPr>
        <w:t>d</w:t>
      </w:r>
      <w:r w:rsidR="005960C4" w:rsidRPr="001A4A7B">
        <w:rPr>
          <w:color w:val="000000" w:themeColor="text1"/>
          <w:lang w:val="en-US"/>
        </w:rPr>
        <w:t xml:space="preserve">iesel </w:t>
      </w:r>
      <w:r w:rsidR="000353EE" w:rsidRPr="001A4A7B">
        <w:rPr>
          <w:color w:val="000000" w:themeColor="text1"/>
          <w:lang w:val="en-US"/>
        </w:rPr>
        <w:t>hereafter</w:t>
      </w:r>
      <w:r w:rsidR="005960C4" w:rsidRPr="001A4A7B">
        <w:rPr>
          <w:color w:val="000000" w:themeColor="text1"/>
          <w:lang w:val="en-US"/>
        </w:rPr>
        <w:t>) and</w:t>
      </w:r>
      <w:r w:rsidR="00197D53" w:rsidRPr="001A4A7B">
        <w:rPr>
          <w:color w:val="000000" w:themeColor="text1"/>
          <w:lang w:val="en-US"/>
        </w:rPr>
        <w:t xml:space="preserve"> </w:t>
      </w:r>
      <w:r w:rsidR="009F0E83" w:rsidRPr="001A4A7B">
        <w:rPr>
          <w:color w:val="000000" w:themeColor="text1"/>
          <w:lang w:val="en-US"/>
        </w:rPr>
        <w:t>k</w:t>
      </w:r>
      <w:r w:rsidR="000353EE" w:rsidRPr="001A4A7B">
        <w:rPr>
          <w:color w:val="000000" w:themeColor="text1"/>
          <w:lang w:val="en-US"/>
        </w:rPr>
        <w:t>erosene</w:t>
      </w:r>
      <w:r w:rsidR="00197D53" w:rsidRPr="001A4A7B">
        <w:rPr>
          <w:color w:val="000000" w:themeColor="text1"/>
          <w:lang w:val="en-US"/>
        </w:rPr>
        <w:t>.</w:t>
      </w:r>
      <w:r w:rsidR="0084067F" w:rsidRPr="001A4A7B">
        <w:rPr>
          <w:color w:val="000000" w:themeColor="text1"/>
          <w:lang w:val="en-US"/>
        </w:rPr>
        <w:t xml:space="preserve"> </w:t>
      </w:r>
      <w:r w:rsidR="002545F4" w:rsidRPr="001A4A7B">
        <w:rPr>
          <w:color w:val="000000" w:themeColor="text1"/>
          <w:lang w:val="en-US"/>
        </w:rPr>
        <w:t xml:space="preserve">According to the </w:t>
      </w:r>
      <w:r w:rsidR="006A7E1F" w:rsidRPr="001A4A7B">
        <w:rPr>
          <w:color w:val="000000" w:themeColor="text1"/>
          <w:lang w:val="en-US"/>
        </w:rPr>
        <w:t>US</w:t>
      </w:r>
      <w:r w:rsidR="002545F4" w:rsidRPr="001A4A7B">
        <w:rPr>
          <w:color w:val="000000" w:themeColor="text1"/>
          <w:lang w:val="en-US"/>
        </w:rPr>
        <w:t xml:space="preserve"> Energy Information Administration (EIA), </w:t>
      </w:r>
      <w:r w:rsidR="000353EE" w:rsidRPr="001A4A7B">
        <w:rPr>
          <w:color w:val="000000" w:themeColor="text1"/>
          <w:lang w:val="en-US"/>
        </w:rPr>
        <w:t xml:space="preserve">the </w:t>
      </w:r>
      <w:r w:rsidR="002545F4" w:rsidRPr="001A4A7B">
        <w:rPr>
          <w:color w:val="000000" w:themeColor="text1"/>
          <w:lang w:val="en-US"/>
        </w:rPr>
        <w:t xml:space="preserve">refinement process converts approximately 49% of crude oil barrels into gasoline, 25% into distillate fuel oil, i.e., diesel and heating oil, 9% in </w:t>
      </w:r>
      <w:r w:rsidR="009F0E83" w:rsidRPr="001A4A7B">
        <w:rPr>
          <w:color w:val="000000" w:themeColor="text1"/>
          <w:lang w:val="en-US"/>
        </w:rPr>
        <w:t>k</w:t>
      </w:r>
      <w:r w:rsidR="000353EE" w:rsidRPr="001A4A7B">
        <w:rPr>
          <w:color w:val="000000" w:themeColor="text1"/>
          <w:lang w:val="en-US"/>
        </w:rPr>
        <w:t>erosene</w:t>
      </w:r>
      <w:r w:rsidR="002545F4" w:rsidRPr="001A4A7B">
        <w:rPr>
          <w:color w:val="000000" w:themeColor="text1"/>
          <w:lang w:val="en-US"/>
        </w:rPr>
        <w:t xml:space="preserve"> and the rest into other products. These proportions may be used as a preliminary notion of </w:t>
      </w:r>
      <w:r w:rsidR="000353EE" w:rsidRPr="001A4A7B">
        <w:rPr>
          <w:color w:val="000000" w:themeColor="text1"/>
          <w:lang w:val="en-US"/>
        </w:rPr>
        <w:t>affecting</w:t>
      </w:r>
      <w:r w:rsidR="002545F4" w:rsidRPr="001A4A7B">
        <w:rPr>
          <w:color w:val="000000" w:themeColor="text1"/>
          <w:lang w:val="en-US"/>
        </w:rPr>
        <w:t xml:space="preserve"> the refining process to the price formation. </w:t>
      </w:r>
      <w:r w:rsidR="0084067F" w:rsidRPr="001A4A7B">
        <w:rPr>
          <w:color w:val="000000" w:themeColor="text1"/>
          <w:lang w:val="en-US"/>
        </w:rPr>
        <w:t xml:space="preserve">All data were obtained from the </w:t>
      </w:r>
      <w:r w:rsidR="006A7E1F" w:rsidRPr="001A4A7B">
        <w:rPr>
          <w:color w:val="000000" w:themeColor="text1"/>
          <w:lang w:val="en-US"/>
        </w:rPr>
        <w:t>US</w:t>
      </w:r>
      <w:r w:rsidR="0084067F" w:rsidRPr="001A4A7B">
        <w:rPr>
          <w:color w:val="000000" w:themeColor="text1"/>
          <w:lang w:val="en-US"/>
        </w:rPr>
        <w:t xml:space="preserve"> Energy Information Administration (EIA)</w:t>
      </w:r>
      <w:r w:rsidR="0084067F" w:rsidRPr="001A4A7B">
        <w:rPr>
          <w:color w:val="000000" w:themeColor="text1"/>
          <w:vertAlign w:val="superscript"/>
        </w:rPr>
        <w:footnoteReference w:id="5"/>
      </w:r>
      <w:r w:rsidR="000353EE" w:rsidRPr="001A4A7B">
        <w:rPr>
          <w:color w:val="000000" w:themeColor="text1"/>
          <w:lang w:val="en-US"/>
        </w:rPr>
        <w:t xml:space="preserve">, </w:t>
      </w:r>
      <w:r w:rsidR="0084067F" w:rsidRPr="001A4A7B">
        <w:rPr>
          <w:color w:val="000000" w:themeColor="text1"/>
          <w:lang w:val="en-US"/>
        </w:rPr>
        <w:t xml:space="preserve">and each series </w:t>
      </w:r>
      <w:r w:rsidR="000353EE" w:rsidRPr="001A4A7B">
        <w:rPr>
          <w:color w:val="000000" w:themeColor="text1"/>
          <w:lang w:val="en-US"/>
        </w:rPr>
        <w:t>covers a period spanning</w:t>
      </w:r>
      <w:r w:rsidR="0084067F" w:rsidRPr="001A4A7B">
        <w:rPr>
          <w:color w:val="000000" w:themeColor="text1"/>
          <w:lang w:val="en-US"/>
        </w:rPr>
        <w:t xml:space="preserve"> from June 16th 2006 to </w:t>
      </w:r>
      <w:r w:rsidR="00445AAA" w:rsidRPr="001A4A7B">
        <w:rPr>
          <w:color w:val="000000" w:themeColor="text1"/>
          <w:lang w:val="en-US"/>
        </w:rPr>
        <w:t>August</w:t>
      </w:r>
      <w:r w:rsidR="00275053" w:rsidRPr="001A4A7B">
        <w:rPr>
          <w:color w:val="000000" w:themeColor="text1"/>
          <w:lang w:val="en-US"/>
        </w:rPr>
        <w:t xml:space="preserve"> 1</w:t>
      </w:r>
      <w:r w:rsidR="00445AAA" w:rsidRPr="001A4A7B">
        <w:rPr>
          <w:color w:val="000000" w:themeColor="text1"/>
          <w:lang w:val="en-US"/>
        </w:rPr>
        <w:t>2</w:t>
      </w:r>
      <w:r w:rsidR="00275053" w:rsidRPr="001A4A7B">
        <w:rPr>
          <w:color w:val="000000" w:themeColor="text1"/>
          <w:lang w:val="en-US"/>
        </w:rPr>
        <w:t xml:space="preserve">th </w:t>
      </w:r>
      <w:r w:rsidR="0084067F" w:rsidRPr="001A4A7B">
        <w:rPr>
          <w:color w:val="000000" w:themeColor="text1"/>
          <w:lang w:val="en-US"/>
        </w:rPr>
        <w:t>202</w:t>
      </w:r>
      <w:r w:rsidR="00275053" w:rsidRPr="001A4A7B">
        <w:rPr>
          <w:color w:val="000000" w:themeColor="text1"/>
          <w:lang w:val="en-US"/>
        </w:rPr>
        <w:t>2</w:t>
      </w:r>
      <w:r w:rsidR="0084067F" w:rsidRPr="001A4A7B">
        <w:rPr>
          <w:color w:val="000000" w:themeColor="text1"/>
          <w:lang w:val="en-US"/>
        </w:rPr>
        <w:t xml:space="preserve">, collecting </w:t>
      </w:r>
      <w:r w:rsidR="00275053" w:rsidRPr="001A4A7B">
        <w:rPr>
          <w:color w:val="000000" w:themeColor="text1"/>
          <w:lang w:val="en-US"/>
        </w:rPr>
        <w:t>8</w:t>
      </w:r>
      <w:r w:rsidR="00445AAA" w:rsidRPr="001A4A7B">
        <w:rPr>
          <w:color w:val="000000" w:themeColor="text1"/>
          <w:lang w:val="en-US"/>
        </w:rPr>
        <w:t>44</w:t>
      </w:r>
      <w:r w:rsidR="0084067F" w:rsidRPr="001A4A7B">
        <w:rPr>
          <w:color w:val="000000" w:themeColor="text1"/>
          <w:lang w:val="en-US"/>
        </w:rPr>
        <w:t xml:space="preserve"> observations </w:t>
      </w:r>
      <w:r w:rsidR="000353EE" w:rsidRPr="001A4A7B">
        <w:rPr>
          <w:color w:val="000000" w:themeColor="text1"/>
          <w:lang w:val="en-US"/>
        </w:rPr>
        <w:t>weekly</w:t>
      </w:r>
      <w:r w:rsidR="008C14FC" w:rsidRPr="001A4A7B">
        <w:rPr>
          <w:color w:val="000000" w:themeColor="text1"/>
          <w:lang w:val="en-US"/>
        </w:rPr>
        <w:t>.</w:t>
      </w:r>
      <w:r w:rsidR="00752592" w:rsidRPr="001A4A7B">
        <w:rPr>
          <w:color w:val="000000" w:themeColor="text1"/>
          <w:vertAlign w:val="superscript"/>
        </w:rPr>
        <w:footnoteReference w:id="6"/>
      </w:r>
      <w:r w:rsidR="002545F4" w:rsidRPr="001A4A7B">
        <w:rPr>
          <w:color w:val="000000" w:themeColor="text1"/>
          <w:lang w:val="en-US"/>
        </w:rPr>
        <w:t xml:space="preserve"> </w:t>
      </w:r>
      <w:r w:rsidR="00C00F62" w:rsidRPr="001A4A7B">
        <w:rPr>
          <w:color w:val="000000" w:themeColor="text1"/>
          <w:lang w:val="en-US"/>
        </w:rPr>
        <w:t xml:space="preserve">Regarding the dynamics of the data, Figure 1 plots the </w:t>
      </w:r>
      <w:r w:rsidR="000353EE" w:rsidRPr="001A4A7B">
        <w:rPr>
          <w:color w:val="000000" w:themeColor="text1"/>
          <w:lang w:val="en-US"/>
        </w:rPr>
        <w:t>behaviour</w:t>
      </w:r>
      <w:r w:rsidR="00C00F62" w:rsidRPr="001A4A7B">
        <w:rPr>
          <w:color w:val="000000" w:themeColor="text1"/>
          <w:lang w:val="en-US"/>
        </w:rPr>
        <w:t xml:space="preserve"> of the </w:t>
      </w:r>
      <w:r w:rsidR="00431617" w:rsidRPr="001A4A7B">
        <w:rPr>
          <w:color w:val="000000" w:themeColor="text1"/>
          <w:lang w:val="en-US"/>
        </w:rPr>
        <w:t>prices</w:t>
      </w:r>
      <w:r w:rsidR="00C00F62" w:rsidRPr="001A4A7B">
        <w:rPr>
          <w:color w:val="000000" w:themeColor="text1"/>
          <w:lang w:val="en-US"/>
        </w:rPr>
        <w:t xml:space="preserve"> over time. </w:t>
      </w:r>
      <w:r w:rsidR="000353EE" w:rsidRPr="001A4A7B">
        <w:rPr>
          <w:color w:val="000000" w:themeColor="text1"/>
          <w:lang w:val="en-US"/>
        </w:rPr>
        <w:t>It</w:t>
      </w:r>
      <w:r w:rsidR="00C00F62" w:rsidRPr="001A4A7B">
        <w:rPr>
          <w:color w:val="000000" w:themeColor="text1"/>
          <w:lang w:val="en-US"/>
        </w:rPr>
        <w:t xml:space="preserve"> is apparent that crude oil and its refined products </w:t>
      </w:r>
      <w:r w:rsidR="00431617" w:rsidRPr="001A4A7B">
        <w:rPr>
          <w:color w:val="000000" w:themeColor="text1"/>
          <w:lang w:val="en-US"/>
        </w:rPr>
        <w:t xml:space="preserve">prices </w:t>
      </w:r>
      <w:r w:rsidR="0005576F" w:rsidRPr="001A4A7B">
        <w:rPr>
          <w:color w:val="000000" w:themeColor="text1"/>
          <w:lang w:val="en-US"/>
        </w:rPr>
        <w:t>display</w:t>
      </w:r>
      <w:r w:rsidR="00C00F62" w:rsidRPr="001A4A7B">
        <w:rPr>
          <w:color w:val="000000" w:themeColor="text1"/>
          <w:lang w:val="en-US"/>
        </w:rPr>
        <w:t xml:space="preserve"> </w:t>
      </w:r>
      <w:r w:rsidR="0005576F" w:rsidRPr="001A4A7B">
        <w:rPr>
          <w:color w:val="000000" w:themeColor="text1"/>
          <w:lang w:val="en-US"/>
        </w:rPr>
        <w:t>a similar pattern</w:t>
      </w:r>
      <w:r w:rsidR="003A3685" w:rsidRPr="001A4A7B">
        <w:rPr>
          <w:color w:val="000000" w:themeColor="text1"/>
          <w:lang w:val="en-US"/>
        </w:rPr>
        <w:t xml:space="preserve">, explained by these products directly extracted from crude oil. </w:t>
      </w:r>
      <w:r w:rsidR="000877DB" w:rsidRPr="001A4A7B">
        <w:rPr>
          <w:color w:val="000000" w:themeColor="text1"/>
          <w:lang w:val="en-US"/>
        </w:rPr>
        <w:t>As we can see, those prices (both crude oil prices and refined products) follow a similar trend, which could suggest the existence of a long-run relationship. As previously mentioned in the literature review section, this view has been generally treated</w:t>
      </w:r>
      <w:r w:rsidR="000353EE" w:rsidRPr="001A4A7B">
        <w:rPr>
          <w:color w:val="000000" w:themeColor="text1"/>
          <w:lang w:val="en-US"/>
        </w:rPr>
        <w:t>. It exposes</w:t>
      </w:r>
      <w:r w:rsidR="000877DB" w:rsidRPr="001A4A7B">
        <w:rPr>
          <w:color w:val="000000" w:themeColor="text1"/>
          <w:lang w:val="en-US"/>
        </w:rPr>
        <w:t xml:space="preserve"> that a variation in refined products prices may be driven by a change in </w:t>
      </w:r>
      <w:r w:rsidR="000353EE" w:rsidRPr="001A4A7B">
        <w:rPr>
          <w:color w:val="000000" w:themeColor="text1"/>
          <w:lang w:val="en-US"/>
        </w:rPr>
        <w:t xml:space="preserve">the </w:t>
      </w:r>
      <w:r w:rsidR="000877DB" w:rsidRPr="001A4A7B">
        <w:rPr>
          <w:color w:val="000000" w:themeColor="text1"/>
          <w:lang w:val="en-US"/>
        </w:rPr>
        <w:t xml:space="preserve">crude oil price </w:t>
      </w:r>
      <w:r w:rsidR="00791C57" w:rsidRPr="001A4A7B">
        <w:rPr>
          <w:color w:val="000000" w:themeColor="text1"/>
          <w:lang w:val="en-US"/>
        </w:rPr>
        <w:t>(</w:t>
      </w:r>
      <w:r w:rsidR="000877DB" w:rsidRPr="001A4A7B">
        <w:rPr>
          <w:color w:val="000000" w:themeColor="text1"/>
          <w:lang w:val="en-US"/>
        </w:rPr>
        <w:t>Ederington et al.</w:t>
      </w:r>
      <w:r w:rsidR="00791C57" w:rsidRPr="001A4A7B">
        <w:rPr>
          <w:color w:val="000000" w:themeColor="text1"/>
          <w:lang w:val="en-US"/>
        </w:rPr>
        <w:t xml:space="preserve">, </w:t>
      </w:r>
      <w:r w:rsidR="000877DB" w:rsidRPr="001A4A7B">
        <w:rPr>
          <w:color w:val="000000" w:themeColor="text1"/>
          <w:lang w:val="en-US"/>
        </w:rPr>
        <w:t>2019).</w:t>
      </w:r>
    </w:p>
    <w:p w14:paraId="016B0999" w14:textId="77777777" w:rsidR="000A2C3C" w:rsidRPr="001A4A7B" w:rsidRDefault="000A2C3C" w:rsidP="00695EC4">
      <w:pPr>
        <w:jc w:val="both"/>
        <w:rPr>
          <w:color w:val="000000" w:themeColor="text1"/>
          <w:lang w:val="en-US"/>
        </w:rPr>
      </w:pPr>
    </w:p>
    <w:p w14:paraId="66F7ABAE" w14:textId="7119EFC1" w:rsidR="001C5EEA" w:rsidRPr="001A4A7B" w:rsidRDefault="001A43BC" w:rsidP="00695EC4">
      <w:pPr>
        <w:jc w:val="both"/>
        <w:rPr>
          <w:color w:val="000000" w:themeColor="text1"/>
          <w:sz w:val="20"/>
          <w:szCs w:val="20"/>
          <w:lang w:val="en-US"/>
        </w:rPr>
      </w:pPr>
      <w:r w:rsidRPr="001A4A7B">
        <w:rPr>
          <w:b/>
          <w:color w:val="000000" w:themeColor="text1"/>
          <w:sz w:val="20"/>
          <w:szCs w:val="20"/>
          <w:lang w:val="en-US"/>
        </w:rPr>
        <w:t>Figure 1.</w:t>
      </w:r>
      <w:r w:rsidRPr="001A4A7B">
        <w:rPr>
          <w:color w:val="000000" w:themeColor="text1"/>
          <w:sz w:val="20"/>
          <w:szCs w:val="20"/>
          <w:lang w:val="en-US"/>
        </w:rPr>
        <w:t xml:space="preserve"> </w:t>
      </w:r>
      <w:r w:rsidR="00431617" w:rsidRPr="001A4A7B">
        <w:rPr>
          <w:color w:val="000000" w:themeColor="text1"/>
          <w:sz w:val="20"/>
          <w:szCs w:val="20"/>
          <w:lang w:val="en-US"/>
        </w:rPr>
        <w:t>Crude oil and its refined products' price dynamics.</w:t>
      </w:r>
    </w:p>
    <w:p w14:paraId="215D98FE" w14:textId="328BA097" w:rsidR="003A2F85" w:rsidRPr="001A4A7B" w:rsidRDefault="004371B6" w:rsidP="003921E4">
      <w:pPr>
        <w:spacing w:line="281" w:lineRule="auto"/>
        <w:jc w:val="center"/>
        <w:rPr>
          <w:color w:val="000000" w:themeColor="text1"/>
          <w:lang w:val="en-US"/>
        </w:rPr>
      </w:pPr>
      <w:r w:rsidRPr="001A4A7B">
        <w:rPr>
          <w:noProof/>
          <w:color w:val="000000" w:themeColor="text1"/>
        </w:rPr>
        <w:drawing>
          <wp:inline distT="0" distB="0" distL="0" distR="0" wp14:anchorId="65BD87C3" wp14:editId="1770C356">
            <wp:extent cx="5359400" cy="2743200"/>
            <wp:effectExtent l="0" t="0" r="12700" b="12700"/>
            <wp:docPr id="1" name="Gráfico 1">
              <a:extLst xmlns:a="http://schemas.openxmlformats.org/drawingml/2006/main">
                <a:ext uri="{FF2B5EF4-FFF2-40B4-BE49-F238E27FC236}">
                  <a16:creationId xmlns:a16="http://schemas.microsoft.com/office/drawing/2014/main" id="{A182C463-1D06-4B25-3F78-603AF863356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19C9ED1" w14:textId="0861E897" w:rsidR="000A2C3C" w:rsidRPr="001A4A7B" w:rsidRDefault="000A2C3C" w:rsidP="003921E4">
      <w:pPr>
        <w:spacing w:line="281" w:lineRule="auto"/>
        <w:jc w:val="center"/>
        <w:rPr>
          <w:color w:val="000000" w:themeColor="text1"/>
          <w:sz w:val="20"/>
          <w:szCs w:val="20"/>
          <w:lang w:val="en-US"/>
        </w:rPr>
      </w:pPr>
      <w:r w:rsidRPr="001A4A7B">
        <w:rPr>
          <w:b/>
          <w:bCs/>
          <w:i/>
          <w:iCs/>
          <w:color w:val="000000" w:themeColor="text1"/>
          <w:sz w:val="20"/>
          <w:szCs w:val="20"/>
          <w:lang w:val="en-US"/>
        </w:rPr>
        <w:t>Notes:</w:t>
      </w:r>
      <w:r w:rsidRPr="001A4A7B">
        <w:rPr>
          <w:color w:val="000000" w:themeColor="text1"/>
          <w:sz w:val="20"/>
          <w:szCs w:val="20"/>
          <w:lang w:val="en-US"/>
        </w:rPr>
        <w:t xml:space="preserve"> Left-axis refers to dollars per Gallon for refined products and the right-axis refers to dollars per barrel for WTI crude oil.</w:t>
      </w:r>
    </w:p>
    <w:p w14:paraId="5BA2E400" w14:textId="77777777" w:rsidR="0084067F" w:rsidRPr="001A4A7B" w:rsidRDefault="0084067F" w:rsidP="007C111D">
      <w:pPr>
        <w:spacing w:line="281" w:lineRule="auto"/>
        <w:jc w:val="both"/>
        <w:rPr>
          <w:color w:val="000000" w:themeColor="text1"/>
          <w:lang w:val="en-US"/>
        </w:rPr>
      </w:pPr>
    </w:p>
    <w:p w14:paraId="27E2474E" w14:textId="7BEB7405" w:rsidR="0084067F" w:rsidRPr="001A4A7B" w:rsidRDefault="00691EE1" w:rsidP="007C111D">
      <w:pPr>
        <w:spacing w:line="281" w:lineRule="auto"/>
        <w:jc w:val="both"/>
        <w:rPr>
          <w:b/>
          <w:color w:val="000000" w:themeColor="text1"/>
          <w:lang w:val="en-US"/>
        </w:rPr>
      </w:pPr>
      <w:r w:rsidRPr="001A4A7B">
        <w:rPr>
          <w:b/>
          <w:color w:val="000000" w:themeColor="text1"/>
          <w:lang w:val="en-US"/>
        </w:rPr>
        <w:t>3.2 Methodology</w:t>
      </w:r>
    </w:p>
    <w:p w14:paraId="25D2085B" w14:textId="77777777" w:rsidR="00691EE1" w:rsidRPr="001A4A7B" w:rsidRDefault="00691EE1" w:rsidP="00691EE1">
      <w:pPr>
        <w:spacing w:line="281" w:lineRule="auto"/>
        <w:jc w:val="both"/>
        <w:rPr>
          <w:color w:val="000000" w:themeColor="text1"/>
          <w:lang w:val="en-US"/>
        </w:rPr>
      </w:pPr>
    </w:p>
    <w:p w14:paraId="054D8665" w14:textId="1C19BFC4" w:rsidR="002B2F1E" w:rsidRPr="001A4A7B" w:rsidRDefault="00D2537B" w:rsidP="002B2F1E">
      <w:pPr>
        <w:spacing w:line="281" w:lineRule="auto"/>
        <w:ind w:firstLine="284"/>
        <w:jc w:val="both"/>
        <w:rPr>
          <w:color w:val="000000" w:themeColor="text1"/>
          <w:lang w:val="en-US"/>
        </w:rPr>
      </w:pPr>
      <w:r w:rsidRPr="001A4A7B">
        <w:rPr>
          <w:color w:val="000000" w:themeColor="text1"/>
          <w:lang w:val="en-US"/>
        </w:rPr>
        <w:lastRenderedPageBreak/>
        <w:t>Traditionally, this topic has been studied by using the linear Granger causality (Granger, 1969). The purpose of this work is to check the possible existence (or not) of Granger causality relationships between the WTI crude oil and its refined products by using a set of econometric procedures to achieve more robust and comparable results, from asymmetric p</w:t>
      </w:r>
      <w:r w:rsidR="005D4AFA" w:rsidRPr="001A4A7B">
        <w:rPr>
          <w:color w:val="000000" w:themeColor="text1"/>
          <w:lang w:val="en-US"/>
        </w:rPr>
        <w:t>o</w:t>
      </w:r>
      <w:r w:rsidRPr="001A4A7B">
        <w:rPr>
          <w:color w:val="000000" w:themeColor="text1"/>
          <w:lang w:val="en-US"/>
        </w:rPr>
        <w:t xml:space="preserve">int of view. Firstly, we apply the methodology suggested by Hatemi-J (2012), which expands the model developed by Toda and Yamamoto (1995) to capture the behaviour of the whole US fuel market. The Toda and Yamamoto (1995) method and the Hatemi-J (2012) method focus on performing an asymmetric analysis that lets us examine the origin of the price formation, i.e., if the price is given by the demand or, otherwise, the supply. Those latter techniques are an extension of Toda and Yamamoto (1995). </w:t>
      </w:r>
    </w:p>
    <w:p w14:paraId="17CAD7A1" w14:textId="77777777" w:rsidR="002B2F1E" w:rsidRPr="001A4A7B" w:rsidRDefault="002B2F1E" w:rsidP="002B2F1E">
      <w:pPr>
        <w:spacing w:line="281" w:lineRule="auto"/>
        <w:ind w:firstLine="284"/>
        <w:jc w:val="both"/>
        <w:rPr>
          <w:color w:val="000000" w:themeColor="text1"/>
          <w:lang w:val="en-US"/>
        </w:rPr>
      </w:pPr>
    </w:p>
    <w:p w14:paraId="678645DC" w14:textId="32E072B0" w:rsidR="003A2F85" w:rsidRPr="001A4A7B" w:rsidRDefault="003A2F85" w:rsidP="002B2F1E">
      <w:pPr>
        <w:spacing w:line="281" w:lineRule="auto"/>
        <w:jc w:val="both"/>
        <w:rPr>
          <w:b/>
          <w:color w:val="000000" w:themeColor="text1"/>
          <w:lang w:val="en-US"/>
        </w:rPr>
      </w:pPr>
      <w:r w:rsidRPr="001A4A7B">
        <w:rPr>
          <w:b/>
          <w:color w:val="000000" w:themeColor="text1"/>
          <w:lang w:val="en-US"/>
        </w:rPr>
        <w:t xml:space="preserve">3.2.1 Granger causality, by </w:t>
      </w:r>
      <w:r w:rsidR="002B2F1E" w:rsidRPr="001A4A7B">
        <w:rPr>
          <w:b/>
          <w:color w:val="000000" w:themeColor="text1"/>
          <w:lang w:val="en-US"/>
        </w:rPr>
        <w:t>product</w:t>
      </w:r>
      <w:r w:rsidRPr="001A4A7B">
        <w:rPr>
          <w:b/>
          <w:color w:val="000000" w:themeColor="text1"/>
          <w:lang w:val="en-US"/>
        </w:rPr>
        <w:t xml:space="preserve">: </w:t>
      </w:r>
      <w:r w:rsidRPr="001A4A7B">
        <w:rPr>
          <w:b/>
          <w:i/>
          <w:color w:val="000000" w:themeColor="text1"/>
          <w:lang w:val="en-US"/>
        </w:rPr>
        <w:t>Toda-Yamamoto test.</w:t>
      </w:r>
    </w:p>
    <w:p w14:paraId="25330874" w14:textId="59B4BB1B" w:rsidR="003A2F85" w:rsidRPr="001A4A7B" w:rsidRDefault="00D2537B" w:rsidP="00B842BE">
      <w:pPr>
        <w:spacing w:before="120" w:line="288" w:lineRule="auto"/>
        <w:ind w:firstLine="284"/>
        <w:jc w:val="both"/>
        <w:rPr>
          <w:color w:val="000000" w:themeColor="text1"/>
          <w:lang w:val="en-US"/>
        </w:rPr>
      </w:pPr>
      <w:r w:rsidRPr="001A4A7B">
        <w:rPr>
          <w:color w:val="000000" w:themeColor="text1"/>
          <w:lang w:val="en-US"/>
        </w:rPr>
        <w:t>In the literature, one of the most common methods for testing the causality effects between different variables is the Granger causality method based on the estimation of VAR models. The method developed by Toda and Yamamoto (1995) measures causality by solving problems derived from cointegrating relationships and non-stationary series. Delving into the relationship suggested, we follow the Toda-Yamamoto causality approach as an enlarged form of the Granger causality test based on augmented-VAR models in levels and extra lags, providing more efficient and robust results than the standard VAR model because it may provide biased results with finite samples (see Johansen and Juselius, 1990; Zapata and Rambaldi, 1997; Maddala and Kim, 1998; Pesaran et al., 2001; and Clarke and Mirza, 2006). The core advantage of this test is the possibility of being applied regardless of whether the series are or are not cointegrated. In the case of cointegration, the order of integration is not crucial. In this exercise, a bivariate model including the West Texas Intermediate crude oil and each refined product price are examined. Thus, we can describe the benchmark model for this test:</w:t>
      </w:r>
    </w:p>
    <w:p w14:paraId="31D80376" w14:textId="13D1DA02" w:rsidR="003A2F85" w:rsidRPr="001A4A7B" w:rsidRDefault="00000000" w:rsidP="008C50E2">
      <w:pPr>
        <w:spacing w:before="120" w:line="288" w:lineRule="auto"/>
        <w:ind w:firstLine="567"/>
        <w:jc w:val="both"/>
        <w:rPr>
          <w:color w:val="000000" w:themeColor="text1"/>
          <w:sz w:val="20"/>
          <w:szCs w:val="20"/>
          <w:lang w:val="en-US"/>
        </w:rPr>
      </w:pPr>
      <m:oMathPara>
        <m:oMathParaPr>
          <m:jc m:val="left"/>
        </m:oMathParaPr>
        <m:oMath>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WTI</m:t>
              </m:r>
            </m:e>
            <m:sub>
              <m:r>
                <w:rPr>
                  <w:rFonts w:ascii="Cambria Math" w:hAnsi="Cambria Math"/>
                  <w:color w:val="000000" w:themeColor="text1"/>
                  <w:sz w:val="20"/>
                  <w:szCs w:val="20"/>
                  <w:lang w:val="en-US"/>
                </w:rPr>
                <m:t>t</m:t>
              </m:r>
            </m:sub>
          </m:sSub>
          <m:r>
            <w:rPr>
              <w:rFonts w:ascii="Cambria Math" w:hAnsi="Cambria Math"/>
              <w:color w:val="000000" w:themeColor="text1"/>
              <w:sz w:val="20"/>
              <w:szCs w:val="20"/>
              <w:lang w:val="en-US"/>
            </w:rPr>
            <m:t>=</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α</m:t>
              </m:r>
            </m:e>
            <m:sub>
              <m:r>
                <w:rPr>
                  <w:rFonts w:ascii="Cambria Math" w:hAnsi="Cambria Math"/>
                  <w:color w:val="000000" w:themeColor="text1"/>
                  <w:sz w:val="20"/>
                  <w:szCs w:val="20"/>
                  <w:lang w:val="en-US"/>
                </w:rPr>
                <m:t>1</m:t>
              </m:r>
            </m:sub>
          </m:sSub>
          <m:r>
            <w:rPr>
              <w:rFonts w:ascii="Cambria Math" w:hAnsi="Cambria Math"/>
              <w:color w:val="000000" w:themeColor="text1"/>
              <w:sz w:val="20"/>
              <w:szCs w:val="20"/>
              <w:lang w:val="en-US"/>
            </w:rPr>
            <m:t xml:space="preserve">+ </m:t>
          </m:r>
          <m:nary>
            <m:naryPr>
              <m:chr m:val="∑"/>
              <m:limLoc m:val="undOvr"/>
              <m:ctrlPr>
                <w:rPr>
                  <w:rFonts w:ascii="Cambria Math" w:hAnsi="Cambria Math"/>
                  <w:i/>
                  <w:color w:val="000000" w:themeColor="text1"/>
                  <w:sz w:val="20"/>
                  <w:szCs w:val="20"/>
                  <w:lang w:val="en-US"/>
                </w:rPr>
              </m:ctrlPr>
            </m:naryPr>
            <m:sub>
              <m:r>
                <w:rPr>
                  <w:rFonts w:ascii="Cambria Math" w:hAnsi="Cambria Math"/>
                  <w:color w:val="000000" w:themeColor="text1"/>
                  <w:sz w:val="20"/>
                  <w:szCs w:val="20"/>
                  <w:lang w:val="en-US"/>
                </w:rPr>
                <m:t>i=1</m:t>
              </m:r>
            </m:sub>
            <m:sup>
              <m:r>
                <w:rPr>
                  <w:rFonts w:ascii="Cambria Math" w:hAnsi="Cambria Math"/>
                  <w:color w:val="000000" w:themeColor="text1"/>
                  <w:sz w:val="20"/>
                  <w:szCs w:val="20"/>
                  <w:lang w:val="en-US"/>
                </w:rPr>
                <m:t>l+</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d</m:t>
                  </m:r>
                </m:e>
                <m:sub>
                  <m:r>
                    <w:rPr>
                      <w:rFonts w:ascii="Cambria Math" w:hAnsi="Cambria Math"/>
                      <w:color w:val="000000" w:themeColor="text1"/>
                      <w:sz w:val="20"/>
                      <w:szCs w:val="20"/>
                      <w:lang w:val="en-US"/>
                    </w:rPr>
                    <m:t>max</m:t>
                  </m:r>
                </m:sub>
              </m:sSub>
            </m:sup>
            <m:e>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β</m:t>
                  </m:r>
                </m:e>
                <m:sub>
                  <m:r>
                    <w:rPr>
                      <w:rFonts w:ascii="Cambria Math" w:hAnsi="Cambria Math"/>
                      <w:color w:val="000000" w:themeColor="text1"/>
                      <w:sz w:val="20"/>
                      <w:szCs w:val="20"/>
                      <w:lang w:val="en-US"/>
                    </w:rPr>
                    <m:t>1i</m:t>
                  </m:r>
                </m:sub>
              </m:sSub>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 xml:space="preserve"> WTI</m:t>
                  </m:r>
                </m:e>
                <m:sub>
                  <m:r>
                    <w:rPr>
                      <w:rFonts w:ascii="Cambria Math" w:hAnsi="Cambria Math"/>
                      <w:color w:val="000000" w:themeColor="text1"/>
                      <w:sz w:val="20"/>
                      <w:szCs w:val="20"/>
                      <w:lang w:val="en-US"/>
                    </w:rPr>
                    <m:t>t-i</m:t>
                  </m:r>
                </m:sub>
              </m:sSub>
              <m:r>
                <w:rPr>
                  <w:rFonts w:ascii="Cambria Math" w:hAnsi="Cambria Math"/>
                  <w:color w:val="000000" w:themeColor="text1"/>
                  <w:sz w:val="20"/>
                  <w:szCs w:val="20"/>
                  <w:lang w:val="en-US"/>
                </w:rPr>
                <m:t>+</m:t>
              </m:r>
            </m:e>
          </m:nary>
          <m:nary>
            <m:naryPr>
              <m:chr m:val="∑"/>
              <m:limLoc m:val="undOvr"/>
              <m:ctrlPr>
                <w:rPr>
                  <w:rFonts w:ascii="Cambria Math" w:hAnsi="Cambria Math"/>
                  <w:i/>
                  <w:color w:val="000000" w:themeColor="text1"/>
                  <w:sz w:val="20"/>
                  <w:szCs w:val="20"/>
                  <w:lang w:val="en-US"/>
                </w:rPr>
              </m:ctrlPr>
            </m:naryPr>
            <m:sub>
              <m:r>
                <w:rPr>
                  <w:rFonts w:ascii="Cambria Math" w:hAnsi="Cambria Math"/>
                  <w:color w:val="000000" w:themeColor="text1"/>
                  <w:sz w:val="20"/>
                  <w:szCs w:val="20"/>
                  <w:lang w:val="en-US"/>
                </w:rPr>
                <m:t>j=1</m:t>
              </m:r>
            </m:sub>
            <m:sup>
              <m:r>
                <w:rPr>
                  <w:rFonts w:ascii="Cambria Math" w:hAnsi="Cambria Math"/>
                  <w:color w:val="000000" w:themeColor="text1"/>
                  <w:sz w:val="20"/>
                  <w:szCs w:val="20"/>
                  <w:lang w:val="en-US"/>
                </w:rPr>
                <m:t>l+</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d</m:t>
                  </m:r>
                </m:e>
                <m:sub>
                  <m:r>
                    <w:rPr>
                      <w:rFonts w:ascii="Cambria Math" w:hAnsi="Cambria Math"/>
                      <w:color w:val="000000" w:themeColor="text1"/>
                      <w:sz w:val="20"/>
                      <w:szCs w:val="20"/>
                      <w:lang w:val="en-US"/>
                    </w:rPr>
                    <m:t>max</m:t>
                  </m:r>
                </m:sub>
              </m:sSub>
            </m:sup>
            <m:e>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γ</m:t>
                  </m:r>
                </m:e>
                <m:sub>
                  <m:r>
                    <w:rPr>
                      <w:rFonts w:ascii="Cambria Math" w:hAnsi="Cambria Math"/>
                      <w:color w:val="000000" w:themeColor="text1"/>
                      <w:sz w:val="20"/>
                      <w:szCs w:val="20"/>
                      <w:lang w:val="en-US"/>
                    </w:rPr>
                    <m:t>1j</m:t>
                  </m:r>
                </m:sub>
              </m:sSub>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 xml:space="preserve"> refined product</m:t>
                  </m:r>
                </m:e>
                <m:sub>
                  <m:r>
                    <w:rPr>
                      <w:rFonts w:ascii="Cambria Math" w:hAnsi="Cambria Math"/>
                      <w:color w:val="000000" w:themeColor="text1"/>
                      <w:sz w:val="20"/>
                      <w:szCs w:val="20"/>
                      <w:lang w:val="en-US"/>
                    </w:rPr>
                    <m:t>t-j</m:t>
                  </m:r>
                </m:sub>
              </m:sSub>
              <m:r>
                <w:rPr>
                  <w:rFonts w:ascii="Cambria Math" w:hAnsi="Cambria Math"/>
                  <w:color w:val="000000" w:themeColor="text1"/>
                  <w:sz w:val="20"/>
                  <w:szCs w:val="20"/>
                  <w:lang w:val="en-US"/>
                </w:rPr>
                <m:t>+</m:t>
              </m:r>
            </m:e>
          </m:nary>
          <m:r>
            <w:rPr>
              <w:rFonts w:ascii="Cambria Math" w:hAnsi="Cambria Math"/>
              <w:color w:val="000000" w:themeColor="text1"/>
              <w:sz w:val="20"/>
              <w:szCs w:val="20"/>
              <w:lang w:val="en-US"/>
            </w:rPr>
            <m:t xml:space="preserve">  </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1t</m:t>
              </m:r>
            </m:sub>
          </m:sSub>
          <m:r>
            <w:rPr>
              <w:rFonts w:ascii="Cambria Math" w:hAnsi="Cambria Math"/>
              <w:color w:val="000000" w:themeColor="text1"/>
              <w:sz w:val="20"/>
              <w:szCs w:val="20"/>
              <w:lang w:val="en-US"/>
            </w:rPr>
            <m:t xml:space="preserve">                                                </m:t>
          </m:r>
          <m:d>
            <m:dPr>
              <m:ctrlPr>
                <w:rPr>
                  <w:rFonts w:ascii="Cambria Math" w:hAnsi="Cambria Math"/>
                  <w:i/>
                  <w:color w:val="000000" w:themeColor="text1"/>
                  <w:sz w:val="20"/>
                  <w:szCs w:val="20"/>
                  <w:lang w:val="en-US"/>
                </w:rPr>
              </m:ctrlPr>
            </m:dPr>
            <m:e>
              <m:r>
                <w:rPr>
                  <w:rFonts w:ascii="Cambria Math" w:hAnsi="Cambria Math"/>
                  <w:color w:val="000000" w:themeColor="text1"/>
                  <w:sz w:val="20"/>
                  <w:szCs w:val="20"/>
                  <w:lang w:val="en-US"/>
                </w:rPr>
                <m:t>1</m:t>
              </m:r>
            </m:e>
          </m:d>
        </m:oMath>
      </m:oMathPara>
    </w:p>
    <w:p w14:paraId="47099DFC" w14:textId="6A3EF71B" w:rsidR="003A2F85" w:rsidRPr="001A4A7B" w:rsidRDefault="00000000" w:rsidP="008C50E2">
      <w:pPr>
        <w:spacing w:line="288" w:lineRule="auto"/>
        <w:ind w:firstLine="567"/>
        <w:jc w:val="both"/>
        <w:rPr>
          <w:color w:val="000000" w:themeColor="text1"/>
          <w:lang w:val="en-US"/>
        </w:rPr>
      </w:pPr>
      <m:oMathPara>
        <m:oMath>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refined products</m:t>
              </m:r>
            </m:e>
            <m:sub>
              <m:r>
                <w:rPr>
                  <w:rFonts w:ascii="Cambria Math" w:hAnsi="Cambria Math"/>
                  <w:color w:val="000000" w:themeColor="text1"/>
                  <w:sz w:val="20"/>
                  <w:szCs w:val="20"/>
                  <w:lang w:val="en-US"/>
                </w:rPr>
                <m:t>t</m:t>
              </m:r>
            </m:sub>
          </m:sSub>
          <m:r>
            <w:rPr>
              <w:rFonts w:ascii="Cambria Math" w:hAnsi="Cambria Math"/>
              <w:color w:val="000000" w:themeColor="text1"/>
              <w:sz w:val="20"/>
              <w:szCs w:val="20"/>
              <w:lang w:val="en-US"/>
            </w:rPr>
            <m:t>=</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α</m:t>
              </m:r>
            </m:e>
            <m:sub>
              <m:r>
                <w:rPr>
                  <w:rFonts w:ascii="Cambria Math" w:hAnsi="Cambria Math"/>
                  <w:color w:val="000000" w:themeColor="text1"/>
                  <w:sz w:val="20"/>
                  <w:szCs w:val="20"/>
                  <w:lang w:val="en-US"/>
                </w:rPr>
                <m:t>2</m:t>
              </m:r>
            </m:sub>
          </m:sSub>
          <m:r>
            <w:rPr>
              <w:rFonts w:ascii="Cambria Math" w:hAnsi="Cambria Math"/>
              <w:color w:val="000000" w:themeColor="text1"/>
              <w:sz w:val="20"/>
              <w:szCs w:val="20"/>
              <w:lang w:val="en-US"/>
            </w:rPr>
            <m:t xml:space="preserve">+ </m:t>
          </m:r>
          <m:nary>
            <m:naryPr>
              <m:chr m:val="∑"/>
              <m:limLoc m:val="undOvr"/>
              <m:ctrlPr>
                <w:rPr>
                  <w:rFonts w:ascii="Cambria Math" w:hAnsi="Cambria Math"/>
                  <w:i/>
                  <w:color w:val="000000" w:themeColor="text1"/>
                  <w:sz w:val="20"/>
                  <w:szCs w:val="20"/>
                  <w:lang w:val="en-US"/>
                </w:rPr>
              </m:ctrlPr>
            </m:naryPr>
            <m:sub>
              <m:r>
                <w:rPr>
                  <w:rFonts w:ascii="Cambria Math" w:hAnsi="Cambria Math"/>
                  <w:color w:val="000000" w:themeColor="text1"/>
                  <w:sz w:val="20"/>
                  <w:szCs w:val="20"/>
                  <w:lang w:val="en-US"/>
                </w:rPr>
                <m:t>i=1</m:t>
              </m:r>
            </m:sub>
            <m:sup>
              <m:r>
                <w:rPr>
                  <w:rFonts w:ascii="Cambria Math" w:hAnsi="Cambria Math"/>
                  <w:color w:val="000000" w:themeColor="text1"/>
                  <w:sz w:val="20"/>
                  <w:szCs w:val="20"/>
                  <w:lang w:val="en-US"/>
                </w:rPr>
                <m:t>l+</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d</m:t>
                  </m:r>
                </m:e>
                <m:sub>
                  <m:r>
                    <w:rPr>
                      <w:rFonts w:ascii="Cambria Math" w:hAnsi="Cambria Math"/>
                      <w:color w:val="000000" w:themeColor="text1"/>
                      <w:sz w:val="20"/>
                      <w:szCs w:val="20"/>
                      <w:lang w:val="en-US"/>
                    </w:rPr>
                    <m:t>max</m:t>
                  </m:r>
                </m:sub>
              </m:sSub>
            </m:sup>
            <m:e>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β</m:t>
                  </m:r>
                </m:e>
                <m:sub>
                  <m:r>
                    <w:rPr>
                      <w:rFonts w:ascii="Cambria Math" w:hAnsi="Cambria Math"/>
                      <w:color w:val="000000" w:themeColor="text1"/>
                      <w:sz w:val="20"/>
                      <w:szCs w:val="20"/>
                      <w:lang w:val="en-US"/>
                    </w:rPr>
                    <m:t>2i</m:t>
                  </m:r>
                </m:sub>
              </m:sSub>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 xml:space="preserve"> refined produt</m:t>
                  </m:r>
                </m:e>
                <m:sub>
                  <m:r>
                    <w:rPr>
                      <w:rFonts w:ascii="Cambria Math" w:hAnsi="Cambria Math"/>
                      <w:color w:val="000000" w:themeColor="text1"/>
                      <w:sz w:val="20"/>
                      <w:szCs w:val="20"/>
                      <w:lang w:val="en-US"/>
                    </w:rPr>
                    <m:t>t-i</m:t>
                  </m:r>
                </m:sub>
              </m:sSub>
              <m:r>
                <w:rPr>
                  <w:rFonts w:ascii="Cambria Math" w:hAnsi="Cambria Math"/>
                  <w:color w:val="000000" w:themeColor="text1"/>
                  <w:sz w:val="20"/>
                  <w:szCs w:val="20"/>
                  <w:lang w:val="en-US"/>
                </w:rPr>
                <m:t>+</m:t>
              </m:r>
            </m:e>
          </m:nary>
          <m:nary>
            <m:naryPr>
              <m:chr m:val="∑"/>
              <m:limLoc m:val="undOvr"/>
              <m:ctrlPr>
                <w:rPr>
                  <w:rFonts w:ascii="Cambria Math" w:hAnsi="Cambria Math"/>
                  <w:i/>
                  <w:color w:val="000000" w:themeColor="text1"/>
                  <w:sz w:val="20"/>
                  <w:szCs w:val="20"/>
                  <w:lang w:val="en-US"/>
                </w:rPr>
              </m:ctrlPr>
            </m:naryPr>
            <m:sub>
              <m:r>
                <w:rPr>
                  <w:rFonts w:ascii="Cambria Math" w:hAnsi="Cambria Math"/>
                  <w:color w:val="000000" w:themeColor="text1"/>
                  <w:sz w:val="20"/>
                  <w:szCs w:val="20"/>
                  <w:lang w:val="en-US"/>
                </w:rPr>
                <m:t>j=1</m:t>
              </m:r>
            </m:sub>
            <m:sup>
              <m:r>
                <w:rPr>
                  <w:rFonts w:ascii="Cambria Math" w:hAnsi="Cambria Math"/>
                  <w:color w:val="000000" w:themeColor="text1"/>
                  <w:sz w:val="20"/>
                  <w:szCs w:val="20"/>
                  <w:lang w:val="en-US"/>
                </w:rPr>
                <m:t>l+</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d</m:t>
                  </m:r>
                </m:e>
                <m:sub>
                  <m:r>
                    <w:rPr>
                      <w:rFonts w:ascii="Cambria Math" w:hAnsi="Cambria Math"/>
                      <w:color w:val="000000" w:themeColor="text1"/>
                      <w:sz w:val="20"/>
                      <w:szCs w:val="20"/>
                      <w:lang w:val="en-US"/>
                    </w:rPr>
                    <m:t>max</m:t>
                  </m:r>
                </m:sub>
              </m:sSub>
            </m:sup>
            <m:e>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γ</m:t>
                  </m:r>
                </m:e>
                <m:sub>
                  <m:r>
                    <w:rPr>
                      <w:rFonts w:ascii="Cambria Math" w:hAnsi="Cambria Math"/>
                      <w:color w:val="000000" w:themeColor="text1"/>
                      <w:sz w:val="20"/>
                      <w:szCs w:val="20"/>
                      <w:lang w:val="en-US"/>
                    </w:rPr>
                    <m:t>2j</m:t>
                  </m:r>
                </m:sub>
              </m:sSub>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 xml:space="preserve"> WTI</m:t>
                  </m:r>
                </m:e>
                <m:sub>
                  <m:r>
                    <w:rPr>
                      <w:rFonts w:ascii="Cambria Math" w:hAnsi="Cambria Math"/>
                      <w:color w:val="000000" w:themeColor="text1"/>
                      <w:sz w:val="20"/>
                      <w:szCs w:val="20"/>
                      <w:lang w:val="en-US"/>
                    </w:rPr>
                    <m:t>t-j</m:t>
                  </m:r>
                </m:sub>
              </m:sSub>
              <m:r>
                <w:rPr>
                  <w:rFonts w:ascii="Cambria Math" w:hAnsi="Cambria Math"/>
                  <w:color w:val="000000" w:themeColor="text1"/>
                  <w:sz w:val="20"/>
                  <w:szCs w:val="20"/>
                  <w:lang w:val="en-US"/>
                </w:rPr>
                <m:t>+</m:t>
              </m:r>
            </m:e>
          </m:nary>
          <m:r>
            <w:rPr>
              <w:rFonts w:ascii="Cambria Math" w:hAnsi="Cambria Math"/>
              <w:color w:val="000000" w:themeColor="text1"/>
              <w:sz w:val="20"/>
              <w:szCs w:val="20"/>
              <w:lang w:val="en-US"/>
            </w:rPr>
            <m:t xml:space="preserve">  </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2t</m:t>
              </m:r>
            </m:sub>
          </m:sSub>
          <m:r>
            <w:rPr>
              <w:rFonts w:ascii="Cambria Math" w:hAnsi="Cambria Math"/>
              <w:color w:val="000000" w:themeColor="text1"/>
              <w:sz w:val="20"/>
              <w:szCs w:val="20"/>
              <w:lang w:val="en-US"/>
            </w:rPr>
            <m:t xml:space="preserve">                     </m:t>
          </m:r>
          <m:d>
            <m:dPr>
              <m:ctrlPr>
                <w:rPr>
                  <w:rFonts w:ascii="Cambria Math" w:hAnsi="Cambria Math"/>
                  <w:i/>
                  <w:color w:val="000000" w:themeColor="text1"/>
                  <w:sz w:val="20"/>
                  <w:szCs w:val="20"/>
                  <w:lang w:val="en-US"/>
                </w:rPr>
              </m:ctrlPr>
            </m:dPr>
            <m:e>
              <m:r>
                <w:rPr>
                  <w:rFonts w:ascii="Cambria Math" w:hAnsi="Cambria Math"/>
                  <w:color w:val="000000" w:themeColor="text1"/>
                  <w:sz w:val="20"/>
                  <w:szCs w:val="20"/>
                  <w:lang w:val="en-US"/>
                </w:rPr>
                <m:t>2</m:t>
              </m:r>
            </m:e>
          </m:d>
        </m:oMath>
      </m:oMathPara>
    </w:p>
    <w:p w14:paraId="56FE9766" w14:textId="636FA4B5" w:rsidR="003A2F85" w:rsidRPr="001A4A7B" w:rsidRDefault="003A2F85" w:rsidP="00B842BE">
      <w:pPr>
        <w:spacing w:line="288" w:lineRule="auto"/>
        <w:jc w:val="both"/>
        <w:rPr>
          <w:color w:val="000000" w:themeColor="text1"/>
          <w:lang w:val="en-US"/>
        </w:rPr>
      </w:pPr>
      <w:r w:rsidRPr="001A4A7B">
        <w:rPr>
          <w:color w:val="000000" w:themeColor="text1"/>
          <w:lang w:val="en-US"/>
        </w:rPr>
        <w:t xml:space="preserve">where </w:t>
      </w:r>
      <m:oMath>
        <m:r>
          <w:rPr>
            <w:rFonts w:ascii="Cambria Math" w:hAnsi="Cambria Math"/>
            <w:color w:val="000000" w:themeColor="text1"/>
            <w:lang w:val="en-US"/>
          </w:rPr>
          <m:t>l</m:t>
        </m:r>
      </m:oMath>
      <w:r w:rsidRPr="001A4A7B">
        <w:rPr>
          <w:color w:val="000000" w:themeColor="text1"/>
          <w:lang w:val="en-US"/>
        </w:rPr>
        <w:t xml:space="preserve"> </w:t>
      </w:r>
      <w:r w:rsidR="00CA468C" w:rsidRPr="001A4A7B">
        <w:rPr>
          <w:color w:val="000000" w:themeColor="text1"/>
          <w:lang w:val="en-US"/>
        </w:rPr>
        <w:t>is</w:t>
      </w:r>
      <w:r w:rsidRPr="001A4A7B">
        <w:rPr>
          <w:color w:val="000000" w:themeColor="text1"/>
          <w:lang w:val="en-US"/>
        </w:rPr>
        <w:t xml:space="preserve"> the optimal lag structure for the </w:t>
      </w:r>
      <w:r w:rsidRPr="001A4A7B">
        <w:rPr>
          <w:i/>
          <w:color w:val="000000" w:themeColor="text1"/>
          <w:lang w:val="en-US"/>
        </w:rPr>
        <w:t>VAR</w:t>
      </w:r>
      <w:r w:rsidRPr="001A4A7B">
        <w:rPr>
          <w:color w:val="000000" w:themeColor="text1"/>
          <w:lang w:val="en-US"/>
        </w:rPr>
        <w:t xml:space="preserve"> model according to the </w:t>
      </w:r>
      <w:r w:rsidR="00A33E8B" w:rsidRPr="001A4A7B">
        <w:rPr>
          <w:color w:val="000000" w:themeColor="text1"/>
          <w:lang w:val="en-US"/>
        </w:rPr>
        <w:t>Schwarz</w:t>
      </w:r>
      <w:r w:rsidRPr="001A4A7B">
        <w:rPr>
          <w:color w:val="000000" w:themeColor="text1"/>
          <w:lang w:val="en-US"/>
        </w:rPr>
        <w:t xml:space="preserve"> </w:t>
      </w:r>
      <w:r w:rsidR="000E6324" w:rsidRPr="001A4A7B">
        <w:rPr>
          <w:color w:val="000000" w:themeColor="text1"/>
          <w:lang w:val="en-US"/>
        </w:rPr>
        <w:t>Information Criterion (</w:t>
      </w:r>
      <w:r w:rsidR="00A33E8B" w:rsidRPr="001A4A7B">
        <w:rPr>
          <w:color w:val="000000" w:themeColor="text1"/>
          <w:lang w:val="en-US"/>
        </w:rPr>
        <w:t>S</w:t>
      </w:r>
      <w:r w:rsidRPr="001A4A7B">
        <w:rPr>
          <w:color w:val="000000" w:themeColor="text1"/>
          <w:lang w:val="en-US"/>
        </w:rPr>
        <w:t>IC);</w:t>
      </w:r>
      <w:r w:rsidR="00BB63CE" w:rsidRPr="001A4A7B">
        <w:rPr>
          <w:color w:val="000000" w:themeColor="text1"/>
          <w:lang w:val="en-US"/>
        </w:rPr>
        <w:t xml:space="preserve"> </w:t>
      </w:r>
      <m:oMath>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d</m:t>
            </m:r>
          </m:e>
          <m:sub>
            <m:r>
              <w:rPr>
                <w:rFonts w:ascii="Cambria Math" w:hAnsi="Cambria Math"/>
                <w:color w:val="000000" w:themeColor="text1"/>
                <w:sz w:val="20"/>
                <w:szCs w:val="20"/>
                <w:lang w:val="en-US"/>
              </w:rPr>
              <m:t>max</m:t>
            </m:r>
          </m:sub>
        </m:sSub>
      </m:oMath>
      <w:r w:rsidR="00D47DDB" w:rsidRPr="001A4A7B">
        <w:rPr>
          <w:color w:val="000000" w:themeColor="text1"/>
          <w:lang w:val="en-US"/>
        </w:rPr>
        <w:t xml:space="preserve">, </w:t>
      </w:r>
      <w:r w:rsidRPr="001A4A7B">
        <w:rPr>
          <w:color w:val="000000" w:themeColor="text1"/>
          <w:lang w:val="en-US"/>
        </w:rPr>
        <w:t>extra lagged explanatory variables</w:t>
      </w:r>
      <w:r w:rsidR="00D47DDB" w:rsidRPr="001A4A7B">
        <w:rPr>
          <w:color w:val="000000" w:themeColor="text1"/>
          <w:lang w:val="en-US"/>
        </w:rPr>
        <w:t>,</w:t>
      </w:r>
      <w:r w:rsidRPr="001A4A7B">
        <w:rPr>
          <w:color w:val="000000" w:themeColor="text1"/>
          <w:lang w:val="en-US"/>
        </w:rPr>
        <w:t xml:space="preserve"> </w:t>
      </w:r>
      <w:r w:rsidR="00D47DDB" w:rsidRPr="001A4A7B">
        <w:rPr>
          <w:color w:val="000000" w:themeColor="text1"/>
          <w:lang w:val="en-US"/>
        </w:rPr>
        <w:t>corresponds to</w:t>
      </w:r>
      <w:r w:rsidRPr="001A4A7B">
        <w:rPr>
          <w:color w:val="000000" w:themeColor="text1"/>
          <w:lang w:val="en-US"/>
        </w:rPr>
        <w:t xml:space="preserve"> the maximum order of integration for the variables considered in the model; and</w:t>
      </w:r>
      <w:r w:rsidR="00D47DDB" w:rsidRPr="001A4A7B">
        <w:rPr>
          <w:color w:val="000000" w:themeColor="text1"/>
          <w:lang w:val="en-US"/>
        </w:rPr>
        <w:t xml:space="preserve"> the error terms</w:t>
      </w:r>
      <w:r w:rsidRPr="001A4A7B">
        <w:rPr>
          <w:color w:val="000000" w:themeColor="text1"/>
          <w:lang w:val="en-US"/>
        </w:rPr>
        <w:t xml:space="preserve"> </w:t>
      </w:r>
      <m:oMath>
        <m:sSub>
          <m:sSubPr>
            <m:ctrlPr>
              <w:rPr>
                <w:rFonts w:ascii="Cambria Math" w:hAnsi="Cambria Math"/>
                <w:i/>
                <w:color w:val="000000" w:themeColor="text1"/>
                <w:lang w:val="en-US"/>
              </w:rPr>
            </m:ctrlPr>
          </m:sSubPr>
          <m:e>
            <m:r>
              <w:rPr>
                <w:rFonts w:ascii="Cambria Math" w:hAnsi="Cambria Math"/>
                <w:color w:val="000000" w:themeColor="text1"/>
                <w:lang w:val="en-US"/>
              </w:rPr>
              <m:t>ε</m:t>
            </m:r>
          </m:e>
          <m:sub>
            <m:r>
              <w:rPr>
                <w:rFonts w:ascii="Cambria Math" w:hAnsi="Cambria Math"/>
                <w:color w:val="000000" w:themeColor="text1"/>
                <w:lang w:val="en-US"/>
              </w:rPr>
              <m:t>1t</m:t>
            </m:r>
          </m:sub>
        </m:sSub>
        <m:r>
          <w:rPr>
            <w:rFonts w:ascii="Cambria Math" w:hAnsi="Cambria Math"/>
            <w:color w:val="000000" w:themeColor="text1"/>
            <w:lang w:val="en-US"/>
          </w:rPr>
          <m:t xml:space="preserve"> </m:t>
        </m:r>
      </m:oMath>
      <w:r w:rsidR="00BB63CE" w:rsidRPr="001A4A7B">
        <w:rPr>
          <w:color w:val="000000" w:themeColor="text1"/>
          <w:lang w:val="en-US"/>
        </w:rPr>
        <w:t>and</w:t>
      </w:r>
      <m:oMath>
        <m:r>
          <w:rPr>
            <w:rFonts w:ascii="Cambria Math" w:hAnsi="Cambria Math"/>
            <w:color w:val="000000" w:themeColor="text1"/>
            <w:lang w:val="en-US"/>
          </w:rPr>
          <m:t xml:space="preserve"> </m:t>
        </m:r>
        <m:sSub>
          <m:sSubPr>
            <m:ctrlPr>
              <w:rPr>
                <w:rFonts w:ascii="Cambria Math" w:hAnsi="Cambria Math"/>
                <w:i/>
                <w:color w:val="000000" w:themeColor="text1"/>
                <w:lang w:val="en-US"/>
              </w:rPr>
            </m:ctrlPr>
          </m:sSubPr>
          <m:e>
            <m:r>
              <w:rPr>
                <w:rFonts w:ascii="Cambria Math" w:hAnsi="Cambria Math"/>
                <w:color w:val="000000" w:themeColor="text1"/>
                <w:lang w:val="en-US"/>
              </w:rPr>
              <m:t>ε</m:t>
            </m:r>
          </m:e>
          <m:sub>
            <m:r>
              <w:rPr>
                <w:rFonts w:ascii="Cambria Math" w:hAnsi="Cambria Math"/>
                <w:color w:val="000000" w:themeColor="text1"/>
                <w:lang w:val="en-US"/>
              </w:rPr>
              <m:t>2t</m:t>
            </m:r>
          </m:sub>
        </m:sSub>
      </m:oMath>
      <w:r w:rsidR="00D47DDB" w:rsidRPr="001A4A7B">
        <w:rPr>
          <w:color w:val="000000" w:themeColor="text1"/>
          <w:lang w:val="en-US"/>
        </w:rPr>
        <w:t xml:space="preserve"> follow a</w:t>
      </w:r>
      <w:r w:rsidRPr="001A4A7B">
        <w:rPr>
          <w:color w:val="000000" w:themeColor="text1"/>
          <w:lang w:val="en-US"/>
        </w:rPr>
        <w:t xml:space="preserve"> Gaussian Distribut</w:t>
      </w:r>
      <w:r w:rsidR="00D47DDB" w:rsidRPr="001A4A7B">
        <w:rPr>
          <w:color w:val="000000" w:themeColor="text1"/>
          <w:lang w:val="en-US"/>
        </w:rPr>
        <w:t>ion</w:t>
      </w:r>
      <w:r w:rsidRPr="001A4A7B">
        <w:rPr>
          <w:color w:val="000000" w:themeColor="text1"/>
          <w:lang w:val="en-US"/>
        </w:rPr>
        <w:t xml:space="preserve"> and </w:t>
      </w:r>
      <w:r w:rsidR="00D47DDB" w:rsidRPr="001A4A7B">
        <w:rPr>
          <w:color w:val="000000" w:themeColor="text1"/>
          <w:lang w:val="en-US"/>
        </w:rPr>
        <w:t>are</w:t>
      </w:r>
      <w:r w:rsidRPr="001A4A7B">
        <w:rPr>
          <w:color w:val="000000" w:themeColor="text1"/>
          <w:lang w:val="en-US"/>
        </w:rPr>
        <w:t xml:space="preserve"> white noise processes. </w:t>
      </w:r>
      <w:r w:rsidR="00D47DDB" w:rsidRPr="001A4A7B">
        <w:rPr>
          <w:color w:val="000000" w:themeColor="text1"/>
          <w:lang w:val="en-US"/>
        </w:rPr>
        <w:t>Therefore</w:t>
      </w:r>
      <w:r w:rsidRPr="001A4A7B">
        <w:rPr>
          <w:color w:val="000000" w:themeColor="text1"/>
          <w:lang w:val="en-US"/>
        </w:rPr>
        <w:t xml:space="preserve">, this test estimates a </w:t>
      </w:r>
      <m:oMath>
        <m:r>
          <w:rPr>
            <w:rFonts w:ascii="Cambria Math" w:hAnsi="Cambria Math"/>
            <w:color w:val="000000" w:themeColor="text1"/>
            <w:sz w:val="20"/>
            <w:szCs w:val="20"/>
            <w:lang w:val="en-US"/>
          </w:rPr>
          <m:t>VAR (l+</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d</m:t>
            </m:r>
          </m:e>
          <m:sub>
            <m:r>
              <w:rPr>
                <w:rFonts w:ascii="Cambria Math" w:hAnsi="Cambria Math"/>
                <w:color w:val="000000" w:themeColor="text1"/>
                <w:sz w:val="20"/>
                <w:szCs w:val="20"/>
                <w:lang w:val="en-US"/>
              </w:rPr>
              <m:t>max</m:t>
            </m:r>
          </m:sub>
        </m:sSub>
      </m:oMath>
      <w:r w:rsidRPr="001A4A7B">
        <w:rPr>
          <w:color w:val="000000" w:themeColor="text1"/>
          <w:lang w:val="en-US"/>
        </w:rPr>
        <w:t xml:space="preserve">) model </w:t>
      </w:r>
      <w:r w:rsidR="00D47DDB" w:rsidRPr="001A4A7B">
        <w:rPr>
          <w:color w:val="000000" w:themeColor="text1"/>
          <w:lang w:val="en-US"/>
        </w:rPr>
        <w:t>employing</w:t>
      </w:r>
      <w:r w:rsidRPr="001A4A7B">
        <w:rPr>
          <w:color w:val="000000" w:themeColor="text1"/>
          <w:lang w:val="en-US"/>
        </w:rPr>
        <w:t xml:space="preserve"> a Modified Wald test (MWALD), which </w:t>
      </w:r>
      <w:r w:rsidR="00D47DDB" w:rsidRPr="001A4A7B">
        <w:rPr>
          <w:color w:val="000000" w:themeColor="text1"/>
          <w:lang w:val="en-US"/>
        </w:rPr>
        <w:t xml:space="preserve">is </w:t>
      </w:r>
      <w:r w:rsidRPr="001A4A7B">
        <w:rPr>
          <w:color w:val="000000" w:themeColor="text1"/>
          <w:lang w:val="en-US"/>
        </w:rPr>
        <w:t xml:space="preserve">statistically asymptotically distributed as a </w:t>
      </w:r>
      <m:oMath>
        <m:sSup>
          <m:sSupPr>
            <m:ctrlPr>
              <w:rPr>
                <w:rFonts w:ascii="Cambria Math" w:hAnsi="Cambria Math"/>
                <w:i/>
                <w:color w:val="000000" w:themeColor="text1"/>
                <w:lang w:val="en-US"/>
              </w:rPr>
            </m:ctrlPr>
          </m:sSupPr>
          <m:e>
            <m:r>
              <w:rPr>
                <w:rFonts w:ascii="Cambria Math" w:hAnsi="Cambria Math"/>
                <w:color w:val="000000" w:themeColor="text1"/>
                <w:lang w:val="en-US"/>
              </w:rPr>
              <m:t>χ</m:t>
            </m:r>
          </m:e>
          <m:sup>
            <m:r>
              <w:rPr>
                <w:rFonts w:ascii="Cambria Math" w:hAnsi="Cambria Math"/>
                <w:color w:val="000000" w:themeColor="text1"/>
                <w:lang w:val="en-US"/>
              </w:rPr>
              <m:t>2</m:t>
            </m:r>
          </m:sup>
        </m:sSup>
      </m:oMath>
      <w:r w:rsidR="00227EB5" w:rsidRPr="001A4A7B">
        <w:rPr>
          <w:color w:val="000000" w:themeColor="text1"/>
          <w:lang w:val="en-US"/>
        </w:rPr>
        <w:t xml:space="preserve"> </w:t>
      </w:r>
      <w:r w:rsidRPr="001A4A7B">
        <w:rPr>
          <w:color w:val="000000" w:themeColor="text1"/>
          <w:lang w:val="en-US"/>
        </w:rPr>
        <w:t xml:space="preserve">with </w:t>
      </w:r>
      <w:r w:rsidRPr="001A4A7B">
        <w:rPr>
          <w:i/>
          <w:color w:val="000000" w:themeColor="text1"/>
          <w:lang w:val="en-US"/>
        </w:rPr>
        <w:t>p</w:t>
      </w:r>
      <w:r w:rsidRPr="001A4A7B">
        <w:rPr>
          <w:color w:val="000000" w:themeColor="text1"/>
          <w:lang w:val="en-US"/>
        </w:rPr>
        <w:t xml:space="preserve"> degrees of freedom. </w:t>
      </w:r>
      <w:r w:rsidR="000A2C3C" w:rsidRPr="001A4A7B">
        <w:rPr>
          <w:color w:val="000000" w:themeColor="text1"/>
          <w:lang w:val="en-US"/>
        </w:rPr>
        <w:t xml:space="preserve">Furthermore, </w:t>
      </w:r>
      <m:oMath>
        <m:sSub>
          <m:sSubPr>
            <m:ctrlPr>
              <w:rPr>
                <w:rFonts w:ascii="Cambria Math" w:hAnsi="Cambria Math"/>
                <w:i/>
                <w:color w:val="000000" w:themeColor="text1"/>
                <w:sz w:val="22"/>
                <w:szCs w:val="22"/>
                <w:lang w:val="en-US"/>
              </w:rPr>
            </m:ctrlPr>
          </m:sSubPr>
          <m:e>
            <m:r>
              <w:rPr>
                <w:rFonts w:ascii="Cambria Math" w:hAnsi="Cambria Math"/>
                <w:color w:val="000000" w:themeColor="text1"/>
                <w:sz w:val="22"/>
                <w:szCs w:val="22"/>
                <w:lang w:val="en-US"/>
              </w:rPr>
              <m:t>α</m:t>
            </m:r>
          </m:e>
          <m:sub>
            <m:r>
              <w:rPr>
                <w:rFonts w:ascii="Cambria Math" w:hAnsi="Cambria Math"/>
                <w:color w:val="000000" w:themeColor="text1"/>
                <w:sz w:val="22"/>
                <w:szCs w:val="22"/>
                <w:lang w:val="en-US"/>
              </w:rPr>
              <m:t>i</m:t>
            </m:r>
          </m:sub>
        </m:sSub>
      </m:oMath>
      <w:r w:rsidR="000A2C3C" w:rsidRPr="001A4A7B">
        <w:rPr>
          <w:color w:val="000000" w:themeColor="text1"/>
          <w:lang w:val="en-US"/>
        </w:rPr>
        <w:t xml:space="preserve"> is the intercept and </w:t>
      </w:r>
      <m:oMath>
        <m:sSub>
          <m:sSubPr>
            <m:ctrlPr>
              <w:rPr>
                <w:rFonts w:ascii="Cambria Math" w:hAnsi="Cambria Math"/>
                <w:i/>
                <w:color w:val="000000" w:themeColor="text1"/>
                <w:sz w:val="22"/>
                <w:szCs w:val="22"/>
                <w:lang w:val="en-US"/>
              </w:rPr>
            </m:ctrlPr>
          </m:sSubPr>
          <m:e>
            <m:r>
              <w:rPr>
                <w:rFonts w:ascii="Cambria Math" w:hAnsi="Cambria Math"/>
                <w:color w:val="000000" w:themeColor="text1"/>
                <w:sz w:val="22"/>
                <w:szCs w:val="22"/>
                <w:lang w:val="en-US"/>
              </w:rPr>
              <m:t>β</m:t>
            </m:r>
          </m:e>
          <m:sub>
            <m:r>
              <w:rPr>
                <w:rFonts w:ascii="Cambria Math" w:hAnsi="Cambria Math"/>
                <w:color w:val="000000" w:themeColor="text1"/>
                <w:sz w:val="22"/>
                <w:szCs w:val="22"/>
                <w:lang w:val="en-US"/>
              </w:rPr>
              <m:t>ji</m:t>
            </m:r>
          </m:sub>
        </m:sSub>
      </m:oMath>
      <w:r w:rsidR="00C441D0" w:rsidRPr="001A4A7B">
        <w:rPr>
          <w:color w:val="000000" w:themeColor="text1"/>
          <w:sz w:val="22"/>
          <w:szCs w:val="22"/>
          <w:lang w:val="en-US"/>
        </w:rPr>
        <w:t xml:space="preserve"> and </w:t>
      </w:r>
      <m:oMath>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γ</m:t>
            </m:r>
          </m:e>
          <m:sub>
            <m:r>
              <w:rPr>
                <w:rFonts w:ascii="Cambria Math" w:hAnsi="Cambria Math"/>
                <w:color w:val="000000" w:themeColor="text1"/>
                <w:sz w:val="20"/>
                <w:szCs w:val="20"/>
                <w:lang w:val="en-US"/>
              </w:rPr>
              <m:t>ij</m:t>
            </m:r>
          </m:sub>
        </m:sSub>
      </m:oMath>
      <w:r w:rsidR="000A2C3C" w:rsidRPr="001A4A7B">
        <w:rPr>
          <w:color w:val="000000" w:themeColor="text1"/>
          <w:sz w:val="22"/>
          <w:szCs w:val="22"/>
          <w:lang w:val="en-US"/>
        </w:rPr>
        <w:t xml:space="preserve"> </w:t>
      </w:r>
      <w:r w:rsidR="00C441D0" w:rsidRPr="001A4A7B">
        <w:rPr>
          <w:color w:val="000000" w:themeColor="text1"/>
          <w:lang w:val="en-US"/>
        </w:rPr>
        <w:t>are the parameters of the model which denote the relationship among the different variables.</w:t>
      </w:r>
    </w:p>
    <w:p w14:paraId="00030F82" w14:textId="77777777" w:rsidR="003A2F85" w:rsidRPr="001A4A7B" w:rsidRDefault="003A2F85" w:rsidP="00D70D72">
      <w:pPr>
        <w:spacing w:line="288" w:lineRule="auto"/>
        <w:ind w:firstLine="567"/>
        <w:jc w:val="both"/>
        <w:rPr>
          <w:color w:val="000000" w:themeColor="text1"/>
          <w:lang w:val="en-US"/>
        </w:rPr>
      </w:pPr>
    </w:p>
    <w:p w14:paraId="10768D7A" w14:textId="50262780" w:rsidR="003A2F85" w:rsidRPr="001A4A7B" w:rsidRDefault="00D47DDB" w:rsidP="00B842BE">
      <w:pPr>
        <w:spacing w:line="288" w:lineRule="auto"/>
        <w:ind w:firstLine="284"/>
        <w:jc w:val="both"/>
        <w:rPr>
          <w:color w:val="000000" w:themeColor="text1"/>
          <w:lang w:val="en-US"/>
        </w:rPr>
      </w:pPr>
      <w:r w:rsidRPr="001A4A7B">
        <w:rPr>
          <w:color w:val="000000" w:themeColor="text1"/>
          <w:lang w:val="en-US"/>
        </w:rPr>
        <w:lastRenderedPageBreak/>
        <w:t>To test</w:t>
      </w:r>
      <w:r w:rsidR="003A2F85" w:rsidRPr="001A4A7B">
        <w:rPr>
          <w:color w:val="000000" w:themeColor="text1"/>
          <w:lang w:val="en-US"/>
        </w:rPr>
        <w:t xml:space="preserve"> the Granger causality between the two </w:t>
      </w:r>
      <w:r w:rsidR="000353EE" w:rsidRPr="001A4A7B">
        <w:rPr>
          <w:color w:val="000000" w:themeColor="text1"/>
          <w:lang w:val="en-US"/>
        </w:rPr>
        <w:t>selected variables</w:t>
      </w:r>
      <w:r w:rsidR="003A2F85" w:rsidRPr="001A4A7B">
        <w:rPr>
          <w:color w:val="000000" w:themeColor="text1"/>
          <w:lang w:val="en-US"/>
        </w:rPr>
        <w:t xml:space="preserve">, </w:t>
      </w:r>
      <w:r w:rsidRPr="001A4A7B">
        <w:rPr>
          <w:color w:val="000000" w:themeColor="text1"/>
          <w:lang w:val="en-US"/>
        </w:rPr>
        <w:t>attending to the</w:t>
      </w:r>
      <w:r w:rsidR="000353EE" w:rsidRPr="001A4A7B">
        <w:rPr>
          <w:color w:val="000000" w:themeColor="text1"/>
          <w:lang w:val="en-US"/>
        </w:rPr>
        <w:t xml:space="preserve"> </w:t>
      </w:r>
      <w:r w:rsidR="003A2F85" w:rsidRPr="001A4A7B">
        <w:rPr>
          <w:color w:val="000000" w:themeColor="text1"/>
          <w:lang w:val="en-US"/>
        </w:rPr>
        <w:t xml:space="preserve">first equation, if </w:t>
      </w:r>
      <m:oMath>
        <m:nary>
          <m:naryPr>
            <m:chr m:val="∑"/>
            <m:limLoc m:val="undOvr"/>
            <m:ctrlPr>
              <w:rPr>
                <w:rFonts w:ascii="Cambria Math" w:hAnsi="Cambria Math"/>
                <w:i/>
                <w:color w:val="000000" w:themeColor="text1"/>
                <w:sz w:val="21"/>
                <w:szCs w:val="21"/>
                <w:lang w:val="en-US"/>
              </w:rPr>
            </m:ctrlPr>
          </m:naryPr>
          <m:sub>
            <m:r>
              <w:rPr>
                <w:rFonts w:ascii="Cambria Math" w:hAnsi="Cambria Math"/>
                <w:color w:val="000000" w:themeColor="text1"/>
                <w:sz w:val="21"/>
                <w:szCs w:val="21"/>
                <w:lang w:val="en-US"/>
              </w:rPr>
              <m:t>j=1</m:t>
            </m:r>
          </m:sub>
          <m:sup>
            <m:r>
              <w:rPr>
                <w:rFonts w:ascii="Cambria Math" w:hAnsi="Cambria Math"/>
                <w:color w:val="000000" w:themeColor="text1"/>
                <w:sz w:val="21"/>
                <w:szCs w:val="21"/>
                <w:lang w:val="en-US"/>
              </w:rPr>
              <m:t>l</m:t>
            </m:r>
          </m:sup>
          <m:e>
            <m:sSub>
              <m:sSubPr>
                <m:ctrlPr>
                  <w:rPr>
                    <w:rFonts w:ascii="Cambria Math" w:hAnsi="Cambria Math"/>
                    <w:i/>
                    <w:color w:val="000000" w:themeColor="text1"/>
                    <w:sz w:val="21"/>
                    <w:szCs w:val="21"/>
                    <w:lang w:val="en-US"/>
                  </w:rPr>
                </m:ctrlPr>
              </m:sSubPr>
              <m:e>
                <m:r>
                  <w:rPr>
                    <w:rFonts w:ascii="Cambria Math" w:hAnsi="Cambria Math"/>
                    <w:color w:val="000000" w:themeColor="text1"/>
                    <w:sz w:val="21"/>
                    <w:szCs w:val="21"/>
                    <w:lang w:val="en-US"/>
                  </w:rPr>
                  <m:t>γ</m:t>
                </m:r>
              </m:e>
              <m:sub>
                <m:r>
                  <w:rPr>
                    <w:rFonts w:ascii="Cambria Math" w:hAnsi="Cambria Math"/>
                    <w:color w:val="000000" w:themeColor="text1"/>
                    <w:sz w:val="21"/>
                    <w:szCs w:val="21"/>
                    <w:lang w:val="en-US"/>
                  </w:rPr>
                  <m:t>1j</m:t>
                </m:r>
              </m:sub>
            </m:sSub>
          </m:e>
        </m:nary>
        <m:r>
          <w:rPr>
            <w:rFonts w:ascii="Cambria Math" w:hAnsi="Cambria Math"/>
            <w:color w:val="000000" w:themeColor="text1"/>
            <w:sz w:val="21"/>
            <w:szCs w:val="21"/>
            <w:lang w:val="en-US"/>
          </w:rPr>
          <m:t>≠0</m:t>
        </m:r>
      </m:oMath>
      <w:r w:rsidR="003A2F85" w:rsidRPr="001A4A7B">
        <w:rPr>
          <w:color w:val="000000" w:themeColor="text1"/>
          <w:lang w:val="en-US"/>
        </w:rPr>
        <w:t xml:space="preserve">, </w:t>
      </w:r>
      <w:r w:rsidR="000353EE" w:rsidRPr="001A4A7B">
        <w:rPr>
          <w:color w:val="000000" w:themeColor="text1"/>
          <w:lang w:val="en-US"/>
        </w:rPr>
        <w:t>suggests</w:t>
      </w:r>
      <w:r w:rsidRPr="001A4A7B">
        <w:rPr>
          <w:color w:val="000000" w:themeColor="text1"/>
          <w:lang w:val="en-US"/>
        </w:rPr>
        <w:t xml:space="preserve"> </w:t>
      </w:r>
      <w:r w:rsidR="000233BF" w:rsidRPr="001A4A7B">
        <w:rPr>
          <w:color w:val="000000" w:themeColor="text1"/>
          <w:lang w:val="en-US"/>
        </w:rPr>
        <w:t>a given</w:t>
      </w:r>
      <m:oMath>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 xml:space="preserve"> refined product</m:t>
            </m:r>
          </m:e>
          <m:sub>
            <m:r>
              <w:rPr>
                <w:rFonts w:ascii="Cambria Math" w:hAnsi="Cambria Math"/>
                <w:color w:val="000000" w:themeColor="text1"/>
                <w:sz w:val="20"/>
                <w:szCs w:val="20"/>
                <w:lang w:val="en-US"/>
              </w:rPr>
              <m:t>t</m:t>
            </m:r>
          </m:sub>
        </m:sSub>
      </m:oMath>
      <w:r w:rsidR="003A2F85" w:rsidRPr="001A4A7B">
        <w:rPr>
          <w:color w:val="000000" w:themeColor="text1"/>
          <w:lang w:val="en-US"/>
        </w:rPr>
        <w:t xml:space="preserve"> Granger causes</w:t>
      </w:r>
      <m:oMath>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 xml:space="preserve"> WTI</m:t>
            </m:r>
          </m:e>
          <m:sub>
            <m:r>
              <w:rPr>
                <w:rFonts w:ascii="Cambria Math" w:hAnsi="Cambria Math"/>
                <w:color w:val="000000" w:themeColor="text1"/>
                <w:sz w:val="20"/>
                <w:szCs w:val="20"/>
                <w:lang w:val="en-US"/>
              </w:rPr>
              <m:t>t</m:t>
            </m:r>
          </m:sub>
        </m:sSub>
      </m:oMath>
      <w:r w:rsidR="003A2F85" w:rsidRPr="001A4A7B">
        <w:rPr>
          <w:color w:val="000000" w:themeColor="text1"/>
          <w:sz w:val="21"/>
          <w:lang w:val="en-US"/>
        </w:rPr>
        <w:t xml:space="preserve">. </w:t>
      </w:r>
      <w:r w:rsidRPr="001A4A7B">
        <w:rPr>
          <w:color w:val="000000" w:themeColor="text1"/>
          <w:lang w:val="en-US"/>
        </w:rPr>
        <w:t>Similarly</w:t>
      </w:r>
      <w:r w:rsidR="003A2F85" w:rsidRPr="001A4A7B">
        <w:rPr>
          <w:color w:val="000000" w:themeColor="text1"/>
          <w:lang w:val="en-US"/>
        </w:rPr>
        <w:t xml:space="preserve">, </w:t>
      </w:r>
      <w:r w:rsidRPr="001A4A7B">
        <w:rPr>
          <w:color w:val="000000" w:themeColor="text1"/>
          <w:lang w:val="en-US"/>
        </w:rPr>
        <w:t>in</w:t>
      </w:r>
      <w:r w:rsidR="003A2F85" w:rsidRPr="001A4A7B">
        <w:rPr>
          <w:color w:val="000000" w:themeColor="text1"/>
          <w:lang w:val="en-US"/>
        </w:rPr>
        <w:t xml:space="preserve"> the second equation, if </w:t>
      </w:r>
      <m:oMath>
        <m:nary>
          <m:naryPr>
            <m:chr m:val="∑"/>
            <m:limLoc m:val="undOvr"/>
            <m:ctrlPr>
              <w:rPr>
                <w:rFonts w:ascii="Cambria Math" w:hAnsi="Cambria Math"/>
                <w:i/>
                <w:color w:val="000000" w:themeColor="text1"/>
                <w:sz w:val="20"/>
                <w:szCs w:val="20"/>
                <w:lang w:val="en-US"/>
              </w:rPr>
            </m:ctrlPr>
          </m:naryPr>
          <m:sub>
            <m:r>
              <w:rPr>
                <w:rFonts w:ascii="Cambria Math" w:hAnsi="Cambria Math"/>
                <w:color w:val="000000" w:themeColor="text1"/>
                <w:sz w:val="20"/>
                <w:szCs w:val="20"/>
                <w:lang w:val="en-US"/>
              </w:rPr>
              <m:t>j=1</m:t>
            </m:r>
          </m:sub>
          <m:sup>
            <m:r>
              <w:rPr>
                <w:rFonts w:ascii="Cambria Math" w:hAnsi="Cambria Math"/>
                <w:color w:val="000000" w:themeColor="text1"/>
                <w:sz w:val="20"/>
                <w:szCs w:val="20"/>
                <w:lang w:val="en-US"/>
              </w:rPr>
              <m:t>l</m:t>
            </m:r>
          </m:sup>
          <m:e>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γ</m:t>
                </m:r>
              </m:e>
              <m:sub>
                <m:r>
                  <w:rPr>
                    <w:rFonts w:ascii="Cambria Math" w:hAnsi="Cambria Math"/>
                    <w:color w:val="000000" w:themeColor="text1"/>
                    <w:sz w:val="20"/>
                    <w:szCs w:val="20"/>
                    <w:lang w:val="en-US"/>
                  </w:rPr>
                  <m:t>2j</m:t>
                </m:r>
              </m:sub>
            </m:sSub>
          </m:e>
        </m:nary>
        <m:r>
          <w:rPr>
            <w:rFonts w:ascii="Cambria Math" w:hAnsi="Cambria Math"/>
            <w:color w:val="000000" w:themeColor="text1"/>
            <w:sz w:val="20"/>
            <w:szCs w:val="20"/>
            <w:lang w:val="en-US"/>
          </w:rPr>
          <m:t>≠0</m:t>
        </m:r>
      </m:oMath>
      <w:r w:rsidR="003A2F85" w:rsidRPr="001A4A7B">
        <w:rPr>
          <w:color w:val="000000" w:themeColor="text1"/>
          <w:sz w:val="20"/>
          <w:szCs w:val="20"/>
          <w:lang w:val="en-US"/>
        </w:rPr>
        <w:t>,</w:t>
      </w:r>
      <m:oMath>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WTI</m:t>
            </m:r>
          </m:e>
          <m:sub>
            <m:r>
              <w:rPr>
                <w:rFonts w:ascii="Cambria Math" w:hAnsi="Cambria Math"/>
                <w:color w:val="000000" w:themeColor="text1"/>
                <w:sz w:val="20"/>
                <w:szCs w:val="20"/>
                <w:lang w:val="en-US"/>
              </w:rPr>
              <m:t>t</m:t>
            </m:r>
          </m:sub>
        </m:sSub>
        <m:r>
          <w:rPr>
            <w:rFonts w:ascii="Cambria Math" w:hAnsi="Cambria Math"/>
            <w:color w:val="000000" w:themeColor="text1"/>
            <w:sz w:val="20"/>
            <w:szCs w:val="20"/>
            <w:lang w:val="en-US"/>
          </w:rPr>
          <m:t xml:space="preserve"> </m:t>
        </m:r>
      </m:oMath>
      <w:r w:rsidR="003A2F85" w:rsidRPr="001A4A7B">
        <w:rPr>
          <w:color w:val="000000" w:themeColor="text1"/>
          <w:lang w:val="en-US"/>
        </w:rPr>
        <w:t>Granger causes</w:t>
      </w:r>
      <w:r w:rsidRPr="001A4A7B">
        <w:rPr>
          <w:color w:val="000000" w:themeColor="text1"/>
          <w:lang w:val="en-US"/>
        </w:rPr>
        <w:t xml:space="preserve"> </w:t>
      </w:r>
      <w:r w:rsidR="000233BF" w:rsidRPr="001A4A7B">
        <w:rPr>
          <w:color w:val="000000" w:themeColor="text1"/>
          <w:lang w:val="en-US"/>
        </w:rPr>
        <w:t>a given</w:t>
      </w:r>
      <m:oMath>
        <m:sSub>
          <m:sSubPr>
            <m:ctrlPr>
              <w:rPr>
                <w:rFonts w:ascii="Cambria Math" w:hAnsi="Cambria Math"/>
                <w:i/>
                <w:color w:val="000000" w:themeColor="text1"/>
                <w:lang w:val="en-US"/>
              </w:rPr>
            </m:ctrlPr>
          </m:sSubPr>
          <m:e>
            <m:r>
              <w:rPr>
                <w:rFonts w:ascii="Cambria Math" w:hAnsi="Cambria Math"/>
                <w:color w:val="000000" w:themeColor="text1"/>
                <w:lang w:val="en-US"/>
              </w:rPr>
              <m:t xml:space="preserve"> refined product</m:t>
            </m:r>
          </m:e>
          <m:sub>
            <m:r>
              <w:rPr>
                <w:rFonts w:ascii="Cambria Math" w:hAnsi="Cambria Math"/>
                <w:color w:val="000000" w:themeColor="text1"/>
                <w:lang w:val="en-US"/>
              </w:rPr>
              <m:t>t</m:t>
            </m:r>
          </m:sub>
        </m:sSub>
      </m:oMath>
      <w:r w:rsidR="003A2F85" w:rsidRPr="001A4A7B">
        <w:rPr>
          <w:color w:val="000000" w:themeColor="text1"/>
          <w:lang w:val="en-US"/>
        </w:rPr>
        <w:t xml:space="preserve">. </w:t>
      </w:r>
      <w:r w:rsidR="000233BF" w:rsidRPr="001A4A7B">
        <w:rPr>
          <w:color w:val="000000" w:themeColor="text1"/>
          <w:lang w:val="en-US"/>
        </w:rPr>
        <w:t>Subsequently</w:t>
      </w:r>
      <w:r w:rsidR="003A2F85" w:rsidRPr="001A4A7B">
        <w:rPr>
          <w:color w:val="000000" w:themeColor="text1"/>
          <w:lang w:val="en-US"/>
        </w:rPr>
        <w:t xml:space="preserve">, </w:t>
      </w:r>
      <w:r w:rsidR="000233BF" w:rsidRPr="001A4A7B">
        <w:rPr>
          <w:color w:val="000000" w:themeColor="text1"/>
          <w:lang w:val="en-US"/>
        </w:rPr>
        <w:t>if</w:t>
      </w:r>
      <w:r w:rsidR="003A2F85" w:rsidRPr="001A4A7B">
        <w:rPr>
          <w:color w:val="000000" w:themeColor="text1"/>
          <w:lang w:val="en-US"/>
        </w:rPr>
        <w:t xml:space="preserve"> both hypotheses</w:t>
      </w:r>
      <w:r w:rsidR="000233BF" w:rsidRPr="001A4A7B">
        <w:rPr>
          <w:color w:val="000000" w:themeColor="text1"/>
          <w:lang w:val="en-US"/>
        </w:rPr>
        <w:t xml:space="preserve"> are rejected, this</w:t>
      </w:r>
      <w:r w:rsidR="003A2F85" w:rsidRPr="001A4A7B">
        <w:rPr>
          <w:color w:val="000000" w:themeColor="text1"/>
          <w:lang w:val="en-US"/>
        </w:rPr>
        <w:t xml:space="preserve"> implies that there</w:t>
      </w:r>
      <w:r w:rsidR="000233BF" w:rsidRPr="001A4A7B">
        <w:rPr>
          <w:color w:val="000000" w:themeColor="text1"/>
          <w:lang w:val="en-US"/>
        </w:rPr>
        <w:t xml:space="preserve"> may</w:t>
      </w:r>
      <w:r w:rsidR="003A2F85" w:rsidRPr="001A4A7B">
        <w:rPr>
          <w:color w:val="000000" w:themeColor="text1"/>
          <w:lang w:val="en-US"/>
        </w:rPr>
        <w:t xml:space="preserve"> </w:t>
      </w:r>
      <w:r w:rsidR="000353EE" w:rsidRPr="001A4A7B">
        <w:rPr>
          <w:color w:val="000000" w:themeColor="text1"/>
          <w:lang w:val="en-US"/>
        </w:rPr>
        <w:t>exist</w:t>
      </w:r>
      <w:r w:rsidR="000233BF" w:rsidRPr="001A4A7B">
        <w:rPr>
          <w:color w:val="000000" w:themeColor="text1"/>
          <w:lang w:val="en-US"/>
        </w:rPr>
        <w:t xml:space="preserve"> a</w:t>
      </w:r>
      <w:r w:rsidR="003A2F85" w:rsidRPr="001A4A7B">
        <w:rPr>
          <w:color w:val="000000" w:themeColor="text1"/>
          <w:lang w:val="en-US"/>
        </w:rPr>
        <w:t xml:space="preserve"> bi-directional causality in the </w:t>
      </w:r>
      <w:r w:rsidR="000233BF" w:rsidRPr="001A4A7B">
        <w:rPr>
          <w:color w:val="000000" w:themeColor="text1"/>
          <w:lang w:val="en-US"/>
        </w:rPr>
        <w:t>examined</w:t>
      </w:r>
      <w:r w:rsidR="003A2F85" w:rsidRPr="001A4A7B">
        <w:rPr>
          <w:color w:val="000000" w:themeColor="text1"/>
          <w:lang w:val="en-US"/>
        </w:rPr>
        <w:t xml:space="preserve"> relationship.</w:t>
      </w:r>
    </w:p>
    <w:p w14:paraId="7C304C96" w14:textId="77777777" w:rsidR="00217944" w:rsidRPr="001A4A7B" w:rsidRDefault="00217944" w:rsidP="002B2F1E">
      <w:pPr>
        <w:widowControl w:val="0"/>
        <w:autoSpaceDE w:val="0"/>
        <w:autoSpaceDN w:val="0"/>
        <w:adjustRightInd w:val="0"/>
        <w:spacing w:after="240"/>
        <w:jc w:val="both"/>
        <w:rPr>
          <w:color w:val="000000" w:themeColor="text1"/>
          <w:lang w:val="en-US"/>
        </w:rPr>
      </w:pPr>
    </w:p>
    <w:p w14:paraId="17330A45" w14:textId="74AF17C8" w:rsidR="003A2F85" w:rsidRPr="001A4A7B" w:rsidRDefault="003A2F85" w:rsidP="002B2F1E">
      <w:pPr>
        <w:widowControl w:val="0"/>
        <w:autoSpaceDE w:val="0"/>
        <w:autoSpaceDN w:val="0"/>
        <w:adjustRightInd w:val="0"/>
        <w:spacing w:after="240"/>
        <w:jc w:val="both"/>
        <w:rPr>
          <w:b/>
          <w:color w:val="000000" w:themeColor="text1"/>
          <w:lang w:val="en-US"/>
        </w:rPr>
      </w:pPr>
      <w:r w:rsidRPr="001A4A7B">
        <w:rPr>
          <w:b/>
          <w:color w:val="000000" w:themeColor="text1"/>
          <w:lang w:val="en-US"/>
        </w:rPr>
        <w:t>3.2.</w:t>
      </w:r>
      <w:r w:rsidR="002B2F1E" w:rsidRPr="001A4A7B">
        <w:rPr>
          <w:b/>
          <w:color w:val="000000" w:themeColor="text1"/>
          <w:lang w:val="en-US"/>
        </w:rPr>
        <w:t>2</w:t>
      </w:r>
      <w:r w:rsidRPr="001A4A7B">
        <w:rPr>
          <w:b/>
          <w:color w:val="000000" w:themeColor="text1"/>
          <w:lang w:val="en-US"/>
        </w:rPr>
        <w:t xml:space="preserve"> Looking for asymmetric causality relationships.</w:t>
      </w:r>
    </w:p>
    <w:p w14:paraId="1C1DC1D3" w14:textId="70F49D29" w:rsidR="003A2F85" w:rsidRPr="001A4A7B" w:rsidRDefault="00741432" w:rsidP="00B842BE">
      <w:pPr>
        <w:spacing w:line="288" w:lineRule="auto"/>
        <w:ind w:firstLine="284"/>
        <w:jc w:val="both"/>
        <w:rPr>
          <w:color w:val="000000" w:themeColor="text1"/>
          <w:lang w:val="en-US"/>
        </w:rPr>
      </w:pPr>
      <w:r w:rsidRPr="001A4A7B">
        <w:rPr>
          <w:color w:val="000000" w:themeColor="text1"/>
          <w:lang w:val="en-US"/>
        </w:rPr>
        <w:t>Following</w:t>
      </w:r>
      <w:r w:rsidR="003A2F85" w:rsidRPr="001A4A7B">
        <w:rPr>
          <w:color w:val="000000" w:themeColor="text1"/>
          <w:lang w:val="en-US"/>
        </w:rPr>
        <w:t xml:space="preserve"> the empirical </w:t>
      </w:r>
      <w:r w:rsidR="00D15828" w:rsidRPr="001A4A7B">
        <w:rPr>
          <w:color w:val="000000" w:themeColor="text1"/>
          <w:lang w:val="en-US"/>
        </w:rPr>
        <w:t>literature</w:t>
      </w:r>
      <w:r w:rsidR="003A2F85" w:rsidRPr="001A4A7B">
        <w:rPr>
          <w:color w:val="000000" w:themeColor="text1"/>
          <w:lang w:val="en-US"/>
        </w:rPr>
        <w:t>, causality is</w:t>
      </w:r>
      <w:r w:rsidR="00D15828" w:rsidRPr="001A4A7B">
        <w:rPr>
          <w:color w:val="000000" w:themeColor="text1"/>
          <w:lang w:val="en-US"/>
        </w:rPr>
        <w:t xml:space="preserve"> often</w:t>
      </w:r>
      <w:r w:rsidR="003A2F85" w:rsidRPr="001A4A7B">
        <w:rPr>
          <w:color w:val="000000" w:themeColor="text1"/>
          <w:lang w:val="en-US"/>
        </w:rPr>
        <w:t xml:space="preserve"> rejected </w:t>
      </w:r>
      <w:r w:rsidR="00D15828" w:rsidRPr="001A4A7B">
        <w:rPr>
          <w:color w:val="000000" w:themeColor="text1"/>
          <w:lang w:val="en-US"/>
        </w:rPr>
        <w:t>due</w:t>
      </w:r>
      <w:r w:rsidR="003A2F85" w:rsidRPr="001A4A7B">
        <w:rPr>
          <w:color w:val="000000" w:themeColor="text1"/>
          <w:lang w:val="en-US"/>
        </w:rPr>
        <w:t xml:space="preserve"> </w:t>
      </w:r>
      <w:r w:rsidR="006A7E1F" w:rsidRPr="001A4A7B">
        <w:rPr>
          <w:color w:val="000000" w:themeColor="text1"/>
          <w:lang w:val="en-US"/>
        </w:rPr>
        <w:t>non-linear</w:t>
      </w:r>
      <w:r w:rsidR="003A2F85" w:rsidRPr="001A4A7B">
        <w:rPr>
          <w:color w:val="000000" w:themeColor="text1"/>
          <w:lang w:val="en-US"/>
        </w:rPr>
        <w:t xml:space="preserve"> relationships are not contemplated. </w:t>
      </w:r>
      <w:r w:rsidR="00D15828" w:rsidRPr="001A4A7B">
        <w:rPr>
          <w:color w:val="000000" w:themeColor="text1"/>
          <w:lang w:val="en-US"/>
        </w:rPr>
        <w:t>For this</w:t>
      </w:r>
      <w:r w:rsidR="003A2F85" w:rsidRPr="001A4A7B">
        <w:rPr>
          <w:color w:val="000000" w:themeColor="text1"/>
          <w:lang w:val="en-US"/>
        </w:rPr>
        <w:t xml:space="preserve">, </w:t>
      </w:r>
      <w:r w:rsidR="00D15828" w:rsidRPr="001A4A7B">
        <w:rPr>
          <w:color w:val="000000" w:themeColor="text1"/>
          <w:lang w:val="en-US"/>
        </w:rPr>
        <w:t xml:space="preserve">we apply </w:t>
      </w:r>
      <w:r w:rsidR="003A2F85" w:rsidRPr="001A4A7B">
        <w:rPr>
          <w:color w:val="000000" w:themeColor="text1"/>
          <w:lang w:val="en-US"/>
        </w:rPr>
        <w:t xml:space="preserve">a </w:t>
      </w:r>
      <w:r w:rsidR="006A7E1F" w:rsidRPr="001A4A7B">
        <w:rPr>
          <w:color w:val="000000" w:themeColor="text1"/>
          <w:lang w:val="en-US"/>
        </w:rPr>
        <w:t>non-linear</w:t>
      </w:r>
      <w:r w:rsidR="003A2F85" w:rsidRPr="001A4A7B">
        <w:rPr>
          <w:color w:val="000000" w:themeColor="text1"/>
          <w:lang w:val="en-US"/>
        </w:rPr>
        <w:t xml:space="preserve"> test developed by Hatemi-J (2012) </w:t>
      </w:r>
      <w:r w:rsidR="00D15828" w:rsidRPr="001A4A7B">
        <w:rPr>
          <w:color w:val="000000" w:themeColor="text1"/>
          <w:lang w:val="en-US"/>
        </w:rPr>
        <w:t>based on the</w:t>
      </w:r>
      <w:r w:rsidR="003A2F85" w:rsidRPr="001A4A7B">
        <w:rPr>
          <w:color w:val="000000" w:themeColor="text1"/>
          <w:lang w:val="en-US"/>
        </w:rPr>
        <w:t xml:space="preserve"> </w:t>
      </w:r>
      <w:r w:rsidR="00D15828" w:rsidRPr="001A4A7B">
        <w:rPr>
          <w:color w:val="000000" w:themeColor="text1"/>
          <w:lang w:val="en-US"/>
        </w:rPr>
        <w:t>indications</w:t>
      </w:r>
      <w:r w:rsidR="003A2F85" w:rsidRPr="001A4A7B">
        <w:rPr>
          <w:color w:val="000000" w:themeColor="text1"/>
          <w:lang w:val="en-US"/>
        </w:rPr>
        <w:t xml:space="preserve"> of Granger and Yoon (2002), </w:t>
      </w:r>
      <w:r w:rsidR="00D15828" w:rsidRPr="001A4A7B">
        <w:rPr>
          <w:color w:val="000000" w:themeColor="text1"/>
          <w:lang w:val="en-US"/>
        </w:rPr>
        <w:t>enabling</w:t>
      </w:r>
      <w:r w:rsidR="003A2F85" w:rsidRPr="001A4A7B">
        <w:rPr>
          <w:color w:val="000000" w:themeColor="text1"/>
          <w:lang w:val="en-US"/>
        </w:rPr>
        <w:t xml:space="preserve"> us </w:t>
      </w:r>
      <w:r w:rsidR="00D15828" w:rsidRPr="001A4A7B">
        <w:rPr>
          <w:color w:val="000000" w:themeColor="text1"/>
          <w:lang w:val="en-US"/>
        </w:rPr>
        <w:t xml:space="preserve">to </w:t>
      </w:r>
      <w:r w:rsidR="003A2F85" w:rsidRPr="001A4A7B">
        <w:rPr>
          <w:color w:val="000000" w:themeColor="text1"/>
          <w:lang w:val="en-US"/>
        </w:rPr>
        <w:t xml:space="preserve">determine </w:t>
      </w:r>
      <w:r w:rsidR="00D15828" w:rsidRPr="001A4A7B">
        <w:rPr>
          <w:color w:val="000000" w:themeColor="text1"/>
          <w:lang w:val="en-US"/>
        </w:rPr>
        <w:t>if</w:t>
      </w:r>
      <w:r w:rsidR="003A2F85" w:rsidRPr="001A4A7B">
        <w:rPr>
          <w:color w:val="000000" w:themeColor="text1"/>
          <w:lang w:val="en-US"/>
        </w:rPr>
        <w:t xml:space="preserve"> cumulative positive and negative shocks can have different impacts on the causal relationship between </w:t>
      </w:r>
      <w:r w:rsidR="009375DB" w:rsidRPr="001A4A7B">
        <w:rPr>
          <w:color w:val="000000" w:themeColor="text1"/>
          <w:lang w:val="en-US"/>
        </w:rPr>
        <w:t>WTI</w:t>
      </w:r>
      <w:r w:rsidR="003A2F85" w:rsidRPr="001A4A7B">
        <w:rPr>
          <w:color w:val="000000" w:themeColor="text1"/>
          <w:lang w:val="en-US"/>
        </w:rPr>
        <w:t xml:space="preserve"> and</w:t>
      </w:r>
      <w:r w:rsidR="009375DB" w:rsidRPr="001A4A7B">
        <w:rPr>
          <w:color w:val="000000" w:themeColor="text1"/>
          <w:lang w:val="en-US"/>
        </w:rPr>
        <w:t xml:space="preserve"> </w:t>
      </w:r>
      <w:r w:rsidR="00D15828" w:rsidRPr="001A4A7B">
        <w:rPr>
          <w:color w:val="000000" w:themeColor="text1"/>
          <w:lang w:val="en-US"/>
        </w:rPr>
        <w:t>the refined products</w:t>
      </w:r>
      <w:r w:rsidR="003A2F85" w:rsidRPr="001A4A7B">
        <w:rPr>
          <w:color w:val="000000" w:themeColor="text1"/>
          <w:lang w:val="en-US"/>
        </w:rPr>
        <w:t xml:space="preserve">. </w:t>
      </w:r>
      <w:r w:rsidR="00D15828" w:rsidRPr="001A4A7B">
        <w:rPr>
          <w:color w:val="000000" w:themeColor="text1"/>
          <w:lang w:val="en-US"/>
        </w:rPr>
        <w:t>Ensuing,</w:t>
      </w:r>
      <w:r w:rsidR="003A2F85" w:rsidRPr="001A4A7B">
        <w:rPr>
          <w:color w:val="000000" w:themeColor="text1"/>
          <w:lang w:val="en-US"/>
        </w:rPr>
        <w:t xml:space="preserve"> we </w:t>
      </w:r>
      <w:r w:rsidR="00D15828" w:rsidRPr="001A4A7B">
        <w:rPr>
          <w:color w:val="000000" w:themeColor="text1"/>
          <w:lang w:val="en-US"/>
        </w:rPr>
        <w:t>begin</w:t>
      </w:r>
      <w:r w:rsidR="003A2F85" w:rsidRPr="001A4A7B">
        <w:rPr>
          <w:color w:val="000000" w:themeColor="text1"/>
          <w:lang w:val="en-US"/>
        </w:rPr>
        <w:t xml:space="preserve"> </w:t>
      </w:r>
      <w:r w:rsidR="00D15828" w:rsidRPr="001A4A7B">
        <w:rPr>
          <w:color w:val="000000" w:themeColor="text1"/>
          <w:lang w:val="en-US"/>
        </w:rPr>
        <w:t>denoting</w:t>
      </w:r>
      <w:r w:rsidR="003A2F85" w:rsidRPr="001A4A7B">
        <w:rPr>
          <w:color w:val="000000" w:themeColor="text1"/>
          <w:lang w:val="en-US"/>
        </w:rPr>
        <w:t xml:space="preserve"> our two variables </w:t>
      </w:r>
      <w:r w:rsidRPr="001A4A7B">
        <w:rPr>
          <w:color w:val="000000" w:themeColor="text1"/>
          <w:lang w:val="en-US"/>
        </w:rPr>
        <w:t>through</w:t>
      </w:r>
      <w:r w:rsidR="003A2F85" w:rsidRPr="001A4A7B">
        <w:rPr>
          <w:color w:val="000000" w:themeColor="text1"/>
          <w:lang w:val="en-US"/>
        </w:rPr>
        <w:t xml:space="preserve"> a random walk model:</w:t>
      </w:r>
    </w:p>
    <w:p w14:paraId="3CA17D71" w14:textId="1A2B7108" w:rsidR="003A2F85" w:rsidRPr="001A4A7B" w:rsidRDefault="00000000" w:rsidP="008C50E2">
      <w:pPr>
        <w:spacing w:before="120" w:line="288" w:lineRule="auto"/>
        <w:ind w:firstLine="567"/>
        <w:jc w:val="both"/>
        <w:rPr>
          <w:color w:val="000000" w:themeColor="text1"/>
          <w:sz w:val="20"/>
          <w:szCs w:val="20"/>
          <w:lang w:val="en-US"/>
        </w:rPr>
      </w:pPr>
      <m:oMathPara>
        <m:oMathParaPr>
          <m:jc m:val="left"/>
        </m:oMathParaPr>
        <m:oMath>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WTI</m:t>
              </m:r>
            </m:e>
            <m:sub>
              <m:r>
                <w:rPr>
                  <w:rFonts w:ascii="Cambria Math" w:hAnsi="Cambria Math"/>
                  <w:color w:val="000000" w:themeColor="text1"/>
                  <w:sz w:val="20"/>
                  <w:szCs w:val="20"/>
                  <w:lang w:val="en-US"/>
                </w:rPr>
                <m:t>t</m:t>
              </m:r>
            </m:sub>
          </m:sSub>
          <m:r>
            <w:rPr>
              <w:rFonts w:ascii="Cambria Math" w:hAnsi="Cambria Math"/>
              <w:color w:val="000000" w:themeColor="text1"/>
              <w:sz w:val="20"/>
              <w:szCs w:val="20"/>
              <w:lang w:val="en-US"/>
            </w:rPr>
            <m:t>=</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WTI</m:t>
              </m:r>
            </m:e>
            <m:sub>
              <m:r>
                <w:rPr>
                  <w:rFonts w:ascii="Cambria Math" w:hAnsi="Cambria Math"/>
                  <w:color w:val="000000" w:themeColor="text1"/>
                  <w:sz w:val="20"/>
                  <w:szCs w:val="20"/>
                  <w:lang w:val="en-US"/>
                </w:rPr>
                <m:t>t-1</m:t>
              </m:r>
            </m:sub>
          </m:sSub>
          <m:r>
            <w:rPr>
              <w:rFonts w:ascii="Cambria Math" w:hAnsi="Cambria Math"/>
              <w:color w:val="000000" w:themeColor="text1"/>
              <w:sz w:val="20"/>
              <w:szCs w:val="20"/>
              <w:lang w:val="en-US"/>
            </w:rPr>
            <m:t>+</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1t</m:t>
              </m:r>
            </m:sub>
          </m:sSub>
          <m:r>
            <w:rPr>
              <w:rFonts w:ascii="Cambria Math" w:hAnsi="Cambria Math"/>
              <w:color w:val="000000" w:themeColor="text1"/>
              <w:sz w:val="20"/>
              <w:szCs w:val="20"/>
              <w:lang w:val="en-US"/>
            </w:rPr>
            <m:t>=</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WTI</m:t>
              </m:r>
            </m:e>
            <m:sub>
              <m:r>
                <w:rPr>
                  <w:rFonts w:ascii="Cambria Math" w:hAnsi="Cambria Math"/>
                  <w:color w:val="000000" w:themeColor="text1"/>
                  <w:sz w:val="20"/>
                  <w:szCs w:val="20"/>
                  <w:lang w:val="en-US"/>
                </w:rPr>
                <m:t>0</m:t>
              </m:r>
            </m:sub>
          </m:sSub>
          <m:r>
            <w:rPr>
              <w:rFonts w:ascii="Cambria Math" w:hAnsi="Cambria Math"/>
              <w:color w:val="000000" w:themeColor="text1"/>
              <w:sz w:val="20"/>
              <w:szCs w:val="20"/>
              <w:lang w:val="en-US"/>
            </w:rPr>
            <m:t>+</m:t>
          </m:r>
          <m:nary>
            <m:naryPr>
              <m:chr m:val="∑"/>
              <m:limLoc m:val="undOvr"/>
              <m:ctrlPr>
                <w:rPr>
                  <w:rFonts w:ascii="Cambria Math" w:hAnsi="Cambria Math"/>
                  <w:i/>
                  <w:color w:val="000000" w:themeColor="text1"/>
                  <w:sz w:val="20"/>
                  <w:szCs w:val="20"/>
                  <w:lang w:val="en-US"/>
                </w:rPr>
              </m:ctrlPr>
            </m:naryPr>
            <m:sub>
              <m:r>
                <w:rPr>
                  <w:rFonts w:ascii="Cambria Math" w:hAnsi="Cambria Math"/>
                  <w:color w:val="000000" w:themeColor="text1"/>
                  <w:sz w:val="20"/>
                  <w:szCs w:val="20"/>
                  <w:lang w:val="en-US"/>
                </w:rPr>
                <m:t>i=1</m:t>
              </m:r>
            </m:sub>
            <m:sup>
              <m:r>
                <w:rPr>
                  <w:rFonts w:ascii="Cambria Math" w:hAnsi="Cambria Math"/>
                  <w:color w:val="000000" w:themeColor="text1"/>
                  <w:sz w:val="20"/>
                  <w:szCs w:val="20"/>
                  <w:lang w:val="en-US"/>
                </w:rPr>
                <m:t>t</m:t>
              </m:r>
            </m:sup>
            <m:e>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1i</m:t>
                  </m:r>
                </m:sub>
              </m:sSub>
            </m:e>
          </m:nary>
          <m:r>
            <w:rPr>
              <w:rFonts w:ascii="Cambria Math" w:hAnsi="Cambria Math"/>
              <w:color w:val="000000" w:themeColor="text1"/>
              <w:sz w:val="20"/>
              <w:szCs w:val="20"/>
              <w:lang w:val="en-US"/>
            </w:rPr>
            <m:t xml:space="preserve">                                                                                                              </m:t>
          </m:r>
          <m:d>
            <m:dPr>
              <m:ctrlPr>
                <w:rPr>
                  <w:rFonts w:ascii="Cambria Math" w:hAnsi="Cambria Math"/>
                  <w:i/>
                  <w:color w:val="000000" w:themeColor="text1"/>
                  <w:sz w:val="20"/>
                  <w:szCs w:val="20"/>
                  <w:lang w:val="en-US"/>
                </w:rPr>
              </m:ctrlPr>
            </m:dPr>
            <m:e>
              <m:r>
                <w:rPr>
                  <w:rFonts w:ascii="Cambria Math" w:hAnsi="Cambria Math"/>
                  <w:color w:val="000000" w:themeColor="text1"/>
                  <w:sz w:val="20"/>
                  <w:szCs w:val="20"/>
                  <w:lang w:val="en-US"/>
                </w:rPr>
                <m:t>3</m:t>
              </m:r>
            </m:e>
          </m:d>
        </m:oMath>
      </m:oMathPara>
    </w:p>
    <w:p w14:paraId="1A561DF6" w14:textId="77777777" w:rsidR="003A2F85" w:rsidRPr="001A4A7B" w:rsidRDefault="003A2F85" w:rsidP="008C50E2">
      <w:pPr>
        <w:spacing w:before="120" w:line="288" w:lineRule="auto"/>
        <w:jc w:val="both"/>
        <w:rPr>
          <w:color w:val="000000" w:themeColor="text1"/>
          <w:lang w:val="en-US"/>
        </w:rPr>
      </w:pPr>
      <w:r w:rsidRPr="001A4A7B">
        <w:rPr>
          <w:color w:val="000000" w:themeColor="text1"/>
          <w:lang w:val="en-US"/>
        </w:rPr>
        <w:t>and</w:t>
      </w:r>
    </w:p>
    <w:p w14:paraId="74C82BE6" w14:textId="70F3B8CF" w:rsidR="003A2F85" w:rsidRPr="001A4A7B" w:rsidRDefault="00000000" w:rsidP="008C50E2">
      <w:pPr>
        <w:spacing w:before="120" w:line="288" w:lineRule="auto"/>
        <w:ind w:firstLine="567"/>
        <w:jc w:val="both"/>
        <w:rPr>
          <w:color w:val="000000" w:themeColor="text1"/>
          <w:sz w:val="20"/>
          <w:szCs w:val="20"/>
          <w:lang w:val="en-US"/>
        </w:rPr>
      </w:pPr>
      <m:oMathPara>
        <m:oMathParaPr>
          <m:jc m:val="left"/>
        </m:oMathParaPr>
        <m:oMath>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refined product</m:t>
              </m:r>
            </m:e>
            <m:sub>
              <m:r>
                <w:rPr>
                  <w:rFonts w:ascii="Cambria Math" w:hAnsi="Cambria Math"/>
                  <w:color w:val="000000" w:themeColor="text1"/>
                  <w:sz w:val="20"/>
                  <w:szCs w:val="20"/>
                  <w:lang w:val="en-US"/>
                </w:rPr>
                <m:t>t</m:t>
              </m:r>
            </m:sub>
          </m:sSub>
          <m:r>
            <w:rPr>
              <w:rFonts w:ascii="Cambria Math" w:hAnsi="Cambria Math"/>
              <w:color w:val="000000" w:themeColor="text1"/>
              <w:sz w:val="20"/>
              <w:szCs w:val="20"/>
              <w:lang w:val="en-US"/>
            </w:rPr>
            <m:t>=</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refined product</m:t>
              </m:r>
            </m:e>
            <m:sub>
              <m:r>
                <w:rPr>
                  <w:rFonts w:ascii="Cambria Math" w:hAnsi="Cambria Math"/>
                  <w:color w:val="000000" w:themeColor="text1"/>
                  <w:sz w:val="20"/>
                  <w:szCs w:val="20"/>
                  <w:lang w:val="en-US"/>
                </w:rPr>
                <m:t>t-1</m:t>
              </m:r>
            </m:sub>
          </m:sSub>
          <m:r>
            <w:rPr>
              <w:rFonts w:ascii="Cambria Math" w:hAnsi="Cambria Math"/>
              <w:color w:val="000000" w:themeColor="text1"/>
              <w:sz w:val="20"/>
              <w:szCs w:val="20"/>
              <w:lang w:val="en-US"/>
            </w:rPr>
            <m:t>+</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2t</m:t>
              </m:r>
            </m:sub>
          </m:sSub>
          <m:r>
            <w:rPr>
              <w:rFonts w:ascii="Cambria Math" w:hAnsi="Cambria Math"/>
              <w:color w:val="000000" w:themeColor="text1"/>
              <w:sz w:val="20"/>
              <w:szCs w:val="20"/>
              <w:lang w:val="en-US"/>
            </w:rPr>
            <m:t>=</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refined product</m:t>
              </m:r>
            </m:e>
            <m:sub>
              <m:r>
                <w:rPr>
                  <w:rFonts w:ascii="Cambria Math" w:hAnsi="Cambria Math"/>
                  <w:color w:val="000000" w:themeColor="text1"/>
                  <w:sz w:val="20"/>
                  <w:szCs w:val="20"/>
                  <w:lang w:val="en-US"/>
                </w:rPr>
                <m:t>0</m:t>
              </m:r>
            </m:sub>
          </m:sSub>
          <m:r>
            <w:rPr>
              <w:rFonts w:ascii="Cambria Math" w:hAnsi="Cambria Math"/>
              <w:color w:val="000000" w:themeColor="text1"/>
              <w:sz w:val="20"/>
              <w:szCs w:val="20"/>
              <w:lang w:val="en-US"/>
            </w:rPr>
            <m:t>+</m:t>
          </m:r>
          <m:nary>
            <m:naryPr>
              <m:chr m:val="∑"/>
              <m:limLoc m:val="undOvr"/>
              <m:ctrlPr>
                <w:rPr>
                  <w:rFonts w:ascii="Cambria Math" w:hAnsi="Cambria Math"/>
                  <w:i/>
                  <w:color w:val="000000" w:themeColor="text1"/>
                  <w:sz w:val="20"/>
                  <w:szCs w:val="20"/>
                  <w:lang w:val="en-US"/>
                </w:rPr>
              </m:ctrlPr>
            </m:naryPr>
            <m:sub>
              <m:r>
                <w:rPr>
                  <w:rFonts w:ascii="Cambria Math" w:hAnsi="Cambria Math"/>
                  <w:color w:val="000000" w:themeColor="text1"/>
                  <w:sz w:val="20"/>
                  <w:szCs w:val="20"/>
                  <w:lang w:val="en-US"/>
                </w:rPr>
                <m:t>i=1</m:t>
              </m:r>
            </m:sub>
            <m:sup>
              <m:r>
                <w:rPr>
                  <w:rFonts w:ascii="Cambria Math" w:hAnsi="Cambria Math"/>
                  <w:color w:val="000000" w:themeColor="text1"/>
                  <w:sz w:val="20"/>
                  <w:szCs w:val="20"/>
                  <w:lang w:val="en-US"/>
                </w:rPr>
                <m:t>t</m:t>
              </m:r>
            </m:sup>
            <m:e>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2i</m:t>
                  </m:r>
                </m:sub>
              </m:sSub>
            </m:e>
          </m:nary>
          <m:r>
            <w:rPr>
              <w:rFonts w:ascii="Cambria Math" w:hAnsi="Cambria Math"/>
              <w:color w:val="000000" w:themeColor="text1"/>
              <w:sz w:val="20"/>
              <w:szCs w:val="20"/>
              <w:lang w:val="en-US"/>
            </w:rPr>
            <m:t xml:space="preserve">                                   </m:t>
          </m:r>
          <m:d>
            <m:dPr>
              <m:ctrlPr>
                <w:rPr>
                  <w:rFonts w:ascii="Cambria Math" w:hAnsi="Cambria Math"/>
                  <w:i/>
                  <w:color w:val="000000" w:themeColor="text1"/>
                  <w:sz w:val="20"/>
                  <w:szCs w:val="20"/>
                  <w:lang w:val="en-US"/>
                </w:rPr>
              </m:ctrlPr>
            </m:dPr>
            <m:e>
              <m:r>
                <w:rPr>
                  <w:rFonts w:ascii="Cambria Math" w:hAnsi="Cambria Math"/>
                  <w:color w:val="000000" w:themeColor="text1"/>
                  <w:sz w:val="20"/>
                  <w:szCs w:val="20"/>
                  <w:lang w:val="en-US"/>
                </w:rPr>
                <m:t>4</m:t>
              </m:r>
            </m:e>
          </m:d>
        </m:oMath>
      </m:oMathPara>
    </w:p>
    <w:p w14:paraId="30CCA87F" w14:textId="77777777" w:rsidR="00956BC6" w:rsidRPr="001A4A7B" w:rsidRDefault="00D2537B" w:rsidP="00956BC6">
      <w:pPr>
        <w:spacing w:before="120" w:line="288" w:lineRule="auto"/>
        <w:jc w:val="both"/>
        <w:rPr>
          <w:color w:val="000000" w:themeColor="text1"/>
          <w:sz w:val="20"/>
          <w:szCs w:val="20"/>
          <w:lang w:val="en-US"/>
        </w:rPr>
      </w:pPr>
      <w:r w:rsidRPr="001A4A7B">
        <w:rPr>
          <w:color w:val="000000" w:themeColor="text1"/>
          <w:lang w:val="en-US"/>
        </w:rPr>
        <w:t>W</w:t>
      </w:r>
      <w:r w:rsidR="003A2F85" w:rsidRPr="001A4A7B">
        <w:rPr>
          <w:color w:val="000000" w:themeColor="text1"/>
          <w:lang w:val="en-US"/>
        </w:rPr>
        <w:t>here</w:t>
      </w:r>
      <m:oMath>
        <m:r>
          <w:rPr>
            <w:rFonts w:ascii="Cambria Math" w:hAnsi="Cambria Math"/>
            <w:color w:val="000000" w:themeColor="text1"/>
            <w:lang w:val="en-US"/>
          </w:rPr>
          <m:t xml:space="preserve"> t=1, 2,…T</m:t>
        </m:r>
      </m:oMath>
      <w:r w:rsidR="003A2F85" w:rsidRPr="001A4A7B">
        <w:rPr>
          <w:color w:val="000000" w:themeColor="text1"/>
          <w:lang w:val="en-US"/>
        </w:rPr>
        <w:t xml:space="preserve">, the constants </w:t>
      </w:r>
      <m:oMath>
        <m:sSub>
          <m:sSubPr>
            <m:ctrlPr>
              <w:rPr>
                <w:rFonts w:ascii="Cambria Math" w:hAnsi="Cambria Math"/>
                <w:i/>
                <w:color w:val="000000" w:themeColor="text1"/>
                <w:lang w:val="en-US"/>
              </w:rPr>
            </m:ctrlPr>
          </m:sSubPr>
          <m:e>
            <m:r>
              <w:rPr>
                <w:rFonts w:ascii="Cambria Math" w:hAnsi="Cambria Math"/>
                <w:color w:val="000000" w:themeColor="text1"/>
                <w:lang w:val="en-US"/>
              </w:rPr>
              <m:t>WTI</m:t>
            </m:r>
          </m:e>
          <m:sub>
            <m:r>
              <w:rPr>
                <w:rFonts w:ascii="Cambria Math" w:hAnsi="Cambria Math"/>
                <w:color w:val="000000" w:themeColor="text1"/>
                <w:lang w:val="en-US"/>
              </w:rPr>
              <m:t>0</m:t>
            </m:r>
          </m:sub>
        </m:sSub>
      </m:oMath>
      <w:r w:rsidR="003A2F85" w:rsidRPr="001A4A7B">
        <w:rPr>
          <w:color w:val="000000" w:themeColor="text1"/>
          <w:lang w:val="en-US"/>
        </w:rPr>
        <w:t xml:space="preserve"> and</w:t>
      </w:r>
      <w:r w:rsidR="00197F4D" w:rsidRPr="001A4A7B">
        <w:rPr>
          <w:color w:val="000000" w:themeColor="text1"/>
          <w:lang w:val="en-US"/>
        </w:rPr>
        <w:t xml:space="preserve"> each</w:t>
      </w:r>
      <w:r w:rsidR="003A2F85" w:rsidRPr="001A4A7B">
        <w:rPr>
          <w:color w:val="000000" w:themeColor="text1"/>
          <w:lang w:val="en-US"/>
        </w:rPr>
        <w:t xml:space="preserve"> </w:t>
      </w:r>
      <m:oMath>
        <m:sSub>
          <m:sSubPr>
            <m:ctrlPr>
              <w:rPr>
                <w:rFonts w:ascii="Cambria Math" w:hAnsi="Cambria Math"/>
                <w:i/>
                <w:color w:val="000000" w:themeColor="text1"/>
                <w:lang w:val="en-US"/>
              </w:rPr>
            </m:ctrlPr>
          </m:sSubPr>
          <m:e>
            <m:r>
              <w:rPr>
                <w:rFonts w:ascii="Cambria Math" w:hAnsi="Cambria Math"/>
                <w:color w:val="000000" w:themeColor="text1"/>
                <w:lang w:val="en-US"/>
              </w:rPr>
              <m:t>refined product</m:t>
            </m:r>
          </m:e>
          <m:sub>
            <m:r>
              <w:rPr>
                <w:rFonts w:ascii="Cambria Math" w:hAnsi="Cambria Math"/>
                <w:color w:val="000000" w:themeColor="text1"/>
                <w:lang w:val="en-US"/>
              </w:rPr>
              <m:t>0</m:t>
            </m:r>
          </m:sub>
        </m:sSub>
      </m:oMath>
      <w:r w:rsidR="003A2F85" w:rsidRPr="001A4A7B">
        <w:rPr>
          <w:color w:val="000000" w:themeColor="text1"/>
          <w:lang w:val="en-US"/>
        </w:rPr>
        <w:t xml:space="preserve"> are the </w:t>
      </w:r>
      <w:r w:rsidR="00D15828" w:rsidRPr="001A4A7B">
        <w:rPr>
          <w:color w:val="000000" w:themeColor="text1"/>
          <w:lang w:val="en-US"/>
        </w:rPr>
        <w:t>primary</w:t>
      </w:r>
      <w:r w:rsidR="003A2F85" w:rsidRPr="001A4A7B">
        <w:rPr>
          <w:color w:val="000000" w:themeColor="text1"/>
          <w:lang w:val="en-US"/>
        </w:rPr>
        <w:t xml:space="preserve"> constant values, and the variables </w:t>
      </w:r>
      <m:oMath>
        <m:sSub>
          <m:sSubPr>
            <m:ctrlPr>
              <w:rPr>
                <w:rFonts w:ascii="Cambria Math" w:hAnsi="Cambria Math"/>
                <w:i/>
                <w:color w:val="000000" w:themeColor="text1"/>
                <w:lang w:val="en-US"/>
              </w:rPr>
            </m:ctrlPr>
          </m:sSubPr>
          <m:e>
            <m:r>
              <w:rPr>
                <w:rFonts w:ascii="Cambria Math" w:hAnsi="Cambria Math"/>
                <w:color w:val="000000" w:themeColor="text1"/>
                <w:lang w:val="en-US"/>
              </w:rPr>
              <m:t>ε</m:t>
            </m:r>
          </m:e>
          <m:sub>
            <m:r>
              <w:rPr>
                <w:rFonts w:ascii="Cambria Math" w:hAnsi="Cambria Math"/>
                <w:color w:val="000000" w:themeColor="text1"/>
                <w:lang w:val="en-US"/>
              </w:rPr>
              <m:t>1i</m:t>
            </m:r>
          </m:sub>
        </m:sSub>
      </m:oMath>
      <w:r w:rsidR="003A2F85" w:rsidRPr="001A4A7B">
        <w:rPr>
          <w:color w:val="000000" w:themeColor="text1"/>
          <w:lang w:val="en-US"/>
        </w:rPr>
        <w:t xml:space="preserve"> and </w:t>
      </w:r>
      <m:oMath>
        <m:sSub>
          <m:sSubPr>
            <m:ctrlPr>
              <w:rPr>
                <w:rFonts w:ascii="Cambria Math" w:hAnsi="Cambria Math"/>
                <w:i/>
                <w:color w:val="000000" w:themeColor="text1"/>
                <w:lang w:val="en-US"/>
              </w:rPr>
            </m:ctrlPr>
          </m:sSubPr>
          <m:e>
            <m:r>
              <w:rPr>
                <w:rFonts w:ascii="Cambria Math" w:hAnsi="Cambria Math"/>
                <w:color w:val="000000" w:themeColor="text1"/>
                <w:lang w:val="en-US"/>
              </w:rPr>
              <m:t>ε</m:t>
            </m:r>
          </m:e>
          <m:sub>
            <m:r>
              <w:rPr>
                <w:rFonts w:ascii="Cambria Math" w:hAnsi="Cambria Math"/>
                <w:color w:val="000000" w:themeColor="text1"/>
                <w:lang w:val="en-US"/>
              </w:rPr>
              <m:t>2i</m:t>
            </m:r>
          </m:sub>
        </m:sSub>
      </m:oMath>
      <w:r w:rsidR="003A2F85" w:rsidRPr="001A4A7B">
        <w:rPr>
          <w:color w:val="000000" w:themeColor="text1"/>
          <w:lang w:val="en-US"/>
        </w:rPr>
        <w:t xml:space="preserve"> are white noise </w:t>
      </w:r>
      <w:r w:rsidR="00D15828" w:rsidRPr="001A4A7B">
        <w:rPr>
          <w:color w:val="000000" w:themeColor="text1"/>
          <w:lang w:val="en-US"/>
        </w:rPr>
        <w:t>error</w:t>
      </w:r>
      <w:r w:rsidR="003A2F85" w:rsidRPr="001A4A7B">
        <w:rPr>
          <w:color w:val="000000" w:themeColor="text1"/>
          <w:lang w:val="en-US"/>
        </w:rPr>
        <w:t xml:space="preserve"> terms. The maximum and minimum initial constant values of both the positive and negative shocks are identified as:</w:t>
      </w:r>
      <w:r w:rsidR="003A2F85" w:rsidRPr="001A4A7B">
        <w:rPr>
          <w:color w:val="000000" w:themeColor="text1"/>
          <w:sz w:val="20"/>
          <w:szCs w:val="20"/>
          <w:lang w:val="en-US"/>
        </w:rPr>
        <w:t xml:space="preserve"> </w:t>
      </w:r>
    </w:p>
    <w:p w14:paraId="3E4905F9" w14:textId="6B923DED" w:rsidR="003A2F85" w:rsidRPr="001A4A7B" w:rsidRDefault="00000000" w:rsidP="0090254F">
      <w:pPr>
        <w:spacing w:before="120" w:line="288" w:lineRule="auto"/>
        <w:jc w:val="both"/>
        <w:rPr>
          <w:color w:val="000000" w:themeColor="text1"/>
          <w:lang w:val="en-US"/>
        </w:rPr>
      </w:pPr>
      <m:oMath>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1i</m:t>
            </m:r>
          </m:sub>
          <m:sup>
            <m:r>
              <w:rPr>
                <w:rFonts w:ascii="Cambria Math" w:hAnsi="Cambria Math"/>
                <w:color w:val="000000" w:themeColor="text1"/>
                <w:sz w:val="20"/>
                <w:szCs w:val="20"/>
                <w:lang w:val="en-US"/>
              </w:rPr>
              <m:t>+</m:t>
            </m:r>
          </m:sup>
        </m:sSubSup>
        <m:r>
          <w:rPr>
            <w:rFonts w:ascii="Cambria Math" w:hAnsi="Cambria Math"/>
            <w:color w:val="000000" w:themeColor="text1"/>
            <w:sz w:val="20"/>
            <w:szCs w:val="20"/>
            <w:lang w:val="en-US"/>
          </w:rPr>
          <m:t>=</m:t>
        </m:r>
        <m:func>
          <m:funcPr>
            <m:ctrlPr>
              <w:rPr>
                <w:rFonts w:ascii="Cambria Math" w:hAnsi="Cambria Math"/>
                <w:i/>
                <w:color w:val="000000" w:themeColor="text1"/>
                <w:sz w:val="20"/>
                <w:szCs w:val="20"/>
                <w:lang w:val="en-US"/>
              </w:rPr>
            </m:ctrlPr>
          </m:funcPr>
          <m:fName>
            <m:r>
              <m:rPr>
                <m:sty m:val="p"/>
              </m:rPr>
              <w:rPr>
                <w:rFonts w:ascii="Cambria Math" w:hAnsi="Cambria Math"/>
                <w:color w:val="000000" w:themeColor="text1"/>
                <w:sz w:val="20"/>
                <w:szCs w:val="20"/>
                <w:lang w:val="en-US"/>
              </w:rPr>
              <m:t>max</m:t>
            </m:r>
          </m:fName>
          <m:e>
            <m:r>
              <w:rPr>
                <w:rFonts w:ascii="Cambria Math" w:hAnsi="Cambria Math"/>
                <w:color w:val="000000" w:themeColor="text1"/>
                <w:sz w:val="20"/>
                <w:szCs w:val="20"/>
                <w:lang w:val="en-US"/>
              </w:rPr>
              <m:t xml:space="preserve"> (</m:t>
            </m:r>
          </m:e>
        </m:func>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1i</m:t>
            </m:r>
          </m:sub>
        </m:sSub>
        <m:r>
          <w:rPr>
            <w:rFonts w:ascii="Cambria Math" w:hAnsi="Cambria Math"/>
            <w:color w:val="000000" w:themeColor="text1"/>
            <w:sz w:val="20"/>
            <w:szCs w:val="20"/>
            <w:lang w:val="en-US"/>
          </w:rPr>
          <m:t xml:space="preserve">, 0) </m:t>
        </m:r>
        <m:r>
          <m:rPr>
            <m:sty m:val="p"/>
          </m:rPr>
          <w:rPr>
            <w:rFonts w:ascii="Cambria Math" w:hAnsi="Cambria Math"/>
            <w:color w:val="000000" w:themeColor="text1"/>
            <w:sz w:val="20"/>
            <w:szCs w:val="20"/>
            <w:lang w:val="en-US"/>
          </w:rPr>
          <m:t>and</m:t>
        </m:r>
        <m:r>
          <w:rPr>
            <w:rFonts w:ascii="Cambria Math" w:hAnsi="Cambria Math"/>
            <w:color w:val="000000" w:themeColor="text1"/>
            <w:sz w:val="20"/>
            <w:szCs w:val="20"/>
            <w:lang w:val="en-US"/>
          </w:rPr>
          <m:t xml:space="preserve"> </m:t>
        </m:r>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2i</m:t>
            </m:r>
          </m:sub>
          <m:sup>
            <m:r>
              <w:rPr>
                <w:rFonts w:ascii="Cambria Math" w:hAnsi="Cambria Math"/>
                <w:color w:val="000000" w:themeColor="text1"/>
                <w:sz w:val="20"/>
                <w:szCs w:val="20"/>
                <w:lang w:val="en-US"/>
              </w:rPr>
              <m:t>+</m:t>
            </m:r>
          </m:sup>
        </m:sSubSup>
        <m:r>
          <w:rPr>
            <w:rFonts w:ascii="Cambria Math" w:hAnsi="Cambria Math"/>
            <w:color w:val="000000" w:themeColor="text1"/>
            <w:sz w:val="20"/>
            <w:szCs w:val="20"/>
            <w:lang w:val="en-US"/>
          </w:rPr>
          <m:t>=</m:t>
        </m:r>
        <m:func>
          <m:funcPr>
            <m:ctrlPr>
              <w:rPr>
                <w:rFonts w:ascii="Cambria Math" w:hAnsi="Cambria Math"/>
                <w:i/>
                <w:color w:val="000000" w:themeColor="text1"/>
                <w:sz w:val="20"/>
                <w:szCs w:val="20"/>
                <w:lang w:val="en-US"/>
              </w:rPr>
            </m:ctrlPr>
          </m:funcPr>
          <m:fName>
            <m:r>
              <m:rPr>
                <m:sty m:val="p"/>
              </m:rPr>
              <w:rPr>
                <w:rFonts w:ascii="Cambria Math" w:hAnsi="Cambria Math"/>
                <w:color w:val="000000" w:themeColor="text1"/>
                <w:sz w:val="20"/>
                <w:szCs w:val="20"/>
                <w:lang w:val="en-US"/>
              </w:rPr>
              <m:t>max</m:t>
            </m:r>
          </m:fName>
          <m:e>
            <m:r>
              <w:rPr>
                <w:rFonts w:ascii="Cambria Math" w:hAnsi="Cambria Math"/>
                <w:color w:val="000000" w:themeColor="text1"/>
                <w:sz w:val="20"/>
                <w:szCs w:val="20"/>
                <w:lang w:val="en-US"/>
              </w:rPr>
              <m:t xml:space="preserve"> (</m:t>
            </m:r>
          </m:e>
        </m:func>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2i</m:t>
            </m:r>
          </m:sub>
        </m:sSub>
        <m:r>
          <w:rPr>
            <w:rFonts w:ascii="Cambria Math" w:hAnsi="Cambria Math"/>
            <w:color w:val="000000" w:themeColor="text1"/>
            <w:sz w:val="20"/>
            <w:szCs w:val="20"/>
            <w:lang w:val="en-US"/>
          </w:rPr>
          <m:t xml:space="preserve">, 0) </m:t>
        </m:r>
        <m:r>
          <m:rPr>
            <m:sty m:val="p"/>
          </m:rPr>
          <w:rPr>
            <w:rFonts w:ascii="Cambria Math" w:hAnsi="Cambria Math"/>
            <w:color w:val="000000" w:themeColor="text1"/>
            <w:sz w:val="20"/>
            <w:szCs w:val="20"/>
            <w:lang w:val="en-US"/>
          </w:rPr>
          <m:t>and</m:t>
        </m:r>
        <m:r>
          <w:rPr>
            <w:rFonts w:ascii="Cambria Math" w:hAnsi="Cambria Math"/>
            <w:color w:val="000000" w:themeColor="text1"/>
            <w:sz w:val="20"/>
            <w:szCs w:val="20"/>
            <w:lang w:val="en-US"/>
          </w:rPr>
          <m:t xml:space="preserve"> </m:t>
        </m:r>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1i</m:t>
            </m:r>
          </m:sub>
          <m:sup>
            <m:r>
              <w:rPr>
                <w:rFonts w:ascii="Cambria Math" w:hAnsi="Cambria Math"/>
                <w:color w:val="000000" w:themeColor="text1"/>
                <w:sz w:val="20"/>
                <w:szCs w:val="20"/>
                <w:lang w:val="en-US"/>
              </w:rPr>
              <m:t>-</m:t>
            </m:r>
          </m:sup>
        </m:sSubSup>
        <m:r>
          <w:rPr>
            <w:rFonts w:ascii="Cambria Math" w:hAnsi="Cambria Math"/>
            <w:color w:val="000000" w:themeColor="text1"/>
            <w:sz w:val="20"/>
            <w:szCs w:val="20"/>
            <w:lang w:val="en-US"/>
          </w:rPr>
          <m:t>=</m:t>
        </m:r>
        <m:func>
          <m:funcPr>
            <m:ctrlPr>
              <w:rPr>
                <w:rFonts w:ascii="Cambria Math" w:hAnsi="Cambria Math"/>
                <w:i/>
                <w:color w:val="000000" w:themeColor="text1"/>
                <w:sz w:val="20"/>
                <w:szCs w:val="20"/>
                <w:lang w:val="en-US"/>
              </w:rPr>
            </m:ctrlPr>
          </m:funcPr>
          <m:fName>
            <m:r>
              <m:rPr>
                <m:sty m:val="p"/>
              </m:rPr>
              <w:rPr>
                <w:rFonts w:ascii="Cambria Math" w:hAnsi="Cambria Math"/>
                <w:color w:val="000000" w:themeColor="text1"/>
                <w:sz w:val="20"/>
                <w:szCs w:val="20"/>
                <w:lang w:val="en-US"/>
              </w:rPr>
              <m:t>min</m:t>
            </m:r>
          </m:fName>
          <m:e>
            <m:r>
              <w:rPr>
                <w:rFonts w:ascii="Cambria Math" w:hAnsi="Cambria Math"/>
                <w:color w:val="000000" w:themeColor="text1"/>
                <w:sz w:val="20"/>
                <w:szCs w:val="20"/>
                <w:lang w:val="en-US"/>
              </w:rPr>
              <m:t xml:space="preserve"> (</m:t>
            </m:r>
          </m:e>
        </m:func>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1i</m:t>
            </m:r>
          </m:sub>
        </m:sSub>
        <m:r>
          <w:rPr>
            <w:rFonts w:ascii="Cambria Math" w:hAnsi="Cambria Math"/>
            <w:color w:val="000000" w:themeColor="text1"/>
            <w:sz w:val="20"/>
            <w:szCs w:val="20"/>
            <w:lang w:val="en-US"/>
          </w:rPr>
          <m:t xml:space="preserve">, 0) </m:t>
        </m:r>
        <m:r>
          <m:rPr>
            <m:sty m:val="p"/>
          </m:rPr>
          <w:rPr>
            <w:rFonts w:ascii="Cambria Math" w:hAnsi="Cambria Math"/>
            <w:color w:val="000000" w:themeColor="text1"/>
            <w:sz w:val="20"/>
            <w:szCs w:val="20"/>
            <w:lang w:val="en-US"/>
          </w:rPr>
          <m:t>and</m:t>
        </m:r>
        <m:r>
          <w:rPr>
            <w:rFonts w:ascii="Cambria Math" w:hAnsi="Cambria Math"/>
            <w:color w:val="000000" w:themeColor="text1"/>
            <w:sz w:val="20"/>
            <w:szCs w:val="20"/>
            <w:lang w:val="en-US"/>
          </w:rPr>
          <m:t xml:space="preserve"> </m:t>
        </m:r>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2i</m:t>
            </m:r>
          </m:sub>
          <m:sup>
            <m:r>
              <w:rPr>
                <w:rFonts w:ascii="Cambria Math" w:hAnsi="Cambria Math"/>
                <w:color w:val="000000" w:themeColor="text1"/>
                <w:sz w:val="20"/>
                <w:szCs w:val="20"/>
                <w:lang w:val="en-US"/>
              </w:rPr>
              <m:t>-</m:t>
            </m:r>
          </m:sup>
        </m:sSubSup>
        <m:r>
          <w:rPr>
            <w:rFonts w:ascii="Cambria Math" w:hAnsi="Cambria Math"/>
            <w:color w:val="000000" w:themeColor="text1"/>
            <w:sz w:val="20"/>
            <w:szCs w:val="20"/>
            <w:lang w:val="en-US"/>
          </w:rPr>
          <m:t>=</m:t>
        </m:r>
        <m:func>
          <m:funcPr>
            <m:ctrlPr>
              <w:rPr>
                <w:rFonts w:ascii="Cambria Math" w:hAnsi="Cambria Math"/>
                <w:i/>
                <w:color w:val="000000" w:themeColor="text1"/>
                <w:sz w:val="20"/>
                <w:szCs w:val="20"/>
                <w:lang w:val="en-US"/>
              </w:rPr>
            </m:ctrlPr>
          </m:funcPr>
          <m:fName>
            <m:r>
              <m:rPr>
                <m:sty m:val="p"/>
              </m:rPr>
              <w:rPr>
                <w:rFonts w:ascii="Cambria Math" w:hAnsi="Cambria Math"/>
                <w:color w:val="000000" w:themeColor="text1"/>
                <w:sz w:val="20"/>
                <w:szCs w:val="20"/>
                <w:lang w:val="en-US"/>
              </w:rPr>
              <m:t>min</m:t>
            </m:r>
          </m:fName>
          <m:e>
            <m:r>
              <w:rPr>
                <w:rFonts w:ascii="Cambria Math" w:hAnsi="Cambria Math"/>
                <w:color w:val="000000" w:themeColor="text1"/>
                <w:sz w:val="20"/>
                <w:szCs w:val="20"/>
                <w:lang w:val="en-US"/>
              </w:rPr>
              <m:t xml:space="preserve"> (</m:t>
            </m:r>
          </m:e>
        </m:func>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2i</m:t>
            </m:r>
          </m:sub>
        </m:sSub>
        <m:r>
          <w:rPr>
            <w:rFonts w:ascii="Cambria Math" w:hAnsi="Cambria Math"/>
            <w:color w:val="000000" w:themeColor="text1"/>
            <w:sz w:val="20"/>
            <w:szCs w:val="20"/>
            <w:lang w:val="en-US"/>
          </w:rPr>
          <m:t xml:space="preserve">, 0), </m:t>
        </m:r>
      </m:oMath>
      <w:r w:rsidR="003A2F85" w:rsidRPr="001A4A7B">
        <w:rPr>
          <w:color w:val="000000" w:themeColor="text1"/>
          <w:lang w:val="en-US"/>
        </w:rPr>
        <w:t xml:space="preserve">respectively. </w:t>
      </w:r>
      <w:r w:rsidR="00D15828" w:rsidRPr="001A4A7B">
        <w:rPr>
          <w:color w:val="000000" w:themeColor="text1"/>
          <w:lang w:val="en-US"/>
        </w:rPr>
        <w:t>Clustering</w:t>
      </w:r>
      <w:r w:rsidR="003A2F85" w:rsidRPr="001A4A7B">
        <w:rPr>
          <w:color w:val="000000" w:themeColor="text1"/>
          <w:lang w:val="en-US"/>
        </w:rPr>
        <w:t xml:space="preserve"> these terms as follow, </w:t>
      </w:r>
      <m:oMath>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1i</m:t>
            </m:r>
          </m:sub>
        </m:sSub>
        <m:r>
          <w:rPr>
            <w:rFonts w:ascii="Cambria Math" w:hAnsi="Cambria Math"/>
            <w:color w:val="000000" w:themeColor="text1"/>
            <w:sz w:val="20"/>
            <w:szCs w:val="20"/>
            <w:lang w:val="en-US"/>
          </w:rPr>
          <m:t>=</m:t>
        </m:r>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1i</m:t>
            </m:r>
          </m:sub>
          <m:sup>
            <m:r>
              <w:rPr>
                <w:rFonts w:ascii="Cambria Math" w:hAnsi="Cambria Math"/>
                <w:color w:val="000000" w:themeColor="text1"/>
                <w:sz w:val="20"/>
                <w:szCs w:val="20"/>
                <w:lang w:val="en-US"/>
              </w:rPr>
              <m:t>+</m:t>
            </m:r>
          </m:sup>
        </m:sSubSup>
      </m:oMath>
      <w:r w:rsidR="003A2F85" w:rsidRPr="001A4A7B">
        <w:rPr>
          <w:color w:val="000000" w:themeColor="text1"/>
          <w:sz w:val="20"/>
          <w:szCs w:val="20"/>
          <w:lang w:val="en-US"/>
        </w:rPr>
        <w:t>+</w:t>
      </w:r>
      <m:oMath>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 xml:space="preserve"> ε</m:t>
            </m:r>
          </m:e>
          <m:sub>
            <m:r>
              <w:rPr>
                <w:rFonts w:ascii="Cambria Math" w:hAnsi="Cambria Math"/>
                <w:color w:val="000000" w:themeColor="text1"/>
                <w:sz w:val="20"/>
                <w:szCs w:val="20"/>
                <w:lang w:val="en-US"/>
              </w:rPr>
              <m:t>1i</m:t>
            </m:r>
          </m:sub>
          <m:sup>
            <m:r>
              <w:rPr>
                <w:rFonts w:ascii="Cambria Math" w:hAnsi="Cambria Math"/>
                <w:color w:val="000000" w:themeColor="text1"/>
                <w:sz w:val="20"/>
                <w:szCs w:val="20"/>
                <w:lang w:val="en-US"/>
              </w:rPr>
              <m:t>-</m:t>
            </m:r>
          </m:sup>
        </m:sSubSup>
      </m:oMath>
      <w:r w:rsidR="003A2F85" w:rsidRPr="001A4A7B">
        <w:rPr>
          <w:color w:val="000000" w:themeColor="text1"/>
          <w:lang w:val="en-US"/>
        </w:rPr>
        <w:t xml:space="preserve"> and </w:t>
      </w:r>
      <m:oMath>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2i</m:t>
            </m:r>
          </m:sub>
        </m:sSub>
        <m:r>
          <w:rPr>
            <w:rFonts w:ascii="Cambria Math" w:hAnsi="Cambria Math"/>
            <w:color w:val="000000" w:themeColor="text1"/>
            <w:sz w:val="20"/>
            <w:szCs w:val="20"/>
            <w:lang w:val="en-US"/>
          </w:rPr>
          <m:t>=</m:t>
        </m:r>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2i</m:t>
            </m:r>
          </m:sub>
          <m:sup>
            <m:r>
              <w:rPr>
                <w:rFonts w:ascii="Cambria Math" w:hAnsi="Cambria Math"/>
                <w:color w:val="000000" w:themeColor="text1"/>
                <w:sz w:val="20"/>
                <w:szCs w:val="20"/>
                <w:lang w:val="en-US"/>
              </w:rPr>
              <m:t>+</m:t>
            </m:r>
          </m:sup>
        </m:sSubSup>
      </m:oMath>
      <w:r w:rsidR="003A2F85" w:rsidRPr="001A4A7B">
        <w:rPr>
          <w:color w:val="000000" w:themeColor="text1"/>
          <w:sz w:val="20"/>
          <w:szCs w:val="20"/>
          <w:lang w:val="en-US"/>
        </w:rPr>
        <w:t>+</w:t>
      </w:r>
      <m:oMath>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 xml:space="preserve"> ε</m:t>
            </m:r>
          </m:e>
          <m:sub>
            <m:r>
              <w:rPr>
                <w:rFonts w:ascii="Cambria Math" w:hAnsi="Cambria Math"/>
                <w:color w:val="000000" w:themeColor="text1"/>
                <w:sz w:val="20"/>
                <w:szCs w:val="20"/>
                <w:lang w:val="en-US"/>
              </w:rPr>
              <m:t>2i</m:t>
            </m:r>
          </m:sub>
          <m:sup>
            <m:r>
              <w:rPr>
                <w:rFonts w:ascii="Cambria Math" w:hAnsi="Cambria Math"/>
                <w:color w:val="000000" w:themeColor="text1"/>
                <w:sz w:val="20"/>
                <w:szCs w:val="20"/>
                <w:lang w:val="en-US"/>
              </w:rPr>
              <m:t>-</m:t>
            </m:r>
          </m:sup>
        </m:sSubSup>
      </m:oMath>
      <w:r w:rsidR="003A2F85" w:rsidRPr="001A4A7B">
        <w:rPr>
          <w:color w:val="000000" w:themeColor="text1"/>
          <w:sz w:val="20"/>
          <w:szCs w:val="20"/>
          <w:lang w:val="en-US"/>
        </w:rPr>
        <w:t xml:space="preserve">, </w:t>
      </w:r>
      <w:r w:rsidR="003A2F85" w:rsidRPr="001A4A7B">
        <w:rPr>
          <w:color w:val="000000" w:themeColor="text1"/>
          <w:lang w:val="en-US"/>
        </w:rPr>
        <w:t xml:space="preserve">we </w:t>
      </w:r>
      <w:r w:rsidR="00D15828" w:rsidRPr="001A4A7B">
        <w:rPr>
          <w:color w:val="000000" w:themeColor="text1"/>
          <w:lang w:val="en-US"/>
        </w:rPr>
        <w:t>reach</w:t>
      </w:r>
      <w:r w:rsidR="003A2F85" w:rsidRPr="001A4A7B">
        <w:rPr>
          <w:color w:val="000000" w:themeColor="text1"/>
          <w:lang w:val="en-US"/>
        </w:rPr>
        <w:t>:</w:t>
      </w:r>
    </w:p>
    <w:p w14:paraId="1276FF32" w14:textId="668A86ED" w:rsidR="003A2F85" w:rsidRPr="001A4A7B" w:rsidRDefault="00000000" w:rsidP="008C50E2">
      <w:pPr>
        <w:spacing w:before="120" w:line="288" w:lineRule="auto"/>
        <w:ind w:firstLine="567"/>
        <w:jc w:val="both"/>
        <w:rPr>
          <w:color w:val="000000" w:themeColor="text1"/>
          <w:sz w:val="20"/>
          <w:szCs w:val="20"/>
          <w:lang w:val="en-US"/>
        </w:rPr>
      </w:pPr>
      <m:oMathPara>
        <m:oMath>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WTI</m:t>
              </m:r>
            </m:e>
            <m:sub>
              <m:r>
                <w:rPr>
                  <w:rFonts w:ascii="Cambria Math" w:hAnsi="Cambria Math"/>
                  <w:color w:val="000000" w:themeColor="text1"/>
                  <w:sz w:val="20"/>
                  <w:szCs w:val="20"/>
                  <w:lang w:val="en-US"/>
                </w:rPr>
                <m:t>t</m:t>
              </m:r>
            </m:sub>
          </m:sSub>
          <m:r>
            <w:rPr>
              <w:rFonts w:ascii="Cambria Math" w:hAnsi="Cambria Math"/>
              <w:color w:val="000000" w:themeColor="text1"/>
              <w:sz w:val="20"/>
              <w:szCs w:val="20"/>
              <w:lang w:val="en-US"/>
            </w:rPr>
            <m:t>=</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WTI</m:t>
              </m:r>
            </m:e>
            <m:sub>
              <m:r>
                <w:rPr>
                  <w:rFonts w:ascii="Cambria Math" w:hAnsi="Cambria Math"/>
                  <w:color w:val="000000" w:themeColor="text1"/>
                  <w:sz w:val="20"/>
                  <w:szCs w:val="20"/>
                  <w:lang w:val="en-US"/>
                </w:rPr>
                <m:t>t-1</m:t>
              </m:r>
            </m:sub>
          </m:sSub>
          <m:r>
            <w:rPr>
              <w:rFonts w:ascii="Cambria Math" w:hAnsi="Cambria Math"/>
              <w:color w:val="000000" w:themeColor="text1"/>
              <w:sz w:val="20"/>
              <w:szCs w:val="20"/>
              <w:lang w:val="en-US"/>
            </w:rPr>
            <m:t>+</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1t</m:t>
              </m:r>
            </m:sub>
          </m:sSub>
          <m:r>
            <w:rPr>
              <w:rFonts w:ascii="Cambria Math" w:hAnsi="Cambria Math"/>
              <w:color w:val="000000" w:themeColor="text1"/>
              <w:sz w:val="20"/>
              <w:szCs w:val="20"/>
              <w:lang w:val="en-US"/>
            </w:rPr>
            <m:t>=</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WTI</m:t>
              </m:r>
            </m:e>
            <m:sub>
              <m:r>
                <w:rPr>
                  <w:rFonts w:ascii="Cambria Math" w:hAnsi="Cambria Math"/>
                  <w:color w:val="000000" w:themeColor="text1"/>
                  <w:sz w:val="20"/>
                  <w:szCs w:val="20"/>
                  <w:lang w:val="en-US"/>
                </w:rPr>
                <m:t>0</m:t>
              </m:r>
            </m:sub>
          </m:sSub>
          <m:r>
            <w:rPr>
              <w:rFonts w:ascii="Cambria Math" w:hAnsi="Cambria Math"/>
              <w:color w:val="000000" w:themeColor="text1"/>
              <w:sz w:val="20"/>
              <w:szCs w:val="20"/>
              <w:lang w:val="en-US"/>
            </w:rPr>
            <m:t>+</m:t>
          </m:r>
          <m:nary>
            <m:naryPr>
              <m:chr m:val="∑"/>
              <m:limLoc m:val="undOvr"/>
              <m:ctrlPr>
                <w:rPr>
                  <w:rFonts w:ascii="Cambria Math" w:hAnsi="Cambria Math"/>
                  <w:i/>
                  <w:color w:val="000000" w:themeColor="text1"/>
                  <w:sz w:val="20"/>
                  <w:szCs w:val="20"/>
                  <w:lang w:val="en-US"/>
                </w:rPr>
              </m:ctrlPr>
            </m:naryPr>
            <m:sub>
              <m:r>
                <w:rPr>
                  <w:rFonts w:ascii="Cambria Math" w:hAnsi="Cambria Math"/>
                  <w:color w:val="000000" w:themeColor="text1"/>
                  <w:sz w:val="20"/>
                  <w:szCs w:val="20"/>
                  <w:lang w:val="en-US"/>
                </w:rPr>
                <m:t>i=1</m:t>
              </m:r>
            </m:sub>
            <m:sup>
              <m:r>
                <w:rPr>
                  <w:rFonts w:ascii="Cambria Math" w:hAnsi="Cambria Math"/>
                  <w:color w:val="000000" w:themeColor="text1"/>
                  <w:sz w:val="20"/>
                  <w:szCs w:val="20"/>
                  <w:lang w:val="en-US"/>
                </w:rPr>
                <m:t>t</m:t>
              </m:r>
            </m:sup>
            <m:e>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1i</m:t>
                  </m:r>
                </m:sub>
                <m:sup>
                  <m:r>
                    <w:rPr>
                      <w:rFonts w:ascii="Cambria Math" w:hAnsi="Cambria Math"/>
                      <w:color w:val="000000" w:themeColor="text1"/>
                      <w:sz w:val="20"/>
                      <w:szCs w:val="20"/>
                      <w:lang w:val="en-US"/>
                    </w:rPr>
                    <m:t>+</m:t>
                  </m:r>
                </m:sup>
              </m:sSubSup>
            </m:e>
          </m:nary>
          <m:r>
            <w:rPr>
              <w:rFonts w:ascii="Cambria Math" w:hAnsi="Cambria Math"/>
              <w:color w:val="000000" w:themeColor="text1"/>
              <w:sz w:val="20"/>
              <w:szCs w:val="20"/>
              <w:lang w:val="en-US"/>
            </w:rPr>
            <m:t>+</m:t>
          </m:r>
          <m:nary>
            <m:naryPr>
              <m:chr m:val="∑"/>
              <m:limLoc m:val="undOvr"/>
              <m:ctrlPr>
                <w:rPr>
                  <w:rFonts w:ascii="Cambria Math" w:hAnsi="Cambria Math"/>
                  <w:i/>
                  <w:color w:val="000000" w:themeColor="text1"/>
                  <w:sz w:val="20"/>
                  <w:szCs w:val="20"/>
                  <w:lang w:val="en-US"/>
                </w:rPr>
              </m:ctrlPr>
            </m:naryPr>
            <m:sub>
              <m:r>
                <w:rPr>
                  <w:rFonts w:ascii="Cambria Math" w:hAnsi="Cambria Math"/>
                  <w:color w:val="000000" w:themeColor="text1"/>
                  <w:sz w:val="20"/>
                  <w:szCs w:val="20"/>
                  <w:lang w:val="en-US"/>
                </w:rPr>
                <m:t>i=1</m:t>
              </m:r>
            </m:sub>
            <m:sup>
              <m:r>
                <w:rPr>
                  <w:rFonts w:ascii="Cambria Math" w:hAnsi="Cambria Math"/>
                  <w:color w:val="000000" w:themeColor="text1"/>
                  <w:sz w:val="20"/>
                  <w:szCs w:val="20"/>
                  <w:lang w:val="en-US"/>
                </w:rPr>
                <m:t>t</m:t>
              </m:r>
            </m:sup>
            <m:e>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1i</m:t>
                  </m:r>
                </m:sub>
                <m:sup>
                  <m:r>
                    <w:rPr>
                      <w:rFonts w:ascii="Cambria Math" w:hAnsi="Cambria Math"/>
                      <w:color w:val="000000" w:themeColor="text1"/>
                      <w:sz w:val="20"/>
                      <w:szCs w:val="20"/>
                      <w:lang w:val="en-US"/>
                    </w:rPr>
                    <m:t xml:space="preserve">- </m:t>
                  </m:r>
                </m:sup>
              </m:sSubSup>
            </m:e>
          </m:nary>
          <m:r>
            <w:rPr>
              <w:rFonts w:ascii="Cambria Math" w:hAnsi="Cambria Math"/>
              <w:color w:val="000000" w:themeColor="text1"/>
              <w:sz w:val="20"/>
              <w:szCs w:val="20"/>
              <w:lang w:val="en-US"/>
            </w:rPr>
            <m:t xml:space="preserve">                                                                                            </m:t>
          </m:r>
          <m:d>
            <m:dPr>
              <m:ctrlPr>
                <w:rPr>
                  <w:rFonts w:ascii="Cambria Math" w:hAnsi="Cambria Math"/>
                  <w:i/>
                  <w:color w:val="000000" w:themeColor="text1"/>
                  <w:sz w:val="20"/>
                  <w:szCs w:val="20"/>
                  <w:lang w:val="en-US"/>
                </w:rPr>
              </m:ctrlPr>
            </m:dPr>
            <m:e>
              <m:r>
                <w:rPr>
                  <w:rFonts w:ascii="Cambria Math" w:hAnsi="Cambria Math"/>
                  <w:color w:val="000000" w:themeColor="text1"/>
                  <w:sz w:val="20"/>
                  <w:szCs w:val="20"/>
                  <w:lang w:val="en-US"/>
                </w:rPr>
                <m:t>5</m:t>
              </m:r>
            </m:e>
          </m:d>
        </m:oMath>
      </m:oMathPara>
    </w:p>
    <w:p w14:paraId="7A28DD8E" w14:textId="70AE2964" w:rsidR="003A2F85" w:rsidRPr="001A4A7B" w:rsidRDefault="00000000" w:rsidP="008C50E2">
      <w:pPr>
        <w:spacing w:before="120" w:line="288" w:lineRule="auto"/>
        <w:ind w:firstLine="567"/>
        <w:jc w:val="both"/>
        <w:rPr>
          <w:color w:val="000000" w:themeColor="text1"/>
          <w:sz w:val="20"/>
          <w:szCs w:val="20"/>
          <w:lang w:val="en-US"/>
        </w:rPr>
      </w:pPr>
      <m:oMathPara>
        <m:oMathParaPr>
          <m:jc m:val="left"/>
        </m:oMathParaPr>
        <m:oMath>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refined product</m:t>
              </m:r>
            </m:e>
            <m:sub>
              <m:r>
                <w:rPr>
                  <w:rFonts w:ascii="Cambria Math" w:hAnsi="Cambria Math"/>
                  <w:color w:val="000000" w:themeColor="text1"/>
                  <w:sz w:val="20"/>
                  <w:szCs w:val="20"/>
                  <w:lang w:val="en-US"/>
                </w:rPr>
                <m:t>t</m:t>
              </m:r>
            </m:sub>
          </m:sSub>
          <m:r>
            <w:rPr>
              <w:rFonts w:ascii="Cambria Math" w:hAnsi="Cambria Math"/>
              <w:color w:val="000000" w:themeColor="text1"/>
              <w:sz w:val="20"/>
              <w:szCs w:val="20"/>
              <w:lang w:val="en-US"/>
            </w:rPr>
            <m:t>=</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refined product</m:t>
              </m:r>
            </m:e>
            <m:sub>
              <m:r>
                <w:rPr>
                  <w:rFonts w:ascii="Cambria Math" w:hAnsi="Cambria Math"/>
                  <w:color w:val="000000" w:themeColor="text1"/>
                  <w:sz w:val="20"/>
                  <w:szCs w:val="20"/>
                  <w:lang w:val="en-US"/>
                </w:rPr>
                <m:t>t-1</m:t>
              </m:r>
            </m:sub>
          </m:sSub>
          <m:r>
            <w:rPr>
              <w:rFonts w:ascii="Cambria Math" w:hAnsi="Cambria Math"/>
              <w:color w:val="000000" w:themeColor="text1"/>
              <w:sz w:val="20"/>
              <w:szCs w:val="20"/>
              <w:lang w:val="en-US"/>
            </w:rPr>
            <m:t>+</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2t</m:t>
              </m:r>
            </m:sub>
          </m:sSub>
          <m:r>
            <w:rPr>
              <w:rFonts w:ascii="Cambria Math" w:hAnsi="Cambria Math"/>
              <w:color w:val="000000" w:themeColor="text1"/>
              <w:sz w:val="20"/>
              <w:szCs w:val="20"/>
              <w:lang w:val="en-US"/>
            </w:rPr>
            <m:t>=</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refined product</m:t>
              </m:r>
            </m:e>
            <m:sub>
              <m:r>
                <w:rPr>
                  <w:rFonts w:ascii="Cambria Math" w:hAnsi="Cambria Math"/>
                  <w:color w:val="000000" w:themeColor="text1"/>
                  <w:sz w:val="20"/>
                  <w:szCs w:val="20"/>
                  <w:lang w:val="en-US"/>
                </w:rPr>
                <m:t>0</m:t>
              </m:r>
            </m:sub>
          </m:sSub>
          <m:r>
            <w:rPr>
              <w:rFonts w:ascii="Cambria Math" w:hAnsi="Cambria Math"/>
              <w:color w:val="000000" w:themeColor="text1"/>
              <w:sz w:val="20"/>
              <w:szCs w:val="20"/>
              <w:lang w:val="en-US"/>
            </w:rPr>
            <m:t>+</m:t>
          </m:r>
          <m:nary>
            <m:naryPr>
              <m:chr m:val="∑"/>
              <m:limLoc m:val="undOvr"/>
              <m:ctrlPr>
                <w:rPr>
                  <w:rFonts w:ascii="Cambria Math" w:hAnsi="Cambria Math"/>
                  <w:i/>
                  <w:color w:val="000000" w:themeColor="text1"/>
                  <w:sz w:val="20"/>
                  <w:szCs w:val="20"/>
                  <w:lang w:val="en-US"/>
                </w:rPr>
              </m:ctrlPr>
            </m:naryPr>
            <m:sub>
              <m:r>
                <w:rPr>
                  <w:rFonts w:ascii="Cambria Math" w:hAnsi="Cambria Math"/>
                  <w:color w:val="000000" w:themeColor="text1"/>
                  <w:sz w:val="20"/>
                  <w:szCs w:val="20"/>
                  <w:lang w:val="en-US"/>
                </w:rPr>
                <m:t>i=1</m:t>
              </m:r>
            </m:sub>
            <m:sup>
              <m:r>
                <w:rPr>
                  <w:rFonts w:ascii="Cambria Math" w:hAnsi="Cambria Math"/>
                  <w:color w:val="000000" w:themeColor="text1"/>
                  <w:sz w:val="20"/>
                  <w:szCs w:val="20"/>
                  <w:lang w:val="en-US"/>
                </w:rPr>
                <m:t>t</m:t>
              </m:r>
            </m:sup>
            <m:e>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2i</m:t>
                  </m:r>
                </m:sub>
                <m:sup>
                  <m:r>
                    <w:rPr>
                      <w:rFonts w:ascii="Cambria Math" w:hAnsi="Cambria Math"/>
                      <w:color w:val="000000" w:themeColor="text1"/>
                      <w:sz w:val="20"/>
                      <w:szCs w:val="20"/>
                      <w:lang w:val="en-US"/>
                    </w:rPr>
                    <m:t>+</m:t>
                  </m:r>
                </m:sup>
              </m:sSubSup>
            </m:e>
          </m:nary>
          <m:r>
            <w:rPr>
              <w:rFonts w:ascii="Cambria Math" w:hAnsi="Cambria Math"/>
              <w:color w:val="000000" w:themeColor="text1"/>
              <w:sz w:val="20"/>
              <w:szCs w:val="20"/>
              <w:lang w:val="en-US"/>
            </w:rPr>
            <m:t>+</m:t>
          </m:r>
          <m:nary>
            <m:naryPr>
              <m:chr m:val="∑"/>
              <m:limLoc m:val="undOvr"/>
              <m:ctrlPr>
                <w:rPr>
                  <w:rFonts w:ascii="Cambria Math" w:hAnsi="Cambria Math"/>
                  <w:i/>
                  <w:color w:val="000000" w:themeColor="text1"/>
                  <w:sz w:val="20"/>
                  <w:szCs w:val="20"/>
                  <w:lang w:val="en-US"/>
                </w:rPr>
              </m:ctrlPr>
            </m:naryPr>
            <m:sub>
              <m:r>
                <w:rPr>
                  <w:rFonts w:ascii="Cambria Math" w:hAnsi="Cambria Math"/>
                  <w:color w:val="000000" w:themeColor="text1"/>
                  <w:sz w:val="20"/>
                  <w:szCs w:val="20"/>
                  <w:lang w:val="en-US"/>
                </w:rPr>
                <m:t>i=1</m:t>
              </m:r>
            </m:sub>
            <m:sup>
              <m:r>
                <w:rPr>
                  <w:rFonts w:ascii="Cambria Math" w:hAnsi="Cambria Math"/>
                  <w:color w:val="000000" w:themeColor="text1"/>
                  <w:sz w:val="20"/>
                  <w:szCs w:val="20"/>
                  <w:lang w:val="en-US"/>
                </w:rPr>
                <m:t>t</m:t>
              </m:r>
            </m:sup>
            <m:e>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2i</m:t>
                  </m:r>
                </m:sub>
                <m:sup>
                  <m:r>
                    <w:rPr>
                      <w:rFonts w:ascii="Cambria Math" w:hAnsi="Cambria Math"/>
                      <w:color w:val="000000" w:themeColor="text1"/>
                      <w:sz w:val="20"/>
                      <w:szCs w:val="20"/>
                      <w:lang w:val="en-US"/>
                    </w:rPr>
                    <m:t>-</m:t>
                  </m:r>
                </m:sup>
              </m:sSubSup>
            </m:e>
          </m:nary>
          <m:r>
            <w:rPr>
              <w:rFonts w:ascii="Cambria Math" w:hAnsi="Cambria Math"/>
              <w:color w:val="000000" w:themeColor="text1"/>
              <w:sz w:val="20"/>
              <w:szCs w:val="20"/>
              <w:lang w:val="en-US"/>
            </w:rPr>
            <m:t xml:space="preserve">                 </m:t>
          </m:r>
          <m:d>
            <m:dPr>
              <m:ctrlPr>
                <w:rPr>
                  <w:rFonts w:ascii="Cambria Math" w:hAnsi="Cambria Math"/>
                  <w:i/>
                  <w:color w:val="000000" w:themeColor="text1"/>
                  <w:sz w:val="20"/>
                  <w:szCs w:val="20"/>
                  <w:lang w:val="en-US"/>
                </w:rPr>
              </m:ctrlPr>
            </m:dPr>
            <m:e>
              <m:r>
                <w:rPr>
                  <w:rFonts w:ascii="Cambria Math" w:hAnsi="Cambria Math"/>
                  <w:color w:val="000000" w:themeColor="text1"/>
                  <w:sz w:val="20"/>
                  <w:szCs w:val="20"/>
                  <w:lang w:val="en-US"/>
                </w:rPr>
                <m:t>6</m:t>
              </m:r>
            </m:e>
          </m:d>
        </m:oMath>
      </m:oMathPara>
    </w:p>
    <w:p w14:paraId="76F62827" w14:textId="77777777" w:rsidR="00956BC6" w:rsidRPr="001A4A7B" w:rsidRDefault="00956BC6" w:rsidP="00956BC6">
      <w:pPr>
        <w:spacing w:line="288" w:lineRule="auto"/>
        <w:jc w:val="both"/>
        <w:rPr>
          <w:color w:val="000000" w:themeColor="text1"/>
          <w:lang w:val="en-US"/>
        </w:rPr>
      </w:pPr>
    </w:p>
    <w:p w14:paraId="1AC1AACE" w14:textId="638EC3B0" w:rsidR="003A2F85" w:rsidRPr="001A4A7B" w:rsidRDefault="003A2F85" w:rsidP="00956BC6">
      <w:pPr>
        <w:spacing w:line="288" w:lineRule="auto"/>
        <w:jc w:val="both"/>
        <w:rPr>
          <w:color w:val="000000" w:themeColor="text1"/>
          <w:lang w:val="en-US"/>
        </w:rPr>
      </w:pPr>
      <w:r w:rsidRPr="001A4A7B">
        <w:rPr>
          <w:color w:val="000000" w:themeColor="text1"/>
          <w:lang w:val="en-US"/>
        </w:rPr>
        <w:t>Therefore, positive and negative shocks can be written as follows:</w:t>
      </w:r>
    </w:p>
    <w:p w14:paraId="12C26B65" w14:textId="2B023EA0" w:rsidR="003A2F85" w:rsidRPr="001A4A7B" w:rsidRDefault="00000000" w:rsidP="008B2E4B">
      <w:pPr>
        <w:spacing w:line="288" w:lineRule="auto"/>
        <w:ind w:firstLine="567"/>
        <w:jc w:val="both"/>
        <w:rPr>
          <w:color w:val="000000" w:themeColor="text1"/>
          <w:sz w:val="20"/>
          <w:szCs w:val="20"/>
          <w:lang w:val="en-US"/>
        </w:rPr>
      </w:pPr>
      <m:oMathPara>
        <m:oMath>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WTI</m:t>
              </m:r>
            </m:e>
            <m:sub>
              <m:r>
                <w:rPr>
                  <w:rFonts w:ascii="Cambria Math" w:hAnsi="Cambria Math"/>
                  <w:color w:val="000000" w:themeColor="text1"/>
                  <w:sz w:val="20"/>
                  <w:szCs w:val="20"/>
                  <w:lang w:val="en-US"/>
                </w:rPr>
                <m:t>t</m:t>
              </m:r>
            </m:sub>
            <m:sup>
              <m:r>
                <w:rPr>
                  <w:rFonts w:ascii="Cambria Math" w:hAnsi="Cambria Math"/>
                  <w:color w:val="000000" w:themeColor="text1"/>
                  <w:sz w:val="20"/>
                  <w:szCs w:val="20"/>
                  <w:lang w:val="en-US"/>
                </w:rPr>
                <m:t>+</m:t>
              </m:r>
            </m:sup>
          </m:sSubSup>
          <m:r>
            <w:rPr>
              <w:rFonts w:ascii="Cambria Math" w:hAnsi="Cambria Math"/>
              <w:color w:val="000000" w:themeColor="text1"/>
              <w:sz w:val="20"/>
              <w:szCs w:val="20"/>
              <w:lang w:val="en-US"/>
            </w:rPr>
            <m:t>=</m:t>
          </m:r>
          <m:nary>
            <m:naryPr>
              <m:chr m:val="∑"/>
              <m:limLoc m:val="undOvr"/>
              <m:ctrlPr>
                <w:rPr>
                  <w:rFonts w:ascii="Cambria Math" w:hAnsi="Cambria Math"/>
                  <w:i/>
                  <w:color w:val="000000" w:themeColor="text1"/>
                  <w:sz w:val="20"/>
                  <w:szCs w:val="20"/>
                  <w:lang w:val="en-US"/>
                </w:rPr>
              </m:ctrlPr>
            </m:naryPr>
            <m:sub>
              <m:r>
                <w:rPr>
                  <w:rFonts w:ascii="Cambria Math" w:hAnsi="Cambria Math"/>
                  <w:color w:val="000000" w:themeColor="text1"/>
                  <w:sz w:val="20"/>
                  <w:szCs w:val="20"/>
                  <w:lang w:val="en-US"/>
                </w:rPr>
                <m:t>i=1</m:t>
              </m:r>
            </m:sub>
            <m:sup>
              <m:r>
                <w:rPr>
                  <w:rFonts w:ascii="Cambria Math" w:hAnsi="Cambria Math"/>
                  <w:color w:val="000000" w:themeColor="text1"/>
                  <w:sz w:val="20"/>
                  <w:szCs w:val="20"/>
                  <w:lang w:val="en-US"/>
                </w:rPr>
                <m:t>t</m:t>
              </m:r>
            </m:sup>
            <m:e>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1i</m:t>
                  </m:r>
                </m:sub>
                <m:sup>
                  <m:r>
                    <w:rPr>
                      <w:rFonts w:ascii="Cambria Math" w:hAnsi="Cambria Math"/>
                      <w:color w:val="000000" w:themeColor="text1"/>
                      <w:sz w:val="20"/>
                      <w:szCs w:val="20"/>
                      <w:lang w:val="en-US"/>
                    </w:rPr>
                    <m:t>+</m:t>
                  </m:r>
                </m:sup>
              </m:sSubSup>
            </m:e>
          </m:nary>
          <m:r>
            <w:rPr>
              <w:rFonts w:ascii="Cambria Math" w:hAnsi="Cambria Math"/>
              <w:color w:val="000000" w:themeColor="text1"/>
              <w:sz w:val="20"/>
              <w:szCs w:val="20"/>
              <w:lang w:val="en-US"/>
            </w:rPr>
            <m:t xml:space="preserve">; </m:t>
          </m:r>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WTI</m:t>
              </m:r>
            </m:e>
            <m:sub>
              <m:r>
                <w:rPr>
                  <w:rFonts w:ascii="Cambria Math" w:hAnsi="Cambria Math"/>
                  <w:color w:val="000000" w:themeColor="text1"/>
                  <w:sz w:val="20"/>
                  <w:szCs w:val="20"/>
                  <w:lang w:val="en-US"/>
                </w:rPr>
                <m:t>t</m:t>
              </m:r>
            </m:sub>
            <m:sup>
              <m:r>
                <w:rPr>
                  <w:rFonts w:ascii="Cambria Math" w:hAnsi="Cambria Math"/>
                  <w:color w:val="000000" w:themeColor="text1"/>
                  <w:sz w:val="20"/>
                  <w:szCs w:val="20"/>
                  <w:lang w:val="en-US"/>
                </w:rPr>
                <m:t>-</m:t>
              </m:r>
            </m:sup>
          </m:sSubSup>
          <m:r>
            <w:rPr>
              <w:rFonts w:ascii="Cambria Math" w:hAnsi="Cambria Math"/>
              <w:color w:val="000000" w:themeColor="text1"/>
              <w:sz w:val="20"/>
              <w:szCs w:val="20"/>
              <w:lang w:val="en-US"/>
            </w:rPr>
            <m:t>=</m:t>
          </m:r>
          <m:nary>
            <m:naryPr>
              <m:chr m:val="∑"/>
              <m:limLoc m:val="undOvr"/>
              <m:ctrlPr>
                <w:rPr>
                  <w:rFonts w:ascii="Cambria Math" w:hAnsi="Cambria Math"/>
                  <w:i/>
                  <w:color w:val="000000" w:themeColor="text1"/>
                  <w:sz w:val="20"/>
                  <w:szCs w:val="20"/>
                  <w:lang w:val="en-US"/>
                </w:rPr>
              </m:ctrlPr>
            </m:naryPr>
            <m:sub>
              <m:r>
                <w:rPr>
                  <w:rFonts w:ascii="Cambria Math" w:hAnsi="Cambria Math"/>
                  <w:color w:val="000000" w:themeColor="text1"/>
                  <w:sz w:val="20"/>
                  <w:szCs w:val="20"/>
                  <w:lang w:val="en-US"/>
                </w:rPr>
                <m:t>i=1</m:t>
              </m:r>
            </m:sub>
            <m:sup>
              <m:r>
                <w:rPr>
                  <w:rFonts w:ascii="Cambria Math" w:hAnsi="Cambria Math"/>
                  <w:color w:val="000000" w:themeColor="text1"/>
                  <w:sz w:val="20"/>
                  <w:szCs w:val="20"/>
                  <w:lang w:val="en-US"/>
                </w:rPr>
                <m:t>t</m:t>
              </m:r>
            </m:sup>
            <m:e>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1i</m:t>
                  </m:r>
                </m:sub>
                <m:sup>
                  <m:r>
                    <w:rPr>
                      <w:rFonts w:ascii="Cambria Math" w:hAnsi="Cambria Math"/>
                      <w:color w:val="000000" w:themeColor="text1"/>
                      <w:sz w:val="20"/>
                      <w:szCs w:val="20"/>
                      <w:lang w:val="en-US"/>
                    </w:rPr>
                    <m:t>-</m:t>
                  </m:r>
                </m:sup>
              </m:sSubSup>
            </m:e>
          </m:nary>
          <m:r>
            <w:rPr>
              <w:rFonts w:ascii="Cambria Math" w:hAnsi="Cambria Math"/>
              <w:color w:val="000000" w:themeColor="text1"/>
              <w:sz w:val="20"/>
              <w:szCs w:val="20"/>
              <w:lang w:val="en-US"/>
            </w:rPr>
            <m:t>;</m:t>
          </m:r>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refined product</m:t>
              </m:r>
            </m:e>
            <m:sub>
              <m:r>
                <w:rPr>
                  <w:rFonts w:ascii="Cambria Math" w:hAnsi="Cambria Math"/>
                  <w:color w:val="000000" w:themeColor="text1"/>
                  <w:sz w:val="20"/>
                  <w:szCs w:val="20"/>
                  <w:lang w:val="en-US"/>
                </w:rPr>
                <m:t>t</m:t>
              </m:r>
            </m:sub>
            <m:sup>
              <m:r>
                <w:rPr>
                  <w:rFonts w:ascii="Cambria Math" w:hAnsi="Cambria Math"/>
                  <w:color w:val="000000" w:themeColor="text1"/>
                  <w:sz w:val="20"/>
                  <w:szCs w:val="20"/>
                  <w:lang w:val="en-US"/>
                </w:rPr>
                <m:t>+</m:t>
              </m:r>
            </m:sup>
          </m:sSubSup>
          <m:r>
            <w:rPr>
              <w:rFonts w:ascii="Cambria Math" w:hAnsi="Cambria Math"/>
              <w:color w:val="000000" w:themeColor="text1"/>
              <w:sz w:val="20"/>
              <w:szCs w:val="20"/>
              <w:lang w:val="en-US"/>
            </w:rPr>
            <m:t>=</m:t>
          </m:r>
          <m:nary>
            <m:naryPr>
              <m:chr m:val="∑"/>
              <m:limLoc m:val="undOvr"/>
              <m:ctrlPr>
                <w:rPr>
                  <w:rFonts w:ascii="Cambria Math" w:hAnsi="Cambria Math"/>
                  <w:i/>
                  <w:color w:val="000000" w:themeColor="text1"/>
                  <w:sz w:val="20"/>
                  <w:szCs w:val="20"/>
                  <w:lang w:val="en-US"/>
                </w:rPr>
              </m:ctrlPr>
            </m:naryPr>
            <m:sub>
              <m:r>
                <w:rPr>
                  <w:rFonts w:ascii="Cambria Math" w:hAnsi="Cambria Math"/>
                  <w:color w:val="000000" w:themeColor="text1"/>
                  <w:sz w:val="20"/>
                  <w:szCs w:val="20"/>
                  <w:lang w:val="en-US"/>
                </w:rPr>
                <m:t>i=1</m:t>
              </m:r>
            </m:sub>
            <m:sup>
              <m:r>
                <w:rPr>
                  <w:rFonts w:ascii="Cambria Math" w:hAnsi="Cambria Math"/>
                  <w:color w:val="000000" w:themeColor="text1"/>
                  <w:sz w:val="20"/>
                  <w:szCs w:val="20"/>
                  <w:lang w:val="en-US"/>
                </w:rPr>
                <m:t>t</m:t>
              </m:r>
            </m:sup>
            <m:e>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2i</m:t>
                  </m:r>
                </m:sub>
                <m:sup>
                  <m:r>
                    <w:rPr>
                      <w:rFonts w:ascii="Cambria Math" w:hAnsi="Cambria Math"/>
                      <w:color w:val="000000" w:themeColor="text1"/>
                      <w:sz w:val="20"/>
                      <w:szCs w:val="20"/>
                      <w:lang w:val="en-US"/>
                    </w:rPr>
                    <m:t>+</m:t>
                  </m:r>
                </m:sup>
              </m:sSubSup>
            </m:e>
          </m:nary>
          <m:r>
            <w:rPr>
              <w:rFonts w:ascii="Cambria Math" w:hAnsi="Cambria Math"/>
              <w:color w:val="000000" w:themeColor="text1"/>
              <w:sz w:val="20"/>
              <w:szCs w:val="20"/>
              <w:lang w:val="en-US"/>
            </w:rPr>
            <m:t>;</m:t>
          </m:r>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refined product</m:t>
              </m:r>
            </m:e>
            <m:sub>
              <m:r>
                <w:rPr>
                  <w:rFonts w:ascii="Cambria Math" w:hAnsi="Cambria Math"/>
                  <w:color w:val="000000" w:themeColor="text1"/>
                  <w:sz w:val="20"/>
                  <w:szCs w:val="20"/>
                  <w:lang w:val="en-US"/>
                </w:rPr>
                <m:t>t</m:t>
              </m:r>
            </m:sub>
            <m:sup>
              <m:r>
                <w:rPr>
                  <w:rFonts w:ascii="Cambria Math" w:hAnsi="Cambria Math"/>
                  <w:color w:val="000000" w:themeColor="text1"/>
                  <w:sz w:val="20"/>
                  <w:szCs w:val="20"/>
                  <w:lang w:val="en-US"/>
                </w:rPr>
                <m:t>-</m:t>
              </m:r>
            </m:sup>
          </m:sSubSup>
          <m:r>
            <w:rPr>
              <w:rFonts w:ascii="Cambria Math" w:hAnsi="Cambria Math"/>
              <w:color w:val="000000" w:themeColor="text1"/>
              <w:sz w:val="20"/>
              <w:szCs w:val="20"/>
              <w:lang w:val="en-US"/>
            </w:rPr>
            <m:t>=</m:t>
          </m:r>
          <m:nary>
            <m:naryPr>
              <m:chr m:val="∑"/>
              <m:limLoc m:val="undOvr"/>
              <m:ctrlPr>
                <w:rPr>
                  <w:rFonts w:ascii="Cambria Math" w:hAnsi="Cambria Math"/>
                  <w:i/>
                  <w:color w:val="000000" w:themeColor="text1"/>
                  <w:sz w:val="20"/>
                  <w:szCs w:val="20"/>
                  <w:lang w:val="en-US"/>
                </w:rPr>
              </m:ctrlPr>
            </m:naryPr>
            <m:sub>
              <m:r>
                <w:rPr>
                  <w:rFonts w:ascii="Cambria Math" w:hAnsi="Cambria Math"/>
                  <w:color w:val="000000" w:themeColor="text1"/>
                  <w:sz w:val="20"/>
                  <w:szCs w:val="20"/>
                  <w:lang w:val="en-US"/>
                </w:rPr>
                <m:t>i=1</m:t>
              </m:r>
            </m:sub>
            <m:sup>
              <m:r>
                <w:rPr>
                  <w:rFonts w:ascii="Cambria Math" w:hAnsi="Cambria Math"/>
                  <w:color w:val="000000" w:themeColor="text1"/>
                  <w:sz w:val="20"/>
                  <w:szCs w:val="20"/>
                  <w:lang w:val="en-US"/>
                </w:rPr>
                <m:t>t</m:t>
              </m:r>
            </m:sup>
            <m:e>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ε</m:t>
                  </m:r>
                </m:e>
                <m:sub>
                  <m:r>
                    <w:rPr>
                      <w:rFonts w:ascii="Cambria Math" w:hAnsi="Cambria Math"/>
                      <w:color w:val="000000" w:themeColor="text1"/>
                      <w:sz w:val="20"/>
                      <w:szCs w:val="20"/>
                      <w:lang w:val="en-US"/>
                    </w:rPr>
                    <m:t>2i</m:t>
                  </m:r>
                </m:sub>
                <m:sup>
                  <m:r>
                    <w:rPr>
                      <w:rFonts w:ascii="Cambria Math" w:hAnsi="Cambria Math"/>
                      <w:color w:val="000000" w:themeColor="text1"/>
                      <w:sz w:val="20"/>
                      <w:szCs w:val="20"/>
                      <w:lang w:val="en-US"/>
                    </w:rPr>
                    <m:t>-</m:t>
                  </m:r>
                </m:sup>
              </m:sSubSup>
            </m:e>
          </m:nary>
          <m:r>
            <w:rPr>
              <w:rFonts w:ascii="Cambria Math" w:hAnsi="Cambria Math"/>
              <w:color w:val="000000" w:themeColor="text1"/>
              <w:sz w:val="20"/>
              <w:szCs w:val="20"/>
              <w:lang w:val="en-US"/>
            </w:rPr>
            <m:t xml:space="preserve">     </m:t>
          </m:r>
          <m:d>
            <m:dPr>
              <m:ctrlPr>
                <w:rPr>
                  <w:rFonts w:ascii="Cambria Math" w:hAnsi="Cambria Math"/>
                  <w:i/>
                  <w:color w:val="000000" w:themeColor="text1"/>
                  <w:sz w:val="20"/>
                  <w:szCs w:val="20"/>
                  <w:lang w:val="en-US"/>
                </w:rPr>
              </m:ctrlPr>
            </m:dPr>
            <m:e>
              <m:r>
                <w:rPr>
                  <w:rFonts w:ascii="Cambria Math" w:hAnsi="Cambria Math"/>
                  <w:color w:val="000000" w:themeColor="text1"/>
                  <w:sz w:val="20"/>
                  <w:szCs w:val="20"/>
                  <w:lang w:val="en-US"/>
                </w:rPr>
                <m:t>7</m:t>
              </m:r>
            </m:e>
          </m:d>
        </m:oMath>
      </m:oMathPara>
    </w:p>
    <w:p w14:paraId="03B639C5" w14:textId="77777777" w:rsidR="00956BC6" w:rsidRPr="001A4A7B" w:rsidRDefault="00956BC6" w:rsidP="00956BC6">
      <w:pPr>
        <w:spacing w:line="288" w:lineRule="auto"/>
        <w:jc w:val="both"/>
        <w:rPr>
          <w:color w:val="000000" w:themeColor="text1"/>
          <w:lang w:val="en-US"/>
        </w:rPr>
      </w:pPr>
    </w:p>
    <w:p w14:paraId="30B206DC" w14:textId="1A31CDF0" w:rsidR="007A5165" w:rsidRPr="001A4A7B" w:rsidRDefault="003A2F85" w:rsidP="00956BC6">
      <w:pPr>
        <w:spacing w:line="288" w:lineRule="auto"/>
        <w:jc w:val="both"/>
        <w:rPr>
          <w:color w:val="000000" w:themeColor="text1"/>
          <w:lang w:val="en-US"/>
        </w:rPr>
      </w:pPr>
      <w:r w:rsidRPr="001A4A7B">
        <w:rPr>
          <w:color w:val="000000" w:themeColor="text1"/>
          <w:lang w:val="en-US"/>
        </w:rPr>
        <w:t>Assuming</w:t>
      </w:r>
      <w:r w:rsidR="007A5165" w:rsidRPr="001A4A7B">
        <w:rPr>
          <w:color w:val="000000" w:themeColor="text1"/>
          <w:lang w:val="en-US"/>
        </w:rPr>
        <w:t xml:space="preserve"> </w:t>
      </w:r>
      <w:r w:rsidRPr="001A4A7B">
        <w:rPr>
          <w:color w:val="000000" w:themeColor="text1"/>
          <w:lang w:val="en-US"/>
        </w:rPr>
        <w:t>tha</w:t>
      </w:r>
      <w:r w:rsidR="007A5165" w:rsidRPr="001A4A7B">
        <w:rPr>
          <w:color w:val="000000" w:themeColor="text1"/>
          <w:lang w:val="en-US"/>
        </w:rPr>
        <w:t>t:</w:t>
      </w:r>
    </w:p>
    <w:p w14:paraId="34B4B228" w14:textId="77777777" w:rsidR="00956BC6" w:rsidRPr="001A4A7B" w:rsidRDefault="00000000" w:rsidP="007A5165">
      <w:pPr>
        <w:spacing w:line="288" w:lineRule="auto"/>
        <w:ind w:firstLine="284"/>
        <w:jc w:val="both"/>
        <w:rPr>
          <w:color w:val="000000" w:themeColor="text1"/>
          <w:lang w:val="en-US"/>
        </w:rPr>
      </w:pPr>
      <m:oMath>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y</m:t>
            </m:r>
          </m:e>
          <m:sub>
            <m:r>
              <w:rPr>
                <w:rFonts w:ascii="Cambria Math" w:hAnsi="Cambria Math"/>
                <w:color w:val="000000" w:themeColor="text1"/>
                <w:sz w:val="20"/>
                <w:szCs w:val="20"/>
                <w:lang w:val="en-US"/>
              </w:rPr>
              <m:t>t</m:t>
            </m:r>
          </m:sub>
          <m:sup>
            <m:r>
              <w:rPr>
                <w:rFonts w:ascii="Cambria Math" w:hAnsi="Cambria Math"/>
                <w:color w:val="000000" w:themeColor="text1"/>
                <w:sz w:val="20"/>
                <w:szCs w:val="20"/>
                <w:lang w:val="en-US"/>
              </w:rPr>
              <m:t>+</m:t>
            </m:r>
          </m:sup>
        </m:sSubSup>
        <m:r>
          <w:rPr>
            <w:rFonts w:ascii="Cambria Math" w:hAnsi="Cambria Math"/>
            <w:color w:val="000000" w:themeColor="text1"/>
            <w:sz w:val="20"/>
            <w:szCs w:val="20"/>
            <w:lang w:val="en-US"/>
          </w:rPr>
          <m:t>=</m:t>
        </m:r>
        <m:d>
          <m:dPr>
            <m:ctrlPr>
              <w:rPr>
                <w:rFonts w:ascii="Cambria Math" w:hAnsi="Cambria Math"/>
                <w:i/>
                <w:color w:val="000000" w:themeColor="text1"/>
                <w:sz w:val="20"/>
                <w:szCs w:val="20"/>
                <w:lang w:val="en-US"/>
              </w:rPr>
            </m:ctrlPr>
          </m:dPr>
          <m:e>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WTI</m:t>
                </m:r>
              </m:e>
              <m:sub>
                <m:r>
                  <w:rPr>
                    <w:rFonts w:ascii="Cambria Math" w:hAnsi="Cambria Math"/>
                    <w:color w:val="000000" w:themeColor="text1"/>
                    <w:sz w:val="20"/>
                    <w:szCs w:val="20"/>
                    <w:lang w:val="en-US"/>
                  </w:rPr>
                  <m:t>t</m:t>
                </m:r>
              </m:sub>
              <m:sup>
                <m:r>
                  <w:rPr>
                    <w:rFonts w:ascii="Cambria Math" w:hAnsi="Cambria Math"/>
                    <w:color w:val="000000" w:themeColor="text1"/>
                    <w:sz w:val="20"/>
                    <w:szCs w:val="20"/>
                    <w:lang w:val="en-US"/>
                  </w:rPr>
                  <m:t>+</m:t>
                </m:r>
              </m:sup>
            </m:sSubSup>
            <m:r>
              <w:rPr>
                <w:rFonts w:ascii="Cambria Math" w:hAnsi="Cambria Math"/>
                <w:color w:val="000000" w:themeColor="text1"/>
                <w:sz w:val="20"/>
                <w:szCs w:val="20"/>
                <w:lang w:val="en-US"/>
              </w:rPr>
              <m:t xml:space="preserve">, </m:t>
            </m:r>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refined product</m:t>
                </m:r>
              </m:e>
              <m:sub>
                <m:r>
                  <w:rPr>
                    <w:rFonts w:ascii="Cambria Math" w:hAnsi="Cambria Math"/>
                    <w:color w:val="000000" w:themeColor="text1"/>
                    <w:sz w:val="20"/>
                    <w:szCs w:val="20"/>
                    <w:lang w:val="en-US"/>
                  </w:rPr>
                  <m:t>t</m:t>
                </m:r>
              </m:sub>
              <m:sup>
                <m:r>
                  <w:rPr>
                    <w:rFonts w:ascii="Cambria Math" w:hAnsi="Cambria Math"/>
                    <w:color w:val="000000" w:themeColor="text1"/>
                    <w:sz w:val="20"/>
                    <w:szCs w:val="20"/>
                    <w:lang w:val="en-US"/>
                  </w:rPr>
                  <m:t>+</m:t>
                </m:r>
              </m:sup>
            </m:sSubSup>
          </m:e>
        </m:d>
        <m:r>
          <m:rPr>
            <m:sty m:val="p"/>
          </m:rPr>
          <w:rPr>
            <w:rFonts w:ascii="Cambria Math" w:hAnsi="Cambria Math"/>
            <w:color w:val="000000" w:themeColor="text1"/>
            <w:sz w:val="20"/>
            <w:szCs w:val="20"/>
            <w:lang w:val="en-US"/>
          </w:rPr>
          <m:t xml:space="preserve">, </m:t>
        </m:r>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y</m:t>
            </m:r>
          </m:e>
          <m:sub>
            <m:r>
              <w:rPr>
                <w:rFonts w:ascii="Cambria Math" w:hAnsi="Cambria Math"/>
                <w:color w:val="000000" w:themeColor="text1"/>
                <w:sz w:val="20"/>
                <w:szCs w:val="20"/>
                <w:lang w:val="en-US"/>
              </w:rPr>
              <m:t>t</m:t>
            </m:r>
          </m:sub>
          <m:sup>
            <m:r>
              <w:rPr>
                <w:rFonts w:ascii="Cambria Math" w:hAnsi="Cambria Math"/>
                <w:color w:val="000000" w:themeColor="text1"/>
                <w:sz w:val="20"/>
                <w:szCs w:val="20"/>
                <w:lang w:val="en-US"/>
              </w:rPr>
              <m:t>-</m:t>
            </m:r>
          </m:sup>
        </m:sSubSup>
        <m:r>
          <w:rPr>
            <w:rFonts w:ascii="Cambria Math" w:hAnsi="Cambria Math"/>
            <w:color w:val="000000" w:themeColor="text1"/>
            <w:sz w:val="20"/>
            <w:szCs w:val="20"/>
            <w:lang w:val="en-US"/>
          </w:rPr>
          <m:t>=</m:t>
        </m:r>
        <m:d>
          <m:dPr>
            <m:ctrlPr>
              <w:rPr>
                <w:rFonts w:ascii="Cambria Math" w:hAnsi="Cambria Math"/>
                <w:i/>
                <w:color w:val="000000" w:themeColor="text1"/>
                <w:sz w:val="20"/>
                <w:szCs w:val="20"/>
                <w:lang w:val="en-US"/>
              </w:rPr>
            </m:ctrlPr>
          </m:dPr>
          <m:e>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WTI</m:t>
                </m:r>
              </m:e>
              <m:sub>
                <m:r>
                  <w:rPr>
                    <w:rFonts w:ascii="Cambria Math" w:hAnsi="Cambria Math"/>
                    <w:color w:val="000000" w:themeColor="text1"/>
                    <w:sz w:val="20"/>
                    <w:szCs w:val="20"/>
                    <w:lang w:val="en-US"/>
                  </w:rPr>
                  <m:t>t</m:t>
                </m:r>
              </m:sub>
              <m:sup>
                <m:r>
                  <w:rPr>
                    <w:rFonts w:ascii="Cambria Math" w:hAnsi="Cambria Math"/>
                    <w:color w:val="000000" w:themeColor="text1"/>
                    <w:sz w:val="20"/>
                    <w:szCs w:val="20"/>
                    <w:lang w:val="en-US"/>
                  </w:rPr>
                  <m:t>-</m:t>
                </m:r>
              </m:sup>
            </m:sSubSup>
            <m:r>
              <w:rPr>
                <w:rFonts w:ascii="Cambria Math" w:hAnsi="Cambria Math"/>
                <w:color w:val="000000" w:themeColor="text1"/>
                <w:sz w:val="20"/>
                <w:szCs w:val="20"/>
                <w:lang w:val="en-US"/>
              </w:rPr>
              <m:t xml:space="preserve">, </m:t>
            </m:r>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refined product</m:t>
                </m:r>
              </m:e>
              <m:sub>
                <m:r>
                  <w:rPr>
                    <w:rFonts w:ascii="Cambria Math" w:hAnsi="Cambria Math"/>
                    <w:color w:val="000000" w:themeColor="text1"/>
                    <w:sz w:val="20"/>
                    <w:szCs w:val="20"/>
                    <w:lang w:val="en-US"/>
                  </w:rPr>
                  <m:t>t</m:t>
                </m:r>
              </m:sub>
              <m:sup>
                <m:r>
                  <w:rPr>
                    <w:rFonts w:ascii="Cambria Math" w:hAnsi="Cambria Math"/>
                    <w:color w:val="000000" w:themeColor="text1"/>
                    <w:sz w:val="20"/>
                    <w:szCs w:val="20"/>
                    <w:lang w:val="en-US"/>
                  </w:rPr>
                  <m:t>-</m:t>
                </m:r>
              </m:sup>
            </m:sSubSup>
          </m:e>
        </m:d>
        <m:r>
          <w:rPr>
            <w:rFonts w:ascii="Cambria Math" w:hAnsi="Cambria Math"/>
            <w:color w:val="000000" w:themeColor="text1"/>
            <w:sz w:val="20"/>
            <w:szCs w:val="20"/>
            <w:lang w:val="en-US"/>
          </w:rPr>
          <m:t xml:space="preserve">,  </m:t>
        </m:r>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y</m:t>
            </m:r>
          </m:e>
          <m:sub>
            <m:r>
              <w:rPr>
                <w:rFonts w:ascii="Cambria Math" w:hAnsi="Cambria Math"/>
                <w:color w:val="000000" w:themeColor="text1"/>
                <w:sz w:val="20"/>
                <w:szCs w:val="20"/>
                <w:lang w:val="en-US"/>
              </w:rPr>
              <m:t>t</m:t>
            </m:r>
          </m:sub>
          <m:sup>
            <m:r>
              <w:rPr>
                <w:rFonts w:ascii="Cambria Math" w:hAnsi="Cambria Math"/>
                <w:color w:val="000000" w:themeColor="text1"/>
                <w:sz w:val="20"/>
                <w:szCs w:val="20"/>
                <w:lang w:val="en-US"/>
              </w:rPr>
              <m:t>±</m:t>
            </m:r>
          </m:sup>
        </m:sSubSup>
        <m:r>
          <w:rPr>
            <w:rFonts w:ascii="Cambria Math" w:hAnsi="Cambria Math"/>
            <w:color w:val="000000" w:themeColor="text1"/>
            <w:sz w:val="20"/>
            <w:szCs w:val="20"/>
            <w:lang w:val="en-US"/>
          </w:rPr>
          <m:t>=</m:t>
        </m:r>
        <m:d>
          <m:dPr>
            <m:ctrlPr>
              <w:rPr>
                <w:rFonts w:ascii="Cambria Math" w:hAnsi="Cambria Math"/>
                <w:i/>
                <w:color w:val="000000" w:themeColor="text1"/>
                <w:sz w:val="20"/>
                <w:szCs w:val="20"/>
                <w:lang w:val="en-US"/>
              </w:rPr>
            </m:ctrlPr>
          </m:dPr>
          <m:e>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WTI</m:t>
                </m:r>
              </m:e>
              <m:sub>
                <m:r>
                  <w:rPr>
                    <w:rFonts w:ascii="Cambria Math" w:hAnsi="Cambria Math"/>
                    <w:color w:val="000000" w:themeColor="text1"/>
                    <w:sz w:val="20"/>
                    <w:szCs w:val="20"/>
                    <w:lang w:val="en-US"/>
                  </w:rPr>
                  <m:t>t</m:t>
                </m:r>
              </m:sub>
              <m:sup>
                <m:r>
                  <w:rPr>
                    <w:rFonts w:ascii="Cambria Math" w:hAnsi="Cambria Math"/>
                    <w:color w:val="000000" w:themeColor="text1"/>
                    <w:sz w:val="20"/>
                    <w:szCs w:val="20"/>
                    <w:lang w:val="en-US"/>
                  </w:rPr>
                  <m:t>+</m:t>
                </m:r>
              </m:sup>
            </m:sSubSup>
            <m:r>
              <w:rPr>
                <w:rFonts w:ascii="Cambria Math" w:hAnsi="Cambria Math"/>
                <w:color w:val="000000" w:themeColor="text1"/>
                <w:sz w:val="20"/>
                <w:szCs w:val="20"/>
                <w:lang w:val="en-US"/>
              </w:rPr>
              <m:t xml:space="preserve">, </m:t>
            </m:r>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refined product</m:t>
                </m:r>
              </m:e>
              <m:sub>
                <m:r>
                  <w:rPr>
                    <w:rFonts w:ascii="Cambria Math" w:hAnsi="Cambria Math"/>
                    <w:color w:val="000000" w:themeColor="text1"/>
                    <w:sz w:val="20"/>
                    <w:szCs w:val="20"/>
                    <w:lang w:val="en-US"/>
                  </w:rPr>
                  <m:t>1t</m:t>
                </m:r>
              </m:sub>
              <m:sup>
                <m:r>
                  <w:rPr>
                    <w:rFonts w:ascii="Cambria Math" w:hAnsi="Cambria Math"/>
                    <w:color w:val="000000" w:themeColor="text1"/>
                    <w:sz w:val="20"/>
                    <w:szCs w:val="20"/>
                    <w:lang w:val="en-US"/>
                  </w:rPr>
                  <m:t>-</m:t>
                </m:r>
              </m:sup>
            </m:sSubSup>
          </m:e>
        </m:d>
        <m:r>
          <w:rPr>
            <w:rFonts w:ascii="Cambria Math" w:hAnsi="Cambria Math"/>
            <w:color w:val="000000" w:themeColor="text1"/>
            <w:sz w:val="20"/>
            <w:szCs w:val="20"/>
            <w:lang w:val="en-US"/>
          </w:rPr>
          <m:t>,</m:t>
        </m:r>
      </m:oMath>
      <w:r w:rsidR="007A5165" w:rsidRPr="001A4A7B">
        <w:rPr>
          <w:color w:val="000000" w:themeColor="text1"/>
          <w:lang w:val="en-US"/>
        </w:rPr>
        <w:t xml:space="preserve"> </w:t>
      </w:r>
      <w:r w:rsidR="003A2F85" w:rsidRPr="001A4A7B">
        <w:rPr>
          <w:color w:val="000000" w:themeColor="text1"/>
          <w:lang w:val="en-US"/>
        </w:rPr>
        <w:t xml:space="preserve">and </w:t>
      </w:r>
    </w:p>
    <w:p w14:paraId="182D5D16" w14:textId="5C6F4B9D" w:rsidR="007A5165" w:rsidRPr="001A4A7B" w:rsidRDefault="00000000" w:rsidP="007A5165">
      <w:pPr>
        <w:spacing w:line="288" w:lineRule="auto"/>
        <w:ind w:firstLine="284"/>
        <w:jc w:val="both"/>
        <w:rPr>
          <w:color w:val="000000" w:themeColor="text1"/>
          <w:lang w:val="en-US"/>
        </w:rPr>
      </w:pPr>
      <m:oMath>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y</m:t>
            </m:r>
          </m:e>
          <m:sub>
            <m:r>
              <w:rPr>
                <w:rFonts w:ascii="Cambria Math" w:hAnsi="Cambria Math"/>
                <w:color w:val="000000" w:themeColor="text1"/>
                <w:sz w:val="20"/>
                <w:szCs w:val="20"/>
                <w:lang w:val="en-US"/>
              </w:rPr>
              <m:t>t</m:t>
            </m:r>
          </m:sub>
          <m:sup>
            <m:r>
              <w:rPr>
                <w:rFonts w:ascii="Cambria Math" w:hAnsi="Cambria Math"/>
                <w:color w:val="000000" w:themeColor="text1"/>
                <w:sz w:val="20"/>
                <w:szCs w:val="20"/>
                <w:lang w:val="en-US"/>
              </w:rPr>
              <m:t>∓</m:t>
            </m:r>
          </m:sup>
        </m:sSubSup>
        <m:r>
          <w:rPr>
            <w:rFonts w:ascii="Cambria Math" w:hAnsi="Cambria Math"/>
            <w:color w:val="000000" w:themeColor="text1"/>
            <w:sz w:val="20"/>
            <w:szCs w:val="20"/>
            <w:lang w:val="en-US"/>
          </w:rPr>
          <m:t>=</m:t>
        </m:r>
        <m:d>
          <m:dPr>
            <m:ctrlPr>
              <w:rPr>
                <w:rFonts w:ascii="Cambria Math" w:hAnsi="Cambria Math"/>
                <w:i/>
                <w:color w:val="000000" w:themeColor="text1"/>
                <w:sz w:val="20"/>
                <w:szCs w:val="20"/>
                <w:lang w:val="en-US"/>
              </w:rPr>
            </m:ctrlPr>
          </m:dPr>
          <m:e>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WTI</m:t>
                </m:r>
              </m:e>
              <m:sub>
                <m:r>
                  <w:rPr>
                    <w:rFonts w:ascii="Cambria Math" w:hAnsi="Cambria Math"/>
                    <w:color w:val="000000" w:themeColor="text1"/>
                    <w:sz w:val="20"/>
                    <w:szCs w:val="20"/>
                    <w:lang w:val="en-US"/>
                  </w:rPr>
                  <m:t>t</m:t>
                </m:r>
              </m:sub>
              <m:sup>
                <m:r>
                  <w:rPr>
                    <w:rFonts w:ascii="Cambria Math" w:hAnsi="Cambria Math"/>
                    <w:color w:val="000000" w:themeColor="text1"/>
                    <w:sz w:val="20"/>
                    <w:szCs w:val="20"/>
                    <w:lang w:val="en-US"/>
                  </w:rPr>
                  <m:t>-</m:t>
                </m:r>
              </m:sup>
            </m:sSubSup>
            <m:r>
              <w:rPr>
                <w:rFonts w:ascii="Cambria Math" w:hAnsi="Cambria Math"/>
                <w:color w:val="000000" w:themeColor="text1"/>
                <w:sz w:val="20"/>
                <w:szCs w:val="20"/>
                <w:lang w:val="en-US"/>
              </w:rPr>
              <m:t xml:space="preserve">, </m:t>
            </m:r>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refined product</m:t>
                </m:r>
              </m:e>
              <m:sub>
                <m:r>
                  <w:rPr>
                    <w:rFonts w:ascii="Cambria Math" w:hAnsi="Cambria Math"/>
                    <w:color w:val="000000" w:themeColor="text1"/>
                    <w:sz w:val="20"/>
                    <w:szCs w:val="20"/>
                    <w:lang w:val="en-US"/>
                  </w:rPr>
                  <m:t>1</m:t>
                </m:r>
              </m:sub>
              <m:sup>
                <m:r>
                  <w:rPr>
                    <w:rFonts w:ascii="Cambria Math" w:hAnsi="Cambria Math"/>
                    <w:color w:val="000000" w:themeColor="text1"/>
                    <w:sz w:val="20"/>
                    <w:szCs w:val="20"/>
                    <w:lang w:val="en-US"/>
                  </w:rPr>
                  <m:t>+</m:t>
                </m:r>
              </m:sup>
            </m:sSubSup>
          </m:e>
        </m:d>
        <m:r>
          <w:rPr>
            <w:rFonts w:ascii="Cambria Math" w:hAnsi="Cambria Math"/>
            <w:color w:val="000000" w:themeColor="text1"/>
            <w:sz w:val="20"/>
            <w:szCs w:val="20"/>
            <w:lang w:val="en-US"/>
          </w:rPr>
          <m:t>,</m:t>
        </m:r>
      </m:oMath>
      <w:r w:rsidR="003A2F85" w:rsidRPr="001A4A7B">
        <w:rPr>
          <w:color w:val="000000" w:themeColor="text1"/>
          <w:lang w:val="en-US"/>
        </w:rPr>
        <w:t xml:space="preserve"> </w:t>
      </w:r>
    </w:p>
    <w:p w14:paraId="281A717C" w14:textId="77777777" w:rsidR="007A5165" w:rsidRPr="001A4A7B" w:rsidRDefault="007A5165" w:rsidP="007A5165">
      <w:pPr>
        <w:spacing w:line="288" w:lineRule="auto"/>
        <w:jc w:val="both"/>
        <w:rPr>
          <w:color w:val="000000" w:themeColor="text1"/>
          <w:lang w:val="en-US"/>
        </w:rPr>
      </w:pPr>
    </w:p>
    <w:p w14:paraId="479EC1E8" w14:textId="1323867F" w:rsidR="003A2F85" w:rsidRPr="001A4A7B" w:rsidRDefault="003A2F85" w:rsidP="007A5165">
      <w:pPr>
        <w:spacing w:line="288" w:lineRule="auto"/>
        <w:jc w:val="both"/>
        <w:rPr>
          <w:color w:val="000000" w:themeColor="text1"/>
          <w:lang w:val="en-US"/>
        </w:rPr>
      </w:pPr>
      <w:r w:rsidRPr="001A4A7B">
        <w:rPr>
          <w:color w:val="000000" w:themeColor="text1"/>
          <w:lang w:val="en-US"/>
        </w:rPr>
        <w:t xml:space="preserve">the causal relationship between the variables </w:t>
      </w:r>
      <w:r w:rsidR="00D15828" w:rsidRPr="001A4A7B">
        <w:rPr>
          <w:color w:val="000000" w:themeColor="text1"/>
          <w:lang w:val="en-US"/>
        </w:rPr>
        <w:t>could</w:t>
      </w:r>
      <w:r w:rsidRPr="001A4A7B">
        <w:rPr>
          <w:color w:val="000000" w:themeColor="text1"/>
          <w:lang w:val="en-US"/>
        </w:rPr>
        <w:t xml:space="preserve"> be </w:t>
      </w:r>
      <w:r w:rsidR="00D15828" w:rsidRPr="001A4A7B">
        <w:rPr>
          <w:color w:val="000000" w:themeColor="text1"/>
          <w:lang w:val="en-US"/>
        </w:rPr>
        <w:t>examined</w:t>
      </w:r>
      <w:r w:rsidRPr="001A4A7B">
        <w:rPr>
          <w:color w:val="000000" w:themeColor="text1"/>
          <w:lang w:val="en-US"/>
        </w:rPr>
        <w:t xml:space="preserve"> using a VAR </w:t>
      </w:r>
      <w:r w:rsidR="00D15828" w:rsidRPr="001A4A7B">
        <w:rPr>
          <w:color w:val="000000" w:themeColor="text1"/>
          <w:lang w:val="en-US"/>
        </w:rPr>
        <w:t xml:space="preserve">model </w:t>
      </w:r>
      <w:r w:rsidRPr="001A4A7B">
        <w:rPr>
          <w:color w:val="000000" w:themeColor="text1"/>
          <w:lang w:val="en-US"/>
        </w:rPr>
        <w:t xml:space="preserve">of order </w:t>
      </w:r>
      <m:oMath>
        <m:r>
          <w:rPr>
            <w:rFonts w:ascii="Cambria Math" w:hAnsi="Cambria Math"/>
            <w:color w:val="000000" w:themeColor="text1"/>
            <w:lang w:val="en-US"/>
          </w:rPr>
          <m:t>p</m:t>
        </m:r>
      </m:oMath>
      <w:r w:rsidRPr="001A4A7B">
        <w:rPr>
          <w:color w:val="000000" w:themeColor="text1"/>
          <w:lang w:val="en-US"/>
        </w:rPr>
        <w:t>¸ for lag order</w:t>
      </w:r>
      <w:r w:rsidR="007A5165" w:rsidRPr="001A4A7B">
        <w:rPr>
          <w:color w:val="000000" w:themeColor="text1"/>
          <w:lang w:val="en-US"/>
        </w:rPr>
        <w:t xml:space="preserve"> </w:t>
      </w:r>
      <m:oMath>
        <m:r>
          <w:rPr>
            <w:rFonts w:ascii="Cambria Math" w:hAnsi="Cambria Math"/>
            <w:color w:val="000000" w:themeColor="text1"/>
            <w:lang w:val="en-US"/>
          </w:rPr>
          <m:t>r=</m:t>
        </m:r>
        <m:d>
          <m:dPr>
            <m:ctrlPr>
              <w:rPr>
                <w:rFonts w:ascii="Cambria Math" w:hAnsi="Cambria Math"/>
                <w:i/>
                <w:color w:val="000000" w:themeColor="text1"/>
                <w:lang w:val="en-US"/>
              </w:rPr>
            </m:ctrlPr>
          </m:dPr>
          <m:e>
            <m:r>
              <w:rPr>
                <w:rFonts w:ascii="Cambria Math" w:hAnsi="Cambria Math"/>
                <w:color w:val="000000" w:themeColor="text1"/>
                <w:lang w:val="en-US"/>
              </w:rPr>
              <m:t>1, …, p</m:t>
            </m:r>
          </m:e>
        </m:d>
      </m:oMath>
      <w:r w:rsidRPr="001A4A7B">
        <w:rPr>
          <w:color w:val="000000" w:themeColor="text1"/>
          <w:lang w:val="en-US"/>
        </w:rPr>
        <w:t xml:space="preserve">. To </w:t>
      </w:r>
      <w:r w:rsidR="00D15828" w:rsidRPr="001A4A7B">
        <w:rPr>
          <w:color w:val="000000" w:themeColor="text1"/>
          <w:lang w:val="en-US"/>
        </w:rPr>
        <w:t>perform</w:t>
      </w:r>
      <w:r w:rsidRPr="001A4A7B">
        <w:rPr>
          <w:color w:val="000000" w:themeColor="text1"/>
          <w:lang w:val="en-US"/>
        </w:rPr>
        <w:t xml:space="preserve"> a Wald test, the VAR (</w:t>
      </w:r>
      <w:r w:rsidRPr="001A4A7B">
        <w:rPr>
          <w:i/>
          <w:color w:val="000000" w:themeColor="text1"/>
          <w:lang w:val="en-US"/>
        </w:rPr>
        <w:t>p</w:t>
      </w:r>
      <w:r w:rsidRPr="001A4A7B">
        <w:rPr>
          <w:color w:val="000000" w:themeColor="text1"/>
          <w:lang w:val="en-US"/>
        </w:rPr>
        <w:t xml:space="preserve">) model can be </w:t>
      </w:r>
      <w:r w:rsidR="00D15828" w:rsidRPr="001A4A7B">
        <w:rPr>
          <w:color w:val="000000" w:themeColor="text1"/>
          <w:lang w:val="en-US"/>
        </w:rPr>
        <w:t>expressed</w:t>
      </w:r>
      <w:r w:rsidRPr="001A4A7B">
        <w:rPr>
          <w:color w:val="000000" w:themeColor="text1"/>
          <w:lang w:val="en-US"/>
        </w:rPr>
        <w:t xml:space="preserve"> in a </w:t>
      </w:r>
      <w:r w:rsidR="00D15828" w:rsidRPr="001A4A7B">
        <w:rPr>
          <w:color w:val="000000" w:themeColor="text1"/>
          <w:lang w:val="en-US"/>
        </w:rPr>
        <w:t>compressed</w:t>
      </w:r>
      <w:r w:rsidRPr="001A4A7B">
        <w:rPr>
          <w:color w:val="000000" w:themeColor="text1"/>
          <w:lang w:val="en-US"/>
        </w:rPr>
        <w:t xml:space="preserve"> form (for the first combination, </w:t>
      </w:r>
      <m:oMath>
        <m:sSubSup>
          <m:sSubSupPr>
            <m:ctrlPr>
              <w:rPr>
                <w:rFonts w:ascii="Cambria Math" w:hAnsi="Cambria Math"/>
                <w:i/>
                <w:color w:val="000000" w:themeColor="text1"/>
                <w:lang w:val="en-US"/>
              </w:rPr>
            </m:ctrlPr>
          </m:sSubSupPr>
          <m:e>
            <m:r>
              <w:rPr>
                <w:rFonts w:ascii="Cambria Math" w:hAnsi="Cambria Math"/>
                <w:color w:val="000000" w:themeColor="text1"/>
                <w:lang w:val="en-US"/>
              </w:rPr>
              <m:t>y</m:t>
            </m:r>
          </m:e>
          <m:sub>
            <m:r>
              <w:rPr>
                <w:rFonts w:ascii="Cambria Math" w:hAnsi="Cambria Math"/>
                <w:color w:val="000000" w:themeColor="text1"/>
                <w:lang w:val="en-US"/>
              </w:rPr>
              <m:t>t</m:t>
            </m:r>
          </m:sub>
          <m:sup>
            <m:r>
              <w:rPr>
                <w:rFonts w:ascii="Cambria Math" w:hAnsi="Cambria Math"/>
                <w:color w:val="000000" w:themeColor="text1"/>
                <w:lang w:val="en-US"/>
              </w:rPr>
              <m:t>+</m:t>
            </m:r>
          </m:sup>
        </m:sSubSup>
      </m:oMath>
      <w:r w:rsidR="00227EB5" w:rsidRPr="001A4A7B">
        <w:rPr>
          <w:color w:val="000000" w:themeColor="text1"/>
          <w:lang w:val="en-US"/>
        </w:rPr>
        <w:t>, for instance)</w:t>
      </w:r>
      <w:r w:rsidRPr="001A4A7B">
        <w:rPr>
          <w:color w:val="000000" w:themeColor="text1"/>
          <w:lang w:val="en-US"/>
        </w:rPr>
        <w:t>,</w:t>
      </w:r>
    </w:p>
    <w:p w14:paraId="3081AE4F" w14:textId="77777777" w:rsidR="003A2F85" w:rsidRPr="001A4A7B" w:rsidRDefault="003A2F85" w:rsidP="008B2E4B">
      <w:pPr>
        <w:spacing w:line="288" w:lineRule="auto"/>
        <w:ind w:firstLine="567"/>
        <w:jc w:val="both"/>
        <w:rPr>
          <w:color w:val="000000" w:themeColor="text1"/>
          <w:lang w:val="en-US"/>
        </w:rPr>
      </w:pPr>
    </w:p>
    <w:p w14:paraId="7A08DC0C" w14:textId="77777777" w:rsidR="003A2F85" w:rsidRPr="001A4A7B" w:rsidRDefault="003A2F85" w:rsidP="008C50E2">
      <w:pPr>
        <w:spacing w:before="120" w:line="288" w:lineRule="auto"/>
        <w:jc w:val="both"/>
        <w:rPr>
          <w:color w:val="000000" w:themeColor="text1"/>
          <w:sz w:val="20"/>
          <w:szCs w:val="20"/>
          <w:lang w:val="en-US"/>
        </w:rPr>
      </w:pPr>
      <m:oMath>
        <m:r>
          <w:rPr>
            <w:rFonts w:ascii="Cambria Math" w:hAnsi="Cambria Math"/>
            <w:color w:val="000000" w:themeColor="text1"/>
            <w:sz w:val="20"/>
            <w:szCs w:val="20"/>
            <w:lang w:val="en-US"/>
          </w:rPr>
          <m:t>Y=DZ+ δ</m:t>
        </m:r>
      </m:oMath>
      <w:r w:rsidRPr="001A4A7B">
        <w:rPr>
          <w:color w:val="000000" w:themeColor="text1"/>
          <w:sz w:val="20"/>
          <w:szCs w:val="20"/>
          <w:lang w:val="en-US"/>
        </w:rPr>
        <w:t xml:space="preserve">, </w:t>
      </w:r>
      <w:r w:rsidRPr="001A4A7B">
        <w:rPr>
          <w:color w:val="000000" w:themeColor="text1"/>
          <w:lang w:val="en-US"/>
        </w:rPr>
        <w:t>where</w:t>
      </w:r>
    </w:p>
    <w:p w14:paraId="40EE9FE9" w14:textId="77777777" w:rsidR="003A2F85" w:rsidRPr="001A4A7B" w:rsidRDefault="003A2F85" w:rsidP="008C50E2">
      <w:pPr>
        <w:spacing w:before="120" w:line="288" w:lineRule="auto"/>
        <w:ind w:firstLine="567"/>
        <w:jc w:val="both"/>
        <w:rPr>
          <w:color w:val="000000" w:themeColor="text1"/>
          <w:sz w:val="20"/>
          <w:szCs w:val="20"/>
          <w:lang w:val="en-US"/>
        </w:rPr>
      </w:pPr>
      <m:oMathPara>
        <m:oMathParaPr>
          <m:jc m:val="left"/>
        </m:oMathParaPr>
        <m:oMath>
          <m:r>
            <w:rPr>
              <w:rFonts w:ascii="Cambria Math" w:hAnsi="Cambria Math"/>
              <w:color w:val="000000" w:themeColor="text1"/>
              <w:sz w:val="20"/>
              <w:szCs w:val="20"/>
              <w:lang w:val="en-US"/>
            </w:rPr>
            <m:t>Y≔</m:t>
          </m:r>
          <m:d>
            <m:dPr>
              <m:ctrlPr>
                <w:rPr>
                  <w:rFonts w:ascii="Cambria Math" w:hAnsi="Cambria Math"/>
                  <w:i/>
                  <w:color w:val="000000" w:themeColor="text1"/>
                  <w:sz w:val="20"/>
                  <w:szCs w:val="20"/>
                  <w:lang w:val="en-US"/>
                </w:rPr>
              </m:ctrlPr>
            </m:dPr>
            <m:e>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y</m:t>
                  </m:r>
                </m:e>
                <m:sub>
                  <m:r>
                    <w:rPr>
                      <w:rFonts w:ascii="Cambria Math" w:hAnsi="Cambria Math"/>
                      <w:color w:val="000000" w:themeColor="text1"/>
                      <w:sz w:val="20"/>
                      <w:szCs w:val="20"/>
                      <w:lang w:val="en-US"/>
                    </w:rPr>
                    <m:t>1</m:t>
                  </m:r>
                </m:sub>
                <m:sup>
                  <m:r>
                    <w:rPr>
                      <w:rFonts w:ascii="Cambria Math" w:hAnsi="Cambria Math"/>
                      <w:color w:val="000000" w:themeColor="text1"/>
                      <w:sz w:val="20"/>
                      <w:szCs w:val="20"/>
                      <w:lang w:val="en-US"/>
                    </w:rPr>
                    <m:t>+</m:t>
                  </m:r>
                </m:sup>
              </m:sSubSup>
              <m:r>
                <w:rPr>
                  <w:rFonts w:ascii="Cambria Math" w:hAnsi="Cambria Math"/>
                  <w:color w:val="000000" w:themeColor="text1"/>
                  <w:sz w:val="20"/>
                  <w:szCs w:val="20"/>
                  <w:lang w:val="en-US"/>
                </w:rPr>
                <m:t xml:space="preserve">, …, </m:t>
              </m:r>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y</m:t>
                  </m:r>
                </m:e>
                <m:sub>
                  <m:r>
                    <w:rPr>
                      <w:rFonts w:ascii="Cambria Math" w:hAnsi="Cambria Math"/>
                      <w:color w:val="000000" w:themeColor="text1"/>
                      <w:sz w:val="20"/>
                      <w:szCs w:val="20"/>
                      <w:lang w:val="en-US"/>
                    </w:rPr>
                    <m:t>T</m:t>
                  </m:r>
                </m:sub>
                <m:sup>
                  <m:r>
                    <w:rPr>
                      <w:rFonts w:ascii="Cambria Math" w:hAnsi="Cambria Math"/>
                      <w:color w:val="000000" w:themeColor="text1"/>
                      <w:sz w:val="20"/>
                      <w:szCs w:val="20"/>
                      <w:lang w:val="en-US"/>
                    </w:rPr>
                    <m:t>+</m:t>
                  </m:r>
                </m:sup>
              </m:sSubSup>
            </m:e>
          </m:d>
          <m:r>
            <w:rPr>
              <w:rFonts w:ascii="Cambria Math" w:hAnsi="Cambria Math"/>
              <w:color w:val="000000" w:themeColor="text1"/>
              <w:sz w:val="20"/>
              <w:szCs w:val="20"/>
              <w:lang w:val="en-US"/>
            </w:rPr>
            <m:t xml:space="preserve"> </m:t>
          </m:r>
          <m:d>
            <m:dPr>
              <m:ctrlPr>
                <w:rPr>
                  <w:rFonts w:ascii="Cambria Math" w:hAnsi="Cambria Math"/>
                  <w:i/>
                  <w:color w:val="000000" w:themeColor="text1"/>
                  <w:sz w:val="20"/>
                  <w:szCs w:val="20"/>
                  <w:lang w:val="en-US"/>
                </w:rPr>
              </m:ctrlPr>
            </m:dPr>
            <m:e>
              <m:r>
                <w:rPr>
                  <w:rFonts w:ascii="Cambria Math" w:hAnsi="Cambria Math"/>
                  <w:color w:val="000000" w:themeColor="text1"/>
                  <w:sz w:val="20"/>
                  <w:szCs w:val="20"/>
                  <w:lang w:val="en-US"/>
                </w:rPr>
                <m:t>n x T</m:t>
              </m:r>
            </m:e>
          </m:d>
          <m:r>
            <w:rPr>
              <w:rFonts w:ascii="Cambria Math" w:hAnsi="Cambria Math"/>
              <w:color w:val="000000" w:themeColor="text1"/>
              <w:sz w:val="20"/>
              <w:szCs w:val="20"/>
              <w:lang w:val="en-US"/>
            </w:rPr>
            <m:t xml:space="preserve"> matrix,</m:t>
          </m:r>
        </m:oMath>
      </m:oMathPara>
    </w:p>
    <w:p w14:paraId="1D7988AF" w14:textId="3FA36C88" w:rsidR="003A2F85" w:rsidRPr="001A4A7B" w:rsidRDefault="003A2F85" w:rsidP="008C50E2">
      <w:pPr>
        <w:spacing w:before="120" w:line="288" w:lineRule="auto"/>
        <w:ind w:firstLine="567"/>
        <w:jc w:val="both"/>
        <w:rPr>
          <w:color w:val="000000" w:themeColor="text1"/>
          <w:sz w:val="20"/>
          <w:szCs w:val="20"/>
          <w:lang w:val="en-US"/>
        </w:rPr>
      </w:pPr>
      <m:oMathPara>
        <m:oMathParaPr>
          <m:jc m:val="left"/>
        </m:oMathParaPr>
        <m:oMath>
          <m:r>
            <w:rPr>
              <w:rFonts w:ascii="Cambria Math" w:hAnsi="Cambria Math"/>
              <w:color w:val="000000" w:themeColor="text1"/>
              <w:sz w:val="20"/>
              <w:szCs w:val="20"/>
              <w:lang w:val="en-US"/>
            </w:rPr>
            <m:t>D≔</m:t>
          </m:r>
          <m:d>
            <m:dPr>
              <m:ctrlPr>
                <w:rPr>
                  <w:rFonts w:ascii="Cambria Math" w:hAnsi="Cambria Math"/>
                  <w:i/>
                  <w:color w:val="000000" w:themeColor="text1"/>
                  <w:sz w:val="20"/>
                  <w:szCs w:val="20"/>
                  <w:lang w:val="en-US"/>
                </w:rPr>
              </m:ctrlPr>
            </m:dPr>
            <m:e>
              <m:r>
                <w:rPr>
                  <w:rFonts w:ascii="Cambria Math" w:hAnsi="Cambria Math"/>
                  <w:color w:val="000000" w:themeColor="text1"/>
                  <w:sz w:val="20"/>
                  <w:szCs w:val="20"/>
                  <w:lang w:val="en-US"/>
                </w:rPr>
                <m:t xml:space="preserve"> υ, </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A</m:t>
                  </m:r>
                </m:e>
                <m:sub>
                  <m:r>
                    <w:rPr>
                      <w:rFonts w:ascii="Cambria Math" w:hAnsi="Cambria Math"/>
                      <w:color w:val="000000" w:themeColor="text1"/>
                      <w:sz w:val="20"/>
                      <w:szCs w:val="20"/>
                      <w:lang w:val="en-US"/>
                    </w:rPr>
                    <m:t>1</m:t>
                  </m:r>
                </m:sub>
              </m:sSub>
              <m:r>
                <w:rPr>
                  <w:rFonts w:ascii="Cambria Math" w:hAnsi="Cambria Math"/>
                  <w:color w:val="000000" w:themeColor="text1"/>
                  <w:sz w:val="20"/>
                  <w:szCs w:val="20"/>
                  <w:lang w:val="en-US"/>
                </w:rPr>
                <m:t xml:space="preserve">…, </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A</m:t>
                  </m:r>
                </m:e>
                <m:sub>
                  <m:r>
                    <w:rPr>
                      <w:rFonts w:ascii="Cambria Math" w:hAnsi="Cambria Math"/>
                      <w:color w:val="000000" w:themeColor="text1"/>
                      <w:sz w:val="20"/>
                      <w:szCs w:val="20"/>
                      <w:lang w:val="en-US"/>
                    </w:rPr>
                    <m:t>p</m:t>
                  </m:r>
                </m:sub>
              </m:sSub>
            </m:e>
          </m:d>
          <m:r>
            <w:rPr>
              <w:rFonts w:ascii="Cambria Math" w:hAnsi="Cambria Math"/>
              <w:color w:val="000000" w:themeColor="text1"/>
              <w:sz w:val="20"/>
              <w:szCs w:val="20"/>
              <w:lang w:val="en-US"/>
            </w:rPr>
            <m:t xml:space="preserve"> </m:t>
          </m:r>
          <m:d>
            <m:dPr>
              <m:ctrlPr>
                <w:rPr>
                  <w:rFonts w:ascii="Cambria Math" w:hAnsi="Cambria Math"/>
                  <w:i/>
                  <w:color w:val="000000" w:themeColor="text1"/>
                  <w:sz w:val="20"/>
                  <w:szCs w:val="20"/>
                  <w:lang w:val="en-US"/>
                </w:rPr>
              </m:ctrlPr>
            </m:dPr>
            <m:e>
              <m:r>
                <w:rPr>
                  <w:rFonts w:ascii="Cambria Math" w:hAnsi="Cambria Math"/>
                  <w:color w:val="000000" w:themeColor="text1"/>
                  <w:sz w:val="20"/>
                  <w:szCs w:val="20"/>
                  <w:lang w:val="en-US"/>
                </w:rPr>
                <m:t xml:space="preserve">n x </m:t>
              </m:r>
              <m:d>
                <m:dPr>
                  <m:ctrlPr>
                    <w:rPr>
                      <w:rFonts w:ascii="Cambria Math" w:hAnsi="Cambria Math"/>
                      <w:i/>
                      <w:color w:val="000000" w:themeColor="text1"/>
                      <w:sz w:val="20"/>
                      <w:szCs w:val="20"/>
                      <w:lang w:val="en-US"/>
                    </w:rPr>
                  </m:ctrlPr>
                </m:dPr>
                <m:e>
                  <m:r>
                    <w:rPr>
                      <w:rFonts w:ascii="Cambria Math" w:hAnsi="Cambria Math"/>
                      <w:color w:val="000000" w:themeColor="text1"/>
                      <w:sz w:val="20"/>
                      <w:szCs w:val="20"/>
                      <w:lang w:val="en-US"/>
                    </w:rPr>
                    <m:t>1+np</m:t>
                  </m:r>
                </m:e>
              </m:d>
            </m:e>
          </m:d>
          <m:r>
            <w:rPr>
              <w:rFonts w:ascii="Cambria Math" w:hAnsi="Cambria Math"/>
              <w:color w:val="000000" w:themeColor="text1"/>
              <w:sz w:val="20"/>
              <w:szCs w:val="20"/>
              <w:lang w:val="en-US"/>
            </w:rPr>
            <m:t xml:space="preserve"> matrix,</m:t>
          </m:r>
        </m:oMath>
      </m:oMathPara>
    </w:p>
    <w:p w14:paraId="5A7D6FA6" w14:textId="4BAD943A" w:rsidR="003A2F85" w:rsidRPr="001A4A7B" w:rsidRDefault="00000000" w:rsidP="008C50E2">
      <w:pPr>
        <w:spacing w:before="120" w:line="288" w:lineRule="auto"/>
        <w:jc w:val="both"/>
        <w:rPr>
          <w:color w:val="000000" w:themeColor="text1"/>
          <w:sz w:val="20"/>
          <w:szCs w:val="20"/>
          <w:lang w:val="en-US"/>
        </w:rPr>
      </w:pPr>
      <m:oMath>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Z</m:t>
            </m:r>
          </m:e>
          <m:sub>
            <m:r>
              <w:rPr>
                <w:rFonts w:ascii="Cambria Math" w:hAnsi="Cambria Math"/>
                <w:color w:val="000000" w:themeColor="text1"/>
                <w:sz w:val="20"/>
                <w:szCs w:val="20"/>
                <w:lang w:val="en-US"/>
              </w:rPr>
              <m:t>t</m:t>
            </m:r>
          </m:sub>
        </m:sSub>
        <m:r>
          <w:rPr>
            <w:rFonts w:ascii="Cambria Math" w:hAnsi="Cambria Math"/>
            <w:color w:val="000000" w:themeColor="text1"/>
            <w:sz w:val="20"/>
            <w:szCs w:val="20"/>
            <w:lang w:val="en-US"/>
          </w:rPr>
          <m:t>≔</m:t>
        </m:r>
        <m:d>
          <m:dPr>
            <m:ctrlPr>
              <w:rPr>
                <w:rFonts w:ascii="Cambria Math" w:hAnsi="Cambria Math"/>
                <w:i/>
                <w:color w:val="000000" w:themeColor="text1"/>
                <w:sz w:val="20"/>
                <w:szCs w:val="20"/>
                <w:lang w:val="en-US"/>
              </w:rPr>
            </m:ctrlPr>
          </m:dPr>
          <m:e>
            <m:m>
              <m:mPr>
                <m:mcs>
                  <m:mc>
                    <m:mcPr>
                      <m:count m:val="1"/>
                      <m:mcJc m:val="center"/>
                    </m:mcPr>
                  </m:mc>
                </m:mcs>
                <m:ctrlPr>
                  <w:rPr>
                    <w:rFonts w:ascii="Cambria Math" w:hAnsi="Cambria Math"/>
                    <w:i/>
                    <w:color w:val="000000" w:themeColor="text1"/>
                    <w:sz w:val="20"/>
                    <w:szCs w:val="20"/>
                    <w:lang w:val="en-US"/>
                  </w:rPr>
                </m:ctrlPr>
              </m:mPr>
              <m:mr>
                <m:e>
                  <m:r>
                    <w:rPr>
                      <w:rFonts w:ascii="Cambria Math" w:hAnsi="Cambria Math"/>
                      <w:color w:val="000000" w:themeColor="text1"/>
                      <w:sz w:val="20"/>
                      <w:szCs w:val="20"/>
                      <w:lang w:val="en-US"/>
                    </w:rPr>
                    <m:t>1</m:t>
                  </m:r>
                </m:e>
              </m:mr>
              <m:mr>
                <m:e>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y</m:t>
                      </m:r>
                    </m:e>
                    <m:sub>
                      <m:r>
                        <w:rPr>
                          <w:rFonts w:ascii="Cambria Math" w:hAnsi="Cambria Math"/>
                          <w:color w:val="000000" w:themeColor="text1"/>
                          <w:sz w:val="20"/>
                          <w:szCs w:val="20"/>
                          <w:lang w:val="en-US"/>
                        </w:rPr>
                        <m:t>t</m:t>
                      </m:r>
                    </m:sub>
                    <m:sup>
                      <m:r>
                        <w:rPr>
                          <w:rFonts w:ascii="Cambria Math" w:hAnsi="Cambria Math"/>
                          <w:color w:val="000000" w:themeColor="text1"/>
                          <w:sz w:val="20"/>
                          <w:szCs w:val="20"/>
                          <w:lang w:val="en-US"/>
                        </w:rPr>
                        <m:t>+</m:t>
                      </m:r>
                    </m:sup>
                  </m:sSubSup>
                </m:e>
              </m:mr>
              <m:mr>
                <m:e>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y</m:t>
                      </m:r>
                    </m:e>
                    <m:sub>
                      <m:eqArr>
                        <m:eqArrPr>
                          <m:ctrlPr>
                            <w:rPr>
                              <w:rFonts w:ascii="Cambria Math" w:hAnsi="Cambria Math"/>
                              <w:i/>
                              <w:color w:val="000000" w:themeColor="text1"/>
                              <w:sz w:val="20"/>
                              <w:szCs w:val="20"/>
                              <w:lang w:val="en-US"/>
                            </w:rPr>
                          </m:ctrlPr>
                        </m:eqArrPr>
                        <m:e>
                          <m:r>
                            <w:rPr>
                              <w:rFonts w:ascii="Cambria Math" w:hAnsi="Cambria Math"/>
                              <w:color w:val="000000" w:themeColor="text1"/>
                              <w:sz w:val="20"/>
                              <w:szCs w:val="20"/>
                              <w:lang w:val="en-US"/>
                            </w:rPr>
                            <m:t>t-1</m:t>
                          </m:r>
                        </m:e>
                        <m:e>
                          <m:r>
                            <w:rPr>
                              <w:rFonts w:ascii="Cambria Math" w:hAnsi="Cambria Math"/>
                              <w:color w:val="000000" w:themeColor="text1"/>
                              <w:sz w:val="20"/>
                              <w:szCs w:val="20"/>
                              <w:lang w:val="en-US"/>
                            </w:rPr>
                            <m:t>⋮</m:t>
                          </m:r>
                          <m:ctrlPr>
                            <w:rPr>
                              <w:rFonts w:ascii="Cambria Math" w:eastAsia="Cambria Math" w:hAnsi="Cambria Math"/>
                              <w:i/>
                              <w:color w:val="000000" w:themeColor="text1"/>
                              <w:sz w:val="20"/>
                              <w:szCs w:val="20"/>
                              <w:lang w:val="en-US"/>
                            </w:rPr>
                          </m:ctrlPr>
                        </m:e>
                        <m:e>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y</m:t>
                              </m:r>
                            </m:e>
                            <m:sub>
                              <m:r>
                                <w:rPr>
                                  <w:rFonts w:ascii="Cambria Math" w:hAnsi="Cambria Math"/>
                                  <w:color w:val="000000" w:themeColor="text1"/>
                                  <w:sz w:val="20"/>
                                  <w:szCs w:val="20"/>
                                  <w:lang w:val="en-US"/>
                                </w:rPr>
                                <m:t>t-p+1</m:t>
                              </m:r>
                            </m:sub>
                            <m:sup>
                              <m:r>
                                <w:rPr>
                                  <w:rFonts w:ascii="Cambria Math" w:hAnsi="Cambria Math"/>
                                  <w:color w:val="000000" w:themeColor="text1"/>
                                  <w:sz w:val="20"/>
                                  <w:szCs w:val="20"/>
                                  <w:lang w:val="en-US"/>
                                </w:rPr>
                                <m:t>+</m:t>
                              </m:r>
                            </m:sup>
                          </m:sSubSup>
                        </m:e>
                      </m:eqArr>
                    </m:sub>
                    <m:sup>
                      <m:r>
                        <w:rPr>
                          <w:rFonts w:ascii="Cambria Math" w:hAnsi="Cambria Math"/>
                          <w:color w:val="000000" w:themeColor="text1"/>
                          <w:sz w:val="20"/>
                          <w:szCs w:val="20"/>
                          <w:lang w:val="en-US"/>
                        </w:rPr>
                        <m:t>+</m:t>
                      </m:r>
                    </m:sup>
                  </m:sSubSup>
                </m:e>
              </m:mr>
            </m:m>
          </m:e>
        </m:d>
        <m:r>
          <w:rPr>
            <w:rFonts w:ascii="Cambria Math" w:hAnsi="Cambria Math"/>
            <w:color w:val="000000" w:themeColor="text1"/>
            <w:sz w:val="20"/>
            <w:szCs w:val="20"/>
            <w:lang w:val="en-US"/>
          </w:rPr>
          <m:t xml:space="preserve"> </m:t>
        </m:r>
        <m:d>
          <m:dPr>
            <m:ctrlPr>
              <w:rPr>
                <w:rFonts w:ascii="Cambria Math" w:hAnsi="Cambria Math"/>
                <w:i/>
                <w:color w:val="000000" w:themeColor="text1"/>
                <w:sz w:val="20"/>
                <w:szCs w:val="20"/>
                <w:lang w:val="en-US"/>
              </w:rPr>
            </m:ctrlPr>
          </m:dPr>
          <m:e>
            <m:r>
              <w:rPr>
                <w:rFonts w:ascii="Cambria Math" w:hAnsi="Cambria Math"/>
                <w:color w:val="000000" w:themeColor="text1"/>
                <w:sz w:val="20"/>
                <w:szCs w:val="20"/>
                <w:lang w:val="en-US"/>
              </w:rPr>
              <m:t>(1+np</m:t>
            </m:r>
          </m:e>
        </m:d>
        <m:r>
          <w:rPr>
            <w:rFonts w:ascii="Cambria Math" w:hAnsi="Cambria Math"/>
            <w:color w:val="000000" w:themeColor="text1"/>
            <w:sz w:val="20"/>
            <w:szCs w:val="20"/>
            <w:lang w:val="en-US"/>
          </w:rPr>
          <m:t xml:space="preserve"> x 1) matrix </m:t>
        </m:r>
      </m:oMath>
      <w:r w:rsidR="003A2F85" w:rsidRPr="001A4A7B">
        <w:rPr>
          <w:color w:val="000000" w:themeColor="text1"/>
          <w:sz w:val="20"/>
          <w:szCs w:val="20"/>
          <w:lang w:val="en-US"/>
        </w:rPr>
        <w:t xml:space="preserve">, </w:t>
      </w:r>
      <w:r w:rsidR="003A2F85" w:rsidRPr="001A4A7B">
        <w:rPr>
          <w:color w:val="000000" w:themeColor="text1"/>
          <w:lang w:val="en-US"/>
        </w:rPr>
        <w:t>for</w:t>
      </w:r>
      <w:r w:rsidR="003A2F85" w:rsidRPr="001A4A7B">
        <w:rPr>
          <w:color w:val="000000" w:themeColor="text1"/>
          <w:sz w:val="20"/>
          <w:szCs w:val="20"/>
          <w:lang w:val="en-US"/>
        </w:rPr>
        <w:t xml:space="preserve"> </w:t>
      </w:r>
      <m:oMath>
        <m:r>
          <w:rPr>
            <w:rFonts w:ascii="Cambria Math" w:hAnsi="Cambria Math"/>
            <w:color w:val="000000" w:themeColor="text1"/>
            <w:sz w:val="20"/>
            <w:szCs w:val="20"/>
            <w:lang w:val="en-US"/>
          </w:rPr>
          <m:t xml:space="preserve">t=1, …, T,                                                                      </m:t>
        </m:r>
        <m:d>
          <m:dPr>
            <m:ctrlPr>
              <w:rPr>
                <w:rFonts w:ascii="Cambria Math" w:hAnsi="Cambria Math"/>
                <w:i/>
                <w:color w:val="000000" w:themeColor="text1"/>
                <w:sz w:val="20"/>
                <w:szCs w:val="20"/>
                <w:lang w:val="en-US"/>
              </w:rPr>
            </m:ctrlPr>
          </m:dPr>
          <m:e>
            <m:r>
              <w:rPr>
                <w:rFonts w:ascii="Cambria Math" w:hAnsi="Cambria Math"/>
                <w:color w:val="000000" w:themeColor="text1"/>
                <w:sz w:val="20"/>
                <w:szCs w:val="20"/>
                <w:lang w:val="en-US"/>
              </w:rPr>
              <m:t>8</m:t>
            </m:r>
          </m:e>
        </m:d>
      </m:oMath>
    </w:p>
    <w:p w14:paraId="1931177D" w14:textId="733E2879" w:rsidR="003A2F85" w:rsidRPr="001A4A7B" w:rsidRDefault="003A2F85" w:rsidP="008C50E2">
      <w:pPr>
        <w:spacing w:before="120" w:line="288" w:lineRule="auto"/>
        <w:jc w:val="both"/>
        <w:rPr>
          <w:color w:val="000000" w:themeColor="text1"/>
          <w:sz w:val="20"/>
          <w:szCs w:val="20"/>
          <w:lang w:val="en-US"/>
        </w:rPr>
      </w:pPr>
      <m:oMath>
        <m:r>
          <w:rPr>
            <w:rFonts w:ascii="Cambria Math" w:hAnsi="Cambria Math"/>
            <w:color w:val="000000" w:themeColor="text1"/>
            <w:sz w:val="20"/>
            <w:szCs w:val="20"/>
            <w:lang w:val="en-US"/>
          </w:rPr>
          <m:t>Z≔</m:t>
        </m:r>
        <m:d>
          <m:dPr>
            <m:ctrlPr>
              <w:rPr>
                <w:rFonts w:ascii="Cambria Math" w:hAnsi="Cambria Math"/>
                <w:i/>
                <w:color w:val="000000" w:themeColor="text1"/>
                <w:sz w:val="20"/>
                <w:szCs w:val="20"/>
                <w:lang w:val="en-US"/>
              </w:rPr>
            </m:ctrlPr>
          </m:dPr>
          <m:e>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Z</m:t>
                </m:r>
              </m:e>
              <m:sub>
                <m:r>
                  <w:rPr>
                    <w:rFonts w:ascii="Cambria Math" w:hAnsi="Cambria Math"/>
                    <w:color w:val="000000" w:themeColor="text1"/>
                    <w:sz w:val="20"/>
                    <w:szCs w:val="20"/>
                    <w:lang w:val="en-US"/>
                  </w:rPr>
                  <m:t>0</m:t>
                </m:r>
              </m:sub>
            </m:sSub>
            <m:r>
              <w:rPr>
                <w:rFonts w:ascii="Cambria Math" w:hAnsi="Cambria Math"/>
                <w:color w:val="000000" w:themeColor="text1"/>
                <w:sz w:val="20"/>
                <w:szCs w:val="20"/>
                <w:lang w:val="en-US"/>
              </w:rPr>
              <m:t xml:space="preserve">,…, </m:t>
            </m:r>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Z</m:t>
                </m:r>
              </m:e>
              <m:sub>
                <m:r>
                  <w:rPr>
                    <w:rFonts w:ascii="Cambria Math" w:hAnsi="Cambria Math"/>
                    <w:color w:val="000000" w:themeColor="text1"/>
                    <w:sz w:val="20"/>
                    <w:szCs w:val="20"/>
                    <w:lang w:val="en-US"/>
                  </w:rPr>
                  <m:t>T-1</m:t>
                </m:r>
              </m:sub>
            </m:sSub>
          </m:e>
        </m:d>
        <m:r>
          <w:rPr>
            <w:rFonts w:ascii="Cambria Math" w:hAnsi="Cambria Math"/>
            <w:color w:val="000000" w:themeColor="text1"/>
            <w:sz w:val="20"/>
            <w:szCs w:val="20"/>
            <w:lang w:val="en-US"/>
          </w:rPr>
          <m:t xml:space="preserve"> </m:t>
        </m:r>
        <m:d>
          <m:dPr>
            <m:ctrlPr>
              <w:rPr>
                <w:rFonts w:ascii="Cambria Math" w:hAnsi="Cambria Math"/>
                <w:i/>
                <w:color w:val="000000" w:themeColor="text1"/>
                <w:sz w:val="20"/>
                <w:szCs w:val="20"/>
                <w:lang w:val="en-US"/>
              </w:rPr>
            </m:ctrlPr>
          </m:dPr>
          <m:e>
            <m:r>
              <w:rPr>
                <w:rFonts w:ascii="Cambria Math" w:hAnsi="Cambria Math"/>
                <w:color w:val="000000" w:themeColor="text1"/>
                <w:sz w:val="20"/>
                <w:szCs w:val="20"/>
                <w:lang w:val="en-US"/>
              </w:rPr>
              <m:t>(1+np</m:t>
            </m:r>
          </m:e>
        </m:d>
        <m:r>
          <w:rPr>
            <w:rFonts w:ascii="Cambria Math" w:hAnsi="Cambria Math"/>
            <w:color w:val="000000" w:themeColor="text1"/>
            <w:sz w:val="20"/>
            <w:szCs w:val="20"/>
            <w:lang w:val="en-US"/>
          </w:rPr>
          <m:t xml:space="preserve"> x T) matrix,</m:t>
        </m:r>
      </m:oMath>
      <w:r w:rsidRPr="001A4A7B">
        <w:rPr>
          <w:color w:val="000000" w:themeColor="text1"/>
          <w:sz w:val="20"/>
          <w:szCs w:val="20"/>
          <w:lang w:val="en-US"/>
        </w:rPr>
        <w:t xml:space="preserve"> </w:t>
      </w:r>
      <w:r w:rsidRPr="001A4A7B">
        <w:rPr>
          <w:color w:val="000000" w:themeColor="text1"/>
          <w:lang w:val="en-US"/>
        </w:rPr>
        <w:t>and</w:t>
      </w:r>
    </w:p>
    <w:p w14:paraId="0B5EC445" w14:textId="77777777" w:rsidR="003A2F85" w:rsidRPr="001A4A7B" w:rsidRDefault="003A2F85" w:rsidP="008C50E2">
      <w:pPr>
        <w:spacing w:before="120" w:line="288" w:lineRule="auto"/>
        <w:ind w:firstLine="567"/>
        <w:jc w:val="both"/>
        <w:rPr>
          <w:color w:val="000000" w:themeColor="text1"/>
          <w:sz w:val="20"/>
          <w:szCs w:val="20"/>
          <w:lang w:val="en-US"/>
        </w:rPr>
      </w:pPr>
      <m:oMathPara>
        <m:oMathParaPr>
          <m:jc m:val="left"/>
        </m:oMathParaPr>
        <m:oMath>
          <m:r>
            <w:rPr>
              <w:rFonts w:ascii="Cambria Math" w:hAnsi="Cambria Math"/>
              <w:color w:val="000000" w:themeColor="text1"/>
              <w:sz w:val="20"/>
              <w:szCs w:val="20"/>
              <w:lang w:val="en-US"/>
            </w:rPr>
            <m:t>δ≔</m:t>
          </m:r>
          <m:d>
            <m:dPr>
              <m:ctrlPr>
                <w:rPr>
                  <w:rFonts w:ascii="Cambria Math" w:hAnsi="Cambria Math"/>
                  <w:i/>
                  <w:color w:val="000000" w:themeColor="text1"/>
                  <w:sz w:val="20"/>
                  <w:szCs w:val="20"/>
                  <w:lang w:val="en-US"/>
                </w:rPr>
              </m:ctrlPr>
            </m:dPr>
            <m:e>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u</m:t>
                  </m:r>
                </m:e>
                <m:sub>
                  <m:r>
                    <w:rPr>
                      <w:rFonts w:ascii="Cambria Math" w:hAnsi="Cambria Math"/>
                      <w:color w:val="000000" w:themeColor="text1"/>
                      <w:sz w:val="20"/>
                      <w:szCs w:val="20"/>
                      <w:lang w:val="en-US"/>
                    </w:rPr>
                    <m:t>1</m:t>
                  </m:r>
                </m:sub>
                <m:sup>
                  <m:r>
                    <w:rPr>
                      <w:rFonts w:ascii="Cambria Math" w:hAnsi="Cambria Math"/>
                      <w:color w:val="000000" w:themeColor="text1"/>
                      <w:sz w:val="20"/>
                      <w:szCs w:val="20"/>
                      <w:lang w:val="en-US"/>
                    </w:rPr>
                    <m:t>+</m:t>
                  </m:r>
                </m:sup>
              </m:sSubSup>
              <m:r>
                <w:rPr>
                  <w:rFonts w:ascii="Cambria Math" w:hAnsi="Cambria Math"/>
                  <w:color w:val="000000" w:themeColor="text1"/>
                  <w:sz w:val="20"/>
                  <w:szCs w:val="20"/>
                  <w:lang w:val="en-US"/>
                </w:rPr>
                <m:t xml:space="preserve">, …, </m:t>
              </m:r>
              <m:sSubSup>
                <m:sSubSupPr>
                  <m:ctrlPr>
                    <w:rPr>
                      <w:rFonts w:ascii="Cambria Math" w:hAnsi="Cambria Math"/>
                      <w:i/>
                      <w:color w:val="000000" w:themeColor="text1"/>
                      <w:sz w:val="20"/>
                      <w:szCs w:val="20"/>
                      <w:lang w:val="en-US"/>
                    </w:rPr>
                  </m:ctrlPr>
                </m:sSubSupPr>
                <m:e>
                  <m:r>
                    <w:rPr>
                      <w:rFonts w:ascii="Cambria Math" w:hAnsi="Cambria Math"/>
                      <w:color w:val="000000" w:themeColor="text1"/>
                      <w:sz w:val="20"/>
                      <w:szCs w:val="20"/>
                      <w:lang w:val="en-US"/>
                    </w:rPr>
                    <m:t>u</m:t>
                  </m:r>
                </m:e>
                <m:sub>
                  <m:r>
                    <w:rPr>
                      <w:rFonts w:ascii="Cambria Math" w:hAnsi="Cambria Math"/>
                      <w:color w:val="000000" w:themeColor="text1"/>
                      <w:sz w:val="20"/>
                      <w:szCs w:val="20"/>
                      <w:lang w:val="en-US"/>
                    </w:rPr>
                    <m:t>T</m:t>
                  </m:r>
                </m:sub>
                <m:sup>
                  <m:r>
                    <w:rPr>
                      <w:rFonts w:ascii="Cambria Math" w:hAnsi="Cambria Math"/>
                      <w:color w:val="000000" w:themeColor="text1"/>
                      <w:sz w:val="20"/>
                      <w:szCs w:val="20"/>
                      <w:lang w:val="en-US"/>
                    </w:rPr>
                    <m:t>+</m:t>
                  </m:r>
                </m:sup>
              </m:sSubSup>
            </m:e>
          </m:d>
          <m:r>
            <w:rPr>
              <w:rFonts w:ascii="Cambria Math" w:hAnsi="Cambria Math"/>
              <w:color w:val="000000" w:themeColor="text1"/>
              <w:sz w:val="20"/>
              <w:szCs w:val="20"/>
              <w:lang w:val="en-US"/>
            </w:rPr>
            <m:t xml:space="preserve"> </m:t>
          </m:r>
          <m:d>
            <m:dPr>
              <m:ctrlPr>
                <w:rPr>
                  <w:rFonts w:ascii="Cambria Math" w:hAnsi="Cambria Math"/>
                  <w:i/>
                  <w:color w:val="000000" w:themeColor="text1"/>
                  <w:sz w:val="20"/>
                  <w:szCs w:val="20"/>
                  <w:lang w:val="en-US"/>
                </w:rPr>
              </m:ctrlPr>
            </m:dPr>
            <m:e>
              <m:r>
                <w:rPr>
                  <w:rFonts w:ascii="Cambria Math" w:hAnsi="Cambria Math"/>
                  <w:color w:val="000000" w:themeColor="text1"/>
                  <w:sz w:val="20"/>
                  <w:szCs w:val="20"/>
                  <w:lang w:val="en-US"/>
                </w:rPr>
                <m:t>n x T</m:t>
              </m:r>
            </m:e>
          </m:d>
          <m:r>
            <w:rPr>
              <w:rFonts w:ascii="Cambria Math" w:hAnsi="Cambria Math"/>
              <w:color w:val="000000" w:themeColor="text1"/>
              <w:sz w:val="20"/>
              <w:szCs w:val="20"/>
              <w:lang w:val="en-US"/>
            </w:rPr>
            <m:t xml:space="preserve"> matrix</m:t>
          </m:r>
        </m:oMath>
      </m:oMathPara>
    </w:p>
    <w:p w14:paraId="4D9C44D6" w14:textId="77777777" w:rsidR="003A2F85" w:rsidRPr="001A4A7B" w:rsidRDefault="003A2F85" w:rsidP="008B2E4B">
      <w:pPr>
        <w:spacing w:line="288" w:lineRule="auto"/>
        <w:ind w:firstLine="567"/>
        <w:jc w:val="both"/>
        <w:rPr>
          <w:color w:val="000000" w:themeColor="text1"/>
          <w:lang w:val="en-US"/>
        </w:rPr>
      </w:pPr>
    </w:p>
    <w:p w14:paraId="7F09A14D" w14:textId="7283CACE" w:rsidR="003A2F85" w:rsidRPr="001A4A7B" w:rsidRDefault="003A2F85" w:rsidP="00B842BE">
      <w:pPr>
        <w:spacing w:line="288" w:lineRule="auto"/>
        <w:ind w:firstLine="284"/>
        <w:jc w:val="both"/>
        <w:rPr>
          <w:color w:val="000000" w:themeColor="text1"/>
          <w:lang w:val="en-US"/>
        </w:rPr>
      </w:pPr>
      <w:r w:rsidRPr="001A4A7B">
        <w:rPr>
          <w:color w:val="000000" w:themeColor="text1"/>
          <w:lang w:val="en-US"/>
        </w:rPr>
        <w:t xml:space="preserve">The Wald statistic is </w:t>
      </w:r>
      <m:oMath>
        <m:sSup>
          <m:sSupPr>
            <m:ctrlPr>
              <w:rPr>
                <w:rFonts w:ascii="Cambria Math" w:hAnsi="Cambria Math"/>
                <w:i/>
                <w:color w:val="000000" w:themeColor="text1"/>
                <w:sz w:val="20"/>
                <w:szCs w:val="20"/>
                <w:lang w:val="en-US"/>
              </w:rPr>
            </m:ctrlPr>
          </m:sSupPr>
          <m:e>
            <m:d>
              <m:dPr>
                <m:ctrlPr>
                  <w:rPr>
                    <w:rFonts w:ascii="Cambria Math" w:hAnsi="Cambria Math"/>
                    <w:i/>
                    <w:color w:val="000000" w:themeColor="text1"/>
                    <w:sz w:val="20"/>
                    <w:szCs w:val="20"/>
                    <w:lang w:val="en-US"/>
                  </w:rPr>
                </m:ctrlPr>
              </m:dPr>
              <m:e>
                <m:r>
                  <w:rPr>
                    <w:rFonts w:ascii="Cambria Math" w:hAnsi="Cambria Math"/>
                    <w:color w:val="000000" w:themeColor="text1"/>
                    <w:sz w:val="20"/>
                    <w:szCs w:val="20"/>
                    <w:lang w:val="en-US"/>
                  </w:rPr>
                  <m:t>Cβ</m:t>
                </m:r>
              </m:e>
            </m:d>
          </m:e>
          <m:sup>
            <m:r>
              <w:rPr>
                <w:rFonts w:ascii="Cambria Math" w:hAnsi="Cambria Math"/>
                <w:color w:val="000000" w:themeColor="text1"/>
                <w:sz w:val="20"/>
                <w:szCs w:val="20"/>
                <w:lang w:val="en-US"/>
              </w:rPr>
              <m:t>'</m:t>
            </m:r>
          </m:sup>
        </m:sSup>
        <m:sSup>
          <m:sSupPr>
            <m:ctrlPr>
              <w:rPr>
                <w:rFonts w:ascii="Cambria Math" w:hAnsi="Cambria Math"/>
                <w:i/>
                <w:color w:val="000000" w:themeColor="text1"/>
                <w:sz w:val="20"/>
                <w:szCs w:val="20"/>
                <w:lang w:val="en-US"/>
              </w:rPr>
            </m:ctrlPr>
          </m:sSupPr>
          <m:e>
            <m:r>
              <w:rPr>
                <w:rFonts w:ascii="Cambria Math" w:hAnsi="Cambria Math"/>
                <w:color w:val="000000" w:themeColor="text1"/>
                <w:sz w:val="20"/>
                <w:szCs w:val="20"/>
                <w:lang w:val="en-US"/>
              </w:rPr>
              <m:t xml:space="preserve"> [C((</m:t>
            </m:r>
            <m:sSup>
              <m:sSupPr>
                <m:ctrlPr>
                  <w:rPr>
                    <w:rFonts w:ascii="Cambria Math" w:hAnsi="Cambria Math"/>
                    <w:i/>
                    <w:color w:val="000000" w:themeColor="text1"/>
                    <w:sz w:val="20"/>
                    <w:szCs w:val="20"/>
                    <w:lang w:val="en-US"/>
                  </w:rPr>
                </m:ctrlPr>
              </m:sSupPr>
              <m:e>
                <m:sSup>
                  <m:sSupPr>
                    <m:ctrlPr>
                      <w:rPr>
                        <w:rFonts w:ascii="Cambria Math" w:hAnsi="Cambria Math"/>
                        <w:i/>
                        <w:color w:val="000000" w:themeColor="text1"/>
                        <w:sz w:val="20"/>
                        <w:szCs w:val="20"/>
                        <w:lang w:val="en-US"/>
                      </w:rPr>
                    </m:ctrlPr>
                  </m:sSupPr>
                  <m:e>
                    <m:r>
                      <w:rPr>
                        <w:rFonts w:ascii="Cambria Math" w:hAnsi="Cambria Math"/>
                        <w:color w:val="000000" w:themeColor="text1"/>
                        <w:sz w:val="20"/>
                        <w:szCs w:val="20"/>
                        <w:lang w:val="en-US"/>
                      </w:rPr>
                      <m:t>Z</m:t>
                    </m:r>
                  </m:e>
                  <m:sup>
                    <m:r>
                      <w:rPr>
                        <w:rFonts w:ascii="Cambria Math" w:hAnsi="Cambria Math"/>
                        <w:color w:val="000000" w:themeColor="text1"/>
                        <w:sz w:val="20"/>
                        <w:szCs w:val="20"/>
                        <w:lang w:val="en-US"/>
                      </w:rPr>
                      <m:t>'</m:t>
                    </m:r>
                  </m:sup>
                </m:sSup>
                <m:r>
                  <w:rPr>
                    <w:rFonts w:ascii="Cambria Math" w:hAnsi="Cambria Math"/>
                    <w:color w:val="000000" w:themeColor="text1"/>
                    <w:sz w:val="20"/>
                    <w:szCs w:val="20"/>
                    <w:lang w:val="en-US"/>
                  </w:rPr>
                  <m:t>Z)</m:t>
                </m:r>
              </m:e>
              <m:sup>
                <m:r>
                  <w:rPr>
                    <w:rFonts w:ascii="Cambria Math" w:hAnsi="Cambria Math"/>
                    <w:color w:val="000000" w:themeColor="text1"/>
                    <w:sz w:val="20"/>
                    <w:szCs w:val="20"/>
                    <w:lang w:val="en-US"/>
                  </w:rPr>
                  <m:t>-1</m:t>
                </m:r>
              </m:sup>
            </m:sSup>
            <m:nary>
              <m:naryPr>
                <m:chr m:val="⨂"/>
                <m:subHide m:val="1"/>
                <m:supHide m:val="1"/>
                <m:ctrlPr>
                  <w:rPr>
                    <w:rFonts w:ascii="Cambria Math" w:hAnsi="Cambria Math"/>
                    <w:i/>
                    <w:color w:val="000000" w:themeColor="text1"/>
                    <w:sz w:val="20"/>
                    <w:szCs w:val="20"/>
                    <w:lang w:val="en-US"/>
                  </w:rPr>
                </m:ctrlPr>
              </m:naryPr>
              <m:sub/>
              <m:sup/>
              <m:e>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S</m:t>
                    </m:r>
                  </m:e>
                  <m:sub>
                    <m:r>
                      <w:rPr>
                        <w:rFonts w:ascii="Cambria Math" w:hAnsi="Cambria Math"/>
                        <w:color w:val="000000" w:themeColor="text1"/>
                        <w:sz w:val="20"/>
                        <w:szCs w:val="20"/>
                        <w:lang w:val="en-US"/>
                      </w:rPr>
                      <m:t>U</m:t>
                    </m:r>
                  </m:sub>
                </m:sSub>
                <m:r>
                  <w:rPr>
                    <w:rFonts w:ascii="Cambria Math" w:hAnsi="Cambria Math"/>
                    <w:color w:val="000000" w:themeColor="text1"/>
                    <w:sz w:val="20"/>
                    <w:szCs w:val="20"/>
                    <w:lang w:val="en-US"/>
                  </w:rPr>
                  <m:t>)C']</m:t>
                </m:r>
              </m:e>
            </m:nary>
          </m:e>
          <m:sup>
            <m:r>
              <w:rPr>
                <w:rFonts w:ascii="Cambria Math" w:hAnsi="Cambria Math"/>
                <w:color w:val="000000" w:themeColor="text1"/>
                <w:sz w:val="20"/>
                <w:szCs w:val="20"/>
                <w:lang w:val="en-US"/>
              </w:rPr>
              <m:t>-1</m:t>
            </m:r>
          </m:sup>
        </m:sSup>
        <m:d>
          <m:dPr>
            <m:ctrlPr>
              <w:rPr>
                <w:rFonts w:ascii="Cambria Math" w:hAnsi="Cambria Math"/>
                <w:i/>
                <w:color w:val="000000" w:themeColor="text1"/>
                <w:sz w:val="20"/>
                <w:szCs w:val="20"/>
                <w:lang w:val="en-US"/>
              </w:rPr>
            </m:ctrlPr>
          </m:dPr>
          <m:e>
            <m:r>
              <w:rPr>
                <w:rFonts w:ascii="Cambria Math" w:hAnsi="Cambria Math"/>
                <w:color w:val="000000" w:themeColor="text1"/>
                <w:sz w:val="20"/>
                <w:szCs w:val="20"/>
                <w:lang w:val="en-US"/>
              </w:rPr>
              <m:t>Cβ</m:t>
            </m:r>
          </m:e>
        </m:d>
        <m:r>
          <w:rPr>
            <w:rFonts w:ascii="Cambria Math" w:hAnsi="Cambria Math"/>
            <w:color w:val="000000" w:themeColor="text1"/>
            <w:sz w:val="20"/>
            <w:szCs w:val="20"/>
            <w:lang w:val="en-US"/>
          </w:rPr>
          <m:t xml:space="preserve">, </m:t>
        </m:r>
      </m:oMath>
      <w:r w:rsidRPr="001A4A7B">
        <w:rPr>
          <w:color w:val="000000" w:themeColor="text1"/>
          <w:lang w:val="en-US"/>
        </w:rPr>
        <w:t xml:space="preserve">where </w:t>
      </w:r>
      <m:oMath>
        <m:r>
          <w:rPr>
            <w:rFonts w:ascii="Cambria Math" w:hAnsi="Cambria Math"/>
            <w:color w:val="000000" w:themeColor="text1"/>
            <w:sz w:val="20"/>
            <w:szCs w:val="20"/>
            <w:lang w:val="en-US"/>
          </w:rPr>
          <m:t>β=vec</m:t>
        </m:r>
        <m:d>
          <m:dPr>
            <m:ctrlPr>
              <w:rPr>
                <w:rFonts w:ascii="Cambria Math" w:hAnsi="Cambria Math"/>
                <w:i/>
                <w:color w:val="000000" w:themeColor="text1"/>
                <w:sz w:val="20"/>
                <w:szCs w:val="20"/>
                <w:lang w:val="en-US"/>
              </w:rPr>
            </m:ctrlPr>
          </m:dPr>
          <m:e>
            <m:r>
              <w:rPr>
                <w:rFonts w:ascii="Cambria Math" w:hAnsi="Cambria Math"/>
                <w:color w:val="000000" w:themeColor="text1"/>
                <w:sz w:val="20"/>
                <w:szCs w:val="20"/>
                <w:lang w:val="en-US"/>
              </w:rPr>
              <m:t>D</m:t>
            </m:r>
          </m:e>
        </m:d>
        <m:r>
          <w:rPr>
            <w:rFonts w:ascii="Cambria Math" w:hAnsi="Cambria Math"/>
            <w:color w:val="000000" w:themeColor="text1"/>
            <w:sz w:val="20"/>
            <w:szCs w:val="20"/>
            <w:lang w:val="en-US"/>
          </w:rPr>
          <m:t>,</m:t>
        </m:r>
      </m:oMath>
      <w:r w:rsidRPr="001A4A7B">
        <w:rPr>
          <w:color w:val="000000" w:themeColor="text1"/>
          <w:lang w:val="en-US"/>
        </w:rPr>
        <w:t xml:space="preserve"> being </w:t>
      </w:r>
      <w:r w:rsidRPr="001A4A7B">
        <w:rPr>
          <w:i/>
          <w:color w:val="000000" w:themeColor="text1"/>
          <w:lang w:val="en-US"/>
        </w:rPr>
        <w:t>vec(·)</w:t>
      </w:r>
      <w:r w:rsidRPr="001A4A7B">
        <w:rPr>
          <w:color w:val="000000" w:themeColor="text1"/>
          <w:lang w:val="en-US"/>
        </w:rPr>
        <w:t xml:space="preserve"> the column-stacking operator; </w:t>
      </w:r>
      <m:oMath>
        <m:r>
          <w:rPr>
            <w:rFonts w:ascii="Cambria Math" w:hAnsi="Cambria Math"/>
            <w:color w:val="000000" w:themeColor="text1"/>
            <w:sz w:val="20"/>
            <w:szCs w:val="20"/>
            <w:lang w:val="en-US"/>
          </w:rPr>
          <m:t>⨂</m:t>
        </m:r>
      </m:oMath>
      <w:r w:rsidR="00956BC6" w:rsidRPr="001A4A7B">
        <w:rPr>
          <w:color w:val="000000" w:themeColor="text1"/>
          <w:lang w:val="en-US"/>
        </w:rPr>
        <w:t xml:space="preserve"> </w:t>
      </w:r>
      <w:r w:rsidRPr="001A4A7B">
        <w:rPr>
          <w:color w:val="000000" w:themeColor="text1"/>
          <w:lang w:val="en-US"/>
        </w:rPr>
        <w:t xml:space="preserve">is the Kronecker product; </w:t>
      </w:r>
      <w:r w:rsidRPr="001A4A7B">
        <w:rPr>
          <w:i/>
          <w:color w:val="000000" w:themeColor="text1"/>
          <w:lang w:val="en-US"/>
        </w:rPr>
        <w:t>C</w:t>
      </w:r>
      <w:r w:rsidRPr="001A4A7B">
        <w:rPr>
          <w:color w:val="000000" w:themeColor="text1"/>
          <w:lang w:val="en-US"/>
        </w:rPr>
        <w:t xml:space="preserve"> is a </w:t>
      </w:r>
      <m:oMath>
        <m:r>
          <w:rPr>
            <w:rFonts w:ascii="Cambria Math" w:hAnsi="Cambria Math"/>
            <w:color w:val="000000" w:themeColor="text1"/>
            <w:sz w:val="20"/>
            <w:szCs w:val="20"/>
            <w:lang w:val="en-US"/>
          </w:rPr>
          <m:t>p x n</m:t>
        </m:r>
        <m:d>
          <m:dPr>
            <m:ctrlPr>
              <w:rPr>
                <w:rFonts w:ascii="Cambria Math" w:hAnsi="Cambria Math"/>
                <w:i/>
                <w:color w:val="000000" w:themeColor="text1"/>
                <w:sz w:val="20"/>
                <w:szCs w:val="20"/>
                <w:lang w:val="en-US"/>
              </w:rPr>
            </m:ctrlPr>
          </m:dPr>
          <m:e>
            <m:r>
              <w:rPr>
                <w:rFonts w:ascii="Cambria Math" w:hAnsi="Cambria Math"/>
                <w:color w:val="000000" w:themeColor="text1"/>
                <w:sz w:val="20"/>
                <w:szCs w:val="20"/>
                <w:lang w:val="en-US"/>
              </w:rPr>
              <m:t>1+np</m:t>
            </m:r>
          </m:e>
        </m:d>
        <m:r>
          <w:rPr>
            <w:rFonts w:ascii="Cambria Math" w:hAnsi="Cambria Math"/>
            <w:color w:val="000000" w:themeColor="text1"/>
            <w:sz w:val="20"/>
            <w:szCs w:val="20"/>
            <w:lang w:val="en-US"/>
          </w:rPr>
          <m:t xml:space="preserve"> </m:t>
        </m:r>
      </m:oMath>
      <w:r w:rsidRPr="001A4A7B">
        <w:rPr>
          <w:color w:val="000000" w:themeColor="text1"/>
          <w:lang w:val="en-US"/>
        </w:rPr>
        <w:t xml:space="preserve">indicator matrix with elements for restricted parameters and zeros for the rest of the parameters; and </w:t>
      </w:r>
      <m:oMath>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S</m:t>
            </m:r>
          </m:e>
          <m:sub>
            <m:r>
              <w:rPr>
                <w:rFonts w:ascii="Cambria Math" w:hAnsi="Cambria Math"/>
                <w:color w:val="000000" w:themeColor="text1"/>
                <w:sz w:val="20"/>
                <w:szCs w:val="20"/>
                <w:lang w:val="en-US"/>
              </w:rPr>
              <m:t>U</m:t>
            </m:r>
          </m:sub>
        </m:sSub>
        <m:r>
          <w:rPr>
            <w:rFonts w:ascii="Cambria Math" w:hAnsi="Cambria Math"/>
            <w:color w:val="000000" w:themeColor="text1"/>
            <w:sz w:val="20"/>
            <w:szCs w:val="20"/>
            <w:lang w:val="en-US"/>
          </w:rPr>
          <m:t>=</m:t>
        </m:r>
        <m:f>
          <m:fPr>
            <m:ctrlPr>
              <w:rPr>
                <w:rFonts w:ascii="Cambria Math" w:hAnsi="Cambria Math"/>
                <w:i/>
                <w:color w:val="000000" w:themeColor="text1"/>
                <w:sz w:val="20"/>
                <w:szCs w:val="20"/>
                <w:lang w:val="en-US"/>
              </w:rPr>
            </m:ctrlPr>
          </m:fPr>
          <m:num>
            <m:sSubSup>
              <m:sSubSupPr>
                <m:ctrlPr>
                  <w:rPr>
                    <w:rFonts w:ascii="Cambria Math" w:hAnsi="Cambria Math"/>
                    <w:i/>
                    <w:color w:val="000000" w:themeColor="text1"/>
                    <w:sz w:val="20"/>
                    <w:szCs w:val="20"/>
                    <w:lang w:val="en-US"/>
                  </w:rPr>
                </m:ctrlPr>
              </m:sSubSupPr>
              <m:e>
                <m:acc>
                  <m:accPr>
                    <m:ctrlPr>
                      <w:rPr>
                        <w:rFonts w:ascii="Cambria Math" w:hAnsi="Cambria Math"/>
                        <w:i/>
                        <w:color w:val="000000" w:themeColor="text1"/>
                        <w:sz w:val="20"/>
                        <w:szCs w:val="20"/>
                        <w:lang w:val="en-US"/>
                      </w:rPr>
                    </m:ctrlPr>
                  </m:accPr>
                  <m:e>
                    <m:r>
                      <w:rPr>
                        <w:rFonts w:ascii="Cambria Math" w:hAnsi="Cambria Math"/>
                        <w:color w:val="000000" w:themeColor="text1"/>
                        <w:sz w:val="20"/>
                        <w:szCs w:val="20"/>
                        <w:lang w:val="en-US"/>
                      </w:rPr>
                      <m:t>δ</m:t>
                    </m:r>
                  </m:e>
                </m:acc>
              </m:e>
              <m:sub>
                <m:r>
                  <w:rPr>
                    <w:rFonts w:ascii="Cambria Math" w:hAnsi="Cambria Math"/>
                    <w:color w:val="000000" w:themeColor="text1"/>
                    <w:sz w:val="20"/>
                    <w:szCs w:val="20"/>
                    <w:lang w:val="en-US"/>
                  </w:rPr>
                  <m:t>U</m:t>
                </m:r>
              </m:sub>
              <m:sup>
                <m:r>
                  <w:rPr>
                    <w:rFonts w:ascii="Cambria Math" w:hAnsi="Cambria Math"/>
                    <w:color w:val="000000" w:themeColor="text1"/>
                    <w:sz w:val="20"/>
                    <w:szCs w:val="20"/>
                    <w:lang w:val="en-US"/>
                  </w:rPr>
                  <m:t>'</m:t>
                </m:r>
              </m:sup>
            </m:sSubSup>
            <m:sSub>
              <m:sSubPr>
                <m:ctrlPr>
                  <w:rPr>
                    <w:rFonts w:ascii="Cambria Math" w:hAnsi="Cambria Math"/>
                    <w:i/>
                    <w:color w:val="000000" w:themeColor="text1"/>
                    <w:sz w:val="20"/>
                    <w:szCs w:val="20"/>
                    <w:lang w:val="en-US"/>
                  </w:rPr>
                </m:ctrlPr>
              </m:sSubPr>
              <m:e>
                <m:acc>
                  <m:accPr>
                    <m:ctrlPr>
                      <w:rPr>
                        <w:rFonts w:ascii="Cambria Math" w:hAnsi="Cambria Math"/>
                        <w:i/>
                        <w:color w:val="000000" w:themeColor="text1"/>
                        <w:sz w:val="20"/>
                        <w:szCs w:val="20"/>
                        <w:lang w:val="en-US"/>
                      </w:rPr>
                    </m:ctrlPr>
                  </m:accPr>
                  <m:e>
                    <m:r>
                      <w:rPr>
                        <w:rFonts w:ascii="Cambria Math" w:hAnsi="Cambria Math"/>
                        <w:color w:val="000000" w:themeColor="text1"/>
                        <w:sz w:val="20"/>
                        <w:szCs w:val="20"/>
                        <w:lang w:val="en-US"/>
                      </w:rPr>
                      <m:t>δ</m:t>
                    </m:r>
                  </m:e>
                </m:acc>
              </m:e>
              <m:sub>
                <m:r>
                  <w:rPr>
                    <w:rFonts w:ascii="Cambria Math" w:hAnsi="Cambria Math"/>
                    <w:color w:val="000000" w:themeColor="text1"/>
                    <w:sz w:val="20"/>
                    <w:szCs w:val="20"/>
                    <w:lang w:val="en-US"/>
                  </w:rPr>
                  <m:t>U</m:t>
                </m:r>
              </m:sub>
            </m:sSub>
          </m:num>
          <m:den>
            <m:r>
              <w:rPr>
                <w:rFonts w:ascii="Cambria Math" w:hAnsi="Cambria Math"/>
                <w:color w:val="000000" w:themeColor="text1"/>
                <w:sz w:val="20"/>
                <w:szCs w:val="20"/>
                <w:lang w:val="en-US"/>
              </w:rPr>
              <m:t>T-q</m:t>
            </m:r>
          </m:den>
        </m:f>
      </m:oMath>
      <w:r w:rsidR="00956BC6" w:rsidRPr="001A4A7B">
        <w:rPr>
          <w:color w:val="000000" w:themeColor="text1"/>
          <w:lang w:val="en-US"/>
        </w:rPr>
        <w:t>,</w:t>
      </w:r>
      <w:r w:rsidR="00227EB5" w:rsidRPr="001A4A7B">
        <w:rPr>
          <w:color w:val="000000" w:themeColor="text1"/>
          <w:lang w:val="en-US"/>
        </w:rPr>
        <w:t xml:space="preserve"> </w:t>
      </w:r>
      <w:r w:rsidRPr="001A4A7B">
        <w:rPr>
          <w:i/>
          <w:color w:val="000000" w:themeColor="text1"/>
          <w:lang w:val="en-US"/>
        </w:rPr>
        <w:t xml:space="preserve">q </w:t>
      </w:r>
      <w:r w:rsidRPr="001A4A7B">
        <w:rPr>
          <w:color w:val="000000" w:themeColor="text1"/>
          <w:lang w:val="en-US"/>
        </w:rPr>
        <w:t xml:space="preserve">is the number of parameters in each equation of the VAR model. Under the assumption of normality, the Wald statistic follows an asymptotic </w:t>
      </w:r>
      <m:oMath>
        <m:sSup>
          <m:sSupPr>
            <m:ctrlPr>
              <w:rPr>
                <w:rFonts w:ascii="Cambria Math" w:hAnsi="Cambria Math"/>
                <w:i/>
                <w:color w:val="000000" w:themeColor="text1"/>
                <w:lang w:val="en-US"/>
              </w:rPr>
            </m:ctrlPr>
          </m:sSupPr>
          <m:e>
            <m:r>
              <w:rPr>
                <w:rFonts w:ascii="Cambria Math" w:hAnsi="Cambria Math"/>
                <w:color w:val="000000" w:themeColor="text1"/>
                <w:lang w:val="en-US"/>
              </w:rPr>
              <m:t>χ</m:t>
            </m:r>
          </m:e>
          <m:sup>
            <m:r>
              <w:rPr>
                <w:rFonts w:ascii="Cambria Math" w:hAnsi="Cambria Math"/>
                <w:color w:val="000000" w:themeColor="text1"/>
                <w:lang w:val="en-US"/>
              </w:rPr>
              <m:t>2</m:t>
            </m:r>
          </m:sup>
        </m:sSup>
      </m:oMath>
      <w:r w:rsidRPr="001A4A7B">
        <w:rPr>
          <w:color w:val="000000" w:themeColor="text1"/>
          <w:lang w:val="en-US"/>
        </w:rPr>
        <w:t xml:space="preserve"> distribution with </w:t>
      </w:r>
      <w:r w:rsidR="00227EB5" w:rsidRPr="001A4A7B">
        <w:rPr>
          <w:color w:val="000000" w:themeColor="text1"/>
          <w:lang w:val="en-US"/>
        </w:rPr>
        <w:t>equal</w:t>
      </w:r>
      <w:r w:rsidRPr="001A4A7B">
        <w:rPr>
          <w:color w:val="000000" w:themeColor="text1"/>
          <w:lang w:val="en-US"/>
        </w:rPr>
        <w:t xml:space="preserve"> degrees of freedom of the number of </w:t>
      </w:r>
      <w:r w:rsidR="00227EB5" w:rsidRPr="001A4A7B">
        <w:rPr>
          <w:color w:val="000000" w:themeColor="text1"/>
          <w:lang w:val="en-US"/>
        </w:rPr>
        <w:t>constraints</w:t>
      </w:r>
      <w:r w:rsidRPr="001A4A7B">
        <w:rPr>
          <w:color w:val="000000" w:themeColor="text1"/>
          <w:lang w:val="en-US"/>
        </w:rPr>
        <w:t xml:space="preserve"> to be tested (in </w:t>
      </w:r>
      <w:r w:rsidR="00227EB5" w:rsidRPr="001A4A7B">
        <w:rPr>
          <w:color w:val="000000" w:themeColor="text1"/>
          <w:lang w:val="en-US"/>
        </w:rPr>
        <w:t>this</w:t>
      </w:r>
      <w:r w:rsidRPr="001A4A7B">
        <w:rPr>
          <w:color w:val="000000" w:themeColor="text1"/>
          <w:lang w:val="en-US"/>
        </w:rPr>
        <w:t xml:space="preserve"> case, equal to </w:t>
      </w:r>
      <w:r w:rsidRPr="001A4A7B">
        <w:rPr>
          <w:i/>
          <w:color w:val="000000" w:themeColor="text1"/>
          <w:lang w:val="en-US"/>
        </w:rPr>
        <w:t>p</w:t>
      </w:r>
      <w:r w:rsidRPr="001A4A7B">
        <w:rPr>
          <w:color w:val="000000" w:themeColor="text1"/>
          <w:lang w:val="en-US"/>
        </w:rPr>
        <w:t xml:space="preserve">). The null hypothesis of non-Granger causality, </w:t>
      </w:r>
      <m:oMath>
        <m:sSub>
          <m:sSubPr>
            <m:ctrlPr>
              <w:rPr>
                <w:rFonts w:ascii="Cambria Math" w:hAnsi="Cambria Math"/>
                <w:i/>
                <w:color w:val="000000" w:themeColor="text1"/>
                <w:sz w:val="20"/>
                <w:szCs w:val="20"/>
                <w:lang w:val="en-US"/>
              </w:rPr>
            </m:ctrlPr>
          </m:sSubPr>
          <m:e>
            <m:r>
              <w:rPr>
                <w:rFonts w:ascii="Cambria Math" w:hAnsi="Cambria Math"/>
                <w:color w:val="000000" w:themeColor="text1"/>
                <w:sz w:val="20"/>
                <w:szCs w:val="20"/>
                <w:lang w:val="en-US"/>
              </w:rPr>
              <m:t>H</m:t>
            </m:r>
          </m:e>
          <m:sub>
            <m:r>
              <w:rPr>
                <w:rFonts w:ascii="Cambria Math" w:hAnsi="Cambria Math"/>
                <w:color w:val="000000" w:themeColor="text1"/>
                <w:sz w:val="20"/>
                <w:szCs w:val="20"/>
                <w:lang w:val="en-US"/>
              </w:rPr>
              <m:t>0</m:t>
            </m:r>
          </m:sub>
        </m:sSub>
        <m:r>
          <w:rPr>
            <w:rFonts w:ascii="Cambria Math" w:hAnsi="Cambria Math"/>
            <w:color w:val="000000" w:themeColor="text1"/>
            <w:sz w:val="20"/>
            <w:szCs w:val="20"/>
            <w:lang w:val="en-US"/>
          </w:rPr>
          <m:t>:Cβ=0</m:t>
        </m:r>
      </m:oMath>
      <w:r w:rsidRPr="001A4A7B">
        <w:rPr>
          <w:color w:val="000000" w:themeColor="text1"/>
          <w:lang w:val="en-US"/>
        </w:rPr>
        <w:t xml:space="preserve">, is rejected at the </w:t>
      </w:r>
      <m:oMath>
        <m:r>
          <w:rPr>
            <w:rFonts w:ascii="Cambria Math" w:hAnsi="Cambria Math"/>
            <w:color w:val="000000" w:themeColor="text1"/>
            <w:sz w:val="20"/>
            <w:szCs w:val="20"/>
            <w:lang w:val="en-US"/>
          </w:rPr>
          <m:t>α</m:t>
        </m:r>
      </m:oMath>
      <w:r w:rsidRPr="001A4A7B">
        <w:rPr>
          <w:color w:val="000000" w:themeColor="text1"/>
          <w:lang w:val="en-US"/>
        </w:rPr>
        <w:t xml:space="preserve"> level of significance (1%, 5% or 10%) according to the bootstrap critical values generated by GAUSS software.</w:t>
      </w:r>
    </w:p>
    <w:p w14:paraId="2F7E05D4" w14:textId="77777777" w:rsidR="003A2F85" w:rsidRPr="001A4A7B" w:rsidRDefault="003A2F85" w:rsidP="0086784A">
      <w:pPr>
        <w:spacing w:line="288" w:lineRule="auto"/>
        <w:ind w:firstLine="567"/>
        <w:jc w:val="both"/>
        <w:rPr>
          <w:color w:val="000000" w:themeColor="text1"/>
          <w:lang w:val="en-US"/>
        </w:rPr>
      </w:pPr>
    </w:p>
    <w:p w14:paraId="10B25D6D" w14:textId="77777777" w:rsidR="003A2F85" w:rsidRPr="001A4A7B" w:rsidRDefault="003A2F85" w:rsidP="00681887">
      <w:pPr>
        <w:widowControl w:val="0"/>
        <w:autoSpaceDE w:val="0"/>
        <w:autoSpaceDN w:val="0"/>
        <w:adjustRightInd w:val="0"/>
        <w:spacing w:after="240"/>
        <w:jc w:val="both"/>
        <w:rPr>
          <w:b/>
          <w:color w:val="000000" w:themeColor="text1"/>
          <w:lang w:val="en-US"/>
        </w:rPr>
      </w:pPr>
      <w:r w:rsidRPr="001A4A7B">
        <w:rPr>
          <w:b/>
          <w:color w:val="000000" w:themeColor="text1"/>
          <w:lang w:val="en-US"/>
        </w:rPr>
        <w:t>4. Results</w:t>
      </w:r>
    </w:p>
    <w:p w14:paraId="36AA7D02" w14:textId="77777777" w:rsidR="00BF55AF" w:rsidRPr="001A4A7B" w:rsidRDefault="00956BC6" w:rsidP="00BF55AF">
      <w:pPr>
        <w:spacing w:line="281" w:lineRule="auto"/>
        <w:jc w:val="both"/>
        <w:rPr>
          <w:color w:val="000000" w:themeColor="text1"/>
          <w:lang w:val="en-US"/>
        </w:rPr>
      </w:pPr>
      <w:r w:rsidRPr="001A4A7B">
        <w:rPr>
          <w:color w:val="000000" w:themeColor="text1"/>
          <w:lang w:val="en-US"/>
        </w:rPr>
        <w:t>According to the econometric strategy above-described, in this section, we show the results to investigate the Granger causality relationships not only product-by-product but also by allowing asymmetries between the variables WTI and the different refined products and the inverse. In this sense, we apply the method of Hatemi-J, which is an extension of Toda and Yamamoto's work, for a product vs product study that also permits the study of asymmetries. Depending on the hypotheses to be tested, the results of these methods are described and differentiated by the direction of the causality. In this sense, Table 1 shows the empirical hypotheses coined for our goal and additionally, the estimated results are presented in Tables 2, 3 and 4, while Table 5 shows a summary of the main results</w:t>
      </w:r>
      <w:r w:rsidR="003A2F85" w:rsidRPr="001A4A7B">
        <w:rPr>
          <w:color w:val="000000" w:themeColor="text1"/>
          <w:lang w:val="en-US"/>
        </w:rPr>
        <w:t xml:space="preserve">. </w:t>
      </w:r>
      <w:r w:rsidR="007A0C2A" w:rsidRPr="001A4A7B">
        <w:rPr>
          <w:color w:val="000000" w:themeColor="text1"/>
          <w:lang w:val="en-US"/>
        </w:rPr>
        <w:t xml:space="preserve">Prior to conducting our analysis, </w:t>
      </w:r>
      <w:r w:rsidR="00F248B1" w:rsidRPr="001A4A7B">
        <w:rPr>
          <w:color w:val="000000" w:themeColor="text1"/>
          <w:lang w:val="en-US"/>
        </w:rPr>
        <w:t xml:space="preserve">we perform </w:t>
      </w:r>
      <w:r w:rsidR="00BF55AF" w:rsidRPr="001A4A7B">
        <w:rPr>
          <w:color w:val="000000" w:themeColor="text1"/>
          <w:lang w:val="en-US"/>
        </w:rPr>
        <w:t xml:space="preserve">four different tests: The augmented Dickey–Fuller (ADF) test offered by Dickey and Fuller (1979), the Phillips–Perron (PP) test offered by Phillips and Perron (1988), the Kwiatkowski–Phillips–Schmidt–Shin (KPSS) test offered by Kwiatkowski, Phillips, Schmidt, and Shin (1992) </w:t>
      </w:r>
      <w:r w:rsidR="00BF55AF" w:rsidRPr="001A4A7B">
        <w:rPr>
          <w:color w:val="000000" w:themeColor="text1"/>
          <w:lang w:val="en-US"/>
        </w:rPr>
        <w:lastRenderedPageBreak/>
        <w:t>and the Ng-Perron test developed by Ng and Perron (2001). We test for the stationarity of the series by means of the conventional ADF, PP, KPSS and Ng-Perron unit root tests. The unit root test results are presented in Table A2.</w:t>
      </w:r>
    </w:p>
    <w:p w14:paraId="3173DA53" w14:textId="458A9389" w:rsidR="00BF55AF" w:rsidRPr="001A4A7B" w:rsidRDefault="00BF55AF" w:rsidP="00B842BE">
      <w:pPr>
        <w:spacing w:line="281" w:lineRule="auto"/>
        <w:jc w:val="both"/>
        <w:rPr>
          <w:color w:val="000000" w:themeColor="text1"/>
          <w:lang w:val="en-US"/>
        </w:rPr>
      </w:pPr>
    </w:p>
    <w:p w14:paraId="0607FEBC" w14:textId="3F581F12" w:rsidR="00BF55AF" w:rsidRPr="001A4A7B" w:rsidRDefault="00BF55AF" w:rsidP="00BF55AF">
      <w:pPr>
        <w:spacing w:line="281" w:lineRule="auto"/>
        <w:ind w:firstLine="284"/>
        <w:jc w:val="both"/>
        <w:rPr>
          <w:color w:val="000000" w:themeColor="text1"/>
          <w:lang w:val="en-US"/>
        </w:rPr>
      </w:pPr>
      <w:r w:rsidRPr="001A4A7B">
        <w:rPr>
          <w:color w:val="000000" w:themeColor="text1"/>
          <w:lang w:val="en-US"/>
        </w:rPr>
        <w:t>Table A2 shows mixed results on whether the petro-derivatives prices follow a stationary process or not. Evidence shows that at a 1% significance level, the null hypothesis of a unit root cannot be rejected at levels in almost all the variables, while it is soundly rejected at first-differences.</w:t>
      </w:r>
    </w:p>
    <w:p w14:paraId="3073BCE3" w14:textId="77777777" w:rsidR="00BF55AF" w:rsidRPr="001A4A7B" w:rsidRDefault="00BF55AF" w:rsidP="00B842BE">
      <w:pPr>
        <w:spacing w:line="281" w:lineRule="auto"/>
        <w:jc w:val="both"/>
        <w:rPr>
          <w:color w:val="000000" w:themeColor="text1"/>
          <w:lang w:val="en-US"/>
        </w:rPr>
      </w:pPr>
    </w:p>
    <w:tbl>
      <w:tblPr>
        <w:tblStyle w:val="Tablaconcuadrcula"/>
        <w:tblW w:w="9528" w:type="dxa"/>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3686"/>
        <w:gridCol w:w="2865"/>
      </w:tblGrid>
      <w:tr w:rsidR="001A4A7B" w:rsidRPr="001A4A7B" w14:paraId="45F5B34A" w14:textId="7E2FC62D" w:rsidTr="008313BF">
        <w:trPr>
          <w:jc w:val="center"/>
        </w:trPr>
        <w:tc>
          <w:tcPr>
            <w:tcW w:w="6663" w:type="dxa"/>
            <w:gridSpan w:val="2"/>
            <w:tcBorders>
              <w:bottom w:val="single" w:sz="4" w:space="0" w:color="auto"/>
            </w:tcBorders>
            <w:vAlign w:val="center"/>
          </w:tcPr>
          <w:p w14:paraId="3566DB3E" w14:textId="680F4C19" w:rsidR="007078C1" w:rsidRPr="001A4A7B" w:rsidRDefault="007078C1" w:rsidP="008313BF">
            <w:pPr>
              <w:spacing w:line="281" w:lineRule="auto"/>
              <w:rPr>
                <w:color w:val="000000" w:themeColor="text1"/>
                <w:sz w:val="20"/>
                <w:szCs w:val="20"/>
                <w:lang w:val="en-US"/>
              </w:rPr>
            </w:pPr>
            <w:r w:rsidRPr="001A4A7B">
              <w:rPr>
                <w:b/>
                <w:color w:val="000000" w:themeColor="text1"/>
                <w:sz w:val="20"/>
                <w:szCs w:val="20"/>
                <w:lang w:val="en-US"/>
              </w:rPr>
              <w:t>Table 1</w:t>
            </w:r>
            <w:r w:rsidRPr="001A4A7B">
              <w:rPr>
                <w:color w:val="000000" w:themeColor="text1"/>
                <w:sz w:val="20"/>
                <w:szCs w:val="20"/>
                <w:lang w:val="en-US"/>
              </w:rPr>
              <w:t>. Empirical hypotheses</w:t>
            </w:r>
          </w:p>
        </w:tc>
        <w:tc>
          <w:tcPr>
            <w:tcW w:w="2865" w:type="dxa"/>
            <w:tcBorders>
              <w:bottom w:val="single" w:sz="4" w:space="0" w:color="auto"/>
            </w:tcBorders>
            <w:vAlign w:val="center"/>
          </w:tcPr>
          <w:p w14:paraId="09D29F24" w14:textId="77777777" w:rsidR="007078C1" w:rsidRPr="001A4A7B" w:rsidRDefault="007078C1" w:rsidP="008313BF">
            <w:pPr>
              <w:spacing w:line="281" w:lineRule="auto"/>
              <w:rPr>
                <w:b/>
                <w:color w:val="000000" w:themeColor="text1"/>
                <w:sz w:val="20"/>
                <w:szCs w:val="20"/>
                <w:lang w:val="en-US"/>
              </w:rPr>
            </w:pPr>
          </w:p>
        </w:tc>
      </w:tr>
      <w:tr w:rsidR="001A4A7B" w:rsidRPr="001A4A7B" w14:paraId="56751436" w14:textId="702FE60B" w:rsidTr="008313BF">
        <w:trPr>
          <w:jc w:val="center"/>
        </w:trPr>
        <w:tc>
          <w:tcPr>
            <w:tcW w:w="2977" w:type="dxa"/>
            <w:tcBorders>
              <w:top w:val="single" w:sz="4" w:space="0" w:color="auto"/>
              <w:bottom w:val="single" w:sz="4" w:space="0" w:color="auto"/>
            </w:tcBorders>
            <w:vAlign w:val="center"/>
          </w:tcPr>
          <w:p w14:paraId="7DEBE895" w14:textId="4E9FDEBC" w:rsidR="007078C1" w:rsidRPr="001A4A7B" w:rsidRDefault="007078C1" w:rsidP="008313BF">
            <w:pPr>
              <w:spacing w:line="281" w:lineRule="auto"/>
              <w:jc w:val="center"/>
              <w:rPr>
                <w:b/>
                <w:color w:val="000000" w:themeColor="text1"/>
                <w:sz w:val="20"/>
                <w:szCs w:val="20"/>
                <w:lang w:val="en-US"/>
              </w:rPr>
            </w:pPr>
            <w:r w:rsidRPr="001A4A7B">
              <w:rPr>
                <w:b/>
                <w:color w:val="000000" w:themeColor="text1"/>
                <w:sz w:val="20"/>
                <w:szCs w:val="20"/>
                <w:lang w:val="en-US"/>
              </w:rPr>
              <w:t>Hypothesis</w:t>
            </w:r>
          </w:p>
        </w:tc>
        <w:tc>
          <w:tcPr>
            <w:tcW w:w="3686" w:type="dxa"/>
            <w:tcBorders>
              <w:top w:val="single" w:sz="4" w:space="0" w:color="auto"/>
              <w:bottom w:val="single" w:sz="4" w:space="0" w:color="auto"/>
            </w:tcBorders>
            <w:vAlign w:val="center"/>
          </w:tcPr>
          <w:p w14:paraId="5E46A000" w14:textId="434DBBDF" w:rsidR="007078C1" w:rsidRPr="001A4A7B" w:rsidRDefault="007078C1" w:rsidP="008313BF">
            <w:pPr>
              <w:spacing w:line="281" w:lineRule="auto"/>
              <w:jc w:val="center"/>
              <w:rPr>
                <w:b/>
                <w:color w:val="000000" w:themeColor="text1"/>
                <w:sz w:val="20"/>
                <w:szCs w:val="20"/>
                <w:lang w:val="en-US"/>
              </w:rPr>
            </w:pPr>
            <w:r w:rsidRPr="001A4A7B">
              <w:rPr>
                <w:b/>
                <w:color w:val="000000" w:themeColor="text1"/>
                <w:sz w:val="20"/>
                <w:szCs w:val="20"/>
                <w:lang w:val="en-US"/>
              </w:rPr>
              <w:t>Explanation</w:t>
            </w:r>
          </w:p>
        </w:tc>
        <w:tc>
          <w:tcPr>
            <w:tcW w:w="2865" w:type="dxa"/>
            <w:tcBorders>
              <w:top w:val="single" w:sz="4" w:space="0" w:color="auto"/>
              <w:bottom w:val="single" w:sz="4" w:space="0" w:color="auto"/>
            </w:tcBorders>
            <w:vAlign w:val="center"/>
          </w:tcPr>
          <w:p w14:paraId="78991626" w14:textId="42C6EFA2" w:rsidR="007078C1" w:rsidRPr="001A4A7B" w:rsidRDefault="007078C1" w:rsidP="008313BF">
            <w:pPr>
              <w:spacing w:line="281" w:lineRule="auto"/>
              <w:jc w:val="center"/>
              <w:rPr>
                <w:b/>
                <w:color w:val="000000" w:themeColor="text1"/>
                <w:sz w:val="20"/>
                <w:szCs w:val="20"/>
                <w:lang w:val="en-US"/>
              </w:rPr>
            </w:pPr>
            <w:r w:rsidRPr="001A4A7B">
              <w:rPr>
                <w:b/>
                <w:color w:val="000000" w:themeColor="text1"/>
                <w:sz w:val="20"/>
                <w:szCs w:val="20"/>
                <w:lang w:val="en-US"/>
              </w:rPr>
              <w:t>Causality link</w:t>
            </w:r>
          </w:p>
        </w:tc>
      </w:tr>
      <w:tr w:rsidR="001A4A7B" w:rsidRPr="001A4A7B" w14:paraId="72C95C2C" w14:textId="23F3AE36" w:rsidTr="008313BF">
        <w:trPr>
          <w:jc w:val="center"/>
        </w:trPr>
        <w:tc>
          <w:tcPr>
            <w:tcW w:w="2977" w:type="dxa"/>
            <w:tcBorders>
              <w:top w:val="single" w:sz="4" w:space="0" w:color="auto"/>
              <w:bottom w:val="dotted" w:sz="4" w:space="0" w:color="auto"/>
            </w:tcBorders>
            <w:vAlign w:val="center"/>
          </w:tcPr>
          <w:p w14:paraId="64955141" w14:textId="1AF73CDF" w:rsidR="007078C1" w:rsidRPr="001A4A7B" w:rsidRDefault="007078C1" w:rsidP="008313BF">
            <w:pPr>
              <w:spacing w:line="281" w:lineRule="auto"/>
              <w:ind w:right="-99"/>
              <w:jc w:val="both"/>
              <w:rPr>
                <w:color w:val="000000" w:themeColor="text1"/>
                <w:sz w:val="20"/>
                <w:szCs w:val="20"/>
                <w:lang w:val="en-US"/>
              </w:rPr>
            </w:pPr>
            <w:r w:rsidRPr="001A4A7B">
              <w:rPr>
                <w:color w:val="000000" w:themeColor="text1"/>
                <w:sz w:val="20"/>
                <w:szCs w:val="20"/>
                <w:lang w:val="en-US"/>
              </w:rPr>
              <w:t>Supply-driven market integration</w:t>
            </w:r>
          </w:p>
        </w:tc>
        <w:tc>
          <w:tcPr>
            <w:tcW w:w="3686" w:type="dxa"/>
            <w:tcBorders>
              <w:top w:val="single" w:sz="4" w:space="0" w:color="auto"/>
              <w:bottom w:val="dotted" w:sz="4" w:space="0" w:color="auto"/>
            </w:tcBorders>
            <w:vAlign w:val="center"/>
          </w:tcPr>
          <w:p w14:paraId="4F5B0B32" w14:textId="6449FF65" w:rsidR="007078C1" w:rsidRPr="001A4A7B" w:rsidRDefault="007078C1" w:rsidP="008313BF">
            <w:pPr>
              <w:spacing w:line="281" w:lineRule="auto"/>
              <w:jc w:val="both"/>
              <w:rPr>
                <w:color w:val="000000" w:themeColor="text1"/>
                <w:sz w:val="20"/>
                <w:szCs w:val="20"/>
                <w:lang w:val="en-US"/>
              </w:rPr>
            </w:pPr>
            <w:r w:rsidRPr="001A4A7B">
              <w:rPr>
                <w:color w:val="000000" w:themeColor="text1"/>
                <w:sz w:val="20"/>
                <w:szCs w:val="20"/>
                <w:lang w:val="en-US"/>
              </w:rPr>
              <w:t>Supply forces influence the prices of refined products.</w:t>
            </w:r>
          </w:p>
        </w:tc>
        <w:tc>
          <w:tcPr>
            <w:tcW w:w="2865" w:type="dxa"/>
            <w:tcBorders>
              <w:top w:val="single" w:sz="4" w:space="0" w:color="auto"/>
              <w:bottom w:val="dotted" w:sz="4" w:space="0" w:color="auto"/>
            </w:tcBorders>
            <w:vAlign w:val="center"/>
          </w:tcPr>
          <w:p w14:paraId="3201C92E" w14:textId="05332826" w:rsidR="007078C1" w:rsidRPr="001A4A7B" w:rsidRDefault="007078C1" w:rsidP="008313BF">
            <w:pPr>
              <w:spacing w:line="281" w:lineRule="auto"/>
              <w:rPr>
                <w:b/>
                <w:color w:val="000000" w:themeColor="text1"/>
                <w:sz w:val="20"/>
                <w:szCs w:val="20"/>
                <w:lang w:val="en-US"/>
              </w:rPr>
            </w:pPr>
            <m:oMathPara>
              <m:oMath>
                <m:r>
                  <m:rPr>
                    <m:sty m:val="bi"/>
                  </m:rPr>
                  <w:rPr>
                    <w:rFonts w:ascii="Cambria Math" w:hAnsi="Cambria Math"/>
                    <w:color w:val="000000" w:themeColor="text1"/>
                    <w:sz w:val="20"/>
                    <w:szCs w:val="20"/>
                    <w:lang w:val="en-US"/>
                  </w:rPr>
                  <m:t>WTI⇒Deriv</m:t>
                </m:r>
              </m:oMath>
            </m:oMathPara>
          </w:p>
          <w:p w14:paraId="098FC50D" w14:textId="0B3FB218" w:rsidR="007078C1" w:rsidRPr="001A4A7B" w:rsidRDefault="007078C1" w:rsidP="008313BF">
            <w:pPr>
              <w:spacing w:before="40" w:after="40" w:line="288" w:lineRule="auto"/>
              <w:rPr>
                <w:b/>
                <w:i/>
                <w:color w:val="000000" w:themeColor="text1"/>
                <w:sz w:val="20"/>
                <w:szCs w:val="20"/>
                <w:lang w:val="en-US"/>
              </w:rPr>
            </w:pPr>
            <m:oMathPara>
              <m:oMath>
                <m:r>
                  <m:rPr>
                    <m:sty m:val="bi"/>
                  </m:rPr>
                  <w:rPr>
                    <w:rFonts w:ascii="Cambria Math" w:hAnsi="Cambria Math"/>
                    <w:color w:val="000000" w:themeColor="text1"/>
                    <w:sz w:val="20"/>
                    <w:szCs w:val="20"/>
                    <w:lang w:val="en-US"/>
                  </w:rPr>
                  <m:t>WTI+⇒Deriv+</m:t>
                </m:r>
              </m:oMath>
            </m:oMathPara>
          </w:p>
          <w:p w14:paraId="566F1193" w14:textId="32327116" w:rsidR="007078C1" w:rsidRPr="001A4A7B" w:rsidRDefault="007078C1" w:rsidP="008313BF">
            <w:pPr>
              <w:spacing w:before="40" w:after="40" w:line="288" w:lineRule="auto"/>
              <w:rPr>
                <w:b/>
                <w:i/>
                <w:color w:val="000000" w:themeColor="text1"/>
                <w:sz w:val="20"/>
                <w:szCs w:val="20"/>
                <w:lang w:val="en-US"/>
              </w:rPr>
            </w:pPr>
            <m:oMathPara>
              <m:oMath>
                <m:r>
                  <m:rPr>
                    <m:sty m:val="bi"/>
                  </m:rPr>
                  <w:rPr>
                    <w:rFonts w:ascii="Cambria Math" w:hAnsi="Cambria Math"/>
                    <w:color w:val="000000" w:themeColor="text1"/>
                    <w:sz w:val="20"/>
                    <w:szCs w:val="20"/>
                    <w:lang w:val="en-US"/>
                  </w:rPr>
                  <m:t>WTI-⇒Deriv-</m:t>
                </m:r>
              </m:oMath>
            </m:oMathPara>
          </w:p>
        </w:tc>
      </w:tr>
      <w:tr w:rsidR="001A4A7B" w:rsidRPr="001A4A7B" w14:paraId="057C347C" w14:textId="7E022AEF" w:rsidTr="008313BF">
        <w:trPr>
          <w:jc w:val="center"/>
        </w:trPr>
        <w:tc>
          <w:tcPr>
            <w:tcW w:w="2977" w:type="dxa"/>
            <w:tcBorders>
              <w:top w:val="dotted" w:sz="4" w:space="0" w:color="auto"/>
              <w:bottom w:val="dotted" w:sz="4" w:space="0" w:color="auto"/>
            </w:tcBorders>
            <w:vAlign w:val="center"/>
          </w:tcPr>
          <w:p w14:paraId="31E1EA1D" w14:textId="1FCB0B1F" w:rsidR="007078C1" w:rsidRPr="001A4A7B" w:rsidRDefault="007078C1" w:rsidP="008313BF">
            <w:pPr>
              <w:spacing w:line="281" w:lineRule="auto"/>
              <w:jc w:val="both"/>
              <w:rPr>
                <w:color w:val="000000" w:themeColor="text1"/>
                <w:sz w:val="20"/>
                <w:szCs w:val="20"/>
                <w:lang w:val="en-US"/>
              </w:rPr>
            </w:pPr>
            <w:r w:rsidRPr="001A4A7B">
              <w:rPr>
                <w:color w:val="000000" w:themeColor="text1"/>
                <w:sz w:val="20"/>
                <w:szCs w:val="20"/>
                <w:lang w:val="en-US"/>
              </w:rPr>
              <w:t xml:space="preserve">Rockets </w:t>
            </w:r>
            <w:r w:rsidR="00752592" w:rsidRPr="001A4A7B">
              <w:rPr>
                <w:color w:val="000000" w:themeColor="text1"/>
                <w:sz w:val="20"/>
                <w:szCs w:val="20"/>
                <w:lang w:val="en-US"/>
              </w:rPr>
              <w:t>and</w:t>
            </w:r>
            <w:r w:rsidRPr="001A4A7B">
              <w:rPr>
                <w:color w:val="000000" w:themeColor="text1"/>
                <w:sz w:val="20"/>
                <w:szCs w:val="20"/>
                <w:lang w:val="en-US"/>
              </w:rPr>
              <w:t xml:space="preserve"> Feathers hypothesis</w:t>
            </w:r>
          </w:p>
        </w:tc>
        <w:tc>
          <w:tcPr>
            <w:tcW w:w="3686" w:type="dxa"/>
            <w:tcBorders>
              <w:top w:val="dotted" w:sz="4" w:space="0" w:color="auto"/>
              <w:bottom w:val="dotted" w:sz="4" w:space="0" w:color="auto"/>
            </w:tcBorders>
            <w:vAlign w:val="center"/>
          </w:tcPr>
          <w:p w14:paraId="42DF2431" w14:textId="7750BF3D" w:rsidR="007078C1" w:rsidRPr="001A4A7B" w:rsidRDefault="007078C1" w:rsidP="008313BF">
            <w:pPr>
              <w:spacing w:line="281" w:lineRule="auto"/>
              <w:jc w:val="both"/>
              <w:rPr>
                <w:color w:val="000000" w:themeColor="text1"/>
                <w:sz w:val="20"/>
                <w:szCs w:val="20"/>
                <w:lang w:val="en-US"/>
              </w:rPr>
            </w:pPr>
            <w:r w:rsidRPr="001A4A7B">
              <w:rPr>
                <w:color w:val="000000" w:themeColor="text1"/>
                <w:sz w:val="20"/>
                <w:szCs w:val="20"/>
                <w:lang w:val="en-US"/>
              </w:rPr>
              <w:t>Refined products prices rise more quickly when crude oil prices increase than they plunge when crude oil prices drop.</w:t>
            </w:r>
          </w:p>
        </w:tc>
        <w:tc>
          <w:tcPr>
            <w:tcW w:w="2865" w:type="dxa"/>
            <w:tcBorders>
              <w:top w:val="dotted" w:sz="4" w:space="0" w:color="auto"/>
              <w:bottom w:val="dotted" w:sz="4" w:space="0" w:color="auto"/>
            </w:tcBorders>
            <w:vAlign w:val="center"/>
          </w:tcPr>
          <w:p w14:paraId="7D20EF09" w14:textId="7BB5F5B9" w:rsidR="007078C1" w:rsidRPr="001A4A7B" w:rsidRDefault="007078C1" w:rsidP="008313BF">
            <w:pPr>
              <w:spacing w:before="40" w:after="40" w:line="288" w:lineRule="auto"/>
              <w:rPr>
                <w:b/>
                <w:i/>
                <w:color w:val="000000" w:themeColor="text1"/>
                <w:sz w:val="20"/>
                <w:szCs w:val="20"/>
                <w:lang w:val="en-US"/>
              </w:rPr>
            </w:pPr>
            <m:oMathPara>
              <m:oMath>
                <m:r>
                  <m:rPr>
                    <m:sty m:val="bi"/>
                  </m:rPr>
                  <w:rPr>
                    <w:rFonts w:ascii="Cambria Math" w:hAnsi="Cambria Math"/>
                    <w:color w:val="000000" w:themeColor="text1"/>
                    <w:sz w:val="20"/>
                    <w:szCs w:val="20"/>
                    <w:lang w:val="en-US"/>
                  </w:rPr>
                  <m:t>WTI+⇒Deriv+</m:t>
                </m:r>
              </m:oMath>
            </m:oMathPara>
          </w:p>
          <w:p w14:paraId="343620AA" w14:textId="542926FE" w:rsidR="007078C1" w:rsidRPr="001A4A7B" w:rsidRDefault="007078C1" w:rsidP="008313BF">
            <w:pPr>
              <w:spacing w:before="40" w:after="40" w:line="288" w:lineRule="auto"/>
              <w:rPr>
                <w:b/>
                <w:i/>
                <w:color w:val="000000" w:themeColor="text1"/>
                <w:sz w:val="20"/>
                <w:szCs w:val="20"/>
                <w:lang w:val="en-US"/>
              </w:rPr>
            </w:pPr>
            <m:oMathPara>
              <m:oMath>
                <m:r>
                  <m:rPr>
                    <m:sty m:val="bi"/>
                  </m:rPr>
                  <w:rPr>
                    <w:rFonts w:ascii="Cambria Math" w:hAnsi="Cambria Math"/>
                    <w:color w:val="000000" w:themeColor="text1"/>
                    <w:sz w:val="20"/>
                    <w:szCs w:val="20"/>
                    <w:lang w:val="en-US"/>
                  </w:rPr>
                  <m:t>WTI-⇏Deriv-</m:t>
                </m:r>
              </m:oMath>
            </m:oMathPara>
          </w:p>
        </w:tc>
      </w:tr>
      <w:tr w:rsidR="001A4A7B" w:rsidRPr="001A4A7B" w14:paraId="2AEAF95F" w14:textId="1B8FEDC1" w:rsidTr="008313BF">
        <w:trPr>
          <w:jc w:val="center"/>
        </w:trPr>
        <w:tc>
          <w:tcPr>
            <w:tcW w:w="2977" w:type="dxa"/>
            <w:tcBorders>
              <w:top w:val="dotted" w:sz="4" w:space="0" w:color="auto"/>
              <w:bottom w:val="dotted" w:sz="4" w:space="0" w:color="auto"/>
            </w:tcBorders>
            <w:vAlign w:val="center"/>
          </w:tcPr>
          <w:p w14:paraId="08F633DF" w14:textId="41FD867C" w:rsidR="007078C1" w:rsidRPr="001A4A7B" w:rsidRDefault="007078C1" w:rsidP="008313BF">
            <w:pPr>
              <w:spacing w:line="281" w:lineRule="auto"/>
              <w:jc w:val="both"/>
              <w:rPr>
                <w:color w:val="000000" w:themeColor="text1"/>
                <w:sz w:val="20"/>
                <w:szCs w:val="20"/>
                <w:lang w:val="en-US"/>
              </w:rPr>
            </w:pPr>
            <w:r w:rsidRPr="001A4A7B">
              <w:rPr>
                <w:color w:val="000000" w:themeColor="text1"/>
                <w:sz w:val="20"/>
                <w:szCs w:val="20"/>
                <w:lang w:val="en-US"/>
              </w:rPr>
              <w:t>Demand-driven market integration (Verleger hypothesis)</w:t>
            </w:r>
          </w:p>
        </w:tc>
        <w:tc>
          <w:tcPr>
            <w:tcW w:w="3686" w:type="dxa"/>
            <w:tcBorders>
              <w:top w:val="dotted" w:sz="4" w:space="0" w:color="auto"/>
              <w:bottom w:val="dotted" w:sz="4" w:space="0" w:color="auto"/>
            </w:tcBorders>
            <w:vAlign w:val="center"/>
          </w:tcPr>
          <w:p w14:paraId="683095AD" w14:textId="0B08529F" w:rsidR="007078C1" w:rsidRPr="001A4A7B" w:rsidRDefault="007078C1" w:rsidP="008313BF">
            <w:pPr>
              <w:spacing w:line="281" w:lineRule="auto"/>
              <w:jc w:val="both"/>
              <w:rPr>
                <w:color w:val="000000" w:themeColor="text1"/>
                <w:sz w:val="20"/>
                <w:szCs w:val="20"/>
                <w:lang w:val="en-US"/>
              </w:rPr>
            </w:pPr>
            <w:r w:rsidRPr="001A4A7B">
              <w:rPr>
                <w:color w:val="000000" w:themeColor="text1"/>
                <w:sz w:val="20"/>
                <w:szCs w:val="20"/>
                <w:lang w:val="en-US"/>
              </w:rPr>
              <w:t>Refined products are the main determinants of crude oil price</w:t>
            </w:r>
          </w:p>
        </w:tc>
        <w:tc>
          <w:tcPr>
            <w:tcW w:w="2865" w:type="dxa"/>
            <w:tcBorders>
              <w:top w:val="dotted" w:sz="4" w:space="0" w:color="auto"/>
              <w:bottom w:val="dotted" w:sz="4" w:space="0" w:color="auto"/>
            </w:tcBorders>
            <w:vAlign w:val="center"/>
          </w:tcPr>
          <w:p w14:paraId="7A897957" w14:textId="77777777" w:rsidR="007078C1" w:rsidRPr="001A4A7B" w:rsidRDefault="007078C1" w:rsidP="008313BF">
            <w:pPr>
              <w:spacing w:line="281" w:lineRule="auto"/>
              <w:rPr>
                <w:b/>
                <w:color w:val="000000" w:themeColor="text1"/>
                <w:sz w:val="20"/>
                <w:szCs w:val="20"/>
                <w:lang w:val="en-US"/>
              </w:rPr>
            </w:pPr>
            <m:oMathPara>
              <m:oMath>
                <m:r>
                  <m:rPr>
                    <m:sty m:val="bi"/>
                  </m:rPr>
                  <w:rPr>
                    <w:rFonts w:ascii="Cambria Math" w:hAnsi="Cambria Math"/>
                    <w:color w:val="000000" w:themeColor="text1"/>
                    <w:sz w:val="20"/>
                    <w:szCs w:val="20"/>
                    <w:lang w:val="en-US"/>
                  </w:rPr>
                  <m:t>Deriv⇒WTI</m:t>
                </m:r>
              </m:oMath>
            </m:oMathPara>
          </w:p>
          <w:p w14:paraId="07010195" w14:textId="04CF3558" w:rsidR="007078C1" w:rsidRPr="001A4A7B" w:rsidRDefault="007078C1" w:rsidP="008313BF">
            <w:pPr>
              <w:spacing w:before="40" w:after="40" w:line="288" w:lineRule="auto"/>
              <w:rPr>
                <w:b/>
                <w:i/>
                <w:color w:val="000000" w:themeColor="text1"/>
                <w:sz w:val="20"/>
                <w:szCs w:val="20"/>
                <w:lang w:val="en-US"/>
              </w:rPr>
            </w:pPr>
            <m:oMathPara>
              <m:oMath>
                <m:r>
                  <m:rPr>
                    <m:sty m:val="bi"/>
                  </m:rPr>
                  <w:rPr>
                    <w:rFonts w:ascii="Cambria Math" w:hAnsi="Cambria Math"/>
                    <w:color w:val="000000" w:themeColor="text1"/>
                    <w:sz w:val="20"/>
                    <w:szCs w:val="20"/>
                    <w:lang w:val="en-US"/>
                  </w:rPr>
                  <m:t>Deriv+⇒WTI+</m:t>
                </m:r>
              </m:oMath>
            </m:oMathPara>
          </w:p>
          <w:p w14:paraId="7BA0D057" w14:textId="49C9BB7C" w:rsidR="007078C1" w:rsidRPr="001A4A7B" w:rsidRDefault="007078C1" w:rsidP="008313BF">
            <w:pPr>
              <w:spacing w:before="40" w:after="40" w:line="288" w:lineRule="auto"/>
              <w:rPr>
                <w:b/>
                <w:i/>
                <w:color w:val="000000" w:themeColor="text1"/>
                <w:sz w:val="20"/>
                <w:szCs w:val="20"/>
                <w:lang w:val="en-US"/>
              </w:rPr>
            </w:pPr>
            <m:oMathPara>
              <m:oMath>
                <m:r>
                  <m:rPr>
                    <m:sty m:val="bi"/>
                  </m:rPr>
                  <w:rPr>
                    <w:rFonts w:ascii="Cambria Math" w:hAnsi="Cambria Math"/>
                    <w:color w:val="000000" w:themeColor="text1"/>
                    <w:sz w:val="20"/>
                    <w:szCs w:val="20"/>
                    <w:lang w:val="en-US"/>
                  </w:rPr>
                  <m:t>Deriv-⇒WTI-</m:t>
                </m:r>
              </m:oMath>
            </m:oMathPara>
          </w:p>
        </w:tc>
      </w:tr>
      <w:tr w:rsidR="001A4A7B" w:rsidRPr="001A4A7B" w14:paraId="722F31E3" w14:textId="63658187" w:rsidTr="008313BF">
        <w:trPr>
          <w:jc w:val="center"/>
        </w:trPr>
        <w:tc>
          <w:tcPr>
            <w:tcW w:w="2977" w:type="dxa"/>
            <w:tcBorders>
              <w:top w:val="dotted" w:sz="4" w:space="0" w:color="auto"/>
              <w:bottom w:val="single" w:sz="4" w:space="0" w:color="auto"/>
            </w:tcBorders>
            <w:vAlign w:val="center"/>
          </w:tcPr>
          <w:p w14:paraId="136D7E17" w14:textId="45B2BF71" w:rsidR="007078C1" w:rsidRPr="001A4A7B" w:rsidRDefault="007078C1" w:rsidP="008313BF">
            <w:pPr>
              <w:spacing w:line="281" w:lineRule="auto"/>
              <w:jc w:val="both"/>
              <w:rPr>
                <w:color w:val="000000" w:themeColor="text1"/>
                <w:sz w:val="20"/>
                <w:szCs w:val="20"/>
                <w:lang w:val="en-US"/>
              </w:rPr>
            </w:pPr>
            <w:r w:rsidRPr="001A4A7B">
              <w:rPr>
                <w:color w:val="000000" w:themeColor="text1"/>
                <w:sz w:val="20"/>
                <w:szCs w:val="20"/>
                <w:lang w:val="en-US"/>
              </w:rPr>
              <w:t>Feedback Mechanism</w:t>
            </w:r>
          </w:p>
        </w:tc>
        <w:tc>
          <w:tcPr>
            <w:tcW w:w="3686" w:type="dxa"/>
            <w:tcBorders>
              <w:top w:val="dotted" w:sz="4" w:space="0" w:color="auto"/>
              <w:bottom w:val="single" w:sz="4" w:space="0" w:color="auto"/>
            </w:tcBorders>
            <w:vAlign w:val="center"/>
          </w:tcPr>
          <w:p w14:paraId="6A8B0441" w14:textId="4EDAC69A" w:rsidR="007078C1" w:rsidRPr="001A4A7B" w:rsidRDefault="007078C1" w:rsidP="008313BF">
            <w:pPr>
              <w:spacing w:line="281" w:lineRule="auto"/>
              <w:jc w:val="both"/>
              <w:rPr>
                <w:color w:val="000000" w:themeColor="text1"/>
                <w:sz w:val="20"/>
                <w:szCs w:val="20"/>
                <w:lang w:val="en-US"/>
              </w:rPr>
            </w:pPr>
            <w:r w:rsidRPr="001A4A7B">
              <w:rPr>
                <w:color w:val="000000" w:themeColor="text1"/>
                <w:sz w:val="20"/>
                <w:szCs w:val="20"/>
                <w:lang w:val="en-US"/>
              </w:rPr>
              <w:t>Both of demand-driven and supply-driven market integration affect any product.</w:t>
            </w:r>
          </w:p>
        </w:tc>
        <w:tc>
          <w:tcPr>
            <w:tcW w:w="2865" w:type="dxa"/>
            <w:tcBorders>
              <w:top w:val="dotted" w:sz="4" w:space="0" w:color="auto"/>
              <w:bottom w:val="single" w:sz="4" w:space="0" w:color="auto"/>
            </w:tcBorders>
            <w:vAlign w:val="center"/>
          </w:tcPr>
          <w:p w14:paraId="174F16F8" w14:textId="032721BA" w:rsidR="008313BF" w:rsidRPr="001A4A7B" w:rsidRDefault="008313BF" w:rsidP="008313BF">
            <w:pPr>
              <w:spacing w:line="281" w:lineRule="auto"/>
              <w:rPr>
                <w:b/>
                <w:color w:val="000000" w:themeColor="text1"/>
                <w:sz w:val="20"/>
                <w:szCs w:val="20"/>
                <w:lang w:val="en-US"/>
              </w:rPr>
            </w:pPr>
            <m:oMathPara>
              <m:oMath>
                <m:r>
                  <m:rPr>
                    <m:sty m:val="bi"/>
                  </m:rPr>
                  <w:rPr>
                    <w:rFonts w:ascii="Cambria Math" w:hAnsi="Cambria Math"/>
                    <w:color w:val="000000" w:themeColor="text1"/>
                    <w:sz w:val="20"/>
                    <w:szCs w:val="20"/>
                    <w:lang w:val="en-US"/>
                  </w:rPr>
                  <m:t>WTI⟺Deriv</m:t>
                </m:r>
              </m:oMath>
            </m:oMathPara>
          </w:p>
          <w:p w14:paraId="5030F784" w14:textId="0B008DA6" w:rsidR="008313BF" w:rsidRPr="001A4A7B" w:rsidRDefault="008313BF" w:rsidP="008313BF">
            <w:pPr>
              <w:spacing w:before="40" w:after="40" w:line="288" w:lineRule="auto"/>
              <w:rPr>
                <w:b/>
                <w:i/>
                <w:color w:val="000000" w:themeColor="text1"/>
                <w:sz w:val="20"/>
                <w:szCs w:val="20"/>
                <w:lang w:val="en-US"/>
              </w:rPr>
            </w:pPr>
            <m:oMathPara>
              <m:oMath>
                <m:r>
                  <m:rPr>
                    <m:sty m:val="bi"/>
                  </m:rPr>
                  <w:rPr>
                    <w:rFonts w:ascii="Cambria Math" w:hAnsi="Cambria Math"/>
                    <w:color w:val="000000" w:themeColor="text1"/>
                    <w:sz w:val="20"/>
                    <w:szCs w:val="20"/>
                    <w:lang w:val="en-US"/>
                  </w:rPr>
                  <m:t>WTI+⟺Deriv+</m:t>
                </m:r>
              </m:oMath>
            </m:oMathPara>
          </w:p>
          <w:p w14:paraId="482715D9" w14:textId="4B055C80" w:rsidR="007078C1" w:rsidRPr="001A4A7B" w:rsidRDefault="008313BF" w:rsidP="008313BF">
            <w:pPr>
              <w:spacing w:before="40" w:after="40" w:line="288" w:lineRule="auto"/>
              <w:rPr>
                <w:b/>
                <w:i/>
                <w:color w:val="000000" w:themeColor="text1"/>
                <w:sz w:val="20"/>
                <w:szCs w:val="20"/>
                <w:lang w:val="en-US"/>
              </w:rPr>
            </w:pPr>
            <m:oMathPara>
              <m:oMath>
                <m:r>
                  <m:rPr>
                    <m:sty m:val="bi"/>
                  </m:rPr>
                  <w:rPr>
                    <w:rFonts w:ascii="Cambria Math" w:hAnsi="Cambria Math"/>
                    <w:color w:val="000000" w:themeColor="text1"/>
                    <w:sz w:val="20"/>
                    <w:szCs w:val="20"/>
                    <w:lang w:val="en-US"/>
                  </w:rPr>
                  <m:t>WTI-⟺Deriv-</m:t>
                </m:r>
              </m:oMath>
            </m:oMathPara>
          </w:p>
        </w:tc>
      </w:tr>
      <w:tr w:rsidR="001A4A7B" w:rsidRPr="001A4A7B" w14:paraId="655859AC" w14:textId="1E7DFEB3" w:rsidTr="006016BA">
        <w:trPr>
          <w:jc w:val="center"/>
        </w:trPr>
        <w:tc>
          <w:tcPr>
            <w:tcW w:w="9528" w:type="dxa"/>
            <w:gridSpan w:val="3"/>
            <w:tcBorders>
              <w:top w:val="single" w:sz="4" w:space="0" w:color="auto"/>
              <w:bottom w:val="nil"/>
            </w:tcBorders>
            <w:vAlign w:val="center"/>
          </w:tcPr>
          <w:p w14:paraId="62A0DCD6" w14:textId="6833DD6B" w:rsidR="00C441D0" w:rsidRPr="001A4A7B" w:rsidRDefault="00C441D0" w:rsidP="008313BF">
            <w:pPr>
              <w:spacing w:line="281" w:lineRule="auto"/>
              <w:rPr>
                <w:b/>
                <w:i/>
                <w:color w:val="000000" w:themeColor="text1"/>
                <w:sz w:val="20"/>
                <w:szCs w:val="20"/>
                <w:lang w:val="en-US"/>
              </w:rPr>
            </w:pPr>
            <w:r w:rsidRPr="001A4A7B">
              <w:rPr>
                <w:b/>
                <w:i/>
                <w:color w:val="000000" w:themeColor="text1"/>
                <w:sz w:val="20"/>
                <w:szCs w:val="20"/>
                <w:lang w:val="en-US"/>
              </w:rPr>
              <w:t>Note</w:t>
            </w:r>
            <w:r w:rsidRPr="001A4A7B">
              <w:rPr>
                <w:color w:val="000000" w:themeColor="text1"/>
                <w:sz w:val="20"/>
                <w:szCs w:val="20"/>
                <w:lang w:val="en-US"/>
              </w:rPr>
              <w:t>: Own elaboration based on literature. WTI refers to West Texas Intermediate crude oil and Deriv refers to derivatives products, respectively. The signs + and – denotes the nature of the shocks, being + positive and – negative.</w:t>
            </w:r>
          </w:p>
        </w:tc>
      </w:tr>
    </w:tbl>
    <w:p w14:paraId="7A4CFE7E" w14:textId="77777777" w:rsidR="00284C32" w:rsidRPr="001A4A7B" w:rsidRDefault="00284C32" w:rsidP="00B842BE">
      <w:pPr>
        <w:spacing w:line="281" w:lineRule="auto"/>
        <w:jc w:val="both"/>
        <w:rPr>
          <w:color w:val="000000" w:themeColor="text1"/>
          <w:lang w:val="en-US"/>
        </w:rPr>
      </w:pPr>
    </w:p>
    <w:p w14:paraId="220F6291" w14:textId="04397955" w:rsidR="00971A55" w:rsidRPr="001A4A7B" w:rsidRDefault="004D6C3C" w:rsidP="00971A55">
      <w:pPr>
        <w:spacing w:line="281" w:lineRule="auto"/>
        <w:ind w:firstLine="284"/>
        <w:jc w:val="both"/>
        <w:rPr>
          <w:color w:val="000000" w:themeColor="text1"/>
          <w:lang w:val="en-US"/>
        </w:rPr>
      </w:pPr>
      <w:r w:rsidRPr="001A4A7B">
        <w:rPr>
          <w:color w:val="000000" w:themeColor="text1"/>
          <w:lang w:val="en-US"/>
        </w:rPr>
        <w:t xml:space="preserve">Our first </w:t>
      </w:r>
      <w:r w:rsidR="00766616" w:rsidRPr="001A4A7B">
        <w:rPr>
          <w:color w:val="000000" w:themeColor="text1"/>
          <w:lang w:val="en-US"/>
        </w:rPr>
        <w:t xml:space="preserve">approach </w:t>
      </w:r>
      <w:r w:rsidRPr="001A4A7B">
        <w:rPr>
          <w:color w:val="000000" w:themeColor="text1"/>
          <w:lang w:val="en-US"/>
        </w:rPr>
        <w:t>is</w:t>
      </w:r>
      <w:r w:rsidR="00766616" w:rsidRPr="001A4A7B">
        <w:rPr>
          <w:color w:val="000000" w:themeColor="text1"/>
          <w:lang w:val="en-US"/>
        </w:rPr>
        <w:t xml:space="preserve"> shown in Table </w:t>
      </w:r>
      <w:r w:rsidR="0093098E" w:rsidRPr="001A4A7B">
        <w:rPr>
          <w:color w:val="000000" w:themeColor="text1"/>
          <w:lang w:val="en-US"/>
        </w:rPr>
        <w:t>2</w:t>
      </w:r>
      <w:r w:rsidR="00741432" w:rsidRPr="001A4A7B">
        <w:rPr>
          <w:color w:val="000000" w:themeColor="text1"/>
          <w:lang w:val="en-US"/>
        </w:rPr>
        <w:t>,</w:t>
      </w:r>
      <w:r w:rsidR="003A2F85" w:rsidRPr="001A4A7B">
        <w:rPr>
          <w:color w:val="000000" w:themeColor="text1"/>
          <w:lang w:val="en-US"/>
        </w:rPr>
        <w:t xml:space="preserve"> </w:t>
      </w:r>
      <w:r w:rsidR="00741432" w:rsidRPr="001A4A7B">
        <w:rPr>
          <w:color w:val="000000" w:themeColor="text1"/>
          <w:lang w:val="en-US"/>
        </w:rPr>
        <w:t xml:space="preserve">which </w:t>
      </w:r>
      <w:r w:rsidR="003A2F85" w:rsidRPr="001A4A7B">
        <w:rPr>
          <w:color w:val="000000" w:themeColor="text1"/>
          <w:lang w:val="en-US"/>
        </w:rPr>
        <w:t xml:space="preserve">reveals </w:t>
      </w:r>
      <w:r w:rsidRPr="001A4A7B">
        <w:rPr>
          <w:color w:val="000000" w:themeColor="text1"/>
          <w:lang w:val="en-US"/>
        </w:rPr>
        <w:t>that</w:t>
      </w:r>
      <w:r w:rsidR="003A2F85" w:rsidRPr="001A4A7B">
        <w:rPr>
          <w:color w:val="000000" w:themeColor="text1"/>
          <w:lang w:val="en-US"/>
        </w:rPr>
        <w:t xml:space="preserve"> causality</w:t>
      </w:r>
      <w:r w:rsidRPr="001A4A7B">
        <w:rPr>
          <w:color w:val="000000" w:themeColor="text1"/>
          <w:lang w:val="en-US"/>
        </w:rPr>
        <w:t xml:space="preserve"> runs</w:t>
      </w:r>
      <w:r w:rsidR="003A2F85" w:rsidRPr="001A4A7B">
        <w:rPr>
          <w:color w:val="000000" w:themeColor="text1"/>
          <w:lang w:val="en-US"/>
        </w:rPr>
        <w:t xml:space="preserve"> from </w:t>
      </w:r>
      <w:r w:rsidRPr="001A4A7B">
        <w:rPr>
          <w:color w:val="000000" w:themeColor="text1"/>
          <w:lang w:val="en-US"/>
        </w:rPr>
        <w:t>WTI</w:t>
      </w:r>
      <w:r w:rsidR="00AC7B00" w:rsidRPr="001A4A7B">
        <w:rPr>
          <w:color w:val="000000" w:themeColor="text1"/>
          <w:lang w:val="en-US"/>
        </w:rPr>
        <w:t xml:space="preserve"> crude oil </w:t>
      </w:r>
      <w:r w:rsidRPr="001A4A7B">
        <w:rPr>
          <w:color w:val="000000" w:themeColor="text1"/>
          <w:lang w:val="en-US"/>
        </w:rPr>
        <w:t>prices to all</w:t>
      </w:r>
      <w:r w:rsidR="00AC7B00" w:rsidRPr="001A4A7B">
        <w:rPr>
          <w:color w:val="000000" w:themeColor="text1"/>
          <w:lang w:val="en-US"/>
        </w:rPr>
        <w:t xml:space="preserve"> </w:t>
      </w:r>
      <w:r w:rsidR="00C6099D" w:rsidRPr="001A4A7B">
        <w:rPr>
          <w:color w:val="000000" w:themeColor="text1"/>
          <w:lang w:val="en-US"/>
        </w:rPr>
        <w:t>refined products</w:t>
      </w:r>
      <w:r w:rsidR="00AC7B00" w:rsidRPr="001A4A7B">
        <w:rPr>
          <w:color w:val="000000" w:themeColor="text1"/>
          <w:lang w:val="en-US"/>
        </w:rPr>
        <w:t xml:space="preserve"> prices</w:t>
      </w:r>
      <w:r w:rsidR="00766616" w:rsidRPr="001A4A7B">
        <w:rPr>
          <w:color w:val="000000" w:themeColor="text1"/>
          <w:lang w:val="en-US"/>
        </w:rPr>
        <w:t xml:space="preserve"> except for </w:t>
      </w:r>
      <w:r w:rsidR="009F0E83" w:rsidRPr="001A4A7B">
        <w:rPr>
          <w:color w:val="000000" w:themeColor="text1"/>
          <w:lang w:val="en-US"/>
        </w:rPr>
        <w:t>c</w:t>
      </w:r>
      <w:r w:rsidR="00766616" w:rsidRPr="001A4A7B">
        <w:rPr>
          <w:color w:val="000000" w:themeColor="text1"/>
          <w:lang w:val="en-US"/>
        </w:rPr>
        <w:t>onventional gasoline</w:t>
      </w:r>
      <w:r w:rsidR="00741432" w:rsidRPr="001A4A7B">
        <w:rPr>
          <w:color w:val="000000" w:themeColor="text1"/>
          <w:lang w:val="en-US"/>
        </w:rPr>
        <w:t>. In contrast,</w:t>
      </w:r>
      <w:r w:rsidR="003A2F85" w:rsidRPr="001A4A7B">
        <w:rPr>
          <w:color w:val="000000" w:themeColor="text1"/>
          <w:lang w:val="en-US"/>
        </w:rPr>
        <w:t xml:space="preserve"> the inverse relationship show</w:t>
      </w:r>
      <w:r w:rsidRPr="001A4A7B">
        <w:rPr>
          <w:color w:val="000000" w:themeColor="text1"/>
          <w:lang w:val="en-US"/>
        </w:rPr>
        <w:t>s</w:t>
      </w:r>
      <w:r w:rsidR="003A2F85" w:rsidRPr="001A4A7B">
        <w:rPr>
          <w:color w:val="000000" w:themeColor="text1"/>
          <w:lang w:val="en-US"/>
        </w:rPr>
        <w:t xml:space="preserve"> </w:t>
      </w:r>
      <w:r w:rsidR="003D4048" w:rsidRPr="001A4A7B">
        <w:rPr>
          <w:color w:val="000000" w:themeColor="text1"/>
          <w:lang w:val="en-US"/>
        </w:rPr>
        <w:t>causality</w:t>
      </w:r>
      <w:r w:rsidR="00766616" w:rsidRPr="001A4A7B">
        <w:rPr>
          <w:color w:val="000000" w:themeColor="text1"/>
          <w:lang w:val="en-US"/>
        </w:rPr>
        <w:t xml:space="preserve"> from </w:t>
      </w:r>
      <w:r w:rsidR="009F0E83" w:rsidRPr="001A4A7B">
        <w:rPr>
          <w:color w:val="000000" w:themeColor="text1"/>
          <w:lang w:val="en-US"/>
        </w:rPr>
        <w:t>c</w:t>
      </w:r>
      <w:r w:rsidR="00766616" w:rsidRPr="001A4A7B">
        <w:rPr>
          <w:color w:val="000000" w:themeColor="text1"/>
          <w:lang w:val="en-US"/>
        </w:rPr>
        <w:t xml:space="preserve">onventional gasoline, RBOB and </w:t>
      </w:r>
      <w:r w:rsidR="004925A8" w:rsidRPr="001A4A7B">
        <w:rPr>
          <w:color w:val="000000" w:themeColor="text1"/>
          <w:lang w:val="en-US"/>
        </w:rPr>
        <w:t>k</w:t>
      </w:r>
      <w:r w:rsidR="000353EE" w:rsidRPr="001A4A7B">
        <w:rPr>
          <w:color w:val="000000" w:themeColor="text1"/>
          <w:lang w:val="en-US"/>
        </w:rPr>
        <w:t>erosene</w:t>
      </w:r>
      <w:r w:rsidR="00766616" w:rsidRPr="001A4A7B">
        <w:rPr>
          <w:color w:val="000000" w:themeColor="text1"/>
          <w:lang w:val="en-US"/>
        </w:rPr>
        <w:t xml:space="preserve"> to WTI</w:t>
      </w:r>
      <w:r w:rsidR="003A2F85" w:rsidRPr="001A4A7B">
        <w:rPr>
          <w:color w:val="000000" w:themeColor="text1"/>
          <w:lang w:val="en-US"/>
        </w:rPr>
        <w:t xml:space="preserve">. </w:t>
      </w:r>
      <w:r w:rsidR="00971A55" w:rsidRPr="001A4A7B">
        <w:rPr>
          <w:color w:val="000000" w:themeColor="text1"/>
          <w:lang w:val="en-US"/>
        </w:rPr>
        <w:t>In general, as an upstream commodity, the price of crude oil is a major driving force for refined product prices. Thus, a significant movement in the price of crude oil is usually accompanied by a substantial movement in the prices of refined products. Conversely, extreme increases in refined product prices due to a demand shock can ultimately push crude oil prices higher</w:t>
      </w:r>
      <w:r w:rsidR="00A24676" w:rsidRPr="001A4A7B">
        <w:rPr>
          <w:color w:val="000000" w:themeColor="text1"/>
          <w:lang w:val="en-US"/>
        </w:rPr>
        <w:t xml:space="preserve"> (Tong et al., 2013)</w:t>
      </w:r>
      <w:r w:rsidR="00971A55" w:rsidRPr="001A4A7B">
        <w:rPr>
          <w:color w:val="000000" w:themeColor="text1"/>
          <w:lang w:val="en-US"/>
        </w:rPr>
        <w:t xml:space="preserve">. </w:t>
      </w:r>
      <w:r w:rsidR="00766616" w:rsidRPr="001A4A7B">
        <w:rPr>
          <w:color w:val="000000" w:themeColor="text1"/>
          <w:lang w:val="en-US"/>
        </w:rPr>
        <w:t xml:space="preserve">These results evidence the </w:t>
      </w:r>
      <w:r w:rsidR="0087425A" w:rsidRPr="001A4A7B">
        <w:rPr>
          <w:color w:val="000000" w:themeColor="text1"/>
          <w:lang w:val="en-US"/>
        </w:rPr>
        <w:t xml:space="preserve">divergence between supply-driven and demand-driven market integration (Asche et al., 2003). In </w:t>
      </w:r>
      <w:r w:rsidR="00971A55" w:rsidRPr="001A4A7B">
        <w:rPr>
          <w:color w:val="000000" w:themeColor="text1"/>
          <w:lang w:val="en-US"/>
        </w:rPr>
        <w:t>our case</w:t>
      </w:r>
      <w:r w:rsidR="0087425A" w:rsidRPr="001A4A7B">
        <w:rPr>
          <w:color w:val="000000" w:themeColor="text1"/>
          <w:lang w:val="en-US"/>
        </w:rPr>
        <w:t xml:space="preserve">, </w:t>
      </w:r>
      <w:r w:rsidR="00A020F8" w:rsidRPr="001A4A7B">
        <w:rPr>
          <w:color w:val="000000" w:themeColor="text1"/>
          <w:lang w:val="en-US"/>
        </w:rPr>
        <w:t>our results</w:t>
      </w:r>
      <w:r w:rsidR="0087425A" w:rsidRPr="001A4A7B">
        <w:rPr>
          <w:color w:val="000000" w:themeColor="text1"/>
          <w:lang w:val="en-US"/>
        </w:rPr>
        <w:t xml:space="preserve"> suggest that </w:t>
      </w:r>
      <w:r w:rsidR="003D4048" w:rsidRPr="001A4A7B">
        <w:rPr>
          <w:color w:val="000000" w:themeColor="text1"/>
          <w:lang w:val="en-US"/>
        </w:rPr>
        <w:t>all refined products except conventional gasoline</w:t>
      </w:r>
      <w:r w:rsidR="0087425A" w:rsidRPr="001A4A7B">
        <w:rPr>
          <w:color w:val="000000" w:themeColor="text1"/>
          <w:lang w:val="en-US"/>
        </w:rPr>
        <w:t xml:space="preserve"> could follow a supply-driven market integration</w:t>
      </w:r>
      <w:r w:rsidR="00741432" w:rsidRPr="001A4A7B">
        <w:rPr>
          <w:color w:val="000000" w:themeColor="text1"/>
          <w:lang w:val="en-US"/>
        </w:rPr>
        <w:t>,</w:t>
      </w:r>
      <w:r w:rsidR="0087425A" w:rsidRPr="001A4A7B">
        <w:rPr>
          <w:color w:val="000000" w:themeColor="text1"/>
          <w:lang w:val="en-US"/>
        </w:rPr>
        <w:t xml:space="preserve"> and for its part, </w:t>
      </w:r>
      <w:r w:rsidR="003D4048" w:rsidRPr="001A4A7B">
        <w:rPr>
          <w:color w:val="000000" w:themeColor="text1"/>
          <w:lang w:val="en-US"/>
        </w:rPr>
        <w:t>c</w:t>
      </w:r>
      <w:r w:rsidR="0087425A" w:rsidRPr="001A4A7B">
        <w:rPr>
          <w:color w:val="000000" w:themeColor="text1"/>
          <w:lang w:val="en-US"/>
        </w:rPr>
        <w:t>onventional gasoline would follow a demand-driven market integration. Furthermore, we note that</w:t>
      </w:r>
      <w:r w:rsidRPr="001A4A7B">
        <w:rPr>
          <w:color w:val="000000" w:themeColor="text1"/>
          <w:lang w:val="en-US"/>
        </w:rPr>
        <w:t>,</w:t>
      </w:r>
      <w:r w:rsidR="0087425A" w:rsidRPr="001A4A7B">
        <w:rPr>
          <w:color w:val="000000" w:themeColor="text1"/>
          <w:lang w:val="en-US"/>
        </w:rPr>
        <w:t xml:space="preserve"> </w:t>
      </w:r>
      <w:r w:rsidRPr="001A4A7B">
        <w:rPr>
          <w:color w:val="000000" w:themeColor="text1"/>
          <w:lang w:val="en-US"/>
        </w:rPr>
        <w:t xml:space="preserve">at first sight, </w:t>
      </w:r>
      <w:r w:rsidR="00F8788E" w:rsidRPr="001A4A7B">
        <w:rPr>
          <w:color w:val="000000" w:themeColor="text1"/>
          <w:lang w:val="en-US"/>
        </w:rPr>
        <w:t xml:space="preserve">RBOB and </w:t>
      </w:r>
      <w:r w:rsidR="00A020F8" w:rsidRPr="001A4A7B">
        <w:rPr>
          <w:color w:val="000000" w:themeColor="text1"/>
          <w:lang w:val="en-US"/>
        </w:rPr>
        <w:t>k</w:t>
      </w:r>
      <w:r w:rsidR="000353EE" w:rsidRPr="001A4A7B">
        <w:rPr>
          <w:color w:val="000000" w:themeColor="text1"/>
          <w:lang w:val="en-US"/>
        </w:rPr>
        <w:t>erosene</w:t>
      </w:r>
      <w:r w:rsidR="00F8788E" w:rsidRPr="001A4A7B">
        <w:rPr>
          <w:color w:val="000000" w:themeColor="text1"/>
          <w:lang w:val="en-US"/>
        </w:rPr>
        <w:t xml:space="preserve"> would </w:t>
      </w:r>
      <w:r w:rsidR="00741432" w:rsidRPr="001A4A7B">
        <w:rPr>
          <w:color w:val="000000" w:themeColor="text1"/>
          <w:lang w:val="en-US"/>
        </w:rPr>
        <w:t>be included</w:t>
      </w:r>
      <w:r w:rsidR="00F8788E" w:rsidRPr="001A4A7B">
        <w:rPr>
          <w:color w:val="000000" w:themeColor="text1"/>
          <w:lang w:val="en-US"/>
        </w:rPr>
        <w:t xml:space="preserve"> in both types of market integration</w:t>
      </w:r>
      <w:r w:rsidR="00243268" w:rsidRPr="001A4A7B">
        <w:rPr>
          <w:color w:val="000000" w:themeColor="text1"/>
          <w:lang w:val="en-US"/>
        </w:rPr>
        <w:t xml:space="preserve">, being interpreted as </w:t>
      </w:r>
      <w:r w:rsidR="00741432" w:rsidRPr="001A4A7B">
        <w:rPr>
          <w:color w:val="000000" w:themeColor="text1"/>
          <w:lang w:val="en-US"/>
        </w:rPr>
        <w:t xml:space="preserve">a </w:t>
      </w:r>
      <w:r w:rsidR="00243268" w:rsidRPr="001A4A7B">
        <w:rPr>
          <w:color w:val="000000" w:themeColor="text1"/>
          <w:lang w:val="en-US"/>
        </w:rPr>
        <w:t>feedback mechanism</w:t>
      </w:r>
      <w:r w:rsidRPr="001A4A7B">
        <w:rPr>
          <w:color w:val="000000" w:themeColor="text1"/>
          <w:lang w:val="en-US"/>
        </w:rPr>
        <w:t xml:space="preserve"> or a full integration</w:t>
      </w:r>
      <w:r w:rsidR="00D556BB" w:rsidRPr="001A4A7B">
        <w:rPr>
          <w:color w:val="000000" w:themeColor="text1"/>
          <w:lang w:val="en-US"/>
        </w:rPr>
        <w:t>, i.e., both prices would be influenced by supply and demand</w:t>
      </w:r>
      <w:r w:rsidRPr="001A4A7B">
        <w:rPr>
          <w:color w:val="000000" w:themeColor="text1"/>
          <w:lang w:val="en-US"/>
        </w:rPr>
        <w:t>.</w:t>
      </w:r>
      <w:r w:rsidR="00505AEE" w:rsidRPr="001A4A7B">
        <w:rPr>
          <w:color w:val="000000" w:themeColor="text1"/>
          <w:lang w:val="en-US"/>
        </w:rPr>
        <w:t xml:space="preserve"> These results are in line </w:t>
      </w:r>
      <w:r w:rsidR="00741432" w:rsidRPr="001A4A7B">
        <w:rPr>
          <w:color w:val="000000" w:themeColor="text1"/>
          <w:lang w:val="en-US"/>
        </w:rPr>
        <w:t>with</w:t>
      </w:r>
      <w:r w:rsidR="00505AEE" w:rsidRPr="001A4A7B">
        <w:rPr>
          <w:color w:val="000000" w:themeColor="text1"/>
          <w:lang w:val="en-US"/>
        </w:rPr>
        <w:t xml:space="preserve"> those obtained by Martinez et al. (2018).</w:t>
      </w:r>
    </w:p>
    <w:p w14:paraId="2BF064D5" w14:textId="405906A3" w:rsidR="00A433A1" w:rsidRPr="001A4A7B" w:rsidRDefault="00A433A1" w:rsidP="00971A55">
      <w:pPr>
        <w:spacing w:line="281" w:lineRule="auto"/>
        <w:ind w:firstLine="284"/>
        <w:jc w:val="both"/>
        <w:rPr>
          <w:color w:val="000000" w:themeColor="text1"/>
          <w:lang w:val="en-US"/>
        </w:rPr>
      </w:pPr>
    </w:p>
    <w:p w14:paraId="32606B17" w14:textId="77777777" w:rsidR="00A433A1" w:rsidRPr="001A4A7B" w:rsidRDefault="00A433A1" w:rsidP="00971A55">
      <w:pPr>
        <w:spacing w:line="281" w:lineRule="auto"/>
        <w:ind w:firstLine="284"/>
        <w:jc w:val="both"/>
        <w:rPr>
          <w:color w:val="000000" w:themeColor="text1"/>
          <w:lang w:val="en-US"/>
        </w:rPr>
      </w:pPr>
    </w:p>
    <w:p w14:paraId="3F67BD99" w14:textId="77777777" w:rsidR="00766616" w:rsidRPr="001A4A7B" w:rsidRDefault="00766616" w:rsidP="00B842BE">
      <w:pPr>
        <w:spacing w:line="281" w:lineRule="auto"/>
        <w:ind w:firstLine="284"/>
        <w:jc w:val="both"/>
        <w:rPr>
          <w:color w:val="000000" w:themeColor="text1"/>
          <w:lang w:val="en-U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8"/>
        <w:gridCol w:w="1066"/>
        <w:gridCol w:w="773"/>
        <w:gridCol w:w="773"/>
        <w:gridCol w:w="773"/>
        <w:gridCol w:w="1066"/>
        <w:gridCol w:w="773"/>
        <w:gridCol w:w="851"/>
        <w:gridCol w:w="709"/>
      </w:tblGrid>
      <w:tr w:rsidR="001A4A7B" w:rsidRPr="001A4A7B" w14:paraId="08C71C80" w14:textId="77777777" w:rsidTr="008313BF">
        <w:tc>
          <w:tcPr>
            <w:tcW w:w="8432" w:type="dxa"/>
            <w:gridSpan w:val="9"/>
            <w:tcBorders>
              <w:bottom w:val="single" w:sz="4" w:space="0" w:color="auto"/>
            </w:tcBorders>
            <w:vAlign w:val="center"/>
          </w:tcPr>
          <w:p w14:paraId="7E2C690D" w14:textId="76AC2BD2" w:rsidR="00766616" w:rsidRPr="001A4A7B" w:rsidRDefault="00766616" w:rsidP="00766616">
            <w:pPr>
              <w:spacing w:line="288" w:lineRule="auto"/>
              <w:jc w:val="both"/>
              <w:rPr>
                <w:b/>
                <w:color w:val="000000" w:themeColor="text1"/>
                <w:sz w:val="20"/>
                <w:szCs w:val="20"/>
                <w:lang w:val="en-US"/>
              </w:rPr>
            </w:pPr>
            <w:r w:rsidRPr="001A4A7B">
              <w:rPr>
                <w:b/>
                <w:color w:val="000000" w:themeColor="text1"/>
                <w:sz w:val="20"/>
                <w:szCs w:val="20"/>
                <w:lang w:val="en-US"/>
              </w:rPr>
              <w:t xml:space="preserve">Table </w:t>
            </w:r>
            <w:r w:rsidR="0093098E" w:rsidRPr="001A4A7B">
              <w:rPr>
                <w:b/>
                <w:color w:val="000000" w:themeColor="text1"/>
                <w:sz w:val="20"/>
                <w:szCs w:val="20"/>
                <w:lang w:val="en-US"/>
              </w:rPr>
              <w:t>2</w:t>
            </w:r>
            <w:r w:rsidRPr="001A4A7B">
              <w:rPr>
                <w:b/>
                <w:color w:val="000000" w:themeColor="text1"/>
                <w:sz w:val="20"/>
                <w:szCs w:val="20"/>
                <w:lang w:val="en-US"/>
              </w:rPr>
              <w:t xml:space="preserve">. </w:t>
            </w:r>
            <w:r w:rsidRPr="001A4A7B">
              <w:rPr>
                <w:color w:val="000000" w:themeColor="text1"/>
                <w:sz w:val="20"/>
                <w:szCs w:val="20"/>
                <w:lang w:val="en-US"/>
              </w:rPr>
              <w:t>Linear effects</w:t>
            </w:r>
            <w:r w:rsidR="005A31EB" w:rsidRPr="001A4A7B">
              <w:rPr>
                <w:color w:val="000000" w:themeColor="text1"/>
                <w:sz w:val="20"/>
                <w:szCs w:val="20"/>
                <w:lang w:val="en-US"/>
              </w:rPr>
              <w:t>.</w:t>
            </w:r>
          </w:p>
        </w:tc>
      </w:tr>
      <w:tr w:rsidR="001A4A7B" w:rsidRPr="001A4A7B" w14:paraId="1E4B495C" w14:textId="77777777" w:rsidTr="008313BF">
        <w:tc>
          <w:tcPr>
            <w:tcW w:w="0" w:type="auto"/>
            <w:tcBorders>
              <w:top w:val="single" w:sz="4" w:space="0" w:color="auto"/>
            </w:tcBorders>
            <w:vAlign w:val="center"/>
          </w:tcPr>
          <w:p w14:paraId="3348122B" w14:textId="77777777" w:rsidR="008313BF" w:rsidRPr="001A4A7B" w:rsidRDefault="008313BF" w:rsidP="008313BF">
            <w:pPr>
              <w:spacing w:line="288" w:lineRule="auto"/>
              <w:jc w:val="center"/>
              <w:rPr>
                <w:b/>
                <w:color w:val="000000" w:themeColor="text1"/>
                <w:sz w:val="20"/>
                <w:szCs w:val="20"/>
                <w:lang w:val="en-US"/>
              </w:rPr>
            </w:pPr>
          </w:p>
        </w:tc>
        <w:tc>
          <w:tcPr>
            <w:tcW w:w="3385" w:type="dxa"/>
            <w:gridSpan w:val="4"/>
            <w:tcBorders>
              <w:top w:val="single" w:sz="4" w:space="0" w:color="auto"/>
              <w:right w:val="single" w:sz="4" w:space="0" w:color="auto"/>
            </w:tcBorders>
            <w:vAlign w:val="center"/>
          </w:tcPr>
          <w:p w14:paraId="6EEDCCC4" w14:textId="4AE5E582" w:rsidR="008313BF" w:rsidRPr="001A4A7B" w:rsidRDefault="008313BF" w:rsidP="008313BF">
            <w:pPr>
              <w:spacing w:before="40" w:after="40" w:line="288" w:lineRule="auto"/>
              <w:jc w:val="center"/>
              <w:rPr>
                <w:b/>
                <w:i/>
                <w:color w:val="000000" w:themeColor="text1"/>
                <w:sz w:val="20"/>
                <w:szCs w:val="20"/>
                <w:lang w:val="en-US"/>
              </w:rPr>
            </w:pPr>
            <m:oMathPara>
              <m:oMath>
                <m:r>
                  <m:rPr>
                    <m:sty m:val="bi"/>
                  </m:rPr>
                  <w:rPr>
                    <w:rFonts w:ascii="Cambria Math" w:hAnsi="Cambria Math"/>
                    <w:color w:val="000000" w:themeColor="text1"/>
                    <w:sz w:val="20"/>
                    <w:szCs w:val="20"/>
                    <w:lang w:val="en-US"/>
                  </w:rPr>
                  <m:t>WTI⇒Deriv</m:t>
                </m:r>
              </m:oMath>
            </m:oMathPara>
          </w:p>
        </w:tc>
        <w:tc>
          <w:tcPr>
            <w:tcW w:w="3399" w:type="dxa"/>
            <w:gridSpan w:val="4"/>
            <w:tcBorders>
              <w:top w:val="single" w:sz="4" w:space="0" w:color="auto"/>
              <w:left w:val="single" w:sz="4" w:space="0" w:color="auto"/>
            </w:tcBorders>
            <w:vAlign w:val="center"/>
          </w:tcPr>
          <w:p w14:paraId="33D5708B" w14:textId="28E68A5B" w:rsidR="008313BF" w:rsidRPr="001A4A7B" w:rsidRDefault="008313BF" w:rsidP="008313BF">
            <w:pPr>
              <w:spacing w:before="40" w:after="40" w:line="288" w:lineRule="auto"/>
              <w:jc w:val="center"/>
              <w:rPr>
                <w:b/>
                <w:i/>
                <w:color w:val="000000" w:themeColor="text1"/>
                <w:sz w:val="20"/>
                <w:szCs w:val="20"/>
                <w:lang w:val="en-US"/>
              </w:rPr>
            </w:pPr>
            <m:oMathPara>
              <m:oMath>
                <m:r>
                  <m:rPr>
                    <m:sty m:val="bi"/>
                  </m:rPr>
                  <w:rPr>
                    <w:rFonts w:ascii="Cambria Math" w:hAnsi="Cambria Math"/>
                    <w:color w:val="000000" w:themeColor="text1"/>
                    <w:sz w:val="20"/>
                    <w:szCs w:val="20"/>
                    <w:lang w:val="en-US"/>
                  </w:rPr>
                  <m:t>Deriv⇒WTI</m:t>
                </m:r>
              </m:oMath>
            </m:oMathPara>
          </w:p>
        </w:tc>
      </w:tr>
      <w:tr w:rsidR="001A4A7B" w:rsidRPr="001A4A7B" w14:paraId="6FE7F2CB" w14:textId="77777777" w:rsidTr="008313BF">
        <w:tc>
          <w:tcPr>
            <w:tcW w:w="0" w:type="auto"/>
            <w:vAlign w:val="center"/>
          </w:tcPr>
          <w:p w14:paraId="1AD80035" w14:textId="77777777" w:rsidR="008313BF" w:rsidRPr="001A4A7B" w:rsidRDefault="008313BF" w:rsidP="008313BF">
            <w:pPr>
              <w:spacing w:line="288" w:lineRule="auto"/>
              <w:jc w:val="center"/>
              <w:rPr>
                <w:b/>
                <w:color w:val="000000" w:themeColor="text1"/>
                <w:sz w:val="20"/>
                <w:szCs w:val="20"/>
                <w:lang w:val="en-US"/>
              </w:rPr>
            </w:pPr>
          </w:p>
        </w:tc>
        <w:tc>
          <w:tcPr>
            <w:tcW w:w="3385" w:type="dxa"/>
            <w:gridSpan w:val="4"/>
            <w:tcBorders>
              <w:bottom w:val="single" w:sz="4" w:space="0" w:color="auto"/>
              <w:right w:val="single" w:sz="4" w:space="0" w:color="auto"/>
            </w:tcBorders>
            <w:vAlign w:val="center"/>
          </w:tcPr>
          <w:p w14:paraId="6B8CB536" w14:textId="302122A8" w:rsidR="008313BF" w:rsidRPr="001A4A7B" w:rsidRDefault="008313BF" w:rsidP="008313BF">
            <w:pPr>
              <w:spacing w:before="40" w:after="40" w:line="288" w:lineRule="auto"/>
              <w:jc w:val="center"/>
              <w:rPr>
                <w:b/>
                <w:color w:val="000000" w:themeColor="text1"/>
                <w:sz w:val="20"/>
                <w:szCs w:val="20"/>
                <w:lang w:val="en-US"/>
              </w:rPr>
            </w:pPr>
            <w:r w:rsidRPr="001A4A7B">
              <w:rPr>
                <w:b/>
                <w:i/>
                <w:color w:val="000000" w:themeColor="text1"/>
                <w:sz w:val="20"/>
                <w:szCs w:val="20"/>
                <w:lang w:val="en-US"/>
              </w:rPr>
              <w:t>Supply-driven</w:t>
            </w:r>
          </w:p>
        </w:tc>
        <w:tc>
          <w:tcPr>
            <w:tcW w:w="3399" w:type="dxa"/>
            <w:gridSpan w:val="4"/>
            <w:tcBorders>
              <w:left w:val="single" w:sz="4" w:space="0" w:color="auto"/>
              <w:bottom w:val="single" w:sz="4" w:space="0" w:color="auto"/>
            </w:tcBorders>
            <w:vAlign w:val="center"/>
          </w:tcPr>
          <w:p w14:paraId="1010CF28" w14:textId="70D8F926" w:rsidR="008313BF" w:rsidRPr="001A4A7B" w:rsidRDefault="008313BF" w:rsidP="008313BF">
            <w:pPr>
              <w:spacing w:before="40" w:after="40" w:line="288" w:lineRule="auto"/>
              <w:jc w:val="center"/>
              <w:rPr>
                <w:b/>
                <w:i/>
                <w:color w:val="000000" w:themeColor="text1"/>
                <w:sz w:val="20"/>
                <w:szCs w:val="20"/>
                <w:lang w:val="en-US"/>
              </w:rPr>
            </w:pPr>
            <w:r w:rsidRPr="001A4A7B">
              <w:rPr>
                <w:b/>
                <w:i/>
                <w:color w:val="000000" w:themeColor="text1"/>
                <w:sz w:val="20"/>
                <w:szCs w:val="20"/>
                <w:lang w:val="en-US"/>
              </w:rPr>
              <w:t>Demand-driven</w:t>
            </w:r>
          </w:p>
        </w:tc>
      </w:tr>
      <w:tr w:rsidR="001A4A7B" w:rsidRPr="001A4A7B" w14:paraId="14E70B37" w14:textId="77777777" w:rsidTr="008313BF">
        <w:tc>
          <w:tcPr>
            <w:tcW w:w="0" w:type="auto"/>
            <w:vAlign w:val="center"/>
          </w:tcPr>
          <w:p w14:paraId="4949FF20" w14:textId="77777777" w:rsidR="00766616" w:rsidRPr="001A4A7B" w:rsidRDefault="00766616" w:rsidP="00CE3A4B">
            <w:pPr>
              <w:spacing w:line="288" w:lineRule="auto"/>
              <w:rPr>
                <w:color w:val="000000" w:themeColor="text1"/>
                <w:sz w:val="20"/>
                <w:szCs w:val="20"/>
                <w:lang w:val="en-US"/>
              </w:rPr>
            </w:pPr>
          </w:p>
        </w:tc>
        <w:tc>
          <w:tcPr>
            <w:tcW w:w="1066" w:type="dxa"/>
            <w:vMerge w:val="restart"/>
            <w:tcBorders>
              <w:top w:val="single" w:sz="4" w:space="0" w:color="auto"/>
              <w:bottom w:val="single" w:sz="4" w:space="0" w:color="auto"/>
            </w:tcBorders>
            <w:vAlign w:val="bottom"/>
          </w:tcPr>
          <w:p w14:paraId="36CD4B03" w14:textId="77777777" w:rsidR="00766616" w:rsidRPr="001A4A7B" w:rsidRDefault="00766616" w:rsidP="00CE3A4B">
            <w:pPr>
              <w:spacing w:after="60" w:line="288" w:lineRule="auto"/>
              <w:jc w:val="center"/>
              <w:rPr>
                <w:color w:val="000000" w:themeColor="text1"/>
                <w:sz w:val="20"/>
                <w:szCs w:val="20"/>
                <w:lang w:val="en-US"/>
              </w:rPr>
            </w:pPr>
            <w:r w:rsidRPr="001A4A7B">
              <w:rPr>
                <w:color w:val="000000" w:themeColor="text1"/>
                <w:sz w:val="20"/>
                <w:szCs w:val="20"/>
                <w:lang w:val="en-US"/>
              </w:rPr>
              <w:t xml:space="preserve">Test </w:t>
            </w:r>
          </w:p>
          <w:p w14:paraId="7CC38A80" w14:textId="77777777" w:rsidR="00766616" w:rsidRPr="001A4A7B" w:rsidRDefault="00766616" w:rsidP="00CE3A4B">
            <w:pPr>
              <w:spacing w:after="60" w:line="288" w:lineRule="auto"/>
              <w:jc w:val="center"/>
              <w:rPr>
                <w:color w:val="000000" w:themeColor="text1"/>
                <w:sz w:val="20"/>
                <w:szCs w:val="20"/>
                <w:lang w:val="en-US"/>
              </w:rPr>
            </w:pPr>
            <w:r w:rsidRPr="001A4A7B">
              <w:rPr>
                <w:color w:val="000000" w:themeColor="text1"/>
                <w:sz w:val="20"/>
                <w:szCs w:val="20"/>
                <w:lang w:val="en-US"/>
              </w:rPr>
              <w:t>statistic</w:t>
            </w:r>
          </w:p>
        </w:tc>
        <w:tc>
          <w:tcPr>
            <w:tcW w:w="2319" w:type="dxa"/>
            <w:gridSpan w:val="3"/>
            <w:tcBorders>
              <w:top w:val="single" w:sz="4" w:space="0" w:color="auto"/>
              <w:bottom w:val="single" w:sz="4" w:space="0" w:color="auto"/>
              <w:right w:val="single" w:sz="4" w:space="0" w:color="auto"/>
            </w:tcBorders>
            <w:vAlign w:val="center"/>
          </w:tcPr>
          <w:p w14:paraId="74A55D96" w14:textId="77777777" w:rsidR="00766616" w:rsidRPr="001A4A7B" w:rsidRDefault="00766616" w:rsidP="00CE3A4B">
            <w:pPr>
              <w:spacing w:before="40" w:after="40" w:line="288" w:lineRule="auto"/>
              <w:jc w:val="center"/>
              <w:rPr>
                <w:color w:val="000000" w:themeColor="text1"/>
                <w:sz w:val="20"/>
                <w:szCs w:val="20"/>
                <w:lang w:val="en-US"/>
              </w:rPr>
            </w:pPr>
            <w:r w:rsidRPr="001A4A7B">
              <w:rPr>
                <w:color w:val="000000" w:themeColor="text1"/>
                <w:sz w:val="20"/>
                <w:szCs w:val="20"/>
                <w:lang w:val="en-US"/>
              </w:rPr>
              <w:t>Bootstrap critical values</w:t>
            </w:r>
          </w:p>
        </w:tc>
        <w:tc>
          <w:tcPr>
            <w:tcW w:w="1066" w:type="dxa"/>
            <w:vMerge w:val="restart"/>
            <w:tcBorders>
              <w:top w:val="single" w:sz="4" w:space="0" w:color="auto"/>
              <w:left w:val="single" w:sz="4" w:space="0" w:color="auto"/>
              <w:bottom w:val="single" w:sz="4" w:space="0" w:color="auto"/>
            </w:tcBorders>
            <w:vAlign w:val="bottom"/>
          </w:tcPr>
          <w:p w14:paraId="070444E6" w14:textId="77777777" w:rsidR="00766616" w:rsidRPr="001A4A7B" w:rsidRDefault="00766616" w:rsidP="00CE3A4B">
            <w:pPr>
              <w:spacing w:after="60" w:line="288" w:lineRule="auto"/>
              <w:jc w:val="center"/>
              <w:rPr>
                <w:color w:val="000000" w:themeColor="text1"/>
                <w:sz w:val="20"/>
                <w:szCs w:val="20"/>
                <w:lang w:val="en-US"/>
              </w:rPr>
            </w:pPr>
            <w:r w:rsidRPr="001A4A7B">
              <w:rPr>
                <w:color w:val="000000" w:themeColor="text1"/>
                <w:sz w:val="20"/>
                <w:szCs w:val="20"/>
                <w:lang w:val="en-US"/>
              </w:rPr>
              <w:t xml:space="preserve">Test </w:t>
            </w:r>
          </w:p>
          <w:p w14:paraId="49D3D357" w14:textId="77777777" w:rsidR="00766616" w:rsidRPr="001A4A7B" w:rsidRDefault="00766616" w:rsidP="00CE3A4B">
            <w:pPr>
              <w:spacing w:after="60" w:line="288" w:lineRule="auto"/>
              <w:jc w:val="center"/>
              <w:rPr>
                <w:color w:val="000000" w:themeColor="text1"/>
                <w:sz w:val="20"/>
                <w:szCs w:val="20"/>
                <w:lang w:val="en-US"/>
              </w:rPr>
            </w:pPr>
            <w:r w:rsidRPr="001A4A7B">
              <w:rPr>
                <w:color w:val="000000" w:themeColor="text1"/>
                <w:sz w:val="20"/>
                <w:szCs w:val="20"/>
                <w:lang w:val="en-US"/>
              </w:rPr>
              <w:t>statistic</w:t>
            </w:r>
          </w:p>
        </w:tc>
        <w:tc>
          <w:tcPr>
            <w:tcW w:w="2333" w:type="dxa"/>
            <w:gridSpan w:val="3"/>
            <w:tcBorders>
              <w:top w:val="single" w:sz="4" w:space="0" w:color="auto"/>
              <w:bottom w:val="single" w:sz="4" w:space="0" w:color="auto"/>
            </w:tcBorders>
            <w:vAlign w:val="center"/>
          </w:tcPr>
          <w:p w14:paraId="5E5F9BC0" w14:textId="77777777" w:rsidR="00766616" w:rsidRPr="001A4A7B" w:rsidRDefault="00766616" w:rsidP="00CE3A4B">
            <w:pPr>
              <w:spacing w:line="288" w:lineRule="auto"/>
              <w:jc w:val="center"/>
              <w:rPr>
                <w:color w:val="000000" w:themeColor="text1"/>
                <w:sz w:val="20"/>
                <w:szCs w:val="20"/>
                <w:lang w:val="en-US"/>
              </w:rPr>
            </w:pPr>
            <w:r w:rsidRPr="001A4A7B">
              <w:rPr>
                <w:color w:val="000000" w:themeColor="text1"/>
                <w:sz w:val="20"/>
                <w:szCs w:val="20"/>
                <w:lang w:val="en-US"/>
              </w:rPr>
              <w:t>Bootstrap critical values</w:t>
            </w:r>
          </w:p>
        </w:tc>
      </w:tr>
      <w:tr w:rsidR="001A4A7B" w:rsidRPr="001A4A7B" w14:paraId="082AF90B" w14:textId="77777777" w:rsidTr="008313BF">
        <w:trPr>
          <w:trHeight w:val="227"/>
        </w:trPr>
        <w:tc>
          <w:tcPr>
            <w:tcW w:w="0" w:type="auto"/>
            <w:tcBorders>
              <w:bottom w:val="single" w:sz="4" w:space="0" w:color="auto"/>
            </w:tcBorders>
            <w:vAlign w:val="bottom"/>
          </w:tcPr>
          <w:p w14:paraId="7EA5F71F" w14:textId="3D6F1673" w:rsidR="00766616" w:rsidRPr="001A4A7B" w:rsidRDefault="005A31EB" w:rsidP="00CE3A4B">
            <w:pPr>
              <w:spacing w:after="60" w:line="288" w:lineRule="auto"/>
              <w:jc w:val="center"/>
              <w:rPr>
                <w:color w:val="000000" w:themeColor="text1"/>
                <w:sz w:val="20"/>
                <w:szCs w:val="20"/>
                <w:lang w:val="en-US"/>
              </w:rPr>
            </w:pPr>
            <w:r w:rsidRPr="001A4A7B">
              <w:rPr>
                <w:color w:val="000000" w:themeColor="text1"/>
                <w:sz w:val="20"/>
                <w:szCs w:val="20"/>
                <w:lang w:val="en-US"/>
              </w:rPr>
              <w:t>Refined product</w:t>
            </w:r>
          </w:p>
        </w:tc>
        <w:tc>
          <w:tcPr>
            <w:tcW w:w="1066" w:type="dxa"/>
            <w:vMerge/>
            <w:tcBorders>
              <w:bottom w:val="single" w:sz="4" w:space="0" w:color="auto"/>
            </w:tcBorders>
          </w:tcPr>
          <w:p w14:paraId="40065EAB" w14:textId="77777777" w:rsidR="00766616" w:rsidRPr="001A4A7B" w:rsidRDefault="00766616" w:rsidP="00CE3A4B">
            <w:pPr>
              <w:spacing w:line="288" w:lineRule="auto"/>
              <w:rPr>
                <w:color w:val="000000" w:themeColor="text1"/>
                <w:sz w:val="20"/>
                <w:szCs w:val="20"/>
                <w:lang w:val="en-US"/>
              </w:rPr>
            </w:pPr>
          </w:p>
        </w:tc>
        <w:tc>
          <w:tcPr>
            <w:tcW w:w="773" w:type="dxa"/>
            <w:tcBorders>
              <w:top w:val="single" w:sz="4" w:space="0" w:color="auto"/>
              <w:bottom w:val="single" w:sz="4" w:space="0" w:color="auto"/>
            </w:tcBorders>
            <w:vAlign w:val="bottom"/>
          </w:tcPr>
          <w:p w14:paraId="4F6A8A15" w14:textId="77777777" w:rsidR="00766616" w:rsidRPr="001A4A7B" w:rsidRDefault="00766616" w:rsidP="00CE3A4B">
            <w:pPr>
              <w:spacing w:before="40" w:after="40" w:line="288" w:lineRule="auto"/>
              <w:jc w:val="center"/>
              <w:rPr>
                <w:color w:val="000000" w:themeColor="text1"/>
                <w:sz w:val="20"/>
                <w:szCs w:val="20"/>
                <w:lang w:val="en-US"/>
              </w:rPr>
            </w:pPr>
            <w:r w:rsidRPr="001A4A7B">
              <w:rPr>
                <w:color w:val="000000" w:themeColor="text1"/>
                <w:sz w:val="20"/>
                <w:szCs w:val="20"/>
                <w:lang w:val="en-US"/>
              </w:rPr>
              <w:t>1%</w:t>
            </w:r>
          </w:p>
        </w:tc>
        <w:tc>
          <w:tcPr>
            <w:tcW w:w="773" w:type="dxa"/>
            <w:tcBorders>
              <w:top w:val="single" w:sz="4" w:space="0" w:color="auto"/>
              <w:bottom w:val="single" w:sz="4" w:space="0" w:color="auto"/>
            </w:tcBorders>
            <w:vAlign w:val="bottom"/>
          </w:tcPr>
          <w:p w14:paraId="454017CD" w14:textId="77777777" w:rsidR="00766616" w:rsidRPr="001A4A7B" w:rsidRDefault="00766616" w:rsidP="00CE3A4B">
            <w:pPr>
              <w:spacing w:before="40" w:after="40" w:line="288" w:lineRule="auto"/>
              <w:jc w:val="center"/>
              <w:rPr>
                <w:color w:val="000000" w:themeColor="text1"/>
                <w:sz w:val="20"/>
                <w:szCs w:val="20"/>
                <w:lang w:val="en-US"/>
              </w:rPr>
            </w:pPr>
            <w:r w:rsidRPr="001A4A7B">
              <w:rPr>
                <w:color w:val="000000" w:themeColor="text1"/>
                <w:sz w:val="20"/>
                <w:szCs w:val="20"/>
                <w:lang w:val="en-US"/>
              </w:rPr>
              <w:t>5%</w:t>
            </w:r>
          </w:p>
        </w:tc>
        <w:tc>
          <w:tcPr>
            <w:tcW w:w="773" w:type="dxa"/>
            <w:tcBorders>
              <w:top w:val="single" w:sz="4" w:space="0" w:color="auto"/>
              <w:bottom w:val="single" w:sz="4" w:space="0" w:color="auto"/>
              <w:right w:val="single" w:sz="4" w:space="0" w:color="auto"/>
            </w:tcBorders>
            <w:vAlign w:val="bottom"/>
          </w:tcPr>
          <w:p w14:paraId="46DDFAF3" w14:textId="77777777" w:rsidR="00766616" w:rsidRPr="001A4A7B" w:rsidRDefault="00766616" w:rsidP="00CE3A4B">
            <w:pPr>
              <w:spacing w:before="40" w:after="40" w:line="288" w:lineRule="auto"/>
              <w:jc w:val="center"/>
              <w:rPr>
                <w:color w:val="000000" w:themeColor="text1"/>
                <w:sz w:val="20"/>
                <w:szCs w:val="20"/>
                <w:lang w:val="en-US"/>
              </w:rPr>
            </w:pPr>
            <w:r w:rsidRPr="001A4A7B">
              <w:rPr>
                <w:color w:val="000000" w:themeColor="text1"/>
                <w:sz w:val="20"/>
                <w:szCs w:val="20"/>
                <w:lang w:val="en-US"/>
              </w:rPr>
              <w:t>10%</w:t>
            </w:r>
          </w:p>
        </w:tc>
        <w:tc>
          <w:tcPr>
            <w:tcW w:w="1066" w:type="dxa"/>
            <w:vMerge/>
            <w:tcBorders>
              <w:left w:val="single" w:sz="4" w:space="0" w:color="auto"/>
              <w:bottom w:val="single" w:sz="4" w:space="0" w:color="auto"/>
            </w:tcBorders>
            <w:vAlign w:val="bottom"/>
          </w:tcPr>
          <w:p w14:paraId="4CF11032" w14:textId="77777777" w:rsidR="00766616" w:rsidRPr="001A4A7B" w:rsidRDefault="00766616" w:rsidP="00CE3A4B">
            <w:pPr>
              <w:spacing w:line="288" w:lineRule="auto"/>
              <w:jc w:val="center"/>
              <w:rPr>
                <w:color w:val="000000" w:themeColor="text1"/>
                <w:sz w:val="20"/>
                <w:szCs w:val="20"/>
                <w:lang w:val="en-US"/>
              </w:rPr>
            </w:pPr>
          </w:p>
        </w:tc>
        <w:tc>
          <w:tcPr>
            <w:tcW w:w="773" w:type="dxa"/>
            <w:tcBorders>
              <w:bottom w:val="single" w:sz="4" w:space="0" w:color="auto"/>
            </w:tcBorders>
            <w:vAlign w:val="bottom"/>
          </w:tcPr>
          <w:p w14:paraId="570738C9" w14:textId="77777777" w:rsidR="00766616" w:rsidRPr="001A4A7B" w:rsidRDefault="00766616" w:rsidP="00CE3A4B">
            <w:pPr>
              <w:spacing w:before="40" w:after="40" w:line="288" w:lineRule="auto"/>
              <w:jc w:val="center"/>
              <w:rPr>
                <w:color w:val="000000" w:themeColor="text1"/>
                <w:sz w:val="20"/>
                <w:szCs w:val="20"/>
                <w:lang w:val="en-US"/>
              </w:rPr>
            </w:pPr>
            <w:r w:rsidRPr="001A4A7B">
              <w:rPr>
                <w:color w:val="000000" w:themeColor="text1"/>
                <w:sz w:val="20"/>
                <w:szCs w:val="20"/>
                <w:lang w:val="en-US"/>
              </w:rPr>
              <w:t>1%</w:t>
            </w:r>
          </w:p>
        </w:tc>
        <w:tc>
          <w:tcPr>
            <w:tcW w:w="851" w:type="dxa"/>
            <w:tcBorders>
              <w:bottom w:val="single" w:sz="4" w:space="0" w:color="auto"/>
            </w:tcBorders>
            <w:vAlign w:val="bottom"/>
          </w:tcPr>
          <w:p w14:paraId="4B1A6311" w14:textId="77777777" w:rsidR="00766616" w:rsidRPr="001A4A7B" w:rsidRDefault="00766616" w:rsidP="00CE3A4B">
            <w:pPr>
              <w:spacing w:before="40" w:after="40" w:line="288" w:lineRule="auto"/>
              <w:jc w:val="center"/>
              <w:rPr>
                <w:color w:val="000000" w:themeColor="text1"/>
                <w:sz w:val="20"/>
                <w:szCs w:val="20"/>
                <w:lang w:val="en-US"/>
              </w:rPr>
            </w:pPr>
            <w:r w:rsidRPr="001A4A7B">
              <w:rPr>
                <w:color w:val="000000" w:themeColor="text1"/>
                <w:sz w:val="20"/>
                <w:szCs w:val="20"/>
                <w:lang w:val="en-US"/>
              </w:rPr>
              <w:t>5%</w:t>
            </w:r>
          </w:p>
        </w:tc>
        <w:tc>
          <w:tcPr>
            <w:tcW w:w="709" w:type="dxa"/>
            <w:tcBorders>
              <w:bottom w:val="single" w:sz="4" w:space="0" w:color="auto"/>
            </w:tcBorders>
            <w:vAlign w:val="bottom"/>
          </w:tcPr>
          <w:p w14:paraId="4E575A2B" w14:textId="77777777" w:rsidR="00766616" w:rsidRPr="001A4A7B" w:rsidRDefault="00766616" w:rsidP="00CE3A4B">
            <w:pPr>
              <w:spacing w:before="40" w:after="40" w:line="288" w:lineRule="auto"/>
              <w:jc w:val="center"/>
              <w:rPr>
                <w:color w:val="000000" w:themeColor="text1"/>
                <w:sz w:val="20"/>
                <w:szCs w:val="20"/>
                <w:lang w:val="en-US"/>
              </w:rPr>
            </w:pPr>
            <w:r w:rsidRPr="001A4A7B">
              <w:rPr>
                <w:color w:val="000000" w:themeColor="text1"/>
                <w:sz w:val="20"/>
                <w:szCs w:val="20"/>
                <w:lang w:val="en-US"/>
              </w:rPr>
              <w:t>10%</w:t>
            </w:r>
          </w:p>
        </w:tc>
      </w:tr>
      <w:tr w:rsidR="001A4A7B" w:rsidRPr="001A4A7B" w14:paraId="654AD8DF" w14:textId="77777777" w:rsidTr="008313BF">
        <w:trPr>
          <w:trHeight w:val="227"/>
        </w:trPr>
        <w:tc>
          <w:tcPr>
            <w:tcW w:w="0" w:type="auto"/>
            <w:tcBorders>
              <w:top w:val="single" w:sz="4" w:space="0" w:color="auto"/>
            </w:tcBorders>
            <w:shd w:val="clear" w:color="auto" w:fill="auto"/>
            <w:vAlign w:val="center"/>
          </w:tcPr>
          <w:p w14:paraId="73A0D12B" w14:textId="77777777" w:rsidR="00766616" w:rsidRPr="001A4A7B" w:rsidRDefault="00766616" w:rsidP="00CE3A4B">
            <w:pPr>
              <w:spacing w:before="40" w:line="288" w:lineRule="auto"/>
              <w:ind w:left="-57"/>
              <w:rPr>
                <w:color w:val="000000" w:themeColor="text1"/>
                <w:sz w:val="20"/>
                <w:szCs w:val="20"/>
                <w:lang w:val="en-US"/>
              </w:rPr>
            </w:pPr>
            <w:r w:rsidRPr="001A4A7B">
              <w:rPr>
                <w:color w:val="000000" w:themeColor="text1"/>
                <w:sz w:val="20"/>
                <w:szCs w:val="20"/>
                <w:lang w:val="en-US"/>
              </w:rPr>
              <w:t>Conv. Gasol. NY</w:t>
            </w:r>
          </w:p>
        </w:tc>
        <w:tc>
          <w:tcPr>
            <w:tcW w:w="1066" w:type="dxa"/>
            <w:tcBorders>
              <w:top w:val="single" w:sz="4" w:space="0" w:color="auto"/>
            </w:tcBorders>
            <w:shd w:val="clear" w:color="auto" w:fill="auto"/>
            <w:vAlign w:val="center"/>
          </w:tcPr>
          <w:p w14:paraId="7B8544F8" w14:textId="1D9DB534" w:rsidR="00766616" w:rsidRPr="001A4A7B" w:rsidRDefault="00A423C9" w:rsidP="00CE3A4B">
            <w:pPr>
              <w:spacing w:line="288" w:lineRule="auto"/>
              <w:jc w:val="center"/>
              <w:rPr>
                <w:color w:val="000000" w:themeColor="text1"/>
                <w:sz w:val="20"/>
                <w:szCs w:val="20"/>
                <w:lang w:val="en-US"/>
              </w:rPr>
            </w:pPr>
            <w:r w:rsidRPr="001A4A7B">
              <w:rPr>
                <w:color w:val="000000" w:themeColor="text1"/>
                <w:sz w:val="20"/>
                <w:szCs w:val="20"/>
                <w:lang w:val="en-US"/>
              </w:rPr>
              <w:t>2.</w:t>
            </w:r>
            <w:r w:rsidR="00445AAA" w:rsidRPr="001A4A7B">
              <w:rPr>
                <w:color w:val="000000" w:themeColor="text1"/>
                <w:sz w:val="20"/>
                <w:szCs w:val="20"/>
                <w:lang w:val="en-US"/>
              </w:rPr>
              <w:t>241</w:t>
            </w:r>
          </w:p>
        </w:tc>
        <w:tc>
          <w:tcPr>
            <w:tcW w:w="773" w:type="dxa"/>
            <w:tcBorders>
              <w:top w:val="single" w:sz="4" w:space="0" w:color="auto"/>
            </w:tcBorders>
            <w:shd w:val="clear" w:color="auto" w:fill="auto"/>
            <w:vAlign w:val="center"/>
          </w:tcPr>
          <w:p w14:paraId="42B3E317" w14:textId="5D30E977" w:rsidR="00766616" w:rsidRPr="001A4A7B" w:rsidRDefault="00A423C9" w:rsidP="00CE3A4B">
            <w:pPr>
              <w:spacing w:line="288" w:lineRule="auto"/>
              <w:jc w:val="center"/>
              <w:rPr>
                <w:color w:val="000000" w:themeColor="text1"/>
                <w:sz w:val="20"/>
                <w:szCs w:val="20"/>
                <w:lang w:val="en-US"/>
              </w:rPr>
            </w:pPr>
            <w:r w:rsidRPr="001A4A7B">
              <w:rPr>
                <w:color w:val="000000" w:themeColor="text1"/>
                <w:sz w:val="20"/>
                <w:szCs w:val="20"/>
                <w:lang w:val="en-US"/>
              </w:rPr>
              <w:t>9.</w:t>
            </w:r>
            <w:r w:rsidR="00445AAA" w:rsidRPr="001A4A7B">
              <w:rPr>
                <w:color w:val="000000" w:themeColor="text1"/>
                <w:sz w:val="20"/>
                <w:szCs w:val="20"/>
                <w:lang w:val="en-US"/>
              </w:rPr>
              <w:t>760</w:t>
            </w:r>
          </w:p>
        </w:tc>
        <w:tc>
          <w:tcPr>
            <w:tcW w:w="773" w:type="dxa"/>
            <w:tcBorders>
              <w:top w:val="single" w:sz="4" w:space="0" w:color="auto"/>
            </w:tcBorders>
            <w:shd w:val="clear" w:color="auto" w:fill="auto"/>
            <w:vAlign w:val="center"/>
          </w:tcPr>
          <w:p w14:paraId="0A1BD315" w14:textId="16A08F19"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6.637</w:t>
            </w:r>
          </w:p>
        </w:tc>
        <w:tc>
          <w:tcPr>
            <w:tcW w:w="773" w:type="dxa"/>
            <w:tcBorders>
              <w:top w:val="single" w:sz="4" w:space="0" w:color="auto"/>
              <w:right w:val="single" w:sz="4" w:space="0" w:color="auto"/>
            </w:tcBorders>
            <w:shd w:val="clear" w:color="auto" w:fill="auto"/>
            <w:vAlign w:val="center"/>
          </w:tcPr>
          <w:p w14:paraId="687D8B6B" w14:textId="27A22D07"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4.810</w:t>
            </w:r>
          </w:p>
        </w:tc>
        <w:tc>
          <w:tcPr>
            <w:tcW w:w="1066" w:type="dxa"/>
            <w:tcBorders>
              <w:top w:val="single" w:sz="4" w:space="0" w:color="auto"/>
              <w:left w:val="single" w:sz="4" w:space="0" w:color="auto"/>
            </w:tcBorders>
            <w:shd w:val="clear" w:color="auto" w:fill="auto"/>
            <w:vAlign w:val="center"/>
          </w:tcPr>
          <w:p w14:paraId="335A69F4" w14:textId="543AAFE8"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24.078</w:t>
            </w:r>
            <w:r w:rsidR="009359FF" w:rsidRPr="001A4A7B">
              <w:rPr>
                <w:color w:val="000000" w:themeColor="text1"/>
                <w:sz w:val="20"/>
                <w:szCs w:val="20"/>
                <w:lang w:val="en-US"/>
              </w:rPr>
              <w:t>**</w:t>
            </w:r>
            <w:r w:rsidR="00766616" w:rsidRPr="001A4A7B">
              <w:rPr>
                <w:color w:val="000000" w:themeColor="text1"/>
                <w:sz w:val="20"/>
                <w:szCs w:val="20"/>
                <w:lang w:val="en-US"/>
              </w:rPr>
              <w:t>*</w:t>
            </w:r>
          </w:p>
        </w:tc>
        <w:tc>
          <w:tcPr>
            <w:tcW w:w="773" w:type="dxa"/>
            <w:tcBorders>
              <w:top w:val="single" w:sz="4" w:space="0" w:color="auto"/>
            </w:tcBorders>
            <w:shd w:val="clear" w:color="auto" w:fill="auto"/>
            <w:vAlign w:val="center"/>
          </w:tcPr>
          <w:p w14:paraId="2E9F8691" w14:textId="45920CFA"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9.123</w:t>
            </w:r>
          </w:p>
        </w:tc>
        <w:tc>
          <w:tcPr>
            <w:tcW w:w="851" w:type="dxa"/>
            <w:tcBorders>
              <w:top w:val="single" w:sz="4" w:space="0" w:color="auto"/>
            </w:tcBorders>
            <w:shd w:val="clear" w:color="auto" w:fill="auto"/>
            <w:vAlign w:val="center"/>
          </w:tcPr>
          <w:p w14:paraId="38FA22BF" w14:textId="241F6BBB"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6.075</w:t>
            </w:r>
          </w:p>
        </w:tc>
        <w:tc>
          <w:tcPr>
            <w:tcW w:w="709" w:type="dxa"/>
            <w:tcBorders>
              <w:top w:val="single" w:sz="4" w:space="0" w:color="auto"/>
            </w:tcBorders>
            <w:shd w:val="clear" w:color="auto" w:fill="auto"/>
            <w:vAlign w:val="center"/>
          </w:tcPr>
          <w:p w14:paraId="6F13CA75" w14:textId="17FAF5C8"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4.522</w:t>
            </w:r>
          </w:p>
        </w:tc>
      </w:tr>
      <w:tr w:rsidR="001A4A7B" w:rsidRPr="001A4A7B" w14:paraId="7C5F429B" w14:textId="77777777" w:rsidTr="008313BF">
        <w:trPr>
          <w:trHeight w:val="227"/>
        </w:trPr>
        <w:tc>
          <w:tcPr>
            <w:tcW w:w="0" w:type="auto"/>
            <w:shd w:val="clear" w:color="auto" w:fill="auto"/>
            <w:vAlign w:val="center"/>
          </w:tcPr>
          <w:p w14:paraId="036ED249" w14:textId="77777777" w:rsidR="00766616" w:rsidRPr="001A4A7B" w:rsidRDefault="00766616" w:rsidP="00CE3A4B">
            <w:pPr>
              <w:spacing w:line="288" w:lineRule="auto"/>
              <w:ind w:left="-57"/>
              <w:rPr>
                <w:color w:val="000000" w:themeColor="text1"/>
                <w:sz w:val="20"/>
                <w:szCs w:val="20"/>
                <w:lang w:val="en-US"/>
              </w:rPr>
            </w:pPr>
            <w:r w:rsidRPr="001A4A7B">
              <w:rPr>
                <w:color w:val="000000" w:themeColor="text1"/>
                <w:sz w:val="20"/>
                <w:szCs w:val="20"/>
                <w:lang w:val="en-US"/>
              </w:rPr>
              <w:t>RBOB</w:t>
            </w:r>
          </w:p>
        </w:tc>
        <w:tc>
          <w:tcPr>
            <w:tcW w:w="1066" w:type="dxa"/>
            <w:shd w:val="clear" w:color="auto" w:fill="auto"/>
            <w:vAlign w:val="center"/>
          </w:tcPr>
          <w:p w14:paraId="4D85E3E1" w14:textId="78BE2ADE"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20.374</w:t>
            </w:r>
            <w:r w:rsidR="00766616" w:rsidRPr="001A4A7B">
              <w:rPr>
                <w:color w:val="000000" w:themeColor="text1"/>
                <w:sz w:val="20"/>
                <w:szCs w:val="20"/>
                <w:lang w:val="en-US"/>
              </w:rPr>
              <w:t>***</w:t>
            </w:r>
          </w:p>
        </w:tc>
        <w:tc>
          <w:tcPr>
            <w:tcW w:w="773" w:type="dxa"/>
            <w:shd w:val="clear" w:color="auto" w:fill="auto"/>
            <w:vAlign w:val="center"/>
          </w:tcPr>
          <w:p w14:paraId="248412C5" w14:textId="43944779"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9.576</w:t>
            </w:r>
          </w:p>
        </w:tc>
        <w:tc>
          <w:tcPr>
            <w:tcW w:w="773" w:type="dxa"/>
            <w:shd w:val="clear" w:color="auto" w:fill="auto"/>
            <w:vAlign w:val="center"/>
          </w:tcPr>
          <w:p w14:paraId="79D0D5D9" w14:textId="2C1867B3"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6.443</w:t>
            </w:r>
          </w:p>
        </w:tc>
        <w:tc>
          <w:tcPr>
            <w:tcW w:w="773" w:type="dxa"/>
            <w:tcBorders>
              <w:right w:val="single" w:sz="4" w:space="0" w:color="auto"/>
            </w:tcBorders>
            <w:shd w:val="clear" w:color="auto" w:fill="auto"/>
            <w:vAlign w:val="center"/>
          </w:tcPr>
          <w:p w14:paraId="5BA8CE35" w14:textId="64722163"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4.929</w:t>
            </w:r>
          </w:p>
        </w:tc>
        <w:tc>
          <w:tcPr>
            <w:tcW w:w="1066" w:type="dxa"/>
            <w:tcBorders>
              <w:left w:val="single" w:sz="4" w:space="0" w:color="auto"/>
            </w:tcBorders>
            <w:shd w:val="clear" w:color="auto" w:fill="auto"/>
            <w:vAlign w:val="center"/>
          </w:tcPr>
          <w:p w14:paraId="75FBA224" w14:textId="2F57523F"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8.839*</w:t>
            </w:r>
            <w:r w:rsidR="00766616" w:rsidRPr="001A4A7B">
              <w:rPr>
                <w:color w:val="000000" w:themeColor="text1"/>
                <w:sz w:val="20"/>
                <w:szCs w:val="20"/>
                <w:lang w:val="en-US"/>
              </w:rPr>
              <w:t>**</w:t>
            </w:r>
          </w:p>
        </w:tc>
        <w:tc>
          <w:tcPr>
            <w:tcW w:w="773" w:type="dxa"/>
            <w:shd w:val="clear" w:color="auto" w:fill="auto"/>
            <w:vAlign w:val="center"/>
          </w:tcPr>
          <w:p w14:paraId="51882594" w14:textId="0CCA73F4"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8.839</w:t>
            </w:r>
          </w:p>
        </w:tc>
        <w:tc>
          <w:tcPr>
            <w:tcW w:w="851" w:type="dxa"/>
            <w:shd w:val="clear" w:color="auto" w:fill="auto"/>
            <w:vAlign w:val="center"/>
          </w:tcPr>
          <w:p w14:paraId="6F168B2F" w14:textId="2D656BF4" w:rsidR="00766616" w:rsidRPr="001A4A7B" w:rsidRDefault="009359FF" w:rsidP="00CE3A4B">
            <w:pPr>
              <w:spacing w:line="288" w:lineRule="auto"/>
              <w:jc w:val="center"/>
              <w:rPr>
                <w:color w:val="000000" w:themeColor="text1"/>
                <w:sz w:val="20"/>
                <w:szCs w:val="20"/>
                <w:lang w:val="en-US"/>
              </w:rPr>
            </w:pPr>
            <w:r w:rsidRPr="001A4A7B">
              <w:rPr>
                <w:color w:val="000000" w:themeColor="text1"/>
                <w:sz w:val="20"/>
                <w:szCs w:val="20"/>
                <w:lang w:val="en-US"/>
              </w:rPr>
              <w:t>5.</w:t>
            </w:r>
            <w:r w:rsidR="00445AAA" w:rsidRPr="001A4A7B">
              <w:rPr>
                <w:color w:val="000000" w:themeColor="text1"/>
                <w:sz w:val="20"/>
                <w:szCs w:val="20"/>
                <w:lang w:val="en-US"/>
              </w:rPr>
              <w:t>710</w:t>
            </w:r>
          </w:p>
        </w:tc>
        <w:tc>
          <w:tcPr>
            <w:tcW w:w="709" w:type="dxa"/>
            <w:shd w:val="clear" w:color="auto" w:fill="auto"/>
            <w:vAlign w:val="center"/>
          </w:tcPr>
          <w:p w14:paraId="4EE683E8" w14:textId="2B90525C" w:rsidR="00766616" w:rsidRPr="001A4A7B" w:rsidRDefault="009359FF" w:rsidP="00CE3A4B">
            <w:pPr>
              <w:spacing w:line="288" w:lineRule="auto"/>
              <w:jc w:val="center"/>
              <w:rPr>
                <w:color w:val="000000" w:themeColor="text1"/>
                <w:sz w:val="20"/>
                <w:szCs w:val="20"/>
                <w:lang w:val="en-US"/>
              </w:rPr>
            </w:pPr>
            <w:r w:rsidRPr="001A4A7B">
              <w:rPr>
                <w:color w:val="000000" w:themeColor="text1"/>
                <w:sz w:val="20"/>
                <w:szCs w:val="20"/>
                <w:lang w:val="en-US"/>
              </w:rPr>
              <w:t>4.</w:t>
            </w:r>
            <w:r w:rsidR="00445AAA" w:rsidRPr="001A4A7B">
              <w:rPr>
                <w:color w:val="000000" w:themeColor="text1"/>
                <w:sz w:val="20"/>
                <w:szCs w:val="20"/>
                <w:lang w:val="en-US"/>
              </w:rPr>
              <w:t>291</w:t>
            </w:r>
          </w:p>
        </w:tc>
      </w:tr>
      <w:tr w:rsidR="001A4A7B" w:rsidRPr="001A4A7B" w14:paraId="7E688F2C" w14:textId="77777777" w:rsidTr="008313BF">
        <w:trPr>
          <w:trHeight w:val="227"/>
        </w:trPr>
        <w:tc>
          <w:tcPr>
            <w:tcW w:w="0" w:type="auto"/>
            <w:shd w:val="clear" w:color="auto" w:fill="auto"/>
            <w:vAlign w:val="center"/>
          </w:tcPr>
          <w:p w14:paraId="6D8B20A7" w14:textId="77777777" w:rsidR="00766616" w:rsidRPr="001A4A7B" w:rsidRDefault="00766616" w:rsidP="00CE3A4B">
            <w:pPr>
              <w:spacing w:line="288" w:lineRule="auto"/>
              <w:ind w:left="-57"/>
              <w:rPr>
                <w:color w:val="000000" w:themeColor="text1"/>
                <w:sz w:val="20"/>
                <w:szCs w:val="20"/>
                <w:lang w:val="en-US"/>
              </w:rPr>
            </w:pPr>
            <w:r w:rsidRPr="001A4A7B">
              <w:rPr>
                <w:color w:val="000000" w:themeColor="text1"/>
                <w:sz w:val="20"/>
                <w:szCs w:val="20"/>
                <w:lang w:val="en-US"/>
              </w:rPr>
              <w:t>Heating Oil</w:t>
            </w:r>
          </w:p>
        </w:tc>
        <w:tc>
          <w:tcPr>
            <w:tcW w:w="1066" w:type="dxa"/>
            <w:shd w:val="clear" w:color="auto" w:fill="auto"/>
            <w:vAlign w:val="center"/>
          </w:tcPr>
          <w:p w14:paraId="0D7099B0" w14:textId="26D931CA"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7.157</w:t>
            </w:r>
            <w:r w:rsidR="00251C55" w:rsidRPr="001A4A7B">
              <w:rPr>
                <w:color w:val="000000" w:themeColor="text1"/>
                <w:sz w:val="20"/>
                <w:szCs w:val="20"/>
                <w:lang w:val="en-US"/>
              </w:rPr>
              <w:t>*</w:t>
            </w:r>
            <w:r w:rsidR="00766616" w:rsidRPr="001A4A7B">
              <w:rPr>
                <w:color w:val="000000" w:themeColor="text1"/>
                <w:sz w:val="20"/>
                <w:szCs w:val="20"/>
                <w:lang w:val="en-US"/>
              </w:rPr>
              <w:t>*</w:t>
            </w:r>
          </w:p>
        </w:tc>
        <w:tc>
          <w:tcPr>
            <w:tcW w:w="773" w:type="dxa"/>
            <w:shd w:val="clear" w:color="auto" w:fill="auto"/>
            <w:vAlign w:val="center"/>
          </w:tcPr>
          <w:p w14:paraId="33C4A185" w14:textId="42FBAEDB"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9.033</w:t>
            </w:r>
          </w:p>
        </w:tc>
        <w:tc>
          <w:tcPr>
            <w:tcW w:w="773" w:type="dxa"/>
            <w:shd w:val="clear" w:color="auto" w:fill="auto"/>
            <w:vAlign w:val="center"/>
          </w:tcPr>
          <w:p w14:paraId="19754815" w14:textId="754E210F"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6.008</w:t>
            </w:r>
          </w:p>
        </w:tc>
        <w:tc>
          <w:tcPr>
            <w:tcW w:w="773" w:type="dxa"/>
            <w:tcBorders>
              <w:right w:val="single" w:sz="4" w:space="0" w:color="auto"/>
            </w:tcBorders>
            <w:shd w:val="clear" w:color="auto" w:fill="auto"/>
            <w:vAlign w:val="center"/>
          </w:tcPr>
          <w:p w14:paraId="435AFC29" w14:textId="3F844EC9"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4.702</w:t>
            </w:r>
          </w:p>
        </w:tc>
        <w:tc>
          <w:tcPr>
            <w:tcW w:w="1066" w:type="dxa"/>
            <w:tcBorders>
              <w:left w:val="single" w:sz="4" w:space="0" w:color="auto"/>
            </w:tcBorders>
            <w:shd w:val="clear" w:color="auto" w:fill="auto"/>
            <w:vAlign w:val="center"/>
          </w:tcPr>
          <w:p w14:paraId="14888305" w14:textId="4555E81A"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0.473</w:t>
            </w:r>
          </w:p>
        </w:tc>
        <w:tc>
          <w:tcPr>
            <w:tcW w:w="773" w:type="dxa"/>
            <w:shd w:val="clear" w:color="auto" w:fill="auto"/>
            <w:vAlign w:val="center"/>
          </w:tcPr>
          <w:p w14:paraId="54170D4A" w14:textId="0FC61BDB"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9.137</w:t>
            </w:r>
          </w:p>
        </w:tc>
        <w:tc>
          <w:tcPr>
            <w:tcW w:w="851" w:type="dxa"/>
            <w:shd w:val="clear" w:color="auto" w:fill="auto"/>
            <w:vAlign w:val="center"/>
          </w:tcPr>
          <w:p w14:paraId="1365ABBF" w14:textId="7D3B62FF"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5.990</w:t>
            </w:r>
          </w:p>
        </w:tc>
        <w:tc>
          <w:tcPr>
            <w:tcW w:w="709" w:type="dxa"/>
            <w:shd w:val="clear" w:color="auto" w:fill="auto"/>
            <w:vAlign w:val="center"/>
          </w:tcPr>
          <w:p w14:paraId="3E7A8C63" w14:textId="4061D99D"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4.644</w:t>
            </w:r>
          </w:p>
        </w:tc>
      </w:tr>
      <w:tr w:rsidR="001A4A7B" w:rsidRPr="001A4A7B" w14:paraId="717C7A9E" w14:textId="77777777" w:rsidTr="008313BF">
        <w:trPr>
          <w:trHeight w:val="227"/>
        </w:trPr>
        <w:tc>
          <w:tcPr>
            <w:tcW w:w="0" w:type="auto"/>
            <w:shd w:val="clear" w:color="auto" w:fill="auto"/>
            <w:vAlign w:val="center"/>
          </w:tcPr>
          <w:p w14:paraId="0C4989B1" w14:textId="77777777" w:rsidR="00766616" w:rsidRPr="001A4A7B" w:rsidRDefault="00766616" w:rsidP="00CE3A4B">
            <w:pPr>
              <w:spacing w:line="288" w:lineRule="auto"/>
              <w:ind w:left="-57"/>
              <w:rPr>
                <w:color w:val="000000" w:themeColor="text1"/>
                <w:sz w:val="20"/>
                <w:szCs w:val="20"/>
                <w:lang w:val="en-US"/>
              </w:rPr>
            </w:pPr>
            <w:r w:rsidRPr="001A4A7B">
              <w:rPr>
                <w:color w:val="000000" w:themeColor="text1"/>
                <w:sz w:val="20"/>
                <w:szCs w:val="20"/>
                <w:lang w:val="en-US"/>
              </w:rPr>
              <w:t>Diesel NY</w:t>
            </w:r>
          </w:p>
        </w:tc>
        <w:tc>
          <w:tcPr>
            <w:tcW w:w="1066" w:type="dxa"/>
            <w:shd w:val="clear" w:color="auto" w:fill="auto"/>
            <w:vAlign w:val="center"/>
          </w:tcPr>
          <w:p w14:paraId="7C3404C4" w14:textId="6126F2E7"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10.037**</w:t>
            </w:r>
            <w:r w:rsidR="00251C55" w:rsidRPr="001A4A7B">
              <w:rPr>
                <w:color w:val="000000" w:themeColor="text1"/>
                <w:sz w:val="20"/>
                <w:szCs w:val="20"/>
                <w:lang w:val="en-US"/>
              </w:rPr>
              <w:t>*</w:t>
            </w:r>
          </w:p>
        </w:tc>
        <w:tc>
          <w:tcPr>
            <w:tcW w:w="773" w:type="dxa"/>
            <w:shd w:val="clear" w:color="auto" w:fill="auto"/>
            <w:vAlign w:val="center"/>
          </w:tcPr>
          <w:p w14:paraId="72A7DF9E" w14:textId="0FD1C9EF"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8.762</w:t>
            </w:r>
          </w:p>
        </w:tc>
        <w:tc>
          <w:tcPr>
            <w:tcW w:w="773" w:type="dxa"/>
            <w:shd w:val="clear" w:color="auto" w:fill="auto"/>
            <w:vAlign w:val="center"/>
          </w:tcPr>
          <w:p w14:paraId="2D3A9986" w14:textId="014D870F"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5.798</w:t>
            </w:r>
          </w:p>
        </w:tc>
        <w:tc>
          <w:tcPr>
            <w:tcW w:w="773" w:type="dxa"/>
            <w:tcBorders>
              <w:right w:val="single" w:sz="4" w:space="0" w:color="auto"/>
            </w:tcBorders>
            <w:shd w:val="clear" w:color="auto" w:fill="auto"/>
            <w:vAlign w:val="center"/>
          </w:tcPr>
          <w:p w14:paraId="3C207D86" w14:textId="26E97663"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4.590</w:t>
            </w:r>
          </w:p>
        </w:tc>
        <w:tc>
          <w:tcPr>
            <w:tcW w:w="1066" w:type="dxa"/>
            <w:tcBorders>
              <w:left w:val="single" w:sz="4" w:space="0" w:color="auto"/>
            </w:tcBorders>
            <w:shd w:val="clear" w:color="auto" w:fill="auto"/>
            <w:vAlign w:val="center"/>
          </w:tcPr>
          <w:p w14:paraId="457C6156" w14:textId="471AEF99"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0.110</w:t>
            </w:r>
          </w:p>
        </w:tc>
        <w:tc>
          <w:tcPr>
            <w:tcW w:w="773" w:type="dxa"/>
            <w:shd w:val="clear" w:color="auto" w:fill="auto"/>
            <w:vAlign w:val="center"/>
          </w:tcPr>
          <w:p w14:paraId="4FAEEA0C" w14:textId="364365F0"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9.163</w:t>
            </w:r>
          </w:p>
        </w:tc>
        <w:tc>
          <w:tcPr>
            <w:tcW w:w="851" w:type="dxa"/>
            <w:shd w:val="clear" w:color="auto" w:fill="auto"/>
            <w:vAlign w:val="center"/>
          </w:tcPr>
          <w:p w14:paraId="0455A4FB" w14:textId="714205E0"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6.051</w:t>
            </w:r>
          </w:p>
        </w:tc>
        <w:tc>
          <w:tcPr>
            <w:tcW w:w="709" w:type="dxa"/>
            <w:shd w:val="clear" w:color="auto" w:fill="auto"/>
            <w:vAlign w:val="center"/>
          </w:tcPr>
          <w:p w14:paraId="64A6E3C2" w14:textId="259A0E55"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4.727</w:t>
            </w:r>
          </w:p>
        </w:tc>
      </w:tr>
      <w:tr w:rsidR="001A4A7B" w:rsidRPr="001A4A7B" w14:paraId="1F059F82" w14:textId="77777777" w:rsidTr="008313BF">
        <w:trPr>
          <w:trHeight w:val="227"/>
        </w:trPr>
        <w:tc>
          <w:tcPr>
            <w:tcW w:w="0" w:type="auto"/>
            <w:shd w:val="clear" w:color="auto" w:fill="auto"/>
            <w:vAlign w:val="center"/>
          </w:tcPr>
          <w:p w14:paraId="4F78E3E0" w14:textId="77777777" w:rsidR="00766616" w:rsidRPr="001A4A7B" w:rsidRDefault="00766616" w:rsidP="00CE3A4B">
            <w:pPr>
              <w:spacing w:line="288" w:lineRule="auto"/>
              <w:ind w:left="-57"/>
              <w:rPr>
                <w:color w:val="000000" w:themeColor="text1"/>
                <w:sz w:val="20"/>
                <w:szCs w:val="20"/>
                <w:lang w:val="en-US"/>
              </w:rPr>
            </w:pPr>
            <w:r w:rsidRPr="001A4A7B">
              <w:rPr>
                <w:color w:val="000000" w:themeColor="text1"/>
                <w:sz w:val="20"/>
                <w:szCs w:val="20"/>
                <w:lang w:val="en-US"/>
              </w:rPr>
              <w:t>Kerosene</w:t>
            </w:r>
          </w:p>
        </w:tc>
        <w:tc>
          <w:tcPr>
            <w:tcW w:w="1066" w:type="dxa"/>
            <w:shd w:val="clear" w:color="auto" w:fill="auto"/>
            <w:vAlign w:val="center"/>
          </w:tcPr>
          <w:p w14:paraId="6BCAF88A" w14:textId="29AA22BA"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22.338</w:t>
            </w:r>
            <w:r w:rsidR="00766616" w:rsidRPr="001A4A7B">
              <w:rPr>
                <w:color w:val="000000" w:themeColor="text1"/>
                <w:sz w:val="20"/>
                <w:szCs w:val="20"/>
                <w:lang w:val="en-US"/>
              </w:rPr>
              <w:t>*</w:t>
            </w:r>
            <w:r w:rsidRPr="001A4A7B">
              <w:rPr>
                <w:color w:val="000000" w:themeColor="text1"/>
                <w:sz w:val="20"/>
                <w:szCs w:val="20"/>
                <w:lang w:val="en-US"/>
              </w:rPr>
              <w:t>*</w:t>
            </w:r>
            <w:r w:rsidR="00766616" w:rsidRPr="001A4A7B">
              <w:rPr>
                <w:color w:val="000000" w:themeColor="text1"/>
                <w:sz w:val="20"/>
                <w:szCs w:val="20"/>
                <w:lang w:val="en-US"/>
              </w:rPr>
              <w:t>*</w:t>
            </w:r>
          </w:p>
        </w:tc>
        <w:tc>
          <w:tcPr>
            <w:tcW w:w="773" w:type="dxa"/>
            <w:shd w:val="clear" w:color="auto" w:fill="auto"/>
            <w:vAlign w:val="center"/>
          </w:tcPr>
          <w:p w14:paraId="64ADC31C" w14:textId="5EB2CF9D"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10.050</w:t>
            </w:r>
          </w:p>
        </w:tc>
        <w:tc>
          <w:tcPr>
            <w:tcW w:w="773" w:type="dxa"/>
            <w:shd w:val="clear" w:color="auto" w:fill="auto"/>
            <w:vAlign w:val="center"/>
          </w:tcPr>
          <w:p w14:paraId="79230879" w14:textId="41EA11D8"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6.168</w:t>
            </w:r>
          </w:p>
        </w:tc>
        <w:tc>
          <w:tcPr>
            <w:tcW w:w="773" w:type="dxa"/>
            <w:tcBorders>
              <w:right w:val="single" w:sz="4" w:space="0" w:color="auto"/>
            </w:tcBorders>
            <w:shd w:val="clear" w:color="auto" w:fill="auto"/>
            <w:vAlign w:val="center"/>
          </w:tcPr>
          <w:p w14:paraId="5008FB19" w14:textId="0A84F4A5"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4.622</w:t>
            </w:r>
          </w:p>
        </w:tc>
        <w:tc>
          <w:tcPr>
            <w:tcW w:w="1066" w:type="dxa"/>
            <w:tcBorders>
              <w:left w:val="single" w:sz="4" w:space="0" w:color="auto"/>
            </w:tcBorders>
            <w:shd w:val="clear" w:color="auto" w:fill="auto"/>
            <w:vAlign w:val="center"/>
          </w:tcPr>
          <w:p w14:paraId="0395D2B7" w14:textId="60FFC75A"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5.021</w:t>
            </w:r>
            <w:r w:rsidR="00766616" w:rsidRPr="001A4A7B">
              <w:rPr>
                <w:color w:val="000000" w:themeColor="text1"/>
                <w:sz w:val="20"/>
                <w:szCs w:val="20"/>
                <w:lang w:val="en-US"/>
              </w:rPr>
              <w:t>*</w:t>
            </w:r>
          </w:p>
        </w:tc>
        <w:tc>
          <w:tcPr>
            <w:tcW w:w="773" w:type="dxa"/>
            <w:shd w:val="clear" w:color="auto" w:fill="auto"/>
            <w:vAlign w:val="center"/>
          </w:tcPr>
          <w:p w14:paraId="25C167C9" w14:textId="02D276C4"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9.275</w:t>
            </w:r>
          </w:p>
        </w:tc>
        <w:tc>
          <w:tcPr>
            <w:tcW w:w="851" w:type="dxa"/>
            <w:shd w:val="clear" w:color="auto" w:fill="auto"/>
            <w:vAlign w:val="center"/>
          </w:tcPr>
          <w:p w14:paraId="07B7516E" w14:textId="39DC052D"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6.209</w:t>
            </w:r>
          </w:p>
        </w:tc>
        <w:tc>
          <w:tcPr>
            <w:tcW w:w="709" w:type="dxa"/>
            <w:tcBorders>
              <w:bottom w:val="single" w:sz="4" w:space="0" w:color="auto"/>
            </w:tcBorders>
            <w:shd w:val="clear" w:color="auto" w:fill="auto"/>
            <w:vAlign w:val="center"/>
          </w:tcPr>
          <w:p w14:paraId="1EBBA069" w14:textId="181A66E9"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4.675</w:t>
            </w:r>
          </w:p>
        </w:tc>
      </w:tr>
      <w:tr w:rsidR="006C4CB3" w:rsidRPr="001A4A7B" w14:paraId="58BCACB1" w14:textId="77777777" w:rsidTr="008313BF">
        <w:trPr>
          <w:gridAfter w:val="1"/>
          <w:wAfter w:w="709" w:type="dxa"/>
          <w:trHeight w:val="185"/>
        </w:trPr>
        <w:tc>
          <w:tcPr>
            <w:tcW w:w="7723" w:type="dxa"/>
            <w:gridSpan w:val="8"/>
            <w:tcBorders>
              <w:top w:val="single" w:sz="4" w:space="0" w:color="auto"/>
            </w:tcBorders>
            <w:shd w:val="clear" w:color="auto" w:fill="auto"/>
            <w:vAlign w:val="center"/>
          </w:tcPr>
          <w:p w14:paraId="35C4FD04" w14:textId="7E7546D5" w:rsidR="00766616" w:rsidRPr="001A4A7B" w:rsidRDefault="00766616" w:rsidP="00CE3A4B">
            <w:pPr>
              <w:spacing w:line="288" w:lineRule="auto"/>
              <w:jc w:val="both"/>
              <w:rPr>
                <w:rStyle w:val="Refdecomentario"/>
                <w:color w:val="000000" w:themeColor="text1"/>
                <w:sz w:val="20"/>
                <w:szCs w:val="20"/>
                <w:lang w:val="en-US"/>
              </w:rPr>
            </w:pPr>
            <w:r w:rsidRPr="001A4A7B">
              <w:rPr>
                <w:rStyle w:val="Refdecomentario"/>
                <w:b/>
                <w:i/>
                <w:color w:val="000000" w:themeColor="text1"/>
                <w:sz w:val="20"/>
                <w:szCs w:val="20"/>
                <w:lang w:val="en-US"/>
              </w:rPr>
              <w:t>Note</w:t>
            </w:r>
            <w:r w:rsidRPr="001A4A7B">
              <w:rPr>
                <w:rStyle w:val="Refdecomentario"/>
                <w:b/>
                <w:color w:val="000000" w:themeColor="text1"/>
                <w:sz w:val="20"/>
                <w:szCs w:val="20"/>
                <w:lang w:val="en-US"/>
              </w:rPr>
              <w:t>:</w:t>
            </w:r>
            <w:r w:rsidRPr="001A4A7B">
              <w:rPr>
                <w:rStyle w:val="Refdecomentario"/>
                <w:color w:val="000000" w:themeColor="text1"/>
                <w:sz w:val="20"/>
                <w:szCs w:val="20"/>
                <w:lang w:val="en-US"/>
              </w:rPr>
              <w:t xml:space="preserve"> Lag orders are selected by </w:t>
            </w:r>
            <w:r w:rsidR="00F67E1F" w:rsidRPr="001A4A7B">
              <w:rPr>
                <w:rStyle w:val="Refdecomentario"/>
                <w:color w:val="000000" w:themeColor="text1"/>
                <w:sz w:val="20"/>
                <w:szCs w:val="20"/>
                <w:lang w:val="en-US"/>
              </w:rPr>
              <w:t>minimizing</w:t>
            </w:r>
            <w:r w:rsidRPr="001A4A7B">
              <w:rPr>
                <w:rStyle w:val="Refdecomentario"/>
                <w:color w:val="000000" w:themeColor="text1"/>
                <w:sz w:val="20"/>
                <w:szCs w:val="20"/>
                <w:lang w:val="en-US"/>
              </w:rPr>
              <w:t xml:space="preserve"> the </w:t>
            </w:r>
            <w:r w:rsidR="00A33E8B" w:rsidRPr="001A4A7B">
              <w:rPr>
                <w:rStyle w:val="Refdecomentario"/>
                <w:color w:val="000000" w:themeColor="text1"/>
                <w:sz w:val="20"/>
                <w:szCs w:val="20"/>
                <w:lang w:val="en-US"/>
              </w:rPr>
              <w:t xml:space="preserve">Schwarz </w:t>
            </w:r>
            <w:r w:rsidRPr="001A4A7B">
              <w:rPr>
                <w:rStyle w:val="Refdecomentario"/>
                <w:color w:val="000000" w:themeColor="text1"/>
                <w:sz w:val="20"/>
                <w:szCs w:val="20"/>
                <w:lang w:val="en-US"/>
              </w:rPr>
              <w:t>Information Criteria.</w:t>
            </w:r>
          </w:p>
          <w:p w14:paraId="612B6488" w14:textId="77777777" w:rsidR="00766616" w:rsidRPr="001A4A7B" w:rsidRDefault="00766616" w:rsidP="00CE3A4B">
            <w:pPr>
              <w:spacing w:line="288" w:lineRule="auto"/>
              <w:jc w:val="both"/>
              <w:rPr>
                <w:color w:val="000000" w:themeColor="text1"/>
                <w:sz w:val="20"/>
                <w:szCs w:val="20"/>
                <w:lang w:val="en-US"/>
              </w:rPr>
            </w:pPr>
            <w:r w:rsidRPr="001A4A7B">
              <w:rPr>
                <w:rStyle w:val="Refdecomentario"/>
                <w:color w:val="000000" w:themeColor="text1"/>
                <w:sz w:val="20"/>
                <w:szCs w:val="20"/>
                <w:lang w:val="en-US"/>
              </w:rPr>
              <w:t>***,**;* denotes significance at 1%, 5% and 10% respectively.</w:t>
            </w:r>
          </w:p>
        </w:tc>
      </w:tr>
    </w:tbl>
    <w:p w14:paraId="25CEDDF2" w14:textId="0C255646" w:rsidR="00A433A1" w:rsidRPr="001A4A7B" w:rsidRDefault="00A433A1" w:rsidP="00E166BC">
      <w:pPr>
        <w:spacing w:line="281" w:lineRule="auto"/>
        <w:jc w:val="both"/>
        <w:rPr>
          <w:color w:val="000000" w:themeColor="text1"/>
          <w:lang w:val="en-US"/>
        </w:rPr>
      </w:pPr>
    </w:p>
    <w:p w14:paraId="6EEC7303" w14:textId="11475724" w:rsidR="00EB4E03" w:rsidRPr="001A4A7B" w:rsidRDefault="00956BC6" w:rsidP="00AB7A35">
      <w:pPr>
        <w:spacing w:line="281" w:lineRule="auto"/>
        <w:ind w:firstLine="284"/>
        <w:jc w:val="both"/>
        <w:rPr>
          <w:color w:val="000000" w:themeColor="text1"/>
          <w:lang w:val="en-US"/>
        </w:rPr>
      </w:pPr>
      <w:r w:rsidRPr="001A4A7B">
        <w:rPr>
          <w:color w:val="000000" w:themeColor="text1"/>
          <w:lang w:val="en-US"/>
        </w:rPr>
        <w:t xml:space="preserve">However, the nature of the previous results shown in Table 2 may shed more light when assessing the existence of asymmetries between crude oil and each refined product prices. In other words, we will analyze how positive or negative shocks could influence the causal relationship between our variables, being this idea the main contribution of this paper. In this sense, when the analysis is executed by contemplating the asymmetries, these results vary. In Table 3, the results of the positive effects show that a positive WTI shock causes positive shocks in kerosene. In this regard, these cases show that the price formation of that refined products is affected or caused by changes in crude oil prices. This corresponds to the so-called supply-driven market integration. At the same time, a positive shock on RBOB causes a positive shock on crude oil, denoting a demand-driven market integration. When the shock is positive, the significance of conventional gasoline, diesel or </w:t>
      </w:r>
      <w:r w:rsidR="004925A8" w:rsidRPr="001A4A7B">
        <w:rPr>
          <w:color w:val="000000" w:themeColor="text1"/>
          <w:lang w:val="en-US"/>
        </w:rPr>
        <w:t>k</w:t>
      </w:r>
      <w:r w:rsidRPr="001A4A7B">
        <w:rPr>
          <w:color w:val="000000" w:themeColor="text1"/>
          <w:lang w:val="en-US"/>
        </w:rPr>
        <w:t>erosene has disappeared, suggesting the importance of the study of the asymmetries existence. These results imply that external aspects such as the role of the valued chain in the price formation process or the information content of futures markets for these products.</w:t>
      </w:r>
    </w:p>
    <w:p w14:paraId="6263AEF5" w14:textId="77777777" w:rsidR="00EB4E03" w:rsidRPr="001A4A7B" w:rsidRDefault="00EB4E03" w:rsidP="005C62A5">
      <w:pPr>
        <w:spacing w:before="40" w:after="40" w:line="288" w:lineRule="auto"/>
        <w:rPr>
          <w:b/>
          <w:color w:val="000000" w:themeColor="text1"/>
          <w:lang w:val="en-U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8"/>
        <w:gridCol w:w="918"/>
        <w:gridCol w:w="773"/>
        <w:gridCol w:w="773"/>
        <w:gridCol w:w="773"/>
        <w:gridCol w:w="1031"/>
        <w:gridCol w:w="773"/>
        <w:gridCol w:w="851"/>
        <w:gridCol w:w="709"/>
      </w:tblGrid>
      <w:tr w:rsidR="001A4A7B" w:rsidRPr="001A4A7B" w14:paraId="09A4B2BD" w14:textId="77777777" w:rsidTr="00445AAA">
        <w:tc>
          <w:tcPr>
            <w:tcW w:w="8249" w:type="dxa"/>
            <w:gridSpan w:val="9"/>
            <w:vAlign w:val="center"/>
          </w:tcPr>
          <w:p w14:paraId="0189418F" w14:textId="7DAEDE9D" w:rsidR="005A31EB" w:rsidRPr="001A4A7B" w:rsidRDefault="005A31EB" w:rsidP="005A31EB">
            <w:pPr>
              <w:spacing w:before="40" w:after="40" w:line="288" w:lineRule="auto"/>
              <w:jc w:val="both"/>
              <w:rPr>
                <w:b/>
                <w:i/>
                <w:color w:val="000000" w:themeColor="text1"/>
                <w:sz w:val="20"/>
                <w:szCs w:val="20"/>
                <w:lang w:val="en-US"/>
              </w:rPr>
            </w:pPr>
            <w:r w:rsidRPr="001A4A7B">
              <w:rPr>
                <w:b/>
                <w:color w:val="000000" w:themeColor="text1"/>
                <w:sz w:val="20"/>
                <w:szCs w:val="20"/>
                <w:lang w:val="en-US"/>
              </w:rPr>
              <w:t xml:space="preserve">Table </w:t>
            </w:r>
            <w:r w:rsidR="0093098E" w:rsidRPr="001A4A7B">
              <w:rPr>
                <w:b/>
                <w:color w:val="000000" w:themeColor="text1"/>
                <w:sz w:val="20"/>
                <w:szCs w:val="20"/>
                <w:lang w:val="en-US"/>
              </w:rPr>
              <w:t>3</w:t>
            </w:r>
            <w:r w:rsidRPr="001A4A7B">
              <w:rPr>
                <w:b/>
                <w:color w:val="000000" w:themeColor="text1"/>
                <w:sz w:val="20"/>
                <w:szCs w:val="20"/>
                <w:lang w:val="en-US"/>
              </w:rPr>
              <w:t xml:space="preserve">. </w:t>
            </w:r>
            <w:r w:rsidRPr="001A4A7B">
              <w:rPr>
                <w:color w:val="000000" w:themeColor="text1"/>
                <w:sz w:val="20"/>
                <w:szCs w:val="20"/>
                <w:lang w:val="en-US"/>
              </w:rPr>
              <w:t>Positive shocks on market integration.</w:t>
            </w:r>
          </w:p>
        </w:tc>
      </w:tr>
      <w:tr w:rsidR="001A4A7B" w:rsidRPr="001A4A7B" w14:paraId="69C56C6C" w14:textId="77777777" w:rsidTr="00446D48">
        <w:tc>
          <w:tcPr>
            <w:tcW w:w="0" w:type="auto"/>
            <w:tcBorders>
              <w:top w:val="single" w:sz="4" w:space="0" w:color="auto"/>
            </w:tcBorders>
            <w:vAlign w:val="center"/>
          </w:tcPr>
          <w:p w14:paraId="450469E0" w14:textId="77777777" w:rsidR="00446D48" w:rsidRPr="001A4A7B" w:rsidRDefault="00446D48" w:rsidP="00011C58">
            <w:pPr>
              <w:spacing w:line="288" w:lineRule="auto"/>
              <w:jc w:val="center"/>
              <w:rPr>
                <w:b/>
                <w:color w:val="000000" w:themeColor="text1"/>
                <w:sz w:val="20"/>
                <w:szCs w:val="20"/>
                <w:lang w:val="en-US"/>
              </w:rPr>
            </w:pPr>
          </w:p>
        </w:tc>
        <w:tc>
          <w:tcPr>
            <w:tcW w:w="3237" w:type="dxa"/>
            <w:gridSpan w:val="4"/>
            <w:tcBorders>
              <w:top w:val="single" w:sz="4" w:space="0" w:color="auto"/>
              <w:bottom w:val="single" w:sz="4" w:space="0" w:color="auto"/>
              <w:right w:val="single" w:sz="4" w:space="0" w:color="auto"/>
            </w:tcBorders>
            <w:vAlign w:val="center"/>
          </w:tcPr>
          <w:p w14:paraId="71F4E236" w14:textId="489807F8" w:rsidR="00446D48" w:rsidRPr="001A4A7B" w:rsidRDefault="00446D48" w:rsidP="00011C58">
            <w:pPr>
              <w:spacing w:before="40" w:after="40" w:line="288" w:lineRule="auto"/>
              <w:jc w:val="center"/>
              <w:rPr>
                <w:b/>
                <w:i/>
                <w:color w:val="000000" w:themeColor="text1"/>
                <w:sz w:val="20"/>
                <w:szCs w:val="20"/>
                <w:lang w:val="en-US"/>
              </w:rPr>
            </w:pPr>
            <m:oMathPara>
              <m:oMath>
                <m:r>
                  <m:rPr>
                    <m:sty m:val="bi"/>
                  </m:rPr>
                  <w:rPr>
                    <w:rFonts w:ascii="Cambria Math" w:hAnsi="Cambria Math"/>
                    <w:color w:val="000000" w:themeColor="text1"/>
                    <w:sz w:val="20"/>
                    <w:szCs w:val="20"/>
                    <w:lang w:val="en-US"/>
                  </w:rPr>
                  <m:t>WTI+⇒Deriv+</m:t>
                </m:r>
              </m:oMath>
            </m:oMathPara>
          </w:p>
          <w:p w14:paraId="555E7ED4" w14:textId="40C4DFB8" w:rsidR="00C55528" w:rsidRPr="001A4A7B" w:rsidRDefault="008313BF" w:rsidP="00011C58">
            <w:pPr>
              <w:spacing w:before="40" w:after="40" w:line="288" w:lineRule="auto"/>
              <w:jc w:val="center"/>
              <w:rPr>
                <w:b/>
                <w:i/>
                <w:color w:val="000000" w:themeColor="text1"/>
                <w:sz w:val="20"/>
                <w:szCs w:val="20"/>
                <w:lang w:val="en-US"/>
              </w:rPr>
            </w:pPr>
            <w:r w:rsidRPr="001A4A7B">
              <w:rPr>
                <w:b/>
                <w:i/>
                <w:color w:val="000000" w:themeColor="text1"/>
                <w:sz w:val="20"/>
                <w:szCs w:val="20"/>
                <w:lang w:val="en-US"/>
              </w:rPr>
              <w:t xml:space="preserve">Positive </w:t>
            </w:r>
            <w:r w:rsidR="00C55528" w:rsidRPr="001A4A7B">
              <w:rPr>
                <w:b/>
                <w:i/>
                <w:color w:val="000000" w:themeColor="text1"/>
                <w:sz w:val="20"/>
                <w:szCs w:val="20"/>
                <w:lang w:val="en-US"/>
              </w:rPr>
              <w:t>Supply-driven</w:t>
            </w:r>
          </w:p>
        </w:tc>
        <w:tc>
          <w:tcPr>
            <w:tcW w:w="3364" w:type="dxa"/>
            <w:gridSpan w:val="4"/>
            <w:tcBorders>
              <w:top w:val="single" w:sz="4" w:space="0" w:color="auto"/>
              <w:left w:val="single" w:sz="4" w:space="0" w:color="auto"/>
              <w:bottom w:val="single" w:sz="4" w:space="0" w:color="auto"/>
            </w:tcBorders>
            <w:vAlign w:val="center"/>
          </w:tcPr>
          <w:p w14:paraId="57993E50" w14:textId="5D1FC676" w:rsidR="00446D48" w:rsidRPr="001A4A7B" w:rsidRDefault="00446D48" w:rsidP="00011C58">
            <w:pPr>
              <w:spacing w:before="40" w:after="40" w:line="288" w:lineRule="auto"/>
              <w:jc w:val="center"/>
              <w:rPr>
                <w:b/>
                <w:i/>
                <w:color w:val="000000" w:themeColor="text1"/>
                <w:sz w:val="20"/>
                <w:szCs w:val="20"/>
                <w:lang w:val="en-US"/>
              </w:rPr>
            </w:pPr>
            <m:oMathPara>
              <m:oMath>
                <m:r>
                  <m:rPr>
                    <m:sty m:val="bi"/>
                  </m:rPr>
                  <w:rPr>
                    <w:rFonts w:ascii="Cambria Math" w:hAnsi="Cambria Math"/>
                    <w:color w:val="000000" w:themeColor="text1"/>
                    <w:sz w:val="20"/>
                    <w:szCs w:val="20"/>
                    <w:lang w:val="en-US"/>
                  </w:rPr>
                  <m:t>Deriv+⇒WTI+</m:t>
                </m:r>
              </m:oMath>
            </m:oMathPara>
          </w:p>
          <w:p w14:paraId="25347DA8" w14:textId="5730A51E" w:rsidR="00C55528" w:rsidRPr="001A4A7B" w:rsidRDefault="008313BF" w:rsidP="00011C58">
            <w:pPr>
              <w:spacing w:before="40" w:after="40" w:line="288" w:lineRule="auto"/>
              <w:jc w:val="center"/>
              <w:rPr>
                <w:b/>
                <w:i/>
                <w:color w:val="000000" w:themeColor="text1"/>
                <w:sz w:val="20"/>
                <w:szCs w:val="20"/>
                <w:lang w:val="en-US"/>
              </w:rPr>
            </w:pPr>
            <w:r w:rsidRPr="001A4A7B">
              <w:rPr>
                <w:b/>
                <w:i/>
                <w:color w:val="000000" w:themeColor="text1"/>
                <w:sz w:val="20"/>
                <w:szCs w:val="20"/>
                <w:lang w:val="en-US"/>
              </w:rPr>
              <w:t xml:space="preserve">Positive </w:t>
            </w:r>
            <w:r w:rsidR="00C55528" w:rsidRPr="001A4A7B">
              <w:rPr>
                <w:b/>
                <w:i/>
                <w:color w:val="000000" w:themeColor="text1"/>
                <w:sz w:val="20"/>
                <w:szCs w:val="20"/>
                <w:lang w:val="en-US"/>
              </w:rPr>
              <w:t>Demand-driven</w:t>
            </w:r>
          </w:p>
        </w:tc>
      </w:tr>
      <w:tr w:rsidR="001A4A7B" w:rsidRPr="001A4A7B" w14:paraId="0E72DCD8" w14:textId="77777777" w:rsidTr="00446D48">
        <w:tc>
          <w:tcPr>
            <w:tcW w:w="0" w:type="auto"/>
            <w:vAlign w:val="center"/>
          </w:tcPr>
          <w:p w14:paraId="55DD55A2" w14:textId="77777777" w:rsidR="00446D48" w:rsidRPr="001A4A7B" w:rsidRDefault="00446D48" w:rsidP="00011C58">
            <w:pPr>
              <w:spacing w:line="288" w:lineRule="auto"/>
              <w:rPr>
                <w:color w:val="000000" w:themeColor="text1"/>
                <w:sz w:val="20"/>
                <w:szCs w:val="20"/>
                <w:lang w:val="en-US"/>
              </w:rPr>
            </w:pPr>
          </w:p>
        </w:tc>
        <w:tc>
          <w:tcPr>
            <w:tcW w:w="918" w:type="dxa"/>
            <w:vMerge w:val="restart"/>
            <w:tcBorders>
              <w:top w:val="single" w:sz="4" w:space="0" w:color="auto"/>
              <w:bottom w:val="single" w:sz="4" w:space="0" w:color="auto"/>
            </w:tcBorders>
            <w:vAlign w:val="bottom"/>
          </w:tcPr>
          <w:p w14:paraId="272AFEFF" w14:textId="77777777" w:rsidR="00446D48" w:rsidRPr="001A4A7B" w:rsidRDefault="00446D48" w:rsidP="00011C58">
            <w:pPr>
              <w:spacing w:after="60" w:line="288" w:lineRule="auto"/>
              <w:jc w:val="center"/>
              <w:rPr>
                <w:color w:val="000000" w:themeColor="text1"/>
                <w:sz w:val="20"/>
                <w:szCs w:val="20"/>
                <w:lang w:val="en-US"/>
              </w:rPr>
            </w:pPr>
            <w:r w:rsidRPr="001A4A7B">
              <w:rPr>
                <w:color w:val="000000" w:themeColor="text1"/>
                <w:sz w:val="20"/>
                <w:szCs w:val="20"/>
                <w:lang w:val="en-US"/>
              </w:rPr>
              <w:t xml:space="preserve">Test </w:t>
            </w:r>
          </w:p>
          <w:p w14:paraId="378539A1" w14:textId="77777777" w:rsidR="00446D48" w:rsidRPr="001A4A7B" w:rsidRDefault="00446D48" w:rsidP="00011C58">
            <w:pPr>
              <w:spacing w:after="60" w:line="288" w:lineRule="auto"/>
              <w:jc w:val="center"/>
              <w:rPr>
                <w:color w:val="000000" w:themeColor="text1"/>
                <w:sz w:val="20"/>
                <w:szCs w:val="20"/>
                <w:lang w:val="en-US"/>
              </w:rPr>
            </w:pPr>
            <w:r w:rsidRPr="001A4A7B">
              <w:rPr>
                <w:color w:val="000000" w:themeColor="text1"/>
                <w:sz w:val="20"/>
                <w:szCs w:val="20"/>
                <w:lang w:val="en-US"/>
              </w:rPr>
              <w:t>statistic</w:t>
            </w:r>
          </w:p>
        </w:tc>
        <w:tc>
          <w:tcPr>
            <w:tcW w:w="2319" w:type="dxa"/>
            <w:gridSpan w:val="3"/>
            <w:tcBorders>
              <w:top w:val="single" w:sz="4" w:space="0" w:color="auto"/>
              <w:bottom w:val="single" w:sz="4" w:space="0" w:color="auto"/>
              <w:right w:val="single" w:sz="4" w:space="0" w:color="auto"/>
            </w:tcBorders>
            <w:vAlign w:val="center"/>
          </w:tcPr>
          <w:p w14:paraId="0D00A9C9" w14:textId="77777777" w:rsidR="00446D48" w:rsidRPr="001A4A7B" w:rsidRDefault="00446D48" w:rsidP="00011C58">
            <w:pPr>
              <w:spacing w:before="40" w:after="40" w:line="288" w:lineRule="auto"/>
              <w:jc w:val="center"/>
              <w:rPr>
                <w:color w:val="000000" w:themeColor="text1"/>
                <w:sz w:val="20"/>
                <w:szCs w:val="20"/>
                <w:lang w:val="en-US"/>
              </w:rPr>
            </w:pPr>
            <w:r w:rsidRPr="001A4A7B">
              <w:rPr>
                <w:color w:val="000000" w:themeColor="text1"/>
                <w:sz w:val="20"/>
                <w:szCs w:val="20"/>
                <w:lang w:val="en-US"/>
              </w:rPr>
              <w:t>Bootstrap critical values</w:t>
            </w:r>
          </w:p>
        </w:tc>
        <w:tc>
          <w:tcPr>
            <w:tcW w:w="1031" w:type="dxa"/>
            <w:vMerge w:val="restart"/>
            <w:tcBorders>
              <w:top w:val="single" w:sz="4" w:space="0" w:color="auto"/>
              <w:left w:val="single" w:sz="4" w:space="0" w:color="auto"/>
              <w:bottom w:val="single" w:sz="4" w:space="0" w:color="auto"/>
            </w:tcBorders>
            <w:vAlign w:val="bottom"/>
          </w:tcPr>
          <w:p w14:paraId="6D7E44C1" w14:textId="77777777" w:rsidR="00446D48" w:rsidRPr="001A4A7B" w:rsidRDefault="00446D48" w:rsidP="00011C58">
            <w:pPr>
              <w:spacing w:after="60" w:line="288" w:lineRule="auto"/>
              <w:jc w:val="center"/>
              <w:rPr>
                <w:color w:val="000000" w:themeColor="text1"/>
                <w:sz w:val="20"/>
                <w:szCs w:val="20"/>
                <w:lang w:val="en-US"/>
              </w:rPr>
            </w:pPr>
            <w:r w:rsidRPr="001A4A7B">
              <w:rPr>
                <w:color w:val="000000" w:themeColor="text1"/>
                <w:sz w:val="20"/>
                <w:szCs w:val="20"/>
                <w:lang w:val="en-US"/>
              </w:rPr>
              <w:t xml:space="preserve">Test </w:t>
            </w:r>
          </w:p>
          <w:p w14:paraId="20209DEC" w14:textId="77777777" w:rsidR="00446D48" w:rsidRPr="001A4A7B" w:rsidRDefault="00446D48" w:rsidP="00011C58">
            <w:pPr>
              <w:spacing w:after="60" w:line="288" w:lineRule="auto"/>
              <w:jc w:val="center"/>
              <w:rPr>
                <w:color w:val="000000" w:themeColor="text1"/>
                <w:sz w:val="20"/>
                <w:szCs w:val="20"/>
                <w:lang w:val="en-US"/>
              </w:rPr>
            </w:pPr>
            <w:r w:rsidRPr="001A4A7B">
              <w:rPr>
                <w:color w:val="000000" w:themeColor="text1"/>
                <w:sz w:val="20"/>
                <w:szCs w:val="20"/>
                <w:lang w:val="en-US"/>
              </w:rPr>
              <w:t>statistic</w:t>
            </w:r>
          </w:p>
        </w:tc>
        <w:tc>
          <w:tcPr>
            <w:tcW w:w="2333" w:type="dxa"/>
            <w:gridSpan w:val="3"/>
            <w:tcBorders>
              <w:top w:val="single" w:sz="4" w:space="0" w:color="auto"/>
              <w:bottom w:val="single" w:sz="4" w:space="0" w:color="auto"/>
            </w:tcBorders>
            <w:vAlign w:val="center"/>
          </w:tcPr>
          <w:p w14:paraId="1E571950" w14:textId="77777777" w:rsidR="00446D48" w:rsidRPr="001A4A7B" w:rsidRDefault="00446D48" w:rsidP="00011C58">
            <w:pPr>
              <w:spacing w:line="288" w:lineRule="auto"/>
              <w:jc w:val="center"/>
              <w:rPr>
                <w:color w:val="000000" w:themeColor="text1"/>
                <w:sz w:val="20"/>
                <w:szCs w:val="20"/>
                <w:lang w:val="en-US"/>
              </w:rPr>
            </w:pPr>
            <w:r w:rsidRPr="001A4A7B">
              <w:rPr>
                <w:color w:val="000000" w:themeColor="text1"/>
                <w:sz w:val="20"/>
                <w:szCs w:val="20"/>
                <w:lang w:val="en-US"/>
              </w:rPr>
              <w:t>Bootstrap critical values</w:t>
            </w:r>
          </w:p>
        </w:tc>
      </w:tr>
      <w:tr w:rsidR="001A4A7B" w:rsidRPr="001A4A7B" w14:paraId="459E2F81" w14:textId="77777777" w:rsidTr="00446D48">
        <w:trPr>
          <w:trHeight w:val="227"/>
        </w:trPr>
        <w:tc>
          <w:tcPr>
            <w:tcW w:w="0" w:type="auto"/>
            <w:tcBorders>
              <w:bottom w:val="single" w:sz="4" w:space="0" w:color="auto"/>
            </w:tcBorders>
            <w:vAlign w:val="bottom"/>
          </w:tcPr>
          <w:p w14:paraId="678F0895" w14:textId="4139D928" w:rsidR="00446D48" w:rsidRPr="001A4A7B" w:rsidRDefault="005A31EB" w:rsidP="00011C58">
            <w:pPr>
              <w:spacing w:after="60" w:line="288" w:lineRule="auto"/>
              <w:jc w:val="center"/>
              <w:rPr>
                <w:color w:val="000000" w:themeColor="text1"/>
                <w:sz w:val="20"/>
                <w:szCs w:val="20"/>
                <w:lang w:val="en-US"/>
              </w:rPr>
            </w:pPr>
            <w:r w:rsidRPr="001A4A7B">
              <w:rPr>
                <w:color w:val="000000" w:themeColor="text1"/>
                <w:sz w:val="20"/>
                <w:szCs w:val="20"/>
                <w:lang w:val="en-US"/>
              </w:rPr>
              <w:t>Refined product</w:t>
            </w:r>
          </w:p>
        </w:tc>
        <w:tc>
          <w:tcPr>
            <w:tcW w:w="918" w:type="dxa"/>
            <w:vMerge/>
            <w:tcBorders>
              <w:bottom w:val="single" w:sz="4" w:space="0" w:color="auto"/>
            </w:tcBorders>
          </w:tcPr>
          <w:p w14:paraId="75492C38" w14:textId="77777777" w:rsidR="00446D48" w:rsidRPr="001A4A7B" w:rsidRDefault="00446D48" w:rsidP="00011C58">
            <w:pPr>
              <w:spacing w:line="288" w:lineRule="auto"/>
              <w:rPr>
                <w:color w:val="000000" w:themeColor="text1"/>
                <w:sz w:val="20"/>
                <w:szCs w:val="20"/>
                <w:lang w:val="en-US"/>
              </w:rPr>
            </w:pPr>
          </w:p>
        </w:tc>
        <w:tc>
          <w:tcPr>
            <w:tcW w:w="773" w:type="dxa"/>
            <w:tcBorders>
              <w:top w:val="single" w:sz="4" w:space="0" w:color="auto"/>
              <w:bottom w:val="single" w:sz="4" w:space="0" w:color="auto"/>
            </w:tcBorders>
            <w:vAlign w:val="bottom"/>
          </w:tcPr>
          <w:p w14:paraId="1332565C" w14:textId="77777777" w:rsidR="00446D48" w:rsidRPr="001A4A7B" w:rsidRDefault="00446D48" w:rsidP="00011C58">
            <w:pPr>
              <w:spacing w:before="40" w:after="40" w:line="288" w:lineRule="auto"/>
              <w:jc w:val="center"/>
              <w:rPr>
                <w:color w:val="000000" w:themeColor="text1"/>
                <w:sz w:val="20"/>
                <w:szCs w:val="20"/>
                <w:lang w:val="en-US"/>
              </w:rPr>
            </w:pPr>
            <w:r w:rsidRPr="001A4A7B">
              <w:rPr>
                <w:color w:val="000000" w:themeColor="text1"/>
                <w:sz w:val="20"/>
                <w:szCs w:val="20"/>
                <w:lang w:val="en-US"/>
              </w:rPr>
              <w:t>1%</w:t>
            </w:r>
          </w:p>
        </w:tc>
        <w:tc>
          <w:tcPr>
            <w:tcW w:w="773" w:type="dxa"/>
            <w:tcBorders>
              <w:top w:val="single" w:sz="4" w:space="0" w:color="auto"/>
              <w:bottom w:val="single" w:sz="4" w:space="0" w:color="auto"/>
            </w:tcBorders>
            <w:vAlign w:val="bottom"/>
          </w:tcPr>
          <w:p w14:paraId="0D27BE33" w14:textId="77777777" w:rsidR="00446D48" w:rsidRPr="001A4A7B" w:rsidRDefault="00446D48" w:rsidP="00011C58">
            <w:pPr>
              <w:spacing w:before="40" w:after="40" w:line="288" w:lineRule="auto"/>
              <w:jc w:val="center"/>
              <w:rPr>
                <w:color w:val="000000" w:themeColor="text1"/>
                <w:sz w:val="20"/>
                <w:szCs w:val="20"/>
                <w:lang w:val="en-US"/>
              </w:rPr>
            </w:pPr>
            <w:r w:rsidRPr="001A4A7B">
              <w:rPr>
                <w:color w:val="000000" w:themeColor="text1"/>
                <w:sz w:val="20"/>
                <w:szCs w:val="20"/>
                <w:lang w:val="en-US"/>
              </w:rPr>
              <w:t>5%</w:t>
            </w:r>
          </w:p>
        </w:tc>
        <w:tc>
          <w:tcPr>
            <w:tcW w:w="773" w:type="dxa"/>
            <w:tcBorders>
              <w:top w:val="single" w:sz="4" w:space="0" w:color="auto"/>
              <w:bottom w:val="single" w:sz="4" w:space="0" w:color="auto"/>
              <w:right w:val="single" w:sz="4" w:space="0" w:color="auto"/>
            </w:tcBorders>
            <w:vAlign w:val="bottom"/>
          </w:tcPr>
          <w:p w14:paraId="48B85589" w14:textId="77777777" w:rsidR="00446D48" w:rsidRPr="001A4A7B" w:rsidRDefault="00446D48" w:rsidP="00011C58">
            <w:pPr>
              <w:spacing w:before="40" w:after="40" w:line="288" w:lineRule="auto"/>
              <w:jc w:val="center"/>
              <w:rPr>
                <w:color w:val="000000" w:themeColor="text1"/>
                <w:sz w:val="20"/>
                <w:szCs w:val="20"/>
                <w:lang w:val="en-US"/>
              </w:rPr>
            </w:pPr>
            <w:r w:rsidRPr="001A4A7B">
              <w:rPr>
                <w:color w:val="000000" w:themeColor="text1"/>
                <w:sz w:val="20"/>
                <w:szCs w:val="20"/>
                <w:lang w:val="en-US"/>
              </w:rPr>
              <w:t>10%</w:t>
            </w:r>
          </w:p>
        </w:tc>
        <w:tc>
          <w:tcPr>
            <w:tcW w:w="1031" w:type="dxa"/>
            <w:vMerge/>
            <w:tcBorders>
              <w:left w:val="single" w:sz="4" w:space="0" w:color="auto"/>
              <w:bottom w:val="single" w:sz="4" w:space="0" w:color="auto"/>
            </w:tcBorders>
            <w:vAlign w:val="bottom"/>
          </w:tcPr>
          <w:p w14:paraId="62B64CA6" w14:textId="77777777" w:rsidR="00446D48" w:rsidRPr="001A4A7B" w:rsidRDefault="00446D48" w:rsidP="00011C58">
            <w:pPr>
              <w:spacing w:line="288" w:lineRule="auto"/>
              <w:jc w:val="center"/>
              <w:rPr>
                <w:color w:val="000000" w:themeColor="text1"/>
                <w:sz w:val="20"/>
                <w:szCs w:val="20"/>
                <w:lang w:val="en-US"/>
              </w:rPr>
            </w:pPr>
          </w:p>
        </w:tc>
        <w:tc>
          <w:tcPr>
            <w:tcW w:w="773" w:type="dxa"/>
            <w:tcBorders>
              <w:bottom w:val="single" w:sz="4" w:space="0" w:color="auto"/>
            </w:tcBorders>
            <w:vAlign w:val="bottom"/>
          </w:tcPr>
          <w:p w14:paraId="06A75B05" w14:textId="77777777" w:rsidR="00446D48" w:rsidRPr="001A4A7B" w:rsidRDefault="00446D48" w:rsidP="00011C58">
            <w:pPr>
              <w:spacing w:before="40" w:after="40" w:line="288" w:lineRule="auto"/>
              <w:jc w:val="center"/>
              <w:rPr>
                <w:color w:val="000000" w:themeColor="text1"/>
                <w:sz w:val="20"/>
                <w:szCs w:val="20"/>
                <w:lang w:val="en-US"/>
              </w:rPr>
            </w:pPr>
            <w:r w:rsidRPr="001A4A7B">
              <w:rPr>
                <w:color w:val="000000" w:themeColor="text1"/>
                <w:sz w:val="20"/>
                <w:szCs w:val="20"/>
                <w:lang w:val="en-US"/>
              </w:rPr>
              <w:t>1%</w:t>
            </w:r>
          </w:p>
        </w:tc>
        <w:tc>
          <w:tcPr>
            <w:tcW w:w="851" w:type="dxa"/>
            <w:tcBorders>
              <w:bottom w:val="single" w:sz="4" w:space="0" w:color="auto"/>
            </w:tcBorders>
            <w:vAlign w:val="bottom"/>
          </w:tcPr>
          <w:p w14:paraId="5D5B72B5" w14:textId="77777777" w:rsidR="00446D48" w:rsidRPr="001A4A7B" w:rsidRDefault="00446D48" w:rsidP="00011C58">
            <w:pPr>
              <w:spacing w:before="40" w:after="40" w:line="288" w:lineRule="auto"/>
              <w:jc w:val="center"/>
              <w:rPr>
                <w:color w:val="000000" w:themeColor="text1"/>
                <w:sz w:val="20"/>
                <w:szCs w:val="20"/>
                <w:lang w:val="en-US"/>
              </w:rPr>
            </w:pPr>
            <w:r w:rsidRPr="001A4A7B">
              <w:rPr>
                <w:color w:val="000000" w:themeColor="text1"/>
                <w:sz w:val="20"/>
                <w:szCs w:val="20"/>
                <w:lang w:val="en-US"/>
              </w:rPr>
              <w:t>5%</w:t>
            </w:r>
          </w:p>
        </w:tc>
        <w:tc>
          <w:tcPr>
            <w:tcW w:w="709" w:type="dxa"/>
            <w:tcBorders>
              <w:bottom w:val="single" w:sz="4" w:space="0" w:color="auto"/>
            </w:tcBorders>
            <w:vAlign w:val="bottom"/>
          </w:tcPr>
          <w:p w14:paraId="184C63D2" w14:textId="77777777" w:rsidR="00446D48" w:rsidRPr="001A4A7B" w:rsidRDefault="00446D48" w:rsidP="00011C58">
            <w:pPr>
              <w:spacing w:before="40" w:after="40" w:line="288" w:lineRule="auto"/>
              <w:jc w:val="center"/>
              <w:rPr>
                <w:color w:val="000000" w:themeColor="text1"/>
                <w:sz w:val="20"/>
                <w:szCs w:val="20"/>
                <w:lang w:val="en-US"/>
              </w:rPr>
            </w:pPr>
            <w:r w:rsidRPr="001A4A7B">
              <w:rPr>
                <w:color w:val="000000" w:themeColor="text1"/>
                <w:sz w:val="20"/>
                <w:szCs w:val="20"/>
                <w:lang w:val="en-US"/>
              </w:rPr>
              <w:t>10%</w:t>
            </w:r>
          </w:p>
        </w:tc>
      </w:tr>
      <w:tr w:rsidR="001A4A7B" w:rsidRPr="001A4A7B" w14:paraId="3F8E4E3C" w14:textId="77777777" w:rsidTr="00446D48">
        <w:trPr>
          <w:trHeight w:val="227"/>
        </w:trPr>
        <w:tc>
          <w:tcPr>
            <w:tcW w:w="0" w:type="auto"/>
            <w:tcBorders>
              <w:top w:val="single" w:sz="4" w:space="0" w:color="auto"/>
            </w:tcBorders>
            <w:shd w:val="clear" w:color="auto" w:fill="auto"/>
            <w:vAlign w:val="center"/>
          </w:tcPr>
          <w:p w14:paraId="609134E3" w14:textId="77777777" w:rsidR="00446D48" w:rsidRPr="001A4A7B" w:rsidRDefault="00446D48" w:rsidP="00446D48">
            <w:pPr>
              <w:spacing w:before="40" w:line="288" w:lineRule="auto"/>
              <w:ind w:left="-57"/>
              <w:rPr>
                <w:color w:val="000000" w:themeColor="text1"/>
                <w:sz w:val="20"/>
                <w:szCs w:val="20"/>
                <w:lang w:val="en-US"/>
              </w:rPr>
            </w:pPr>
            <w:r w:rsidRPr="001A4A7B">
              <w:rPr>
                <w:color w:val="000000" w:themeColor="text1"/>
                <w:sz w:val="20"/>
                <w:szCs w:val="20"/>
                <w:lang w:val="en-US"/>
              </w:rPr>
              <w:t>Conv. Gasol. NY</w:t>
            </w:r>
          </w:p>
        </w:tc>
        <w:tc>
          <w:tcPr>
            <w:tcW w:w="918" w:type="dxa"/>
            <w:tcBorders>
              <w:top w:val="single" w:sz="4" w:space="0" w:color="auto"/>
            </w:tcBorders>
            <w:shd w:val="clear" w:color="auto" w:fill="auto"/>
            <w:vAlign w:val="center"/>
          </w:tcPr>
          <w:p w14:paraId="3DA6DE2D" w14:textId="35E63C6D" w:rsidR="00446D48"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2.908</w:t>
            </w:r>
          </w:p>
        </w:tc>
        <w:tc>
          <w:tcPr>
            <w:tcW w:w="773" w:type="dxa"/>
            <w:tcBorders>
              <w:top w:val="single" w:sz="4" w:space="0" w:color="auto"/>
            </w:tcBorders>
            <w:shd w:val="clear" w:color="auto" w:fill="auto"/>
            <w:vAlign w:val="center"/>
          </w:tcPr>
          <w:p w14:paraId="45A64BE6" w14:textId="1C05D881" w:rsidR="00446D48"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10.413</w:t>
            </w:r>
          </w:p>
        </w:tc>
        <w:tc>
          <w:tcPr>
            <w:tcW w:w="773" w:type="dxa"/>
            <w:tcBorders>
              <w:top w:val="single" w:sz="4" w:space="0" w:color="auto"/>
            </w:tcBorders>
            <w:shd w:val="clear" w:color="auto" w:fill="auto"/>
            <w:vAlign w:val="center"/>
          </w:tcPr>
          <w:p w14:paraId="17BA9172" w14:textId="118C86C0" w:rsidR="00446D48"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6.054</w:t>
            </w:r>
          </w:p>
        </w:tc>
        <w:tc>
          <w:tcPr>
            <w:tcW w:w="773" w:type="dxa"/>
            <w:tcBorders>
              <w:top w:val="single" w:sz="4" w:space="0" w:color="auto"/>
              <w:right w:val="single" w:sz="4" w:space="0" w:color="auto"/>
            </w:tcBorders>
            <w:shd w:val="clear" w:color="auto" w:fill="auto"/>
            <w:vAlign w:val="center"/>
          </w:tcPr>
          <w:p w14:paraId="6B6A828D" w14:textId="5644F6DA" w:rsidR="00446D48"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4.541</w:t>
            </w:r>
          </w:p>
        </w:tc>
        <w:tc>
          <w:tcPr>
            <w:tcW w:w="1031" w:type="dxa"/>
            <w:tcBorders>
              <w:top w:val="single" w:sz="4" w:space="0" w:color="auto"/>
              <w:left w:val="single" w:sz="4" w:space="0" w:color="auto"/>
            </w:tcBorders>
            <w:shd w:val="clear" w:color="auto" w:fill="auto"/>
            <w:vAlign w:val="center"/>
          </w:tcPr>
          <w:p w14:paraId="701F47A4" w14:textId="5951959A" w:rsidR="00446D48"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1.281</w:t>
            </w:r>
          </w:p>
        </w:tc>
        <w:tc>
          <w:tcPr>
            <w:tcW w:w="773" w:type="dxa"/>
            <w:tcBorders>
              <w:top w:val="single" w:sz="4" w:space="0" w:color="auto"/>
            </w:tcBorders>
            <w:shd w:val="clear" w:color="auto" w:fill="auto"/>
            <w:vAlign w:val="center"/>
          </w:tcPr>
          <w:p w14:paraId="7B0C587C" w14:textId="23ED71BE" w:rsidR="00446D48"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9.861</w:t>
            </w:r>
          </w:p>
        </w:tc>
        <w:tc>
          <w:tcPr>
            <w:tcW w:w="851" w:type="dxa"/>
            <w:tcBorders>
              <w:top w:val="single" w:sz="4" w:space="0" w:color="auto"/>
            </w:tcBorders>
            <w:shd w:val="clear" w:color="auto" w:fill="auto"/>
            <w:vAlign w:val="center"/>
          </w:tcPr>
          <w:p w14:paraId="23AB7B45" w14:textId="4D299371" w:rsidR="00446D48"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6.171</w:t>
            </w:r>
          </w:p>
        </w:tc>
        <w:tc>
          <w:tcPr>
            <w:tcW w:w="709" w:type="dxa"/>
            <w:tcBorders>
              <w:top w:val="single" w:sz="4" w:space="0" w:color="auto"/>
            </w:tcBorders>
            <w:shd w:val="clear" w:color="auto" w:fill="auto"/>
            <w:vAlign w:val="center"/>
          </w:tcPr>
          <w:p w14:paraId="04A4C10A" w14:textId="579CF5C0" w:rsidR="00446D48"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4.654</w:t>
            </w:r>
          </w:p>
        </w:tc>
      </w:tr>
      <w:tr w:rsidR="001A4A7B" w:rsidRPr="001A4A7B" w14:paraId="32EF730F" w14:textId="77777777" w:rsidTr="00446D48">
        <w:trPr>
          <w:trHeight w:val="227"/>
        </w:trPr>
        <w:tc>
          <w:tcPr>
            <w:tcW w:w="0" w:type="auto"/>
            <w:shd w:val="clear" w:color="auto" w:fill="auto"/>
            <w:vAlign w:val="center"/>
          </w:tcPr>
          <w:p w14:paraId="515C3713" w14:textId="77777777" w:rsidR="00446D48" w:rsidRPr="001A4A7B" w:rsidRDefault="00446D48" w:rsidP="00011C58">
            <w:pPr>
              <w:spacing w:line="288" w:lineRule="auto"/>
              <w:ind w:left="-57"/>
              <w:rPr>
                <w:color w:val="000000" w:themeColor="text1"/>
                <w:sz w:val="20"/>
                <w:szCs w:val="20"/>
                <w:lang w:val="en-US"/>
              </w:rPr>
            </w:pPr>
            <w:r w:rsidRPr="001A4A7B">
              <w:rPr>
                <w:color w:val="000000" w:themeColor="text1"/>
                <w:sz w:val="20"/>
                <w:szCs w:val="20"/>
                <w:lang w:val="en-US"/>
              </w:rPr>
              <w:t>RBOB</w:t>
            </w:r>
          </w:p>
        </w:tc>
        <w:tc>
          <w:tcPr>
            <w:tcW w:w="918" w:type="dxa"/>
            <w:shd w:val="clear" w:color="auto" w:fill="auto"/>
            <w:vAlign w:val="center"/>
          </w:tcPr>
          <w:p w14:paraId="59B9C797" w14:textId="2D069438" w:rsidR="00446D48" w:rsidRPr="001A4A7B" w:rsidRDefault="00445AAA" w:rsidP="00011C58">
            <w:pPr>
              <w:spacing w:line="288" w:lineRule="auto"/>
              <w:jc w:val="center"/>
              <w:rPr>
                <w:color w:val="000000" w:themeColor="text1"/>
                <w:sz w:val="20"/>
                <w:szCs w:val="20"/>
                <w:lang w:val="en-US"/>
              </w:rPr>
            </w:pPr>
            <w:r w:rsidRPr="001A4A7B">
              <w:rPr>
                <w:color w:val="000000" w:themeColor="text1"/>
                <w:sz w:val="20"/>
                <w:szCs w:val="20"/>
                <w:lang w:val="en-US"/>
              </w:rPr>
              <w:t>3.414</w:t>
            </w:r>
          </w:p>
        </w:tc>
        <w:tc>
          <w:tcPr>
            <w:tcW w:w="773" w:type="dxa"/>
            <w:shd w:val="clear" w:color="auto" w:fill="auto"/>
            <w:vAlign w:val="center"/>
          </w:tcPr>
          <w:p w14:paraId="472AD714" w14:textId="401FC08B" w:rsidR="00446D48" w:rsidRPr="001A4A7B" w:rsidRDefault="00445AAA" w:rsidP="00011C58">
            <w:pPr>
              <w:spacing w:line="288" w:lineRule="auto"/>
              <w:jc w:val="center"/>
              <w:rPr>
                <w:color w:val="000000" w:themeColor="text1"/>
                <w:sz w:val="20"/>
                <w:szCs w:val="20"/>
                <w:lang w:val="en-US"/>
              </w:rPr>
            </w:pPr>
            <w:r w:rsidRPr="001A4A7B">
              <w:rPr>
                <w:color w:val="000000" w:themeColor="text1"/>
                <w:sz w:val="20"/>
                <w:szCs w:val="20"/>
                <w:lang w:val="en-US"/>
              </w:rPr>
              <w:t>10.800</w:t>
            </w:r>
          </w:p>
        </w:tc>
        <w:tc>
          <w:tcPr>
            <w:tcW w:w="773" w:type="dxa"/>
            <w:shd w:val="clear" w:color="auto" w:fill="auto"/>
            <w:vAlign w:val="center"/>
          </w:tcPr>
          <w:p w14:paraId="5189F155" w14:textId="1947604C" w:rsidR="00446D48" w:rsidRPr="001A4A7B" w:rsidRDefault="00445AAA" w:rsidP="00011C58">
            <w:pPr>
              <w:spacing w:line="288" w:lineRule="auto"/>
              <w:jc w:val="center"/>
              <w:rPr>
                <w:color w:val="000000" w:themeColor="text1"/>
                <w:sz w:val="20"/>
                <w:szCs w:val="20"/>
                <w:lang w:val="en-US"/>
              </w:rPr>
            </w:pPr>
            <w:r w:rsidRPr="001A4A7B">
              <w:rPr>
                <w:color w:val="000000" w:themeColor="text1"/>
                <w:sz w:val="20"/>
                <w:szCs w:val="20"/>
                <w:lang w:val="en-US"/>
              </w:rPr>
              <w:t>6.627</w:t>
            </w:r>
          </w:p>
        </w:tc>
        <w:tc>
          <w:tcPr>
            <w:tcW w:w="773" w:type="dxa"/>
            <w:tcBorders>
              <w:right w:val="single" w:sz="4" w:space="0" w:color="auto"/>
            </w:tcBorders>
            <w:shd w:val="clear" w:color="auto" w:fill="auto"/>
            <w:vAlign w:val="center"/>
          </w:tcPr>
          <w:p w14:paraId="33FC2644" w14:textId="4A09F33B" w:rsidR="00446D48" w:rsidRPr="001A4A7B" w:rsidRDefault="00445AAA" w:rsidP="00011C58">
            <w:pPr>
              <w:spacing w:line="288" w:lineRule="auto"/>
              <w:jc w:val="center"/>
              <w:rPr>
                <w:color w:val="000000" w:themeColor="text1"/>
                <w:sz w:val="20"/>
                <w:szCs w:val="20"/>
                <w:lang w:val="en-US"/>
              </w:rPr>
            </w:pPr>
            <w:r w:rsidRPr="001A4A7B">
              <w:rPr>
                <w:color w:val="000000" w:themeColor="text1"/>
                <w:sz w:val="20"/>
                <w:szCs w:val="20"/>
                <w:lang w:val="en-US"/>
              </w:rPr>
              <w:t>4.815</w:t>
            </w:r>
          </w:p>
        </w:tc>
        <w:tc>
          <w:tcPr>
            <w:tcW w:w="1031" w:type="dxa"/>
            <w:tcBorders>
              <w:left w:val="single" w:sz="4" w:space="0" w:color="auto"/>
            </w:tcBorders>
            <w:shd w:val="clear" w:color="auto" w:fill="auto"/>
            <w:vAlign w:val="center"/>
          </w:tcPr>
          <w:p w14:paraId="6B54D71E" w14:textId="5B9AB9DA" w:rsidR="00446D48" w:rsidRPr="001A4A7B" w:rsidRDefault="00445AAA" w:rsidP="00011C58">
            <w:pPr>
              <w:spacing w:line="288" w:lineRule="auto"/>
              <w:jc w:val="center"/>
              <w:rPr>
                <w:color w:val="000000" w:themeColor="text1"/>
                <w:sz w:val="20"/>
                <w:szCs w:val="20"/>
                <w:lang w:val="en-US"/>
              </w:rPr>
            </w:pPr>
            <w:r w:rsidRPr="001A4A7B">
              <w:rPr>
                <w:color w:val="000000" w:themeColor="text1"/>
                <w:sz w:val="20"/>
                <w:szCs w:val="20"/>
                <w:lang w:val="en-US"/>
              </w:rPr>
              <w:t>7.668**</w:t>
            </w:r>
          </w:p>
        </w:tc>
        <w:tc>
          <w:tcPr>
            <w:tcW w:w="773" w:type="dxa"/>
            <w:shd w:val="clear" w:color="auto" w:fill="auto"/>
            <w:vAlign w:val="center"/>
          </w:tcPr>
          <w:p w14:paraId="30CD80A0" w14:textId="032A36B1" w:rsidR="00446D48" w:rsidRPr="001A4A7B" w:rsidRDefault="00445AAA" w:rsidP="00011C58">
            <w:pPr>
              <w:spacing w:line="288" w:lineRule="auto"/>
              <w:jc w:val="center"/>
              <w:rPr>
                <w:color w:val="000000" w:themeColor="text1"/>
                <w:sz w:val="20"/>
                <w:szCs w:val="20"/>
                <w:lang w:val="en-US"/>
              </w:rPr>
            </w:pPr>
            <w:r w:rsidRPr="001A4A7B">
              <w:rPr>
                <w:color w:val="000000" w:themeColor="text1"/>
                <w:sz w:val="20"/>
                <w:szCs w:val="20"/>
                <w:lang w:val="en-US"/>
              </w:rPr>
              <w:t>9.250</w:t>
            </w:r>
          </w:p>
        </w:tc>
        <w:tc>
          <w:tcPr>
            <w:tcW w:w="851" w:type="dxa"/>
            <w:shd w:val="clear" w:color="auto" w:fill="auto"/>
            <w:vAlign w:val="center"/>
          </w:tcPr>
          <w:p w14:paraId="56CC5529" w14:textId="150C5AFE" w:rsidR="00446D48" w:rsidRPr="001A4A7B" w:rsidRDefault="00445AAA" w:rsidP="00011C58">
            <w:pPr>
              <w:spacing w:line="288" w:lineRule="auto"/>
              <w:jc w:val="center"/>
              <w:rPr>
                <w:color w:val="000000" w:themeColor="text1"/>
                <w:sz w:val="20"/>
                <w:szCs w:val="20"/>
                <w:lang w:val="en-US"/>
              </w:rPr>
            </w:pPr>
            <w:r w:rsidRPr="001A4A7B">
              <w:rPr>
                <w:color w:val="000000" w:themeColor="text1"/>
                <w:sz w:val="20"/>
                <w:szCs w:val="20"/>
                <w:lang w:val="en-US"/>
              </w:rPr>
              <w:t>5.925</w:t>
            </w:r>
          </w:p>
        </w:tc>
        <w:tc>
          <w:tcPr>
            <w:tcW w:w="709" w:type="dxa"/>
            <w:shd w:val="clear" w:color="auto" w:fill="auto"/>
            <w:vAlign w:val="center"/>
          </w:tcPr>
          <w:p w14:paraId="77EBFA54" w14:textId="133D945B" w:rsidR="00446D48" w:rsidRPr="001A4A7B" w:rsidRDefault="00445AAA" w:rsidP="00011C58">
            <w:pPr>
              <w:spacing w:line="288" w:lineRule="auto"/>
              <w:jc w:val="center"/>
              <w:rPr>
                <w:color w:val="000000" w:themeColor="text1"/>
                <w:sz w:val="20"/>
                <w:szCs w:val="20"/>
                <w:lang w:val="en-US"/>
              </w:rPr>
            </w:pPr>
            <w:r w:rsidRPr="001A4A7B">
              <w:rPr>
                <w:color w:val="000000" w:themeColor="text1"/>
                <w:sz w:val="20"/>
                <w:szCs w:val="20"/>
                <w:lang w:val="en-US"/>
              </w:rPr>
              <w:t>4.661</w:t>
            </w:r>
          </w:p>
        </w:tc>
      </w:tr>
      <w:tr w:rsidR="001A4A7B" w:rsidRPr="001A4A7B" w14:paraId="7C05ADA0" w14:textId="77777777" w:rsidTr="00446D48">
        <w:trPr>
          <w:trHeight w:val="227"/>
        </w:trPr>
        <w:tc>
          <w:tcPr>
            <w:tcW w:w="0" w:type="auto"/>
            <w:shd w:val="clear" w:color="auto" w:fill="auto"/>
            <w:vAlign w:val="center"/>
          </w:tcPr>
          <w:p w14:paraId="271DDABF" w14:textId="77777777" w:rsidR="00446D48" w:rsidRPr="001A4A7B" w:rsidRDefault="00446D48" w:rsidP="00446D48">
            <w:pPr>
              <w:spacing w:line="288" w:lineRule="auto"/>
              <w:ind w:left="-57"/>
              <w:rPr>
                <w:color w:val="000000" w:themeColor="text1"/>
                <w:sz w:val="20"/>
                <w:szCs w:val="20"/>
                <w:lang w:val="en-US"/>
              </w:rPr>
            </w:pPr>
            <w:r w:rsidRPr="001A4A7B">
              <w:rPr>
                <w:color w:val="000000" w:themeColor="text1"/>
                <w:sz w:val="20"/>
                <w:szCs w:val="20"/>
                <w:lang w:val="en-US"/>
              </w:rPr>
              <w:t>Heating Oil</w:t>
            </w:r>
          </w:p>
        </w:tc>
        <w:tc>
          <w:tcPr>
            <w:tcW w:w="918" w:type="dxa"/>
            <w:shd w:val="clear" w:color="auto" w:fill="auto"/>
            <w:vAlign w:val="center"/>
          </w:tcPr>
          <w:p w14:paraId="3F5D9220" w14:textId="7290B5E8" w:rsidR="00446D48"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0.198</w:t>
            </w:r>
          </w:p>
        </w:tc>
        <w:tc>
          <w:tcPr>
            <w:tcW w:w="773" w:type="dxa"/>
            <w:shd w:val="clear" w:color="auto" w:fill="auto"/>
            <w:vAlign w:val="center"/>
          </w:tcPr>
          <w:p w14:paraId="03BBAD12" w14:textId="0EA6B94D" w:rsidR="00446D48"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12.730</w:t>
            </w:r>
          </w:p>
        </w:tc>
        <w:tc>
          <w:tcPr>
            <w:tcW w:w="773" w:type="dxa"/>
            <w:shd w:val="clear" w:color="auto" w:fill="auto"/>
            <w:vAlign w:val="center"/>
          </w:tcPr>
          <w:p w14:paraId="51EB3E0A" w14:textId="278491EB" w:rsidR="00446D48"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5.987</w:t>
            </w:r>
          </w:p>
        </w:tc>
        <w:tc>
          <w:tcPr>
            <w:tcW w:w="773" w:type="dxa"/>
            <w:tcBorders>
              <w:right w:val="single" w:sz="4" w:space="0" w:color="auto"/>
            </w:tcBorders>
            <w:shd w:val="clear" w:color="auto" w:fill="auto"/>
            <w:vAlign w:val="center"/>
          </w:tcPr>
          <w:p w14:paraId="48B7EFCE" w14:textId="2AA8DC24" w:rsidR="00446D48"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4.489</w:t>
            </w:r>
          </w:p>
        </w:tc>
        <w:tc>
          <w:tcPr>
            <w:tcW w:w="1031" w:type="dxa"/>
            <w:tcBorders>
              <w:left w:val="single" w:sz="4" w:space="0" w:color="auto"/>
            </w:tcBorders>
            <w:shd w:val="clear" w:color="auto" w:fill="auto"/>
            <w:vAlign w:val="center"/>
          </w:tcPr>
          <w:p w14:paraId="53779A6F" w14:textId="3A84C8F3" w:rsidR="00446D48"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0.364</w:t>
            </w:r>
          </w:p>
        </w:tc>
        <w:tc>
          <w:tcPr>
            <w:tcW w:w="773" w:type="dxa"/>
            <w:shd w:val="clear" w:color="auto" w:fill="auto"/>
            <w:vAlign w:val="center"/>
          </w:tcPr>
          <w:p w14:paraId="2E6C840B" w14:textId="48282478" w:rsidR="00446D48"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11.620</w:t>
            </w:r>
          </w:p>
        </w:tc>
        <w:tc>
          <w:tcPr>
            <w:tcW w:w="851" w:type="dxa"/>
            <w:shd w:val="clear" w:color="auto" w:fill="auto"/>
            <w:vAlign w:val="center"/>
          </w:tcPr>
          <w:p w14:paraId="14126D2B" w14:textId="21857CE4" w:rsidR="00446D48"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6.214</w:t>
            </w:r>
          </w:p>
        </w:tc>
        <w:tc>
          <w:tcPr>
            <w:tcW w:w="709" w:type="dxa"/>
            <w:shd w:val="clear" w:color="auto" w:fill="auto"/>
            <w:vAlign w:val="center"/>
          </w:tcPr>
          <w:p w14:paraId="21F2D5ED" w14:textId="49C3EEC5" w:rsidR="00446D48"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4.551</w:t>
            </w:r>
          </w:p>
        </w:tc>
      </w:tr>
      <w:tr w:rsidR="001A4A7B" w:rsidRPr="001A4A7B" w14:paraId="24752DC0" w14:textId="77777777" w:rsidTr="00143FDC">
        <w:trPr>
          <w:trHeight w:val="227"/>
        </w:trPr>
        <w:tc>
          <w:tcPr>
            <w:tcW w:w="0" w:type="auto"/>
            <w:shd w:val="clear" w:color="auto" w:fill="auto"/>
            <w:vAlign w:val="center"/>
          </w:tcPr>
          <w:p w14:paraId="00E2CCBD" w14:textId="77777777" w:rsidR="00445AAA" w:rsidRPr="001A4A7B" w:rsidRDefault="00445AAA" w:rsidP="00445AAA">
            <w:pPr>
              <w:spacing w:line="288" w:lineRule="auto"/>
              <w:ind w:left="-57"/>
              <w:rPr>
                <w:color w:val="000000" w:themeColor="text1"/>
                <w:sz w:val="20"/>
                <w:szCs w:val="20"/>
                <w:lang w:val="en-US"/>
              </w:rPr>
            </w:pPr>
            <w:r w:rsidRPr="001A4A7B">
              <w:rPr>
                <w:color w:val="000000" w:themeColor="text1"/>
                <w:sz w:val="20"/>
                <w:szCs w:val="20"/>
                <w:lang w:val="en-US"/>
              </w:rPr>
              <w:t>Diesel NY</w:t>
            </w:r>
          </w:p>
        </w:tc>
        <w:tc>
          <w:tcPr>
            <w:tcW w:w="918" w:type="dxa"/>
            <w:shd w:val="clear" w:color="auto" w:fill="auto"/>
            <w:vAlign w:val="center"/>
          </w:tcPr>
          <w:p w14:paraId="17D51AA5" w14:textId="718C5E47" w:rsidR="00445AAA" w:rsidRPr="001A4A7B" w:rsidRDefault="00445AAA" w:rsidP="00445AAA">
            <w:pPr>
              <w:spacing w:line="288" w:lineRule="auto"/>
              <w:jc w:val="center"/>
              <w:rPr>
                <w:color w:val="000000" w:themeColor="text1"/>
                <w:sz w:val="20"/>
                <w:szCs w:val="20"/>
                <w:lang w:val="en-US"/>
              </w:rPr>
            </w:pPr>
            <w:r w:rsidRPr="001A4A7B">
              <w:rPr>
                <w:color w:val="000000" w:themeColor="text1"/>
                <w:sz w:val="20"/>
                <w:szCs w:val="20"/>
                <w:lang w:val="en-US"/>
              </w:rPr>
              <w:t>0.489</w:t>
            </w:r>
          </w:p>
        </w:tc>
        <w:tc>
          <w:tcPr>
            <w:tcW w:w="773" w:type="dxa"/>
            <w:shd w:val="clear" w:color="auto" w:fill="auto"/>
            <w:vAlign w:val="center"/>
          </w:tcPr>
          <w:p w14:paraId="656BF752" w14:textId="5C93858D" w:rsidR="00445AAA" w:rsidRPr="001A4A7B" w:rsidRDefault="00445AAA" w:rsidP="00445AAA">
            <w:pPr>
              <w:spacing w:line="288" w:lineRule="auto"/>
              <w:jc w:val="center"/>
              <w:rPr>
                <w:color w:val="000000" w:themeColor="text1"/>
                <w:sz w:val="20"/>
                <w:szCs w:val="20"/>
                <w:lang w:val="en-US"/>
              </w:rPr>
            </w:pPr>
            <w:r w:rsidRPr="001A4A7B">
              <w:rPr>
                <w:color w:val="000000" w:themeColor="text1"/>
                <w:sz w:val="20"/>
                <w:szCs w:val="20"/>
                <w:lang w:val="en-US"/>
              </w:rPr>
              <w:t>13.257</w:t>
            </w:r>
          </w:p>
        </w:tc>
        <w:tc>
          <w:tcPr>
            <w:tcW w:w="773" w:type="dxa"/>
            <w:shd w:val="clear" w:color="auto" w:fill="auto"/>
            <w:vAlign w:val="center"/>
          </w:tcPr>
          <w:p w14:paraId="79FBDFC9" w14:textId="569988E1" w:rsidR="00445AAA" w:rsidRPr="001A4A7B" w:rsidRDefault="00445AAA" w:rsidP="00445AAA">
            <w:pPr>
              <w:spacing w:line="288" w:lineRule="auto"/>
              <w:jc w:val="center"/>
              <w:rPr>
                <w:color w:val="000000" w:themeColor="text1"/>
                <w:sz w:val="20"/>
                <w:szCs w:val="20"/>
                <w:lang w:val="en-US"/>
              </w:rPr>
            </w:pPr>
            <w:r w:rsidRPr="001A4A7B">
              <w:rPr>
                <w:color w:val="000000" w:themeColor="text1"/>
                <w:sz w:val="20"/>
                <w:szCs w:val="20"/>
                <w:lang w:val="en-US"/>
              </w:rPr>
              <w:t>5.803</w:t>
            </w:r>
          </w:p>
        </w:tc>
        <w:tc>
          <w:tcPr>
            <w:tcW w:w="773" w:type="dxa"/>
            <w:tcBorders>
              <w:right w:val="single" w:sz="4" w:space="0" w:color="auto"/>
            </w:tcBorders>
            <w:shd w:val="clear" w:color="auto" w:fill="auto"/>
            <w:vAlign w:val="center"/>
          </w:tcPr>
          <w:p w14:paraId="4EC52631" w14:textId="358FE88A" w:rsidR="00445AAA" w:rsidRPr="001A4A7B" w:rsidRDefault="00445AAA" w:rsidP="00445AAA">
            <w:pPr>
              <w:spacing w:line="288" w:lineRule="auto"/>
              <w:jc w:val="center"/>
              <w:rPr>
                <w:color w:val="000000" w:themeColor="text1"/>
                <w:sz w:val="20"/>
                <w:szCs w:val="20"/>
                <w:lang w:val="en-US"/>
              </w:rPr>
            </w:pPr>
            <w:r w:rsidRPr="001A4A7B">
              <w:rPr>
                <w:color w:val="000000" w:themeColor="text1"/>
                <w:sz w:val="20"/>
                <w:szCs w:val="20"/>
                <w:lang w:val="en-US"/>
              </w:rPr>
              <w:t>4.468</w:t>
            </w:r>
          </w:p>
        </w:tc>
        <w:tc>
          <w:tcPr>
            <w:tcW w:w="1031" w:type="dxa"/>
            <w:tcBorders>
              <w:left w:val="single" w:sz="4" w:space="0" w:color="auto"/>
            </w:tcBorders>
            <w:shd w:val="clear" w:color="auto" w:fill="auto"/>
            <w:vAlign w:val="center"/>
          </w:tcPr>
          <w:p w14:paraId="7C570F85" w14:textId="13326261" w:rsidR="00445AAA" w:rsidRPr="001A4A7B" w:rsidRDefault="00445AAA" w:rsidP="00445AAA">
            <w:pPr>
              <w:spacing w:line="288" w:lineRule="auto"/>
              <w:jc w:val="center"/>
              <w:rPr>
                <w:color w:val="000000" w:themeColor="text1"/>
                <w:sz w:val="20"/>
                <w:szCs w:val="20"/>
                <w:lang w:val="en-US"/>
              </w:rPr>
            </w:pPr>
            <w:r w:rsidRPr="001A4A7B">
              <w:rPr>
                <w:color w:val="000000" w:themeColor="text1"/>
                <w:sz w:val="20"/>
                <w:szCs w:val="20"/>
                <w:lang w:val="en-US"/>
              </w:rPr>
              <w:t>0.632</w:t>
            </w:r>
          </w:p>
        </w:tc>
        <w:tc>
          <w:tcPr>
            <w:tcW w:w="773" w:type="dxa"/>
            <w:shd w:val="clear" w:color="auto" w:fill="auto"/>
            <w:vAlign w:val="center"/>
          </w:tcPr>
          <w:p w14:paraId="32FB6CD6" w14:textId="7C14B3D1" w:rsidR="00445AAA" w:rsidRPr="001A4A7B" w:rsidRDefault="00445AAA" w:rsidP="00445AAA">
            <w:pPr>
              <w:spacing w:line="288" w:lineRule="auto"/>
              <w:jc w:val="center"/>
              <w:rPr>
                <w:color w:val="000000" w:themeColor="text1"/>
                <w:sz w:val="20"/>
                <w:szCs w:val="20"/>
                <w:lang w:val="en-US"/>
              </w:rPr>
            </w:pPr>
            <w:r w:rsidRPr="001A4A7B">
              <w:rPr>
                <w:color w:val="000000" w:themeColor="text1"/>
                <w:sz w:val="20"/>
                <w:szCs w:val="20"/>
                <w:lang w:val="en-US"/>
              </w:rPr>
              <w:t>11.925</w:t>
            </w:r>
          </w:p>
        </w:tc>
        <w:tc>
          <w:tcPr>
            <w:tcW w:w="851" w:type="dxa"/>
            <w:shd w:val="clear" w:color="auto" w:fill="auto"/>
            <w:vAlign w:val="center"/>
          </w:tcPr>
          <w:p w14:paraId="728B099B" w14:textId="41589D2A" w:rsidR="00445AAA" w:rsidRPr="001A4A7B" w:rsidRDefault="00445AAA" w:rsidP="00445AAA">
            <w:pPr>
              <w:spacing w:line="288" w:lineRule="auto"/>
              <w:jc w:val="center"/>
              <w:rPr>
                <w:color w:val="000000" w:themeColor="text1"/>
                <w:sz w:val="20"/>
                <w:szCs w:val="20"/>
                <w:lang w:val="en-US"/>
              </w:rPr>
            </w:pPr>
            <w:r w:rsidRPr="001A4A7B">
              <w:rPr>
                <w:color w:val="000000" w:themeColor="text1"/>
                <w:sz w:val="20"/>
                <w:szCs w:val="20"/>
                <w:lang w:val="en-US"/>
              </w:rPr>
              <w:t>6.118</w:t>
            </w:r>
          </w:p>
        </w:tc>
        <w:tc>
          <w:tcPr>
            <w:tcW w:w="709" w:type="dxa"/>
            <w:shd w:val="clear" w:color="auto" w:fill="auto"/>
            <w:vAlign w:val="center"/>
          </w:tcPr>
          <w:p w14:paraId="5AFC8488" w14:textId="074D976D" w:rsidR="00445AAA" w:rsidRPr="001A4A7B" w:rsidRDefault="00445AAA" w:rsidP="00445AAA">
            <w:pPr>
              <w:spacing w:line="288" w:lineRule="auto"/>
              <w:jc w:val="center"/>
              <w:rPr>
                <w:color w:val="000000" w:themeColor="text1"/>
                <w:sz w:val="20"/>
                <w:szCs w:val="20"/>
                <w:lang w:val="en-US"/>
              </w:rPr>
            </w:pPr>
            <w:r w:rsidRPr="001A4A7B">
              <w:rPr>
                <w:color w:val="000000" w:themeColor="text1"/>
                <w:sz w:val="20"/>
                <w:szCs w:val="20"/>
                <w:lang w:val="en-US"/>
              </w:rPr>
              <w:t>4.519</w:t>
            </w:r>
          </w:p>
        </w:tc>
      </w:tr>
      <w:tr w:rsidR="001A4A7B" w:rsidRPr="001A4A7B" w14:paraId="300FB118" w14:textId="77777777" w:rsidTr="00143FDC">
        <w:trPr>
          <w:trHeight w:val="227"/>
        </w:trPr>
        <w:tc>
          <w:tcPr>
            <w:tcW w:w="0" w:type="auto"/>
            <w:tcBorders>
              <w:bottom w:val="single" w:sz="4" w:space="0" w:color="auto"/>
            </w:tcBorders>
            <w:shd w:val="clear" w:color="auto" w:fill="auto"/>
            <w:vAlign w:val="center"/>
          </w:tcPr>
          <w:p w14:paraId="31D1BF1A" w14:textId="6509B43E" w:rsidR="00143FDC" w:rsidRPr="001A4A7B" w:rsidRDefault="00143FDC" w:rsidP="00446D48">
            <w:pPr>
              <w:spacing w:line="288" w:lineRule="auto"/>
              <w:ind w:left="-57"/>
              <w:rPr>
                <w:color w:val="000000" w:themeColor="text1"/>
                <w:sz w:val="20"/>
                <w:szCs w:val="20"/>
                <w:lang w:val="en-US"/>
              </w:rPr>
            </w:pPr>
            <w:r w:rsidRPr="001A4A7B">
              <w:rPr>
                <w:color w:val="000000" w:themeColor="text1"/>
                <w:sz w:val="20"/>
                <w:szCs w:val="20"/>
                <w:lang w:val="en-US"/>
              </w:rPr>
              <w:t>Kerosene</w:t>
            </w:r>
          </w:p>
        </w:tc>
        <w:tc>
          <w:tcPr>
            <w:tcW w:w="918" w:type="dxa"/>
            <w:tcBorders>
              <w:bottom w:val="single" w:sz="4" w:space="0" w:color="auto"/>
            </w:tcBorders>
            <w:shd w:val="clear" w:color="auto" w:fill="auto"/>
            <w:vAlign w:val="center"/>
          </w:tcPr>
          <w:p w14:paraId="569D1A0B" w14:textId="15C4B49F" w:rsidR="00143FDC"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8.852</w:t>
            </w:r>
            <w:r w:rsidR="00766616" w:rsidRPr="001A4A7B">
              <w:rPr>
                <w:color w:val="000000" w:themeColor="text1"/>
                <w:sz w:val="20"/>
                <w:szCs w:val="20"/>
                <w:lang w:val="en-US"/>
              </w:rPr>
              <w:t>**</w:t>
            </w:r>
          </w:p>
        </w:tc>
        <w:tc>
          <w:tcPr>
            <w:tcW w:w="773" w:type="dxa"/>
            <w:tcBorders>
              <w:bottom w:val="single" w:sz="4" w:space="0" w:color="auto"/>
            </w:tcBorders>
            <w:shd w:val="clear" w:color="auto" w:fill="auto"/>
            <w:vAlign w:val="center"/>
          </w:tcPr>
          <w:p w14:paraId="63FCEA6A" w14:textId="66D6E567" w:rsidR="00143FDC"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10.800</w:t>
            </w:r>
          </w:p>
        </w:tc>
        <w:tc>
          <w:tcPr>
            <w:tcW w:w="773" w:type="dxa"/>
            <w:tcBorders>
              <w:bottom w:val="single" w:sz="4" w:space="0" w:color="auto"/>
            </w:tcBorders>
            <w:shd w:val="clear" w:color="auto" w:fill="auto"/>
            <w:vAlign w:val="center"/>
          </w:tcPr>
          <w:p w14:paraId="78B9DD37" w14:textId="15447917" w:rsidR="00143FDC"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5.800</w:t>
            </w:r>
          </w:p>
        </w:tc>
        <w:tc>
          <w:tcPr>
            <w:tcW w:w="773" w:type="dxa"/>
            <w:tcBorders>
              <w:bottom w:val="single" w:sz="4" w:space="0" w:color="auto"/>
              <w:right w:val="single" w:sz="4" w:space="0" w:color="auto"/>
            </w:tcBorders>
            <w:shd w:val="clear" w:color="auto" w:fill="auto"/>
            <w:vAlign w:val="center"/>
          </w:tcPr>
          <w:p w14:paraId="0D6878BA" w14:textId="022FF32F" w:rsidR="00143FDC"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4.506</w:t>
            </w:r>
          </w:p>
        </w:tc>
        <w:tc>
          <w:tcPr>
            <w:tcW w:w="1031" w:type="dxa"/>
            <w:tcBorders>
              <w:left w:val="single" w:sz="4" w:space="0" w:color="auto"/>
              <w:bottom w:val="single" w:sz="4" w:space="0" w:color="auto"/>
            </w:tcBorders>
            <w:shd w:val="clear" w:color="auto" w:fill="auto"/>
            <w:vAlign w:val="center"/>
          </w:tcPr>
          <w:p w14:paraId="7BEC20DA" w14:textId="5D8B6C3E" w:rsidR="00143FDC"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1.892</w:t>
            </w:r>
          </w:p>
        </w:tc>
        <w:tc>
          <w:tcPr>
            <w:tcW w:w="773" w:type="dxa"/>
            <w:tcBorders>
              <w:bottom w:val="single" w:sz="4" w:space="0" w:color="auto"/>
            </w:tcBorders>
            <w:shd w:val="clear" w:color="auto" w:fill="auto"/>
            <w:vAlign w:val="center"/>
          </w:tcPr>
          <w:p w14:paraId="2CB54E9F" w14:textId="23A4B33F" w:rsidR="00143FDC"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11.198</w:t>
            </w:r>
          </w:p>
        </w:tc>
        <w:tc>
          <w:tcPr>
            <w:tcW w:w="851" w:type="dxa"/>
            <w:tcBorders>
              <w:bottom w:val="single" w:sz="4" w:space="0" w:color="auto"/>
            </w:tcBorders>
            <w:shd w:val="clear" w:color="auto" w:fill="auto"/>
            <w:vAlign w:val="center"/>
          </w:tcPr>
          <w:p w14:paraId="4295F451" w14:textId="0C1E2784" w:rsidR="00143FDC"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6.496</w:t>
            </w:r>
          </w:p>
        </w:tc>
        <w:tc>
          <w:tcPr>
            <w:tcW w:w="709" w:type="dxa"/>
            <w:tcBorders>
              <w:bottom w:val="single" w:sz="4" w:space="0" w:color="auto"/>
            </w:tcBorders>
            <w:shd w:val="clear" w:color="auto" w:fill="auto"/>
            <w:vAlign w:val="center"/>
          </w:tcPr>
          <w:p w14:paraId="0DCA9701" w14:textId="54D70861" w:rsidR="00143FDC" w:rsidRPr="001A4A7B" w:rsidRDefault="00445AAA" w:rsidP="00446D48">
            <w:pPr>
              <w:spacing w:line="288" w:lineRule="auto"/>
              <w:jc w:val="center"/>
              <w:rPr>
                <w:color w:val="000000" w:themeColor="text1"/>
                <w:sz w:val="20"/>
                <w:szCs w:val="20"/>
                <w:lang w:val="en-US"/>
              </w:rPr>
            </w:pPr>
            <w:r w:rsidRPr="001A4A7B">
              <w:rPr>
                <w:color w:val="000000" w:themeColor="text1"/>
                <w:sz w:val="20"/>
                <w:szCs w:val="20"/>
                <w:lang w:val="en-US"/>
              </w:rPr>
              <w:t>4.581</w:t>
            </w:r>
          </w:p>
        </w:tc>
      </w:tr>
      <w:tr w:rsidR="006C4CB3" w:rsidRPr="001A4A7B" w14:paraId="3C571BC7" w14:textId="77777777" w:rsidTr="00445AAA">
        <w:trPr>
          <w:gridAfter w:val="1"/>
          <w:wAfter w:w="709" w:type="dxa"/>
          <w:trHeight w:val="227"/>
        </w:trPr>
        <w:tc>
          <w:tcPr>
            <w:tcW w:w="7540" w:type="dxa"/>
            <w:gridSpan w:val="8"/>
            <w:tcBorders>
              <w:top w:val="single" w:sz="4" w:space="0" w:color="auto"/>
            </w:tcBorders>
            <w:shd w:val="clear" w:color="auto" w:fill="auto"/>
            <w:vAlign w:val="center"/>
          </w:tcPr>
          <w:p w14:paraId="3E68D825" w14:textId="4BBD8130" w:rsidR="00446D48" w:rsidRPr="001A4A7B" w:rsidRDefault="00446D48" w:rsidP="00011C58">
            <w:pPr>
              <w:spacing w:line="288" w:lineRule="auto"/>
              <w:rPr>
                <w:rStyle w:val="Refdecomentario"/>
                <w:color w:val="000000" w:themeColor="text1"/>
                <w:sz w:val="20"/>
                <w:szCs w:val="20"/>
                <w:lang w:val="en-US"/>
              </w:rPr>
            </w:pPr>
            <w:r w:rsidRPr="001A4A7B">
              <w:rPr>
                <w:rStyle w:val="Refdecomentario"/>
                <w:b/>
                <w:i/>
                <w:color w:val="000000" w:themeColor="text1"/>
                <w:sz w:val="20"/>
                <w:szCs w:val="20"/>
                <w:lang w:val="en-US"/>
              </w:rPr>
              <w:t>Note</w:t>
            </w:r>
            <w:r w:rsidRPr="001A4A7B">
              <w:rPr>
                <w:rStyle w:val="Refdecomentario"/>
                <w:b/>
                <w:color w:val="000000" w:themeColor="text1"/>
                <w:sz w:val="20"/>
                <w:szCs w:val="20"/>
                <w:lang w:val="en-US"/>
              </w:rPr>
              <w:t>:</w:t>
            </w:r>
            <w:r w:rsidRPr="001A4A7B">
              <w:rPr>
                <w:rStyle w:val="Refdecomentario"/>
                <w:color w:val="000000" w:themeColor="text1"/>
                <w:sz w:val="20"/>
                <w:szCs w:val="20"/>
                <w:lang w:val="en-US"/>
              </w:rPr>
              <w:t xml:space="preserve"> Lag orders are selected by </w:t>
            </w:r>
            <w:r w:rsidR="00F67E1F" w:rsidRPr="001A4A7B">
              <w:rPr>
                <w:rStyle w:val="Refdecomentario"/>
                <w:color w:val="000000" w:themeColor="text1"/>
                <w:sz w:val="20"/>
                <w:szCs w:val="20"/>
                <w:lang w:val="en-US"/>
              </w:rPr>
              <w:t>minimizing</w:t>
            </w:r>
            <w:r w:rsidRPr="001A4A7B">
              <w:rPr>
                <w:rStyle w:val="Refdecomentario"/>
                <w:color w:val="000000" w:themeColor="text1"/>
                <w:sz w:val="20"/>
                <w:szCs w:val="20"/>
                <w:lang w:val="en-US"/>
              </w:rPr>
              <w:t xml:space="preserve"> the </w:t>
            </w:r>
            <w:r w:rsidR="00A33E8B" w:rsidRPr="001A4A7B">
              <w:rPr>
                <w:rStyle w:val="Refdecomentario"/>
                <w:color w:val="000000" w:themeColor="text1"/>
                <w:sz w:val="20"/>
                <w:szCs w:val="20"/>
                <w:lang w:val="en-US"/>
              </w:rPr>
              <w:t>Schwarz</w:t>
            </w:r>
            <w:r w:rsidRPr="001A4A7B">
              <w:rPr>
                <w:rStyle w:val="Refdecomentario"/>
                <w:color w:val="000000" w:themeColor="text1"/>
                <w:sz w:val="20"/>
                <w:szCs w:val="20"/>
                <w:lang w:val="en-US"/>
              </w:rPr>
              <w:t xml:space="preserve"> Information Criteria.</w:t>
            </w:r>
          </w:p>
          <w:p w14:paraId="5738E286" w14:textId="77777777" w:rsidR="00446D48" w:rsidRPr="001A4A7B" w:rsidRDefault="00446D48" w:rsidP="00011C58">
            <w:pPr>
              <w:spacing w:line="288" w:lineRule="auto"/>
              <w:rPr>
                <w:color w:val="000000" w:themeColor="text1"/>
                <w:sz w:val="20"/>
                <w:szCs w:val="20"/>
                <w:lang w:val="en-US"/>
              </w:rPr>
            </w:pPr>
            <w:r w:rsidRPr="001A4A7B">
              <w:rPr>
                <w:rStyle w:val="Refdecomentario"/>
                <w:color w:val="000000" w:themeColor="text1"/>
                <w:sz w:val="20"/>
                <w:szCs w:val="20"/>
                <w:lang w:val="en-US"/>
              </w:rPr>
              <w:t>***,**;* denotes significance at 1%, 5% and 10% respectively.</w:t>
            </w:r>
          </w:p>
        </w:tc>
      </w:tr>
    </w:tbl>
    <w:p w14:paraId="4F849641" w14:textId="77777777" w:rsidR="00A433A1" w:rsidRPr="001A4A7B" w:rsidRDefault="00A433A1" w:rsidP="005C62A5">
      <w:pPr>
        <w:rPr>
          <w:color w:val="000000" w:themeColor="text1"/>
          <w:lang w:val="en-US" w:eastAsia="en-US"/>
        </w:rPr>
      </w:pPr>
    </w:p>
    <w:p w14:paraId="1058CE9A" w14:textId="227D62B2" w:rsidR="005C62A5" w:rsidRPr="001A4A7B" w:rsidRDefault="005B69D9" w:rsidP="00CC76B6">
      <w:pPr>
        <w:spacing w:line="281" w:lineRule="auto"/>
        <w:ind w:firstLine="284"/>
        <w:jc w:val="both"/>
        <w:rPr>
          <w:color w:val="000000" w:themeColor="text1"/>
          <w:lang w:val="en-US"/>
        </w:rPr>
      </w:pPr>
      <w:r w:rsidRPr="001A4A7B">
        <w:rPr>
          <w:color w:val="000000" w:themeColor="text1"/>
          <w:lang w:val="en-US"/>
        </w:rPr>
        <w:t>Conversely</w:t>
      </w:r>
      <w:r w:rsidR="00243268" w:rsidRPr="001A4A7B">
        <w:rPr>
          <w:color w:val="000000" w:themeColor="text1"/>
          <w:lang w:val="en-US"/>
        </w:rPr>
        <w:t xml:space="preserve">, </w:t>
      </w:r>
      <w:r w:rsidR="00F8788E" w:rsidRPr="001A4A7B">
        <w:rPr>
          <w:color w:val="000000" w:themeColor="text1"/>
          <w:lang w:val="en-US"/>
        </w:rPr>
        <w:t xml:space="preserve">Table </w:t>
      </w:r>
      <w:r w:rsidR="0093098E" w:rsidRPr="001A4A7B">
        <w:rPr>
          <w:color w:val="000000" w:themeColor="text1"/>
          <w:lang w:val="en-US"/>
        </w:rPr>
        <w:t>4</w:t>
      </w:r>
      <w:r w:rsidR="00F8788E" w:rsidRPr="001A4A7B">
        <w:rPr>
          <w:color w:val="000000" w:themeColor="text1"/>
          <w:lang w:val="en-US"/>
        </w:rPr>
        <w:t xml:space="preserve"> shows the negative effects of these relationships. These results argue that a dropping price of WTI would cause a fall in price to </w:t>
      </w:r>
      <w:r w:rsidRPr="001A4A7B">
        <w:rPr>
          <w:color w:val="000000" w:themeColor="text1"/>
          <w:lang w:val="en-US"/>
        </w:rPr>
        <w:t>each</w:t>
      </w:r>
      <w:r w:rsidR="00F8788E" w:rsidRPr="001A4A7B">
        <w:rPr>
          <w:color w:val="000000" w:themeColor="text1"/>
          <w:lang w:val="en-US"/>
        </w:rPr>
        <w:t xml:space="preserve"> refined </w:t>
      </w:r>
      <w:r w:rsidR="00944C7A" w:rsidRPr="001A4A7B">
        <w:rPr>
          <w:color w:val="000000" w:themeColor="text1"/>
          <w:lang w:val="en-US"/>
        </w:rPr>
        <w:t>product</w:t>
      </w:r>
      <w:r w:rsidR="00F8788E" w:rsidRPr="001A4A7B">
        <w:rPr>
          <w:color w:val="000000" w:themeColor="text1"/>
          <w:lang w:val="en-US"/>
        </w:rPr>
        <w:t>.</w:t>
      </w:r>
      <w:r w:rsidR="00243268" w:rsidRPr="001A4A7B">
        <w:rPr>
          <w:color w:val="000000" w:themeColor="text1"/>
          <w:lang w:val="en-US"/>
        </w:rPr>
        <w:t xml:space="preserve"> </w:t>
      </w:r>
      <w:r w:rsidR="00A020F8" w:rsidRPr="001A4A7B">
        <w:rPr>
          <w:color w:val="000000" w:themeColor="text1"/>
          <w:lang w:val="en-US"/>
        </w:rPr>
        <w:t xml:space="preserve">This result, in contrast to those obtained in Table 3, </w:t>
      </w:r>
      <w:r w:rsidR="00E63EB2" w:rsidRPr="001A4A7B">
        <w:rPr>
          <w:color w:val="000000" w:themeColor="text1"/>
          <w:lang w:val="en-US"/>
        </w:rPr>
        <w:t>evidence</w:t>
      </w:r>
      <w:r w:rsidR="00A020F8" w:rsidRPr="001A4A7B">
        <w:rPr>
          <w:color w:val="000000" w:themeColor="text1"/>
          <w:lang w:val="en-US"/>
        </w:rPr>
        <w:t xml:space="preserve"> a fall in WTI crude oil prices may cause the prices of refined products to drop</w:t>
      </w:r>
      <w:r w:rsidR="00E63EB2" w:rsidRPr="001A4A7B">
        <w:rPr>
          <w:color w:val="000000" w:themeColor="text1"/>
          <w:lang w:val="en-US"/>
        </w:rPr>
        <w:t>, being strongly integrated when a negative shock appears</w:t>
      </w:r>
      <w:r w:rsidR="00A020F8" w:rsidRPr="001A4A7B">
        <w:rPr>
          <w:color w:val="000000" w:themeColor="text1"/>
          <w:lang w:val="en-US"/>
        </w:rPr>
        <w:t xml:space="preserve">. </w:t>
      </w:r>
      <w:r w:rsidRPr="001A4A7B">
        <w:rPr>
          <w:color w:val="000000" w:themeColor="text1"/>
          <w:lang w:val="en-US"/>
        </w:rPr>
        <w:t>Thus</w:t>
      </w:r>
      <w:r w:rsidR="00243268" w:rsidRPr="001A4A7B">
        <w:rPr>
          <w:color w:val="000000" w:themeColor="text1"/>
          <w:lang w:val="en-US"/>
        </w:rPr>
        <w:t xml:space="preserve">, a negative shock on </w:t>
      </w:r>
      <w:r w:rsidR="00A020F8" w:rsidRPr="001A4A7B">
        <w:rPr>
          <w:color w:val="000000" w:themeColor="text1"/>
          <w:lang w:val="en-US"/>
        </w:rPr>
        <w:t>c</w:t>
      </w:r>
      <w:r w:rsidR="00243268" w:rsidRPr="001A4A7B">
        <w:rPr>
          <w:color w:val="000000" w:themeColor="text1"/>
          <w:lang w:val="en-US"/>
        </w:rPr>
        <w:t>onventional gasoline and kerosene prices would cause a drop in WTI crude oil prices</w:t>
      </w:r>
      <w:r w:rsidR="00A020F8" w:rsidRPr="001A4A7B">
        <w:rPr>
          <w:color w:val="000000" w:themeColor="text1"/>
          <w:lang w:val="en-US"/>
        </w:rPr>
        <w:t xml:space="preserve">, being </w:t>
      </w:r>
      <w:r w:rsidR="00494949" w:rsidRPr="001A4A7B">
        <w:rPr>
          <w:color w:val="000000" w:themeColor="text1"/>
          <w:lang w:val="en-US"/>
        </w:rPr>
        <w:t>evidence</w:t>
      </w:r>
      <w:r w:rsidR="00A020F8" w:rsidRPr="001A4A7B">
        <w:rPr>
          <w:color w:val="000000" w:themeColor="text1"/>
          <w:lang w:val="en-US"/>
        </w:rPr>
        <w:t xml:space="preserve"> for the fulfilment of Verleger hypothesis when a negative shock is given</w:t>
      </w:r>
      <w:r w:rsidR="00243268" w:rsidRPr="001A4A7B">
        <w:rPr>
          <w:color w:val="000000" w:themeColor="text1"/>
          <w:lang w:val="en-US"/>
        </w:rPr>
        <w:t>.</w:t>
      </w:r>
      <w:r w:rsidRPr="001A4A7B">
        <w:rPr>
          <w:color w:val="000000" w:themeColor="text1"/>
          <w:lang w:val="en-US"/>
        </w:rPr>
        <w:t xml:space="preserve"> </w:t>
      </w:r>
      <w:r w:rsidR="009F0E83" w:rsidRPr="001A4A7B">
        <w:rPr>
          <w:color w:val="000000" w:themeColor="text1"/>
          <w:lang w:val="en-US"/>
        </w:rPr>
        <w:t>Following Baumeister et al. (2018), this negative shock on conventional gasoline and kerosene prices will negatively affect the price of crude oil, suggesting that the difference between, in this case, both refined product prices and the purchase price of crude oil should have predictive power for the price of crude oil.</w:t>
      </w:r>
      <w:r w:rsidR="00CC76B6" w:rsidRPr="001A4A7B">
        <w:rPr>
          <w:color w:val="000000" w:themeColor="text1"/>
          <w:lang w:val="en-US"/>
        </w:rPr>
        <w:t xml:space="preserve"> </w:t>
      </w:r>
      <w:r w:rsidRPr="001A4A7B">
        <w:rPr>
          <w:color w:val="000000" w:themeColor="text1"/>
          <w:lang w:val="en-US"/>
        </w:rPr>
        <w:t xml:space="preserve">The case of </w:t>
      </w:r>
      <w:r w:rsidR="00A020F8" w:rsidRPr="001A4A7B">
        <w:rPr>
          <w:color w:val="000000" w:themeColor="text1"/>
          <w:lang w:val="en-US"/>
        </w:rPr>
        <w:t>c</w:t>
      </w:r>
      <w:r w:rsidRPr="001A4A7B">
        <w:rPr>
          <w:color w:val="000000" w:themeColor="text1"/>
          <w:lang w:val="en-US"/>
        </w:rPr>
        <w:t xml:space="preserve">onventional gasoline must be highlighted. As we </w:t>
      </w:r>
      <w:r w:rsidR="00A020F8" w:rsidRPr="001A4A7B">
        <w:rPr>
          <w:color w:val="000000" w:themeColor="text1"/>
          <w:lang w:val="en-US"/>
        </w:rPr>
        <w:t>could</w:t>
      </w:r>
      <w:r w:rsidRPr="001A4A7B">
        <w:rPr>
          <w:color w:val="000000" w:themeColor="text1"/>
          <w:lang w:val="en-US"/>
        </w:rPr>
        <w:t xml:space="preserve"> see in Table </w:t>
      </w:r>
      <w:r w:rsidR="0093098E" w:rsidRPr="001A4A7B">
        <w:rPr>
          <w:color w:val="000000" w:themeColor="text1"/>
          <w:lang w:val="en-US"/>
        </w:rPr>
        <w:t>2</w:t>
      </w:r>
      <w:r w:rsidRPr="001A4A7B">
        <w:rPr>
          <w:color w:val="000000" w:themeColor="text1"/>
          <w:lang w:val="en-US"/>
        </w:rPr>
        <w:t xml:space="preserve">, </w:t>
      </w:r>
      <w:r w:rsidR="00A020F8" w:rsidRPr="001A4A7B">
        <w:rPr>
          <w:color w:val="000000" w:themeColor="text1"/>
          <w:lang w:val="en-US"/>
        </w:rPr>
        <w:t>c</w:t>
      </w:r>
      <w:r w:rsidRPr="001A4A7B">
        <w:rPr>
          <w:color w:val="000000" w:themeColor="text1"/>
          <w:lang w:val="en-US"/>
        </w:rPr>
        <w:t>onventional gasoline appeared on the demand-driven side</w:t>
      </w:r>
      <w:r w:rsidR="00944C7A" w:rsidRPr="001A4A7B">
        <w:rPr>
          <w:color w:val="000000" w:themeColor="text1"/>
          <w:lang w:val="en-US"/>
        </w:rPr>
        <w:t>,</w:t>
      </w:r>
      <w:r w:rsidRPr="001A4A7B">
        <w:rPr>
          <w:color w:val="000000" w:themeColor="text1"/>
          <w:lang w:val="en-US"/>
        </w:rPr>
        <w:t xml:space="preserve"> but when asymmetries are </w:t>
      </w:r>
      <w:r w:rsidR="00494949" w:rsidRPr="001A4A7B">
        <w:rPr>
          <w:color w:val="000000" w:themeColor="text1"/>
          <w:lang w:val="en-US"/>
        </w:rPr>
        <w:t>considered</w:t>
      </w:r>
      <w:r w:rsidRPr="001A4A7B">
        <w:rPr>
          <w:color w:val="000000" w:themeColor="text1"/>
          <w:lang w:val="en-US"/>
        </w:rPr>
        <w:t xml:space="preserve">, the </w:t>
      </w:r>
      <w:r w:rsidR="00A020F8" w:rsidRPr="001A4A7B">
        <w:rPr>
          <w:color w:val="000000" w:themeColor="text1"/>
          <w:lang w:val="en-US"/>
        </w:rPr>
        <w:t>c</w:t>
      </w:r>
      <w:r w:rsidRPr="001A4A7B">
        <w:rPr>
          <w:color w:val="000000" w:themeColor="text1"/>
          <w:lang w:val="en-US"/>
        </w:rPr>
        <w:t xml:space="preserve">onventional gasoline behaviour has changed, becoming a </w:t>
      </w:r>
      <w:r w:rsidR="00944C7A" w:rsidRPr="001A4A7B">
        <w:rPr>
          <w:color w:val="000000" w:themeColor="text1"/>
          <w:lang w:val="en-US"/>
        </w:rPr>
        <w:t>fully</w:t>
      </w:r>
      <w:r w:rsidRPr="001A4A7B">
        <w:rPr>
          <w:color w:val="000000" w:themeColor="text1"/>
          <w:lang w:val="en-US"/>
        </w:rPr>
        <w:t xml:space="preserve"> integrated refined product when the shock is negative. </w:t>
      </w:r>
    </w:p>
    <w:p w14:paraId="1C6F4679" w14:textId="0D97DB36" w:rsidR="009D1976" w:rsidRPr="001A4A7B" w:rsidRDefault="009D1976" w:rsidP="009D1976">
      <w:pPr>
        <w:spacing w:line="288" w:lineRule="auto"/>
        <w:rPr>
          <w:b/>
          <w:color w:val="000000" w:themeColor="text1"/>
          <w:sz w:val="18"/>
          <w:szCs w:val="21"/>
          <w:lang w:val="en-U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8"/>
        <w:gridCol w:w="1066"/>
        <w:gridCol w:w="773"/>
        <w:gridCol w:w="773"/>
        <w:gridCol w:w="773"/>
        <w:gridCol w:w="1066"/>
        <w:gridCol w:w="773"/>
        <w:gridCol w:w="851"/>
        <w:gridCol w:w="709"/>
      </w:tblGrid>
      <w:tr w:rsidR="001A4A7B" w:rsidRPr="001A4A7B" w14:paraId="0535EB25" w14:textId="77777777" w:rsidTr="002C53FE">
        <w:tc>
          <w:tcPr>
            <w:tcW w:w="7952" w:type="dxa"/>
            <w:gridSpan w:val="9"/>
            <w:tcBorders>
              <w:bottom w:val="single" w:sz="4" w:space="0" w:color="auto"/>
            </w:tcBorders>
            <w:vAlign w:val="center"/>
          </w:tcPr>
          <w:p w14:paraId="1E282591" w14:textId="5C6F429F" w:rsidR="005A31EB" w:rsidRPr="001A4A7B" w:rsidRDefault="005A31EB" w:rsidP="005A31EB">
            <w:pPr>
              <w:spacing w:before="40" w:after="40" w:line="288" w:lineRule="auto"/>
              <w:jc w:val="both"/>
              <w:rPr>
                <w:b/>
                <w:i/>
                <w:color w:val="000000" w:themeColor="text1"/>
                <w:sz w:val="20"/>
                <w:szCs w:val="20"/>
                <w:lang w:val="en-US"/>
              </w:rPr>
            </w:pPr>
            <w:r w:rsidRPr="001A4A7B">
              <w:rPr>
                <w:b/>
                <w:color w:val="000000" w:themeColor="text1"/>
                <w:sz w:val="20"/>
                <w:szCs w:val="20"/>
                <w:lang w:val="en-US"/>
              </w:rPr>
              <w:t xml:space="preserve">Table </w:t>
            </w:r>
            <w:r w:rsidR="0093098E" w:rsidRPr="001A4A7B">
              <w:rPr>
                <w:b/>
                <w:color w:val="000000" w:themeColor="text1"/>
                <w:sz w:val="20"/>
                <w:szCs w:val="20"/>
                <w:lang w:val="en-US"/>
              </w:rPr>
              <w:t>4</w:t>
            </w:r>
            <w:r w:rsidRPr="001A4A7B">
              <w:rPr>
                <w:b/>
                <w:color w:val="000000" w:themeColor="text1"/>
                <w:sz w:val="20"/>
                <w:szCs w:val="20"/>
                <w:lang w:val="en-US"/>
              </w:rPr>
              <w:t xml:space="preserve">. </w:t>
            </w:r>
            <w:r w:rsidRPr="001A4A7B">
              <w:rPr>
                <w:color w:val="000000" w:themeColor="text1"/>
                <w:sz w:val="20"/>
                <w:szCs w:val="20"/>
                <w:lang w:val="en-US"/>
              </w:rPr>
              <w:t>Negative shocks on market integration.</w:t>
            </w:r>
          </w:p>
        </w:tc>
      </w:tr>
      <w:tr w:rsidR="001A4A7B" w:rsidRPr="001A4A7B" w14:paraId="32E78E32" w14:textId="77777777" w:rsidTr="005A31EB">
        <w:tc>
          <w:tcPr>
            <w:tcW w:w="0" w:type="auto"/>
            <w:tcBorders>
              <w:top w:val="single" w:sz="4" w:space="0" w:color="auto"/>
            </w:tcBorders>
            <w:vAlign w:val="center"/>
          </w:tcPr>
          <w:p w14:paraId="1BF0D839" w14:textId="77777777" w:rsidR="008725FC" w:rsidRPr="001A4A7B" w:rsidRDefault="008725FC" w:rsidP="008725FC">
            <w:pPr>
              <w:spacing w:line="288" w:lineRule="auto"/>
              <w:jc w:val="center"/>
              <w:rPr>
                <w:b/>
                <w:color w:val="000000" w:themeColor="text1"/>
                <w:sz w:val="20"/>
                <w:szCs w:val="20"/>
                <w:lang w:val="en-US"/>
              </w:rPr>
            </w:pPr>
          </w:p>
        </w:tc>
        <w:tc>
          <w:tcPr>
            <w:tcW w:w="3237" w:type="dxa"/>
            <w:gridSpan w:val="4"/>
            <w:tcBorders>
              <w:top w:val="single" w:sz="4" w:space="0" w:color="auto"/>
              <w:bottom w:val="single" w:sz="4" w:space="0" w:color="auto"/>
              <w:right w:val="single" w:sz="4" w:space="0" w:color="auto"/>
            </w:tcBorders>
            <w:vAlign w:val="center"/>
          </w:tcPr>
          <w:p w14:paraId="128EAA0C" w14:textId="4DF3E85E" w:rsidR="008725FC" w:rsidRPr="001A4A7B" w:rsidRDefault="008725FC" w:rsidP="008725FC">
            <w:pPr>
              <w:spacing w:before="40" w:after="40" w:line="288" w:lineRule="auto"/>
              <w:jc w:val="center"/>
              <w:rPr>
                <w:b/>
                <w:i/>
                <w:color w:val="000000" w:themeColor="text1"/>
                <w:sz w:val="20"/>
                <w:szCs w:val="20"/>
                <w:lang w:val="en-US"/>
              </w:rPr>
            </w:pPr>
            <m:oMathPara>
              <m:oMath>
                <m:r>
                  <m:rPr>
                    <m:sty m:val="bi"/>
                  </m:rPr>
                  <w:rPr>
                    <w:rFonts w:ascii="Cambria Math" w:hAnsi="Cambria Math"/>
                    <w:color w:val="000000" w:themeColor="text1"/>
                    <w:sz w:val="20"/>
                    <w:szCs w:val="20"/>
                    <w:lang w:val="en-US"/>
                  </w:rPr>
                  <m:t>WTI-⇒Deriv-</m:t>
                </m:r>
              </m:oMath>
            </m:oMathPara>
          </w:p>
          <w:p w14:paraId="01A3CC84" w14:textId="40B81354" w:rsidR="008725FC" w:rsidRPr="001A4A7B" w:rsidRDefault="008313BF" w:rsidP="008725FC">
            <w:pPr>
              <w:spacing w:before="40" w:after="40" w:line="288" w:lineRule="auto"/>
              <w:jc w:val="center"/>
              <w:rPr>
                <w:b/>
                <w:i/>
                <w:color w:val="000000" w:themeColor="text1"/>
                <w:sz w:val="20"/>
                <w:szCs w:val="20"/>
                <w:lang w:val="en-US"/>
              </w:rPr>
            </w:pPr>
            <w:r w:rsidRPr="001A4A7B">
              <w:rPr>
                <w:b/>
                <w:i/>
                <w:color w:val="000000" w:themeColor="text1"/>
                <w:sz w:val="20"/>
                <w:szCs w:val="20"/>
                <w:lang w:val="en-US"/>
              </w:rPr>
              <w:t xml:space="preserve">Negative </w:t>
            </w:r>
            <w:r w:rsidR="008725FC" w:rsidRPr="001A4A7B">
              <w:rPr>
                <w:b/>
                <w:i/>
                <w:color w:val="000000" w:themeColor="text1"/>
                <w:sz w:val="20"/>
                <w:szCs w:val="20"/>
                <w:lang w:val="en-US"/>
              </w:rPr>
              <w:t>Supply-driven</w:t>
            </w:r>
          </w:p>
        </w:tc>
        <w:tc>
          <w:tcPr>
            <w:tcW w:w="3364" w:type="dxa"/>
            <w:gridSpan w:val="4"/>
            <w:tcBorders>
              <w:top w:val="single" w:sz="4" w:space="0" w:color="auto"/>
              <w:left w:val="single" w:sz="4" w:space="0" w:color="auto"/>
              <w:bottom w:val="single" w:sz="4" w:space="0" w:color="auto"/>
            </w:tcBorders>
            <w:vAlign w:val="center"/>
          </w:tcPr>
          <w:p w14:paraId="700B9088" w14:textId="5563925F" w:rsidR="008725FC" w:rsidRPr="001A4A7B" w:rsidRDefault="008725FC" w:rsidP="008725FC">
            <w:pPr>
              <w:spacing w:before="40" w:after="40" w:line="288" w:lineRule="auto"/>
              <w:jc w:val="center"/>
              <w:rPr>
                <w:b/>
                <w:i/>
                <w:color w:val="000000" w:themeColor="text1"/>
                <w:sz w:val="20"/>
                <w:szCs w:val="20"/>
                <w:lang w:val="en-US"/>
              </w:rPr>
            </w:pPr>
            <m:oMathPara>
              <m:oMath>
                <m:r>
                  <m:rPr>
                    <m:sty m:val="bi"/>
                  </m:rPr>
                  <w:rPr>
                    <w:rFonts w:ascii="Cambria Math" w:hAnsi="Cambria Math"/>
                    <w:color w:val="000000" w:themeColor="text1"/>
                    <w:sz w:val="20"/>
                    <w:szCs w:val="20"/>
                    <w:lang w:val="en-US"/>
                  </w:rPr>
                  <m:t>Deriv-⇒WTI-</m:t>
                </m:r>
              </m:oMath>
            </m:oMathPara>
          </w:p>
          <w:p w14:paraId="03E99436" w14:textId="38031DDC" w:rsidR="008725FC" w:rsidRPr="001A4A7B" w:rsidRDefault="008313BF" w:rsidP="008725FC">
            <w:pPr>
              <w:spacing w:before="40" w:after="40" w:line="288" w:lineRule="auto"/>
              <w:jc w:val="center"/>
              <w:rPr>
                <w:b/>
                <w:i/>
                <w:color w:val="000000" w:themeColor="text1"/>
                <w:sz w:val="20"/>
                <w:szCs w:val="20"/>
                <w:lang w:val="en-US"/>
              </w:rPr>
            </w:pPr>
            <w:r w:rsidRPr="001A4A7B">
              <w:rPr>
                <w:b/>
                <w:i/>
                <w:color w:val="000000" w:themeColor="text1"/>
                <w:sz w:val="20"/>
                <w:szCs w:val="20"/>
                <w:lang w:val="en-US"/>
              </w:rPr>
              <w:t xml:space="preserve">Negative </w:t>
            </w:r>
            <w:r w:rsidR="008725FC" w:rsidRPr="001A4A7B">
              <w:rPr>
                <w:b/>
                <w:i/>
                <w:color w:val="000000" w:themeColor="text1"/>
                <w:sz w:val="20"/>
                <w:szCs w:val="20"/>
                <w:lang w:val="en-US"/>
              </w:rPr>
              <w:t>Demand-driven</w:t>
            </w:r>
          </w:p>
        </w:tc>
      </w:tr>
      <w:tr w:rsidR="001A4A7B" w:rsidRPr="001A4A7B" w14:paraId="3E665C0E" w14:textId="77777777" w:rsidTr="00CE3A4B">
        <w:tc>
          <w:tcPr>
            <w:tcW w:w="0" w:type="auto"/>
            <w:vAlign w:val="center"/>
          </w:tcPr>
          <w:p w14:paraId="7846EA70" w14:textId="77777777" w:rsidR="00766616" w:rsidRPr="001A4A7B" w:rsidRDefault="00766616" w:rsidP="00CE3A4B">
            <w:pPr>
              <w:spacing w:line="288" w:lineRule="auto"/>
              <w:rPr>
                <w:color w:val="000000" w:themeColor="text1"/>
                <w:sz w:val="20"/>
                <w:szCs w:val="20"/>
                <w:lang w:val="en-US"/>
              </w:rPr>
            </w:pPr>
          </w:p>
        </w:tc>
        <w:tc>
          <w:tcPr>
            <w:tcW w:w="918" w:type="dxa"/>
            <w:vMerge w:val="restart"/>
            <w:tcBorders>
              <w:top w:val="single" w:sz="4" w:space="0" w:color="auto"/>
              <w:bottom w:val="single" w:sz="4" w:space="0" w:color="auto"/>
            </w:tcBorders>
            <w:vAlign w:val="bottom"/>
          </w:tcPr>
          <w:p w14:paraId="539CB62C" w14:textId="77777777" w:rsidR="00766616" w:rsidRPr="001A4A7B" w:rsidRDefault="00766616" w:rsidP="00CE3A4B">
            <w:pPr>
              <w:spacing w:after="60" w:line="288" w:lineRule="auto"/>
              <w:jc w:val="center"/>
              <w:rPr>
                <w:color w:val="000000" w:themeColor="text1"/>
                <w:sz w:val="20"/>
                <w:szCs w:val="20"/>
                <w:lang w:val="en-US"/>
              </w:rPr>
            </w:pPr>
            <w:r w:rsidRPr="001A4A7B">
              <w:rPr>
                <w:color w:val="000000" w:themeColor="text1"/>
                <w:sz w:val="20"/>
                <w:szCs w:val="20"/>
                <w:lang w:val="en-US"/>
              </w:rPr>
              <w:t xml:space="preserve">Test </w:t>
            </w:r>
          </w:p>
          <w:p w14:paraId="3E05925F" w14:textId="77777777" w:rsidR="00766616" w:rsidRPr="001A4A7B" w:rsidRDefault="00766616" w:rsidP="00CE3A4B">
            <w:pPr>
              <w:spacing w:after="60" w:line="288" w:lineRule="auto"/>
              <w:jc w:val="center"/>
              <w:rPr>
                <w:color w:val="000000" w:themeColor="text1"/>
                <w:sz w:val="20"/>
                <w:szCs w:val="20"/>
                <w:lang w:val="en-US"/>
              </w:rPr>
            </w:pPr>
            <w:r w:rsidRPr="001A4A7B">
              <w:rPr>
                <w:color w:val="000000" w:themeColor="text1"/>
                <w:sz w:val="20"/>
                <w:szCs w:val="20"/>
                <w:lang w:val="en-US"/>
              </w:rPr>
              <w:t>statistic</w:t>
            </w:r>
          </w:p>
        </w:tc>
        <w:tc>
          <w:tcPr>
            <w:tcW w:w="2319" w:type="dxa"/>
            <w:gridSpan w:val="3"/>
            <w:tcBorders>
              <w:top w:val="single" w:sz="4" w:space="0" w:color="auto"/>
              <w:bottom w:val="single" w:sz="4" w:space="0" w:color="auto"/>
              <w:right w:val="single" w:sz="4" w:space="0" w:color="auto"/>
            </w:tcBorders>
            <w:vAlign w:val="center"/>
          </w:tcPr>
          <w:p w14:paraId="76CD1EED" w14:textId="77777777" w:rsidR="00766616" w:rsidRPr="001A4A7B" w:rsidRDefault="00766616" w:rsidP="00CE3A4B">
            <w:pPr>
              <w:spacing w:before="40" w:after="40" w:line="288" w:lineRule="auto"/>
              <w:jc w:val="center"/>
              <w:rPr>
                <w:color w:val="000000" w:themeColor="text1"/>
                <w:sz w:val="20"/>
                <w:szCs w:val="20"/>
                <w:lang w:val="en-US"/>
              </w:rPr>
            </w:pPr>
            <w:r w:rsidRPr="001A4A7B">
              <w:rPr>
                <w:color w:val="000000" w:themeColor="text1"/>
                <w:sz w:val="20"/>
                <w:szCs w:val="20"/>
                <w:lang w:val="en-US"/>
              </w:rPr>
              <w:t>Bootstrap critical values</w:t>
            </w:r>
          </w:p>
        </w:tc>
        <w:tc>
          <w:tcPr>
            <w:tcW w:w="1031" w:type="dxa"/>
            <w:vMerge w:val="restart"/>
            <w:tcBorders>
              <w:top w:val="single" w:sz="4" w:space="0" w:color="auto"/>
              <w:left w:val="single" w:sz="4" w:space="0" w:color="auto"/>
              <w:bottom w:val="single" w:sz="4" w:space="0" w:color="auto"/>
            </w:tcBorders>
            <w:vAlign w:val="bottom"/>
          </w:tcPr>
          <w:p w14:paraId="362850D3" w14:textId="77777777" w:rsidR="00766616" w:rsidRPr="001A4A7B" w:rsidRDefault="00766616" w:rsidP="00CE3A4B">
            <w:pPr>
              <w:spacing w:after="60" w:line="288" w:lineRule="auto"/>
              <w:jc w:val="center"/>
              <w:rPr>
                <w:color w:val="000000" w:themeColor="text1"/>
                <w:sz w:val="20"/>
                <w:szCs w:val="20"/>
                <w:lang w:val="en-US"/>
              </w:rPr>
            </w:pPr>
            <w:r w:rsidRPr="001A4A7B">
              <w:rPr>
                <w:color w:val="000000" w:themeColor="text1"/>
                <w:sz w:val="20"/>
                <w:szCs w:val="20"/>
                <w:lang w:val="en-US"/>
              </w:rPr>
              <w:t xml:space="preserve">Test </w:t>
            </w:r>
          </w:p>
          <w:p w14:paraId="43B189B1" w14:textId="77777777" w:rsidR="00766616" w:rsidRPr="001A4A7B" w:rsidRDefault="00766616" w:rsidP="00CE3A4B">
            <w:pPr>
              <w:spacing w:after="60" w:line="288" w:lineRule="auto"/>
              <w:jc w:val="center"/>
              <w:rPr>
                <w:color w:val="000000" w:themeColor="text1"/>
                <w:sz w:val="20"/>
                <w:szCs w:val="20"/>
                <w:lang w:val="en-US"/>
              </w:rPr>
            </w:pPr>
            <w:r w:rsidRPr="001A4A7B">
              <w:rPr>
                <w:color w:val="000000" w:themeColor="text1"/>
                <w:sz w:val="20"/>
                <w:szCs w:val="20"/>
                <w:lang w:val="en-US"/>
              </w:rPr>
              <w:t>statistic</w:t>
            </w:r>
          </w:p>
        </w:tc>
        <w:tc>
          <w:tcPr>
            <w:tcW w:w="2333" w:type="dxa"/>
            <w:gridSpan w:val="3"/>
            <w:tcBorders>
              <w:top w:val="single" w:sz="4" w:space="0" w:color="auto"/>
              <w:bottom w:val="single" w:sz="4" w:space="0" w:color="auto"/>
            </w:tcBorders>
            <w:vAlign w:val="center"/>
          </w:tcPr>
          <w:p w14:paraId="0CFC1961" w14:textId="77777777" w:rsidR="00766616" w:rsidRPr="001A4A7B" w:rsidRDefault="00766616" w:rsidP="00CE3A4B">
            <w:pPr>
              <w:spacing w:line="288" w:lineRule="auto"/>
              <w:jc w:val="center"/>
              <w:rPr>
                <w:color w:val="000000" w:themeColor="text1"/>
                <w:sz w:val="20"/>
                <w:szCs w:val="20"/>
                <w:lang w:val="en-US"/>
              </w:rPr>
            </w:pPr>
            <w:r w:rsidRPr="001A4A7B">
              <w:rPr>
                <w:color w:val="000000" w:themeColor="text1"/>
                <w:sz w:val="20"/>
                <w:szCs w:val="20"/>
                <w:lang w:val="en-US"/>
              </w:rPr>
              <w:t>Bootstrap critical values</w:t>
            </w:r>
          </w:p>
        </w:tc>
      </w:tr>
      <w:tr w:rsidR="001A4A7B" w:rsidRPr="001A4A7B" w14:paraId="56912BBD" w14:textId="77777777" w:rsidTr="00CE3A4B">
        <w:trPr>
          <w:trHeight w:val="227"/>
        </w:trPr>
        <w:tc>
          <w:tcPr>
            <w:tcW w:w="0" w:type="auto"/>
            <w:tcBorders>
              <w:bottom w:val="single" w:sz="4" w:space="0" w:color="auto"/>
            </w:tcBorders>
            <w:vAlign w:val="bottom"/>
          </w:tcPr>
          <w:p w14:paraId="77E6594D" w14:textId="13677FF0" w:rsidR="00766616" w:rsidRPr="001A4A7B" w:rsidRDefault="005A31EB" w:rsidP="00CE3A4B">
            <w:pPr>
              <w:spacing w:after="60" w:line="288" w:lineRule="auto"/>
              <w:jc w:val="center"/>
              <w:rPr>
                <w:color w:val="000000" w:themeColor="text1"/>
                <w:sz w:val="20"/>
                <w:szCs w:val="20"/>
                <w:lang w:val="en-US"/>
              </w:rPr>
            </w:pPr>
            <w:r w:rsidRPr="001A4A7B">
              <w:rPr>
                <w:color w:val="000000" w:themeColor="text1"/>
                <w:sz w:val="20"/>
                <w:szCs w:val="20"/>
                <w:lang w:val="en-US"/>
              </w:rPr>
              <w:t>Refined product</w:t>
            </w:r>
          </w:p>
        </w:tc>
        <w:tc>
          <w:tcPr>
            <w:tcW w:w="918" w:type="dxa"/>
            <w:vMerge/>
            <w:tcBorders>
              <w:bottom w:val="single" w:sz="4" w:space="0" w:color="auto"/>
            </w:tcBorders>
          </w:tcPr>
          <w:p w14:paraId="5AFCE578" w14:textId="77777777" w:rsidR="00766616" w:rsidRPr="001A4A7B" w:rsidRDefault="00766616" w:rsidP="00CE3A4B">
            <w:pPr>
              <w:spacing w:line="288" w:lineRule="auto"/>
              <w:rPr>
                <w:color w:val="000000" w:themeColor="text1"/>
                <w:sz w:val="20"/>
                <w:szCs w:val="20"/>
                <w:lang w:val="en-US"/>
              </w:rPr>
            </w:pPr>
          </w:p>
        </w:tc>
        <w:tc>
          <w:tcPr>
            <w:tcW w:w="773" w:type="dxa"/>
            <w:tcBorders>
              <w:top w:val="single" w:sz="4" w:space="0" w:color="auto"/>
              <w:bottom w:val="single" w:sz="4" w:space="0" w:color="auto"/>
            </w:tcBorders>
            <w:vAlign w:val="bottom"/>
          </w:tcPr>
          <w:p w14:paraId="32FC083B" w14:textId="77777777" w:rsidR="00766616" w:rsidRPr="001A4A7B" w:rsidRDefault="00766616" w:rsidP="00CE3A4B">
            <w:pPr>
              <w:spacing w:before="40" w:after="40" w:line="288" w:lineRule="auto"/>
              <w:jc w:val="center"/>
              <w:rPr>
                <w:color w:val="000000" w:themeColor="text1"/>
                <w:sz w:val="20"/>
                <w:szCs w:val="20"/>
                <w:lang w:val="en-US"/>
              </w:rPr>
            </w:pPr>
            <w:r w:rsidRPr="001A4A7B">
              <w:rPr>
                <w:color w:val="000000" w:themeColor="text1"/>
                <w:sz w:val="20"/>
                <w:szCs w:val="20"/>
                <w:lang w:val="en-US"/>
              </w:rPr>
              <w:t>1%</w:t>
            </w:r>
          </w:p>
        </w:tc>
        <w:tc>
          <w:tcPr>
            <w:tcW w:w="773" w:type="dxa"/>
            <w:tcBorders>
              <w:top w:val="single" w:sz="4" w:space="0" w:color="auto"/>
              <w:bottom w:val="single" w:sz="4" w:space="0" w:color="auto"/>
            </w:tcBorders>
            <w:vAlign w:val="bottom"/>
          </w:tcPr>
          <w:p w14:paraId="09D49EE5" w14:textId="77777777" w:rsidR="00766616" w:rsidRPr="001A4A7B" w:rsidRDefault="00766616" w:rsidP="00CE3A4B">
            <w:pPr>
              <w:spacing w:before="40" w:after="40" w:line="288" w:lineRule="auto"/>
              <w:jc w:val="center"/>
              <w:rPr>
                <w:color w:val="000000" w:themeColor="text1"/>
                <w:sz w:val="20"/>
                <w:szCs w:val="20"/>
                <w:lang w:val="en-US"/>
              </w:rPr>
            </w:pPr>
            <w:r w:rsidRPr="001A4A7B">
              <w:rPr>
                <w:color w:val="000000" w:themeColor="text1"/>
                <w:sz w:val="20"/>
                <w:szCs w:val="20"/>
                <w:lang w:val="en-US"/>
              </w:rPr>
              <w:t>5%</w:t>
            </w:r>
          </w:p>
        </w:tc>
        <w:tc>
          <w:tcPr>
            <w:tcW w:w="773" w:type="dxa"/>
            <w:tcBorders>
              <w:top w:val="single" w:sz="4" w:space="0" w:color="auto"/>
              <w:bottom w:val="single" w:sz="4" w:space="0" w:color="auto"/>
              <w:right w:val="single" w:sz="4" w:space="0" w:color="auto"/>
            </w:tcBorders>
            <w:vAlign w:val="bottom"/>
          </w:tcPr>
          <w:p w14:paraId="3CE07A67" w14:textId="77777777" w:rsidR="00766616" w:rsidRPr="001A4A7B" w:rsidRDefault="00766616" w:rsidP="00CE3A4B">
            <w:pPr>
              <w:spacing w:before="40" w:after="40" w:line="288" w:lineRule="auto"/>
              <w:jc w:val="center"/>
              <w:rPr>
                <w:color w:val="000000" w:themeColor="text1"/>
                <w:sz w:val="20"/>
                <w:szCs w:val="20"/>
                <w:lang w:val="en-US"/>
              </w:rPr>
            </w:pPr>
            <w:r w:rsidRPr="001A4A7B">
              <w:rPr>
                <w:color w:val="000000" w:themeColor="text1"/>
                <w:sz w:val="20"/>
                <w:szCs w:val="20"/>
                <w:lang w:val="en-US"/>
              </w:rPr>
              <w:t>10%</w:t>
            </w:r>
          </w:p>
        </w:tc>
        <w:tc>
          <w:tcPr>
            <w:tcW w:w="1031" w:type="dxa"/>
            <w:vMerge/>
            <w:tcBorders>
              <w:left w:val="single" w:sz="4" w:space="0" w:color="auto"/>
              <w:bottom w:val="single" w:sz="4" w:space="0" w:color="auto"/>
            </w:tcBorders>
            <w:vAlign w:val="bottom"/>
          </w:tcPr>
          <w:p w14:paraId="0AC498A3" w14:textId="77777777" w:rsidR="00766616" w:rsidRPr="001A4A7B" w:rsidRDefault="00766616" w:rsidP="00CE3A4B">
            <w:pPr>
              <w:spacing w:line="288" w:lineRule="auto"/>
              <w:jc w:val="center"/>
              <w:rPr>
                <w:color w:val="000000" w:themeColor="text1"/>
                <w:sz w:val="20"/>
                <w:szCs w:val="20"/>
                <w:lang w:val="en-US"/>
              </w:rPr>
            </w:pPr>
          </w:p>
        </w:tc>
        <w:tc>
          <w:tcPr>
            <w:tcW w:w="773" w:type="dxa"/>
            <w:tcBorders>
              <w:bottom w:val="single" w:sz="4" w:space="0" w:color="auto"/>
            </w:tcBorders>
            <w:vAlign w:val="bottom"/>
          </w:tcPr>
          <w:p w14:paraId="3320692D" w14:textId="77777777" w:rsidR="00766616" w:rsidRPr="001A4A7B" w:rsidRDefault="00766616" w:rsidP="00CE3A4B">
            <w:pPr>
              <w:spacing w:before="40" w:after="40" w:line="288" w:lineRule="auto"/>
              <w:jc w:val="center"/>
              <w:rPr>
                <w:color w:val="000000" w:themeColor="text1"/>
                <w:sz w:val="20"/>
                <w:szCs w:val="20"/>
                <w:lang w:val="en-US"/>
              </w:rPr>
            </w:pPr>
            <w:r w:rsidRPr="001A4A7B">
              <w:rPr>
                <w:color w:val="000000" w:themeColor="text1"/>
                <w:sz w:val="20"/>
                <w:szCs w:val="20"/>
                <w:lang w:val="en-US"/>
              </w:rPr>
              <w:t>1%</w:t>
            </w:r>
          </w:p>
        </w:tc>
        <w:tc>
          <w:tcPr>
            <w:tcW w:w="851" w:type="dxa"/>
            <w:tcBorders>
              <w:bottom w:val="single" w:sz="4" w:space="0" w:color="auto"/>
            </w:tcBorders>
            <w:vAlign w:val="bottom"/>
          </w:tcPr>
          <w:p w14:paraId="7D6FB384" w14:textId="77777777" w:rsidR="00766616" w:rsidRPr="001A4A7B" w:rsidRDefault="00766616" w:rsidP="00CE3A4B">
            <w:pPr>
              <w:spacing w:before="40" w:after="40" w:line="288" w:lineRule="auto"/>
              <w:jc w:val="center"/>
              <w:rPr>
                <w:color w:val="000000" w:themeColor="text1"/>
                <w:sz w:val="20"/>
                <w:szCs w:val="20"/>
                <w:lang w:val="en-US"/>
              </w:rPr>
            </w:pPr>
            <w:r w:rsidRPr="001A4A7B">
              <w:rPr>
                <w:color w:val="000000" w:themeColor="text1"/>
                <w:sz w:val="20"/>
                <w:szCs w:val="20"/>
                <w:lang w:val="en-US"/>
              </w:rPr>
              <w:t>5%</w:t>
            </w:r>
          </w:p>
        </w:tc>
        <w:tc>
          <w:tcPr>
            <w:tcW w:w="709" w:type="dxa"/>
            <w:tcBorders>
              <w:bottom w:val="single" w:sz="4" w:space="0" w:color="auto"/>
            </w:tcBorders>
            <w:vAlign w:val="bottom"/>
          </w:tcPr>
          <w:p w14:paraId="4146DCCB" w14:textId="77777777" w:rsidR="00766616" w:rsidRPr="001A4A7B" w:rsidRDefault="00766616" w:rsidP="00CE3A4B">
            <w:pPr>
              <w:spacing w:before="40" w:after="40" w:line="288" w:lineRule="auto"/>
              <w:jc w:val="center"/>
              <w:rPr>
                <w:color w:val="000000" w:themeColor="text1"/>
                <w:sz w:val="20"/>
                <w:szCs w:val="20"/>
                <w:lang w:val="en-US"/>
              </w:rPr>
            </w:pPr>
            <w:r w:rsidRPr="001A4A7B">
              <w:rPr>
                <w:color w:val="000000" w:themeColor="text1"/>
                <w:sz w:val="20"/>
                <w:szCs w:val="20"/>
                <w:lang w:val="en-US"/>
              </w:rPr>
              <w:t>10%</w:t>
            </w:r>
          </w:p>
        </w:tc>
      </w:tr>
      <w:tr w:rsidR="001A4A7B" w:rsidRPr="001A4A7B" w14:paraId="69ACE4E1" w14:textId="77777777" w:rsidTr="00CE3A4B">
        <w:trPr>
          <w:trHeight w:val="227"/>
        </w:trPr>
        <w:tc>
          <w:tcPr>
            <w:tcW w:w="0" w:type="auto"/>
            <w:tcBorders>
              <w:top w:val="single" w:sz="4" w:space="0" w:color="auto"/>
            </w:tcBorders>
            <w:shd w:val="clear" w:color="auto" w:fill="auto"/>
            <w:vAlign w:val="center"/>
          </w:tcPr>
          <w:p w14:paraId="1A47E341" w14:textId="77777777" w:rsidR="00766616" w:rsidRPr="001A4A7B" w:rsidRDefault="00766616" w:rsidP="00CE3A4B">
            <w:pPr>
              <w:spacing w:before="40" w:line="288" w:lineRule="auto"/>
              <w:ind w:left="-57"/>
              <w:rPr>
                <w:color w:val="000000" w:themeColor="text1"/>
                <w:sz w:val="20"/>
                <w:szCs w:val="20"/>
                <w:lang w:val="en-US"/>
              </w:rPr>
            </w:pPr>
            <w:r w:rsidRPr="001A4A7B">
              <w:rPr>
                <w:color w:val="000000" w:themeColor="text1"/>
                <w:sz w:val="20"/>
                <w:szCs w:val="20"/>
                <w:lang w:val="en-US"/>
              </w:rPr>
              <w:t>Conv. Gasol. NY</w:t>
            </w:r>
          </w:p>
        </w:tc>
        <w:tc>
          <w:tcPr>
            <w:tcW w:w="918" w:type="dxa"/>
            <w:tcBorders>
              <w:top w:val="single" w:sz="4" w:space="0" w:color="auto"/>
            </w:tcBorders>
            <w:shd w:val="clear" w:color="auto" w:fill="auto"/>
            <w:vAlign w:val="center"/>
          </w:tcPr>
          <w:p w14:paraId="52E5F62D" w14:textId="4C1BC90B"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5.984</w:t>
            </w:r>
            <w:r w:rsidR="00766616" w:rsidRPr="001A4A7B">
              <w:rPr>
                <w:color w:val="000000" w:themeColor="text1"/>
                <w:sz w:val="20"/>
                <w:szCs w:val="20"/>
                <w:lang w:val="en-US"/>
              </w:rPr>
              <w:t>*</w:t>
            </w:r>
          </w:p>
        </w:tc>
        <w:tc>
          <w:tcPr>
            <w:tcW w:w="773" w:type="dxa"/>
            <w:tcBorders>
              <w:top w:val="single" w:sz="4" w:space="0" w:color="auto"/>
            </w:tcBorders>
            <w:shd w:val="clear" w:color="auto" w:fill="auto"/>
            <w:vAlign w:val="center"/>
          </w:tcPr>
          <w:p w14:paraId="5B21F3B6" w14:textId="0FD3C35F"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10.617</w:t>
            </w:r>
          </w:p>
        </w:tc>
        <w:tc>
          <w:tcPr>
            <w:tcW w:w="773" w:type="dxa"/>
            <w:tcBorders>
              <w:top w:val="single" w:sz="4" w:space="0" w:color="auto"/>
            </w:tcBorders>
            <w:shd w:val="clear" w:color="auto" w:fill="auto"/>
            <w:vAlign w:val="center"/>
          </w:tcPr>
          <w:p w14:paraId="408F8561" w14:textId="67E0E146"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6.446</w:t>
            </w:r>
          </w:p>
        </w:tc>
        <w:tc>
          <w:tcPr>
            <w:tcW w:w="773" w:type="dxa"/>
            <w:tcBorders>
              <w:top w:val="single" w:sz="4" w:space="0" w:color="auto"/>
              <w:right w:val="single" w:sz="4" w:space="0" w:color="auto"/>
            </w:tcBorders>
            <w:shd w:val="clear" w:color="auto" w:fill="auto"/>
            <w:vAlign w:val="center"/>
          </w:tcPr>
          <w:p w14:paraId="5CFCA22B" w14:textId="2889DE24"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5.073</w:t>
            </w:r>
          </w:p>
        </w:tc>
        <w:tc>
          <w:tcPr>
            <w:tcW w:w="1031" w:type="dxa"/>
            <w:tcBorders>
              <w:top w:val="single" w:sz="4" w:space="0" w:color="auto"/>
              <w:left w:val="single" w:sz="4" w:space="0" w:color="auto"/>
            </w:tcBorders>
            <w:shd w:val="clear" w:color="auto" w:fill="auto"/>
            <w:vAlign w:val="center"/>
          </w:tcPr>
          <w:p w14:paraId="62E633D8" w14:textId="1C20CC40"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16.197</w:t>
            </w:r>
            <w:r w:rsidR="00766616" w:rsidRPr="001A4A7B">
              <w:rPr>
                <w:color w:val="000000" w:themeColor="text1"/>
                <w:sz w:val="20"/>
                <w:szCs w:val="20"/>
                <w:lang w:val="en-US"/>
              </w:rPr>
              <w:t>***</w:t>
            </w:r>
          </w:p>
        </w:tc>
        <w:tc>
          <w:tcPr>
            <w:tcW w:w="773" w:type="dxa"/>
            <w:tcBorders>
              <w:top w:val="single" w:sz="4" w:space="0" w:color="auto"/>
            </w:tcBorders>
            <w:shd w:val="clear" w:color="auto" w:fill="auto"/>
            <w:vAlign w:val="center"/>
          </w:tcPr>
          <w:p w14:paraId="345FD8B6" w14:textId="5A68BB5E"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9.230</w:t>
            </w:r>
          </w:p>
        </w:tc>
        <w:tc>
          <w:tcPr>
            <w:tcW w:w="851" w:type="dxa"/>
            <w:tcBorders>
              <w:top w:val="single" w:sz="4" w:space="0" w:color="auto"/>
            </w:tcBorders>
            <w:shd w:val="clear" w:color="auto" w:fill="auto"/>
            <w:vAlign w:val="center"/>
          </w:tcPr>
          <w:p w14:paraId="5C097F87" w14:textId="7FF49A98"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6.075</w:t>
            </w:r>
          </w:p>
        </w:tc>
        <w:tc>
          <w:tcPr>
            <w:tcW w:w="709" w:type="dxa"/>
            <w:tcBorders>
              <w:top w:val="single" w:sz="4" w:space="0" w:color="auto"/>
            </w:tcBorders>
            <w:shd w:val="clear" w:color="auto" w:fill="auto"/>
            <w:vAlign w:val="center"/>
          </w:tcPr>
          <w:p w14:paraId="736E4DD5" w14:textId="05A3116E"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4.506</w:t>
            </w:r>
          </w:p>
        </w:tc>
      </w:tr>
      <w:tr w:rsidR="001A4A7B" w:rsidRPr="001A4A7B" w14:paraId="4DA7AB86" w14:textId="77777777" w:rsidTr="00CE3A4B">
        <w:trPr>
          <w:trHeight w:val="227"/>
        </w:trPr>
        <w:tc>
          <w:tcPr>
            <w:tcW w:w="0" w:type="auto"/>
            <w:shd w:val="clear" w:color="auto" w:fill="auto"/>
            <w:vAlign w:val="center"/>
          </w:tcPr>
          <w:p w14:paraId="28D5795C" w14:textId="77777777" w:rsidR="00766616" w:rsidRPr="001A4A7B" w:rsidRDefault="00766616" w:rsidP="00CE3A4B">
            <w:pPr>
              <w:spacing w:line="288" w:lineRule="auto"/>
              <w:ind w:left="-57"/>
              <w:rPr>
                <w:color w:val="000000" w:themeColor="text1"/>
                <w:sz w:val="20"/>
                <w:szCs w:val="20"/>
                <w:lang w:val="en-US"/>
              </w:rPr>
            </w:pPr>
            <w:r w:rsidRPr="001A4A7B">
              <w:rPr>
                <w:color w:val="000000" w:themeColor="text1"/>
                <w:sz w:val="20"/>
                <w:szCs w:val="20"/>
                <w:lang w:val="en-US"/>
              </w:rPr>
              <w:t>RBOB</w:t>
            </w:r>
          </w:p>
        </w:tc>
        <w:tc>
          <w:tcPr>
            <w:tcW w:w="918" w:type="dxa"/>
            <w:shd w:val="clear" w:color="auto" w:fill="auto"/>
            <w:vAlign w:val="center"/>
          </w:tcPr>
          <w:p w14:paraId="209D8E4C" w14:textId="399CF208"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29.893</w:t>
            </w:r>
            <w:r w:rsidR="00766616" w:rsidRPr="001A4A7B">
              <w:rPr>
                <w:color w:val="000000" w:themeColor="text1"/>
                <w:sz w:val="20"/>
                <w:szCs w:val="20"/>
                <w:lang w:val="en-US"/>
              </w:rPr>
              <w:t>***</w:t>
            </w:r>
          </w:p>
        </w:tc>
        <w:tc>
          <w:tcPr>
            <w:tcW w:w="773" w:type="dxa"/>
            <w:shd w:val="clear" w:color="auto" w:fill="auto"/>
            <w:vAlign w:val="center"/>
          </w:tcPr>
          <w:p w14:paraId="5768C536" w14:textId="34FB683D"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9.832</w:t>
            </w:r>
          </w:p>
        </w:tc>
        <w:tc>
          <w:tcPr>
            <w:tcW w:w="773" w:type="dxa"/>
            <w:shd w:val="clear" w:color="auto" w:fill="auto"/>
            <w:vAlign w:val="center"/>
          </w:tcPr>
          <w:p w14:paraId="69628D05" w14:textId="1152FB2F"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5.997</w:t>
            </w:r>
          </w:p>
        </w:tc>
        <w:tc>
          <w:tcPr>
            <w:tcW w:w="773" w:type="dxa"/>
            <w:tcBorders>
              <w:right w:val="single" w:sz="4" w:space="0" w:color="auto"/>
            </w:tcBorders>
            <w:shd w:val="clear" w:color="auto" w:fill="auto"/>
            <w:vAlign w:val="center"/>
          </w:tcPr>
          <w:p w14:paraId="04C8E1F2" w14:textId="54FBD503"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4.446</w:t>
            </w:r>
          </w:p>
        </w:tc>
        <w:tc>
          <w:tcPr>
            <w:tcW w:w="1031" w:type="dxa"/>
            <w:tcBorders>
              <w:left w:val="single" w:sz="4" w:space="0" w:color="auto"/>
            </w:tcBorders>
            <w:shd w:val="clear" w:color="auto" w:fill="auto"/>
            <w:vAlign w:val="center"/>
          </w:tcPr>
          <w:p w14:paraId="2990AE53" w14:textId="3285D48D"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0.119</w:t>
            </w:r>
          </w:p>
        </w:tc>
        <w:tc>
          <w:tcPr>
            <w:tcW w:w="773" w:type="dxa"/>
            <w:shd w:val="clear" w:color="auto" w:fill="auto"/>
            <w:vAlign w:val="center"/>
          </w:tcPr>
          <w:p w14:paraId="2E7C5C7A" w14:textId="0CF4CBEE"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9.123</w:t>
            </w:r>
          </w:p>
        </w:tc>
        <w:tc>
          <w:tcPr>
            <w:tcW w:w="851" w:type="dxa"/>
            <w:shd w:val="clear" w:color="auto" w:fill="auto"/>
            <w:vAlign w:val="center"/>
          </w:tcPr>
          <w:p w14:paraId="73F4823E" w14:textId="5365B058"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5.877</w:t>
            </w:r>
          </w:p>
        </w:tc>
        <w:tc>
          <w:tcPr>
            <w:tcW w:w="709" w:type="dxa"/>
            <w:shd w:val="clear" w:color="auto" w:fill="auto"/>
            <w:vAlign w:val="center"/>
          </w:tcPr>
          <w:p w14:paraId="06358122" w14:textId="076BBF45"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4.653</w:t>
            </w:r>
          </w:p>
        </w:tc>
      </w:tr>
      <w:tr w:rsidR="001A4A7B" w:rsidRPr="001A4A7B" w14:paraId="28C14A03" w14:textId="77777777" w:rsidTr="00CE3A4B">
        <w:trPr>
          <w:trHeight w:val="227"/>
        </w:trPr>
        <w:tc>
          <w:tcPr>
            <w:tcW w:w="0" w:type="auto"/>
            <w:shd w:val="clear" w:color="auto" w:fill="auto"/>
            <w:vAlign w:val="center"/>
          </w:tcPr>
          <w:p w14:paraId="346C1A08" w14:textId="77777777" w:rsidR="00766616" w:rsidRPr="001A4A7B" w:rsidRDefault="00766616" w:rsidP="00CE3A4B">
            <w:pPr>
              <w:spacing w:line="288" w:lineRule="auto"/>
              <w:ind w:left="-57"/>
              <w:rPr>
                <w:color w:val="000000" w:themeColor="text1"/>
                <w:sz w:val="20"/>
                <w:szCs w:val="20"/>
                <w:lang w:val="en-US"/>
              </w:rPr>
            </w:pPr>
            <w:r w:rsidRPr="001A4A7B">
              <w:rPr>
                <w:color w:val="000000" w:themeColor="text1"/>
                <w:sz w:val="20"/>
                <w:szCs w:val="20"/>
                <w:lang w:val="en-US"/>
              </w:rPr>
              <w:t>Heating Oil</w:t>
            </w:r>
          </w:p>
        </w:tc>
        <w:tc>
          <w:tcPr>
            <w:tcW w:w="918" w:type="dxa"/>
            <w:shd w:val="clear" w:color="auto" w:fill="auto"/>
            <w:vAlign w:val="center"/>
          </w:tcPr>
          <w:p w14:paraId="322F8364" w14:textId="4C1D8570"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12.212</w:t>
            </w:r>
            <w:r w:rsidR="00766616" w:rsidRPr="001A4A7B">
              <w:rPr>
                <w:color w:val="000000" w:themeColor="text1"/>
                <w:sz w:val="20"/>
                <w:szCs w:val="20"/>
                <w:lang w:val="en-US"/>
              </w:rPr>
              <w:t>***</w:t>
            </w:r>
          </w:p>
        </w:tc>
        <w:tc>
          <w:tcPr>
            <w:tcW w:w="773" w:type="dxa"/>
            <w:shd w:val="clear" w:color="auto" w:fill="auto"/>
            <w:vAlign w:val="center"/>
          </w:tcPr>
          <w:p w14:paraId="63D06F0A" w14:textId="66A9D8AB"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9.892</w:t>
            </w:r>
          </w:p>
        </w:tc>
        <w:tc>
          <w:tcPr>
            <w:tcW w:w="773" w:type="dxa"/>
            <w:shd w:val="clear" w:color="auto" w:fill="auto"/>
            <w:vAlign w:val="center"/>
          </w:tcPr>
          <w:p w14:paraId="4E40B90F" w14:textId="79266326"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6.394</w:t>
            </w:r>
          </w:p>
        </w:tc>
        <w:tc>
          <w:tcPr>
            <w:tcW w:w="773" w:type="dxa"/>
            <w:tcBorders>
              <w:right w:val="single" w:sz="4" w:space="0" w:color="auto"/>
            </w:tcBorders>
            <w:shd w:val="clear" w:color="auto" w:fill="auto"/>
            <w:vAlign w:val="center"/>
          </w:tcPr>
          <w:p w14:paraId="240859E7" w14:textId="49D212C5"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4.955</w:t>
            </w:r>
          </w:p>
        </w:tc>
        <w:tc>
          <w:tcPr>
            <w:tcW w:w="1031" w:type="dxa"/>
            <w:tcBorders>
              <w:left w:val="single" w:sz="4" w:space="0" w:color="auto"/>
            </w:tcBorders>
            <w:shd w:val="clear" w:color="auto" w:fill="auto"/>
            <w:vAlign w:val="center"/>
          </w:tcPr>
          <w:p w14:paraId="6F6DCA82" w14:textId="06F2C96F"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1.306</w:t>
            </w:r>
          </w:p>
        </w:tc>
        <w:tc>
          <w:tcPr>
            <w:tcW w:w="773" w:type="dxa"/>
            <w:shd w:val="clear" w:color="auto" w:fill="auto"/>
            <w:vAlign w:val="center"/>
          </w:tcPr>
          <w:p w14:paraId="61FEC407" w14:textId="2CCA69FF"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10.343</w:t>
            </w:r>
          </w:p>
        </w:tc>
        <w:tc>
          <w:tcPr>
            <w:tcW w:w="851" w:type="dxa"/>
            <w:shd w:val="clear" w:color="auto" w:fill="auto"/>
            <w:vAlign w:val="center"/>
          </w:tcPr>
          <w:p w14:paraId="05B3227A" w14:textId="2CA07792"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5.941</w:t>
            </w:r>
          </w:p>
        </w:tc>
        <w:tc>
          <w:tcPr>
            <w:tcW w:w="709" w:type="dxa"/>
            <w:shd w:val="clear" w:color="auto" w:fill="auto"/>
            <w:vAlign w:val="center"/>
          </w:tcPr>
          <w:p w14:paraId="443E654E" w14:textId="3ACA6199"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4.582</w:t>
            </w:r>
          </w:p>
        </w:tc>
      </w:tr>
      <w:tr w:rsidR="001A4A7B" w:rsidRPr="001A4A7B" w14:paraId="7B0BF270" w14:textId="77777777" w:rsidTr="00CE3A4B">
        <w:trPr>
          <w:trHeight w:val="227"/>
        </w:trPr>
        <w:tc>
          <w:tcPr>
            <w:tcW w:w="0" w:type="auto"/>
            <w:shd w:val="clear" w:color="auto" w:fill="auto"/>
            <w:vAlign w:val="center"/>
          </w:tcPr>
          <w:p w14:paraId="1A41256A" w14:textId="77777777" w:rsidR="00766616" w:rsidRPr="001A4A7B" w:rsidRDefault="00766616" w:rsidP="00CE3A4B">
            <w:pPr>
              <w:spacing w:line="288" w:lineRule="auto"/>
              <w:ind w:left="-57"/>
              <w:rPr>
                <w:color w:val="000000" w:themeColor="text1"/>
                <w:sz w:val="20"/>
                <w:szCs w:val="20"/>
                <w:lang w:val="en-US"/>
              </w:rPr>
            </w:pPr>
            <w:r w:rsidRPr="001A4A7B">
              <w:rPr>
                <w:color w:val="000000" w:themeColor="text1"/>
                <w:sz w:val="20"/>
                <w:szCs w:val="20"/>
                <w:lang w:val="en-US"/>
              </w:rPr>
              <w:t>Diesel NY</w:t>
            </w:r>
          </w:p>
        </w:tc>
        <w:tc>
          <w:tcPr>
            <w:tcW w:w="918" w:type="dxa"/>
            <w:shd w:val="clear" w:color="auto" w:fill="auto"/>
            <w:vAlign w:val="center"/>
          </w:tcPr>
          <w:p w14:paraId="5045228E" w14:textId="5C6FF8FD"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9.663</w:t>
            </w:r>
            <w:r w:rsidR="00766616" w:rsidRPr="001A4A7B">
              <w:rPr>
                <w:color w:val="000000" w:themeColor="text1"/>
                <w:sz w:val="20"/>
                <w:szCs w:val="20"/>
                <w:lang w:val="en-US"/>
              </w:rPr>
              <w:t>**</w:t>
            </w:r>
          </w:p>
        </w:tc>
        <w:tc>
          <w:tcPr>
            <w:tcW w:w="773" w:type="dxa"/>
            <w:shd w:val="clear" w:color="auto" w:fill="auto"/>
            <w:vAlign w:val="center"/>
          </w:tcPr>
          <w:p w14:paraId="074B93A1" w14:textId="7CB9197C"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10.387</w:t>
            </w:r>
          </w:p>
        </w:tc>
        <w:tc>
          <w:tcPr>
            <w:tcW w:w="773" w:type="dxa"/>
            <w:shd w:val="clear" w:color="auto" w:fill="auto"/>
            <w:vAlign w:val="center"/>
          </w:tcPr>
          <w:p w14:paraId="796B4C7E" w14:textId="7283D218"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6.334</w:t>
            </w:r>
          </w:p>
        </w:tc>
        <w:tc>
          <w:tcPr>
            <w:tcW w:w="773" w:type="dxa"/>
            <w:tcBorders>
              <w:right w:val="single" w:sz="4" w:space="0" w:color="auto"/>
            </w:tcBorders>
            <w:shd w:val="clear" w:color="auto" w:fill="auto"/>
            <w:vAlign w:val="center"/>
          </w:tcPr>
          <w:p w14:paraId="24628924" w14:textId="4DBE823D"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4.887</w:t>
            </w:r>
          </w:p>
        </w:tc>
        <w:tc>
          <w:tcPr>
            <w:tcW w:w="1031" w:type="dxa"/>
            <w:tcBorders>
              <w:left w:val="single" w:sz="4" w:space="0" w:color="auto"/>
            </w:tcBorders>
            <w:shd w:val="clear" w:color="auto" w:fill="auto"/>
            <w:vAlign w:val="center"/>
          </w:tcPr>
          <w:p w14:paraId="7333FE38" w14:textId="2648FBE6"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0.752</w:t>
            </w:r>
          </w:p>
        </w:tc>
        <w:tc>
          <w:tcPr>
            <w:tcW w:w="773" w:type="dxa"/>
            <w:shd w:val="clear" w:color="auto" w:fill="auto"/>
            <w:vAlign w:val="center"/>
          </w:tcPr>
          <w:p w14:paraId="2CACA9E0" w14:textId="0290676B"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11.563</w:t>
            </w:r>
          </w:p>
        </w:tc>
        <w:tc>
          <w:tcPr>
            <w:tcW w:w="851" w:type="dxa"/>
            <w:shd w:val="clear" w:color="auto" w:fill="auto"/>
            <w:vAlign w:val="center"/>
          </w:tcPr>
          <w:p w14:paraId="76FDAFD8" w14:textId="2FDBFD43"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6.249</w:t>
            </w:r>
          </w:p>
        </w:tc>
        <w:tc>
          <w:tcPr>
            <w:tcW w:w="709" w:type="dxa"/>
            <w:shd w:val="clear" w:color="auto" w:fill="auto"/>
            <w:vAlign w:val="center"/>
          </w:tcPr>
          <w:p w14:paraId="7D4FD785" w14:textId="48F2742C"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4.467</w:t>
            </w:r>
          </w:p>
        </w:tc>
      </w:tr>
      <w:tr w:rsidR="001A4A7B" w:rsidRPr="001A4A7B" w14:paraId="0E060DC6" w14:textId="77777777" w:rsidTr="00CE3A4B">
        <w:trPr>
          <w:trHeight w:val="227"/>
        </w:trPr>
        <w:tc>
          <w:tcPr>
            <w:tcW w:w="0" w:type="auto"/>
            <w:tcBorders>
              <w:bottom w:val="single" w:sz="4" w:space="0" w:color="auto"/>
            </w:tcBorders>
            <w:shd w:val="clear" w:color="auto" w:fill="auto"/>
            <w:vAlign w:val="center"/>
          </w:tcPr>
          <w:p w14:paraId="1460ACE6" w14:textId="77777777" w:rsidR="00766616" w:rsidRPr="001A4A7B" w:rsidRDefault="00766616" w:rsidP="00CE3A4B">
            <w:pPr>
              <w:spacing w:line="288" w:lineRule="auto"/>
              <w:ind w:left="-57"/>
              <w:rPr>
                <w:color w:val="000000" w:themeColor="text1"/>
                <w:sz w:val="20"/>
                <w:szCs w:val="20"/>
                <w:lang w:val="en-US"/>
              </w:rPr>
            </w:pPr>
            <w:r w:rsidRPr="001A4A7B">
              <w:rPr>
                <w:color w:val="000000" w:themeColor="text1"/>
                <w:sz w:val="20"/>
                <w:szCs w:val="20"/>
                <w:lang w:val="en-US"/>
              </w:rPr>
              <w:t>Kerosene</w:t>
            </w:r>
          </w:p>
        </w:tc>
        <w:tc>
          <w:tcPr>
            <w:tcW w:w="918" w:type="dxa"/>
            <w:tcBorders>
              <w:bottom w:val="single" w:sz="4" w:space="0" w:color="auto"/>
            </w:tcBorders>
            <w:shd w:val="clear" w:color="auto" w:fill="auto"/>
            <w:vAlign w:val="center"/>
          </w:tcPr>
          <w:p w14:paraId="5BD5B0EB" w14:textId="6E21752E"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13.372*</w:t>
            </w:r>
            <w:r w:rsidR="00766616" w:rsidRPr="001A4A7B">
              <w:rPr>
                <w:color w:val="000000" w:themeColor="text1"/>
                <w:sz w:val="20"/>
                <w:szCs w:val="20"/>
                <w:lang w:val="en-US"/>
              </w:rPr>
              <w:t>**</w:t>
            </w:r>
          </w:p>
        </w:tc>
        <w:tc>
          <w:tcPr>
            <w:tcW w:w="773" w:type="dxa"/>
            <w:tcBorders>
              <w:bottom w:val="single" w:sz="4" w:space="0" w:color="auto"/>
            </w:tcBorders>
            <w:shd w:val="clear" w:color="auto" w:fill="auto"/>
            <w:vAlign w:val="center"/>
          </w:tcPr>
          <w:p w14:paraId="2FF11E82" w14:textId="6A612159"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9.898</w:t>
            </w:r>
          </w:p>
        </w:tc>
        <w:tc>
          <w:tcPr>
            <w:tcW w:w="773" w:type="dxa"/>
            <w:tcBorders>
              <w:bottom w:val="single" w:sz="4" w:space="0" w:color="auto"/>
            </w:tcBorders>
            <w:shd w:val="clear" w:color="auto" w:fill="auto"/>
            <w:vAlign w:val="center"/>
          </w:tcPr>
          <w:p w14:paraId="502C33B9" w14:textId="07CE8D26"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6.052</w:t>
            </w:r>
          </w:p>
        </w:tc>
        <w:tc>
          <w:tcPr>
            <w:tcW w:w="773" w:type="dxa"/>
            <w:tcBorders>
              <w:bottom w:val="single" w:sz="4" w:space="0" w:color="auto"/>
              <w:right w:val="single" w:sz="4" w:space="0" w:color="auto"/>
            </w:tcBorders>
            <w:shd w:val="clear" w:color="auto" w:fill="auto"/>
            <w:vAlign w:val="center"/>
          </w:tcPr>
          <w:p w14:paraId="4AC91985" w14:textId="08BF513E"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4.702</w:t>
            </w:r>
          </w:p>
        </w:tc>
        <w:tc>
          <w:tcPr>
            <w:tcW w:w="1031" w:type="dxa"/>
            <w:tcBorders>
              <w:left w:val="single" w:sz="4" w:space="0" w:color="auto"/>
              <w:bottom w:val="single" w:sz="4" w:space="0" w:color="auto"/>
            </w:tcBorders>
            <w:shd w:val="clear" w:color="auto" w:fill="auto"/>
            <w:vAlign w:val="center"/>
          </w:tcPr>
          <w:p w14:paraId="1FE4F0F0" w14:textId="684C992E"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12.807</w:t>
            </w:r>
            <w:r w:rsidR="00766616" w:rsidRPr="001A4A7B">
              <w:rPr>
                <w:color w:val="000000" w:themeColor="text1"/>
                <w:sz w:val="20"/>
                <w:szCs w:val="20"/>
                <w:lang w:val="en-US"/>
              </w:rPr>
              <w:t>***</w:t>
            </w:r>
          </w:p>
        </w:tc>
        <w:tc>
          <w:tcPr>
            <w:tcW w:w="773" w:type="dxa"/>
            <w:tcBorders>
              <w:bottom w:val="single" w:sz="4" w:space="0" w:color="auto"/>
            </w:tcBorders>
            <w:shd w:val="clear" w:color="auto" w:fill="auto"/>
            <w:vAlign w:val="center"/>
          </w:tcPr>
          <w:p w14:paraId="2CFBF710" w14:textId="44F241D3"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8.292</w:t>
            </w:r>
          </w:p>
        </w:tc>
        <w:tc>
          <w:tcPr>
            <w:tcW w:w="851" w:type="dxa"/>
            <w:tcBorders>
              <w:bottom w:val="single" w:sz="4" w:space="0" w:color="auto"/>
            </w:tcBorders>
            <w:shd w:val="clear" w:color="auto" w:fill="auto"/>
            <w:vAlign w:val="center"/>
          </w:tcPr>
          <w:p w14:paraId="5941EC6A" w14:textId="01E11F84"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5.698</w:t>
            </w:r>
          </w:p>
        </w:tc>
        <w:tc>
          <w:tcPr>
            <w:tcW w:w="709" w:type="dxa"/>
            <w:tcBorders>
              <w:bottom w:val="single" w:sz="4" w:space="0" w:color="auto"/>
            </w:tcBorders>
            <w:shd w:val="clear" w:color="auto" w:fill="auto"/>
            <w:vAlign w:val="center"/>
          </w:tcPr>
          <w:p w14:paraId="511782E9" w14:textId="18381C45" w:rsidR="00766616" w:rsidRPr="001A4A7B" w:rsidRDefault="00445AAA" w:rsidP="00CE3A4B">
            <w:pPr>
              <w:spacing w:line="288" w:lineRule="auto"/>
              <w:jc w:val="center"/>
              <w:rPr>
                <w:color w:val="000000" w:themeColor="text1"/>
                <w:sz w:val="20"/>
                <w:szCs w:val="20"/>
                <w:lang w:val="en-US"/>
              </w:rPr>
            </w:pPr>
            <w:r w:rsidRPr="001A4A7B">
              <w:rPr>
                <w:color w:val="000000" w:themeColor="text1"/>
                <w:sz w:val="20"/>
                <w:szCs w:val="20"/>
                <w:lang w:val="en-US"/>
              </w:rPr>
              <w:t>4.526</w:t>
            </w:r>
          </w:p>
        </w:tc>
      </w:tr>
      <w:tr w:rsidR="006C4CB3" w:rsidRPr="001A4A7B" w14:paraId="7C1FFD62" w14:textId="77777777" w:rsidTr="00CE3A4B">
        <w:trPr>
          <w:gridAfter w:val="1"/>
          <w:wAfter w:w="709" w:type="dxa"/>
          <w:trHeight w:val="227"/>
        </w:trPr>
        <w:tc>
          <w:tcPr>
            <w:tcW w:w="7243" w:type="dxa"/>
            <w:gridSpan w:val="8"/>
            <w:tcBorders>
              <w:top w:val="single" w:sz="4" w:space="0" w:color="auto"/>
            </w:tcBorders>
            <w:shd w:val="clear" w:color="auto" w:fill="auto"/>
            <w:vAlign w:val="center"/>
          </w:tcPr>
          <w:p w14:paraId="194B1257" w14:textId="1C3027D8" w:rsidR="00766616" w:rsidRPr="001A4A7B" w:rsidRDefault="00766616" w:rsidP="00CE3A4B">
            <w:pPr>
              <w:spacing w:line="288" w:lineRule="auto"/>
              <w:rPr>
                <w:rStyle w:val="Refdecomentario"/>
                <w:color w:val="000000" w:themeColor="text1"/>
                <w:sz w:val="20"/>
                <w:szCs w:val="20"/>
                <w:lang w:val="en-US"/>
              </w:rPr>
            </w:pPr>
            <w:r w:rsidRPr="001A4A7B">
              <w:rPr>
                <w:rStyle w:val="Refdecomentario"/>
                <w:b/>
                <w:i/>
                <w:color w:val="000000" w:themeColor="text1"/>
                <w:sz w:val="20"/>
                <w:szCs w:val="20"/>
                <w:lang w:val="en-US"/>
              </w:rPr>
              <w:t>Note</w:t>
            </w:r>
            <w:r w:rsidRPr="001A4A7B">
              <w:rPr>
                <w:rStyle w:val="Refdecomentario"/>
                <w:b/>
                <w:color w:val="000000" w:themeColor="text1"/>
                <w:sz w:val="20"/>
                <w:szCs w:val="20"/>
                <w:lang w:val="en-US"/>
              </w:rPr>
              <w:t>:</w:t>
            </w:r>
            <w:r w:rsidRPr="001A4A7B">
              <w:rPr>
                <w:rStyle w:val="Refdecomentario"/>
                <w:color w:val="000000" w:themeColor="text1"/>
                <w:sz w:val="20"/>
                <w:szCs w:val="20"/>
                <w:lang w:val="en-US"/>
              </w:rPr>
              <w:t xml:space="preserve"> Lag orders are selected by </w:t>
            </w:r>
            <w:r w:rsidR="00F67E1F" w:rsidRPr="001A4A7B">
              <w:rPr>
                <w:rStyle w:val="Refdecomentario"/>
                <w:color w:val="000000" w:themeColor="text1"/>
                <w:sz w:val="20"/>
                <w:szCs w:val="20"/>
                <w:lang w:val="en-US"/>
              </w:rPr>
              <w:t>minimizing</w:t>
            </w:r>
            <w:r w:rsidRPr="001A4A7B">
              <w:rPr>
                <w:rStyle w:val="Refdecomentario"/>
                <w:color w:val="000000" w:themeColor="text1"/>
                <w:sz w:val="20"/>
                <w:szCs w:val="20"/>
                <w:lang w:val="en-US"/>
              </w:rPr>
              <w:t xml:space="preserve"> the </w:t>
            </w:r>
            <w:r w:rsidR="00A33E8B" w:rsidRPr="001A4A7B">
              <w:rPr>
                <w:rStyle w:val="Refdecomentario"/>
                <w:color w:val="000000" w:themeColor="text1"/>
                <w:sz w:val="20"/>
                <w:szCs w:val="20"/>
                <w:lang w:val="en-US"/>
              </w:rPr>
              <w:t xml:space="preserve">Schwarz </w:t>
            </w:r>
            <w:r w:rsidRPr="001A4A7B">
              <w:rPr>
                <w:rStyle w:val="Refdecomentario"/>
                <w:color w:val="000000" w:themeColor="text1"/>
                <w:sz w:val="20"/>
                <w:szCs w:val="20"/>
                <w:lang w:val="en-US"/>
              </w:rPr>
              <w:t>Information Criteria.</w:t>
            </w:r>
          </w:p>
          <w:p w14:paraId="700B49ED" w14:textId="77777777" w:rsidR="00766616" w:rsidRPr="001A4A7B" w:rsidRDefault="00766616" w:rsidP="00CE3A4B">
            <w:pPr>
              <w:spacing w:line="288" w:lineRule="auto"/>
              <w:rPr>
                <w:color w:val="000000" w:themeColor="text1"/>
                <w:sz w:val="20"/>
                <w:szCs w:val="20"/>
                <w:lang w:val="en-US"/>
              </w:rPr>
            </w:pPr>
            <w:r w:rsidRPr="001A4A7B">
              <w:rPr>
                <w:rStyle w:val="Refdecomentario"/>
                <w:color w:val="000000" w:themeColor="text1"/>
                <w:sz w:val="20"/>
                <w:szCs w:val="20"/>
                <w:lang w:val="en-US"/>
              </w:rPr>
              <w:t>***,**;* denotes significance at 1%, 5% and 10% respectively.</w:t>
            </w:r>
          </w:p>
        </w:tc>
      </w:tr>
    </w:tbl>
    <w:p w14:paraId="35C4BE9C" w14:textId="77777777" w:rsidR="00FD7661" w:rsidRPr="001A4A7B" w:rsidRDefault="00FD7661" w:rsidP="005C62A5">
      <w:pPr>
        <w:rPr>
          <w:color w:val="000000" w:themeColor="text1"/>
          <w:lang w:val="en-US" w:eastAsia="en-US"/>
        </w:rPr>
      </w:pPr>
    </w:p>
    <w:p w14:paraId="70B9A65B" w14:textId="49F7BB95" w:rsidR="00A4437B" w:rsidRPr="001A4A7B" w:rsidRDefault="00F67D76" w:rsidP="00AA1A63">
      <w:pPr>
        <w:spacing w:line="288" w:lineRule="auto"/>
        <w:ind w:firstLine="284"/>
        <w:jc w:val="both"/>
        <w:rPr>
          <w:color w:val="000000" w:themeColor="text1"/>
          <w:lang w:val="en-US"/>
        </w:rPr>
      </w:pPr>
      <w:r w:rsidRPr="001A4A7B">
        <w:rPr>
          <w:color w:val="000000" w:themeColor="text1"/>
          <w:lang w:val="en-US"/>
        </w:rPr>
        <w:t xml:space="preserve">The following Table 5 </w:t>
      </w:r>
      <w:r w:rsidR="00752592" w:rsidRPr="001A4A7B">
        <w:rPr>
          <w:color w:val="000000" w:themeColor="text1"/>
          <w:lang w:val="en-US"/>
        </w:rPr>
        <w:t>summarizes</w:t>
      </w:r>
      <w:r w:rsidRPr="001A4A7B">
        <w:rPr>
          <w:color w:val="000000" w:themeColor="text1"/>
          <w:lang w:val="en-US"/>
        </w:rPr>
        <w:t xml:space="preserve"> the results previously shown</w:t>
      </w:r>
      <w:r w:rsidR="00CF1A18" w:rsidRPr="001A4A7B">
        <w:rPr>
          <w:rStyle w:val="Refdenotaalpie"/>
          <w:color w:val="000000" w:themeColor="text1"/>
          <w:lang w:val="en-US"/>
        </w:rPr>
        <w:footnoteReference w:id="7"/>
      </w:r>
      <w:r w:rsidR="00013D9B" w:rsidRPr="001A4A7B">
        <w:rPr>
          <w:rStyle w:val="Refdenotaalpie"/>
          <w:color w:val="000000" w:themeColor="text1"/>
          <w:lang w:val="en-US"/>
        </w:rPr>
        <w:footnoteReference w:id="8"/>
      </w:r>
      <w:r w:rsidRPr="001A4A7B">
        <w:rPr>
          <w:color w:val="000000" w:themeColor="text1"/>
          <w:lang w:val="en-US"/>
        </w:rPr>
        <w:t xml:space="preserve">. First, the causalities of the overall effects are also found when asymmetries are allowed. In addition, these results show that the causalities differ depending on the nature of the shock in which the relationship is observed, demonstrating that an analysis that only contemplates the overall effects could be biased. </w:t>
      </w:r>
    </w:p>
    <w:p w14:paraId="3FE40FDB" w14:textId="2B411E66" w:rsidR="00976575" w:rsidRPr="001A4A7B" w:rsidRDefault="00976575" w:rsidP="00AA1A63">
      <w:pPr>
        <w:spacing w:line="288" w:lineRule="auto"/>
        <w:ind w:firstLine="284"/>
        <w:jc w:val="both"/>
        <w:rPr>
          <w:color w:val="000000" w:themeColor="text1"/>
          <w:lang w:val="en-U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7"/>
        <w:gridCol w:w="1509"/>
        <w:gridCol w:w="1961"/>
        <w:gridCol w:w="1955"/>
        <w:gridCol w:w="1666"/>
      </w:tblGrid>
      <w:tr w:rsidR="001A4A7B" w:rsidRPr="001A4A7B" w14:paraId="4BF4B03C" w14:textId="77777777" w:rsidTr="00B04825">
        <w:tc>
          <w:tcPr>
            <w:tcW w:w="6832" w:type="dxa"/>
            <w:gridSpan w:val="4"/>
          </w:tcPr>
          <w:p w14:paraId="4F848B14" w14:textId="77777777" w:rsidR="00976575" w:rsidRPr="001A4A7B" w:rsidRDefault="00976575" w:rsidP="00976575">
            <w:pPr>
              <w:spacing w:line="288" w:lineRule="auto"/>
              <w:ind w:firstLine="284"/>
              <w:jc w:val="both"/>
              <w:rPr>
                <w:color w:val="000000" w:themeColor="text1"/>
                <w:sz w:val="20"/>
                <w:szCs w:val="20"/>
                <w:lang w:val="en-US"/>
              </w:rPr>
            </w:pPr>
            <w:r w:rsidRPr="001A4A7B">
              <w:rPr>
                <w:color w:val="000000" w:themeColor="text1"/>
                <w:sz w:val="20"/>
                <w:szCs w:val="20"/>
                <w:lang w:val="en-US"/>
              </w:rPr>
              <w:t>Table 5. Summary of Results.</w:t>
            </w:r>
          </w:p>
        </w:tc>
        <w:tc>
          <w:tcPr>
            <w:tcW w:w="1666" w:type="dxa"/>
          </w:tcPr>
          <w:p w14:paraId="2AD86DB0" w14:textId="77777777" w:rsidR="00976575" w:rsidRPr="001A4A7B" w:rsidRDefault="00976575" w:rsidP="00976575">
            <w:pPr>
              <w:spacing w:line="288" w:lineRule="auto"/>
              <w:ind w:firstLine="284"/>
              <w:jc w:val="both"/>
              <w:rPr>
                <w:color w:val="000000" w:themeColor="text1"/>
                <w:sz w:val="20"/>
                <w:szCs w:val="20"/>
                <w:lang w:val="en-US"/>
              </w:rPr>
            </w:pPr>
          </w:p>
        </w:tc>
      </w:tr>
      <w:tr w:rsidR="001A4A7B" w:rsidRPr="001A4A7B" w14:paraId="18BE9F0F" w14:textId="77777777" w:rsidTr="00B04825">
        <w:tc>
          <w:tcPr>
            <w:tcW w:w="1407" w:type="dxa"/>
          </w:tcPr>
          <w:p w14:paraId="0519C997" w14:textId="77777777" w:rsidR="00976575" w:rsidRPr="001A4A7B" w:rsidRDefault="00976575" w:rsidP="00976575">
            <w:pPr>
              <w:spacing w:line="288" w:lineRule="auto"/>
              <w:ind w:firstLine="284"/>
              <w:jc w:val="both"/>
              <w:rPr>
                <w:color w:val="000000" w:themeColor="text1"/>
                <w:sz w:val="20"/>
                <w:szCs w:val="20"/>
                <w:lang w:val="en-US"/>
              </w:rPr>
            </w:pPr>
          </w:p>
        </w:tc>
        <w:tc>
          <w:tcPr>
            <w:tcW w:w="1509" w:type="dxa"/>
            <w:vAlign w:val="center"/>
          </w:tcPr>
          <w:p w14:paraId="49574686" w14:textId="77777777" w:rsidR="00976575" w:rsidRPr="001A4A7B" w:rsidRDefault="00976575" w:rsidP="00976575">
            <w:pPr>
              <w:spacing w:line="288" w:lineRule="auto"/>
              <w:ind w:firstLine="284"/>
              <w:jc w:val="both"/>
              <w:rPr>
                <w:color w:val="000000" w:themeColor="text1"/>
                <w:sz w:val="20"/>
                <w:szCs w:val="20"/>
                <w:lang w:val="en-US"/>
              </w:rPr>
            </w:pPr>
          </w:p>
        </w:tc>
        <w:tc>
          <w:tcPr>
            <w:tcW w:w="5582" w:type="dxa"/>
            <w:gridSpan w:val="3"/>
            <w:tcBorders>
              <w:bottom w:val="single" w:sz="4" w:space="0" w:color="auto"/>
            </w:tcBorders>
            <w:vAlign w:val="center"/>
          </w:tcPr>
          <w:p w14:paraId="34396403" w14:textId="77777777" w:rsidR="00976575" w:rsidRPr="001A4A7B" w:rsidRDefault="00976575" w:rsidP="00976575">
            <w:pPr>
              <w:spacing w:line="288" w:lineRule="auto"/>
              <w:ind w:firstLine="284"/>
              <w:jc w:val="both"/>
              <w:rPr>
                <w:color w:val="000000" w:themeColor="text1"/>
                <w:sz w:val="20"/>
                <w:szCs w:val="20"/>
                <w:lang w:val="en-US"/>
              </w:rPr>
            </w:pPr>
            <w:r w:rsidRPr="001A4A7B">
              <w:rPr>
                <w:color w:val="000000" w:themeColor="text1"/>
                <w:sz w:val="20"/>
                <w:szCs w:val="20"/>
                <w:lang w:val="en-US"/>
              </w:rPr>
              <w:t>Market integration</w:t>
            </w:r>
          </w:p>
        </w:tc>
      </w:tr>
      <w:tr w:rsidR="001A4A7B" w:rsidRPr="001A4A7B" w14:paraId="2617C585" w14:textId="77777777" w:rsidTr="00B04825">
        <w:tc>
          <w:tcPr>
            <w:tcW w:w="1407" w:type="dxa"/>
          </w:tcPr>
          <w:p w14:paraId="63E8BF5D" w14:textId="77777777" w:rsidR="00976575" w:rsidRPr="001A4A7B" w:rsidRDefault="00976575" w:rsidP="00976575">
            <w:pPr>
              <w:spacing w:line="288" w:lineRule="auto"/>
              <w:ind w:firstLine="284"/>
              <w:jc w:val="both"/>
              <w:rPr>
                <w:color w:val="000000" w:themeColor="text1"/>
                <w:sz w:val="20"/>
                <w:szCs w:val="20"/>
                <w:lang w:val="en-US"/>
              </w:rPr>
            </w:pPr>
          </w:p>
        </w:tc>
        <w:tc>
          <w:tcPr>
            <w:tcW w:w="1509" w:type="dxa"/>
            <w:tcBorders>
              <w:bottom w:val="single" w:sz="4" w:space="0" w:color="auto"/>
            </w:tcBorders>
            <w:vAlign w:val="center"/>
          </w:tcPr>
          <w:p w14:paraId="73024679" w14:textId="77777777" w:rsidR="00976575" w:rsidRPr="001A4A7B" w:rsidRDefault="00976575" w:rsidP="00976575">
            <w:pPr>
              <w:spacing w:line="288" w:lineRule="auto"/>
              <w:ind w:firstLine="284"/>
              <w:jc w:val="both"/>
              <w:rPr>
                <w:color w:val="000000" w:themeColor="text1"/>
                <w:sz w:val="20"/>
                <w:szCs w:val="20"/>
                <w:lang w:val="en-US"/>
              </w:rPr>
            </w:pPr>
          </w:p>
        </w:tc>
        <w:tc>
          <w:tcPr>
            <w:tcW w:w="1961" w:type="dxa"/>
            <w:tcBorders>
              <w:top w:val="single" w:sz="4" w:space="0" w:color="auto"/>
              <w:bottom w:val="single" w:sz="4" w:space="0" w:color="auto"/>
              <w:right w:val="single" w:sz="4" w:space="0" w:color="auto"/>
            </w:tcBorders>
            <w:vAlign w:val="center"/>
          </w:tcPr>
          <w:p w14:paraId="39567B2E" w14:textId="77777777" w:rsidR="00976575" w:rsidRPr="001A4A7B" w:rsidRDefault="00976575" w:rsidP="00976575">
            <w:pPr>
              <w:spacing w:line="288" w:lineRule="auto"/>
              <w:ind w:firstLine="284"/>
              <w:jc w:val="both"/>
              <w:rPr>
                <w:i/>
                <w:color w:val="000000" w:themeColor="text1"/>
                <w:sz w:val="20"/>
                <w:szCs w:val="20"/>
                <w:lang w:val="en-US"/>
              </w:rPr>
            </w:pPr>
            <w:r w:rsidRPr="001A4A7B">
              <w:rPr>
                <w:i/>
                <w:color w:val="000000" w:themeColor="text1"/>
                <w:sz w:val="20"/>
                <w:szCs w:val="20"/>
                <w:lang w:val="en-US"/>
              </w:rPr>
              <w:t>Supply-driven</w:t>
            </w:r>
          </w:p>
        </w:tc>
        <w:tc>
          <w:tcPr>
            <w:tcW w:w="1955" w:type="dxa"/>
            <w:tcBorders>
              <w:top w:val="single" w:sz="4" w:space="0" w:color="auto"/>
              <w:left w:val="single" w:sz="4" w:space="0" w:color="auto"/>
              <w:bottom w:val="single" w:sz="4" w:space="0" w:color="auto"/>
            </w:tcBorders>
            <w:vAlign w:val="center"/>
          </w:tcPr>
          <w:p w14:paraId="45C06ADA" w14:textId="77777777" w:rsidR="00976575" w:rsidRPr="001A4A7B" w:rsidRDefault="00976575" w:rsidP="00976575">
            <w:pPr>
              <w:spacing w:line="288" w:lineRule="auto"/>
              <w:ind w:firstLine="284"/>
              <w:jc w:val="both"/>
              <w:rPr>
                <w:i/>
                <w:color w:val="000000" w:themeColor="text1"/>
                <w:sz w:val="20"/>
                <w:szCs w:val="20"/>
                <w:lang w:val="en-US"/>
              </w:rPr>
            </w:pPr>
            <w:r w:rsidRPr="001A4A7B">
              <w:rPr>
                <w:i/>
                <w:color w:val="000000" w:themeColor="text1"/>
                <w:sz w:val="20"/>
                <w:szCs w:val="20"/>
                <w:lang w:val="en-US"/>
              </w:rPr>
              <w:t>Demand-driven</w:t>
            </w:r>
          </w:p>
        </w:tc>
        <w:tc>
          <w:tcPr>
            <w:tcW w:w="1666" w:type="dxa"/>
            <w:tcBorders>
              <w:top w:val="single" w:sz="4" w:space="0" w:color="auto"/>
              <w:left w:val="single" w:sz="4" w:space="0" w:color="auto"/>
              <w:bottom w:val="single" w:sz="4" w:space="0" w:color="auto"/>
            </w:tcBorders>
          </w:tcPr>
          <w:p w14:paraId="01D0108E" w14:textId="77777777" w:rsidR="00976575" w:rsidRPr="001A4A7B" w:rsidRDefault="00976575" w:rsidP="00976575">
            <w:pPr>
              <w:spacing w:line="288" w:lineRule="auto"/>
              <w:ind w:firstLine="284"/>
              <w:jc w:val="both"/>
              <w:rPr>
                <w:i/>
                <w:color w:val="000000" w:themeColor="text1"/>
                <w:sz w:val="20"/>
                <w:szCs w:val="20"/>
                <w:lang w:val="en-US"/>
              </w:rPr>
            </w:pPr>
            <w:r w:rsidRPr="001A4A7B">
              <w:rPr>
                <w:i/>
                <w:color w:val="000000" w:themeColor="text1"/>
                <w:sz w:val="20"/>
                <w:szCs w:val="20"/>
                <w:lang w:val="en-US"/>
              </w:rPr>
              <w:t>Supply- Demand-driven</w:t>
            </w:r>
          </w:p>
        </w:tc>
      </w:tr>
      <w:tr w:rsidR="001A4A7B" w:rsidRPr="001A4A7B" w14:paraId="1EBB81AE" w14:textId="77777777" w:rsidTr="00B04825">
        <w:tc>
          <w:tcPr>
            <w:tcW w:w="1407" w:type="dxa"/>
            <w:textDirection w:val="btLr"/>
            <w:vAlign w:val="bottom"/>
          </w:tcPr>
          <w:p w14:paraId="7901400E" w14:textId="77777777" w:rsidR="00976575" w:rsidRPr="001A4A7B" w:rsidRDefault="00976575" w:rsidP="00976575">
            <w:pPr>
              <w:spacing w:line="288" w:lineRule="auto"/>
              <w:ind w:firstLine="284"/>
              <w:jc w:val="both"/>
              <w:rPr>
                <w:color w:val="000000" w:themeColor="text1"/>
                <w:sz w:val="20"/>
                <w:szCs w:val="20"/>
                <w:lang w:val="en-US"/>
              </w:rPr>
            </w:pPr>
          </w:p>
        </w:tc>
        <w:tc>
          <w:tcPr>
            <w:tcW w:w="1509" w:type="dxa"/>
            <w:tcBorders>
              <w:top w:val="single" w:sz="4" w:space="0" w:color="auto"/>
              <w:bottom w:val="single" w:sz="4" w:space="0" w:color="auto"/>
              <w:right w:val="single" w:sz="4" w:space="0" w:color="auto"/>
            </w:tcBorders>
            <w:vAlign w:val="center"/>
          </w:tcPr>
          <w:p w14:paraId="40034788" w14:textId="77777777" w:rsidR="00976575" w:rsidRPr="001A4A7B" w:rsidRDefault="00976575" w:rsidP="00976575">
            <w:pPr>
              <w:spacing w:line="288" w:lineRule="auto"/>
              <w:ind w:firstLine="284"/>
              <w:jc w:val="both"/>
              <w:rPr>
                <w:i/>
                <w:color w:val="000000" w:themeColor="text1"/>
                <w:sz w:val="20"/>
                <w:szCs w:val="20"/>
                <w:lang w:val="en-US"/>
              </w:rPr>
            </w:pPr>
            <w:r w:rsidRPr="001A4A7B">
              <w:rPr>
                <w:i/>
                <w:color w:val="000000" w:themeColor="text1"/>
                <w:sz w:val="20"/>
                <w:szCs w:val="20"/>
                <w:lang w:val="en-US"/>
              </w:rPr>
              <w:t>Linear effects</w:t>
            </w:r>
          </w:p>
        </w:tc>
        <w:tc>
          <w:tcPr>
            <w:tcW w:w="1961" w:type="dxa"/>
            <w:tcBorders>
              <w:top w:val="single" w:sz="4" w:space="0" w:color="auto"/>
              <w:left w:val="single" w:sz="4" w:space="0" w:color="auto"/>
              <w:bottom w:val="single" w:sz="4" w:space="0" w:color="auto"/>
              <w:right w:val="single" w:sz="4" w:space="0" w:color="auto"/>
            </w:tcBorders>
            <w:vAlign w:val="center"/>
          </w:tcPr>
          <w:p w14:paraId="58DBFC5B" w14:textId="77777777" w:rsidR="00976575" w:rsidRPr="001A4A7B" w:rsidRDefault="00976575" w:rsidP="00976575">
            <w:pPr>
              <w:spacing w:line="288" w:lineRule="auto"/>
              <w:ind w:firstLine="284"/>
              <w:jc w:val="both"/>
              <w:rPr>
                <w:color w:val="000000" w:themeColor="text1"/>
                <w:sz w:val="20"/>
                <w:szCs w:val="20"/>
                <w:lang w:val="en-US"/>
              </w:rPr>
            </w:pPr>
            <w:r w:rsidRPr="001A4A7B">
              <w:rPr>
                <w:color w:val="000000" w:themeColor="text1"/>
                <w:sz w:val="20"/>
                <w:szCs w:val="20"/>
                <w:lang w:val="en-US"/>
              </w:rPr>
              <w:t>Heating Oil</w:t>
            </w:r>
          </w:p>
          <w:p w14:paraId="0A6D01A2" w14:textId="77777777" w:rsidR="00976575" w:rsidRPr="001A4A7B" w:rsidRDefault="00976575" w:rsidP="00976575">
            <w:pPr>
              <w:spacing w:line="288" w:lineRule="auto"/>
              <w:ind w:firstLine="284"/>
              <w:jc w:val="both"/>
              <w:rPr>
                <w:color w:val="000000" w:themeColor="text1"/>
                <w:sz w:val="20"/>
                <w:szCs w:val="20"/>
                <w:lang w:val="en-US"/>
              </w:rPr>
            </w:pPr>
            <w:r w:rsidRPr="001A4A7B">
              <w:rPr>
                <w:color w:val="000000" w:themeColor="text1"/>
                <w:sz w:val="20"/>
                <w:szCs w:val="20"/>
                <w:lang w:val="en-US"/>
              </w:rPr>
              <w:t>diesel</w:t>
            </w:r>
          </w:p>
        </w:tc>
        <w:tc>
          <w:tcPr>
            <w:tcW w:w="1955" w:type="dxa"/>
            <w:tcBorders>
              <w:top w:val="single" w:sz="4" w:space="0" w:color="auto"/>
              <w:left w:val="single" w:sz="4" w:space="0" w:color="auto"/>
              <w:bottom w:val="single" w:sz="4" w:space="0" w:color="auto"/>
            </w:tcBorders>
            <w:vAlign w:val="center"/>
          </w:tcPr>
          <w:p w14:paraId="12E45DC6" w14:textId="77777777" w:rsidR="00976575" w:rsidRPr="001A4A7B" w:rsidRDefault="00976575" w:rsidP="00976575">
            <w:pPr>
              <w:spacing w:line="288" w:lineRule="auto"/>
              <w:ind w:firstLine="284"/>
              <w:jc w:val="both"/>
              <w:rPr>
                <w:color w:val="000000" w:themeColor="text1"/>
                <w:sz w:val="20"/>
                <w:szCs w:val="20"/>
                <w:lang w:val="en-US"/>
              </w:rPr>
            </w:pPr>
            <w:r w:rsidRPr="001A4A7B">
              <w:rPr>
                <w:color w:val="000000" w:themeColor="text1"/>
                <w:sz w:val="20"/>
                <w:szCs w:val="20"/>
                <w:lang w:val="en-US"/>
              </w:rPr>
              <w:t>conventional gasoline</w:t>
            </w:r>
          </w:p>
        </w:tc>
        <w:tc>
          <w:tcPr>
            <w:tcW w:w="1666" w:type="dxa"/>
            <w:tcBorders>
              <w:top w:val="single" w:sz="4" w:space="0" w:color="auto"/>
              <w:left w:val="single" w:sz="4" w:space="0" w:color="auto"/>
              <w:bottom w:val="single" w:sz="4" w:space="0" w:color="auto"/>
            </w:tcBorders>
          </w:tcPr>
          <w:p w14:paraId="5DEE3810" w14:textId="77777777" w:rsidR="00976575" w:rsidRPr="001A4A7B" w:rsidRDefault="00976575" w:rsidP="00976575">
            <w:pPr>
              <w:spacing w:line="288" w:lineRule="auto"/>
              <w:ind w:firstLine="284"/>
              <w:jc w:val="both"/>
              <w:rPr>
                <w:color w:val="000000" w:themeColor="text1"/>
                <w:sz w:val="20"/>
                <w:szCs w:val="20"/>
                <w:lang w:val="en-US"/>
              </w:rPr>
            </w:pPr>
            <w:r w:rsidRPr="001A4A7B">
              <w:rPr>
                <w:color w:val="000000" w:themeColor="text1"/>
                <w:sz w:val="20"/>
                <w:szCs w:val="20"/>
                <w:lang w:val="en-US"/>
              </w:rPr>
              <w:t>RBOB</w:t>
            </w:r>
          </w:p>
          <w:p w14:paraId="16E9B46D" w14:textId="77777777" w:rsidR="00976575" w:rsidRPr="001A4A7B" w:rsidRDefault="00976575" w:rsidP="00976575">
            <w:pPr>
              <w:spacing w:line="288" w:lineRule="auto"/>
              <w:ind w:firstLine="284"/>
              <w:jc w:val="both"/>
              <w:rPr>
                <w:color w:val="000000" w:themeColor="text1"/>
                <w:sz w:val="20"/>
                <w:szCs w:val="20"/>
                <w:lang w:val="en-US"/>
              </w:rPr>
            </w:pPr>
            <w:r w:rsidRPr="001A4A7B">
              <w:rPr>
                <w:color w:val="000000" w:themeColor="text1"/>
                <w:sz w:val="20"/>
                <w:szCs w:val="20"/>
                <w:lang w:val="en-US"/>
              </w:rPr>
              <w:t>kerosene</w:t>
            </w:r>
          </w:p>
        </w:tc>
      </w:tr>
      <w:tr w:rsidR="001A4A7B" w:rsidRPr="001A4A7B" w14:paraId="7AE98993" w14:textId="77777777" w:rsidTr="00B04825">
        <w:tc>
          <w:tcPr>
            <w:tcW w:w="1407" w:type="dxa"/>
            <w:vMerge w:val="restart"/>
            <w:textDirection w:val="btLr"/>
            <w:vAlign w:val="bottom"/>
          </w:tcPr>
          <w:p w14:paraId="1A6AC003" w14:textId="77777777" w:rsidR="00976575" w:rsidRPr="001A4A7B" w:rsidRDefault="00976575" w:rsidP="00976575">
            <w:pPr>
              <w:spacing w:line="288" w:lineRule="auto"/>
              <w:ind w:firstLine="284"/>
              <w:jc w:val="both"/>
              <w:rPr>
                <w:color w:val="000000" w:themeColor="text1"/>
                <w:sz w:val="20"/>
                <w:szCs w:val="20"/>
                <w:lang w:val="en-US"/>
              </w:rPr>
            </w:pPr>
            <w:r w:rsidRPr="001A4A7B">
              <w:rPr>
                <w:color w:val="000000" w:themeColor="text1"/>
                <w:sz w:val="20"/>
                <w:szCs w:val="20"/>
                <w:lang w:val="en-US"/>
              </w:rPr>
              <w:lastRenderedPageBreak/>
              <w:t>Asymmetries</w:t>
            </w:r>
          </w:p>
        </w:tc>
        <w:tc>
          <w:tcPr>
            <w:tcW w:w="1509" w:type="dxa"/>
            <w:tcBorders>
              <w:top w:val="single" w:sz="4" w:space="0" w:color="auto"/>
              <w:bottom w:val="single" w:sz="4" w:space="0" w:color="auto"/>
              <w:right w:val="single" w:sz="4" w:space="0" w:color="auto"/>
            </w:tcBorders>
            <w:vAlign w:val="center"/>
          </w:tcPr>
          <w:p w14:paraId="0C54F7BA" w14:textId="77777777" w:rsidR="00976575" w:rsidRPr="001A4A7B" w:rsidRDefault="00976575" w:rsidP="00976575">
            <w:pPr>
              <w:spacing w:line="288" w:lineRule="auto"/>
              <w:ind w:firstLine="284"/>
              <w:jc w:val="both"/>
              <w:rPr>
                <w:i/>
                <w:color w:val="000000" w:themeColor="text1"/>
                <w:sz w:val="20"/>
                <w:szCs w:val="20"/>
                <w:lang w:val="en-US"/>
              </w:rPr>
            </w:pPr>
            <w:r w:rsidRPr="001A4A7B">
              <w:rPr>
                <w:i/>
                <w:color w:val="000000" w:themeColor="text1"/>
                <w:sz w:val="20"/>
                <w:szCs w:val="20"/>
                <w:lang w:val="en-US"/>
              </w:rPr>
              <w:t>Positive shocks</w:t>
            </w:r>
          </w:p>
        </w:tc>
        <w:tc>
          <w:tcPr>
            <w:tcW w:w="1961" w:type="dxa"/>
            <w:tcBorders>
              <w:top w:val="single" w:sz="4" w:space="0" w:color="auto"/>
              <w:left w:val="single" w:sz="4" w:space="0" w:color="auto"/>
              <w:bottom w:val="single" w:sz="4" w:space="0" w:color="auto"/>
              <w:right w:val="single" w:sz="4" w:space="0" w:color="auto"/>
            </w:tcBorders>
            <w:vAlign w:val="center"/>
          </w:tcPr>
          <w:p w14:paraId="32B05CBC" w14:textId="77777777" w:rsidR="00976575" w:rsidRPr="001A4A7B" w:rsidRDefault="00976575" w:rsidP="00976575">
            <w:pPr>
              <w:spacing w:line="288" w:lineRule="auto"/>
              <w:ind w:firstLine="284"/>
              <w:jc w:val="both"/>
              <w:rPr>
                <w:color w:val="000000" w:themeColor="text1"/>
                <w:sz w:val="20"/>
                <w:szCs w:val="20"/>
                <w:lang w:val="en-US"/>
              </w:rPr>
            </w:pPr>
            <w:r w:rsidRPr="001A4A7B">
              <w:rPr>
                <w:color w:val="000000" w:themeColor="text1"/>
                <w:sz w:val="20"/>
                <w:szCs w:val="20"/>
                <w:lang w:val="en-US"/>
              </w:rPr>
              <w:t>kerosene</w:t>
            </w:r>
          </w:p>
        </w:tc>
        <w:tc>
          <w:tcPr>
            <w:tcW w:w="1955" w:type="dxa"/>
            <w:tcBorders>
              <w:top w:val="single" w:sz="4" w:space="0" w:color="auto"/>
              <w:left w:val="single" w:sz="4" w:space="0" w:color="auto"/>
              <w:bottom w:val="single" w:sz="4" w:space="0" w:color="auto"/>
            </w:tcBorders>
            <w:vAlign w:val="center"/>
          </w:tcPr>
          <w:p w14:paraId="32E25AAF" w14:textId="77777777" w:rsidR="00976575" w:rsidRPr="001A4A7B" w:rsidRDefault="00976575" w:rsidP="00976575">
            <w:pPr>
              <w:spacing w:line="288" w:lineRule="auto"/>
              <w:ind w:firstLine="284"/>
              <w:jc w:val="both"/>
              <w:rPr>
                <w:color w:val="000000" w:themeColor="text1"/>
                <w:sz w:val="20"/>
                <w:szCs w:val="20"/>
                <w:lang w:val="en-US"/>
              </w:rPr>
            </w:pPr>
            <w:r w:rsidRPr="001A4A7B">
              <w:rPr>
                <w:color w:val="000000" w:themeColor="text1"/>
                <w:sz w:val="20"/>
                <w:szCs w:val="20"/>
                <w:lang w:val="en-US"/>
              </w:rPr>
              <w:t>RBOB</w:t>
            </w:r>
          </w:p>
        </w:tc>
        <w:tc>
          <w:tcPr>
            <w:tcW w:w="1666" w:type="dxa"/>
            <w:tcBorders>
              <w:top w:val="single" w:sz="4" w:space="0" w:color="auto"/>
              <w:left w:val="single" w:sz="4" w:space="0" w:color="auto"/>
              <w:bottom w:val="single" w:sz="4" w:space="0" w:color="auto"/>
            </w:tcBorders>
          </w:tcPr>
          <w:p w14:paraId="30BDC2DE" w14:textId="77777777" w:rsidR="00976575" w:rsidRPr="001A4A7B" w:rsidRDefault="00976575" w:rsidP="00976575">
            <w:pPr>
              <w:spacing w:line="288" w:lineRule="auto"/>
              <w:ind w:firstLine="284"/>
              <w:jc w:val="both"/>
              <w:rPr>
                <w:color w:val="000000" w:themeColor="text1"/>
                <w:sz w:val="20"/>
                <w:szCs w:val="20"/>
                <w:lang w:val="en-US"/>
              </w:rPr>
            </w:pPr>
          </w:p>
        </w:tc>
      </w:tr>
      <w:tr w:rsidR="00976575" w:rsidRPr="001A4A7B" w14:paraId="0B1F7C2F" w14:textId="77777777" w:rsidTr="00B04825">
        <w:tc>
          <w:tcPr>
            <w:tcW w:w="1407" w:type="dxa"/>
            <w:vMerge/>
          </w:tcPr>
          <w:p w14:paraId="6C4FBED1" w14:textId="77777777" w:rsidR="00976575" w:rsidRPr="001A4A7B" w:rsidRDefault="00976575" w:rsidP="00976575">
            <w:pPr>
              <w:spacing w:line="288" w:lineRule="auto"/>
              <w:ind w:firstLine="284"/>
              <w:jc w:val="both"/>
              <w:rPr>
                <w:color w:val="000000" w:themeColor="text1"/>
                <w:sz w:val="20"/>
                <w:szCs w:val="20"/>
                <w:lang w:val="en-US"/>
              </w:rPr>
            </w:pPr>
          </w:p>
        </w:tc>
        <w:tc>
          <w:tcPr>
            <w:tcW w:w="1509" w:type="dxa"/>
            <w:tcBorders>
              <w:top w:val="single" w:sz="4" w:space="0" w:color="auto"/>
              <w:bottom w:val="single" w:sz="4" w:space="0" w:color="auto"/>
              <w:right w:val="single" w:sz="4" w:space="0" w:color="auto"/>
            </w:tcBorders>
            <w:vAlign w:val="center"/>
          </w:tcPr>
          <w:p w14:paraId="4A583FDA" w14:textId="77777777" w:rsidR="00976575" w:rsidRPr="001A4A7B" w:rsidRDefault="00976575" w:rsidP="00976575">
            <w:pPr>
              <w:spacing w:line="288" w:lineRule="auto"/>
              <w:ind w:firstLine="284"/>
              <w:jc w:val="both"/>
              <w:rPr>
                <w:i/>
                <w:color w:val="000000" w:themeColor="text1"/>
                <w:sz w:val="20"/>
                <w:szCs w:val="20"/>
                <w:lang w:val="en-US"/>
              </w:rPr>
            </w:pPr>
            <w:r w:rsidRPr="001A4A7B">
              <w:rPr>
                <w:i/>
                <w:color w:val="000000" w:themeColor="text1"/>
                <w:sz w:val="20"/>
                <w:szCs w:val="20"/>
                <w:lang w:val="en-US"/>
              </w:rPr>
              <w:t>Negative shocks</w:t>
            </w:r>
          </w:p>
        </w:tc>
        <w:tc>
          <w:tcPr>
            <w:tcW w:w="1961" w:type="dxa"/>
            <w:tcBorders>
              <w:top w:val="single" w:sz="4" w:space="0" w:color="auto"/>
              <w:left w:val="single" w:sz="4" w:space="0" w:color="auto"/>
              <w:bottom w:val="single" w:sz="4" w:space="0" w:color="auto"/>
              <w:right w:val="single" w:sz="4" w:space="0" w:color="auto"/>
            </w:tcBorders>
            <w:vAlign w:val="center"/>
          </w:tcPr>
          <w:p w14:paraId="369665A3" w14:textId="77777777" w:rsidR="00976575" w:rsidRPr="001A4A7B" w:rsidRDefault="00976575" w:rsidP="00976575">
            <w:pPr>
              <w:spacing w:line="288" w:lineRule="auto"/>
              <w:ind w:firstLine="284"/>
              <w:jc w:val="both"/>
              <w:rPr>
                <w:color w:val="000000" w:themeColor="text1"/>
                <w:sz w:val="20"/>
                <w:szCs w:val="20"/>
                <w:lang w:val="en-US"/>
              </w:rPr>
            </w:pPr>
            <w:r w:rsidRPr="001A4A7B">
              <w:rPr>
                <w:color w:val="000000" w:themeColor="text1"/>
                <w:sz w:val="20"/>
                <w:szCs w:val="20"/>
                <w:lang w:val="en-US"/>
              </w:rPr>
              <w:t>RBOB</w:t>
            </w:r>
          </w:p>
          <w:p w14:paraId="42C5F714" w14:textId="77777777" w:rsidR="00976575" w:rsidRPr="001A4A7B" w:rsidRDefault="00976575" w:rsidP="00976575">
            <w:pPr>
              <w:spacing w:line="288" w:lineRule="auto"/>
              <w:ind w:firstLine="284"/>
              <w:jc w:val="both"/>
              <w:rPr>
                <w:color w:val="000000" w:themeColor="text1"/>
                <w:sz w:val="20"/>
                <w:szCs w:val="20"/>
                <w:lang w:val="en-US"/>
              </w:rPr>
            </w:pPr>
            <w:r w:rsidRPr="001A4A7B">
              <w:rPr>
                <w:color w:val="000000" w:themeColor="text1"/>
                <w:sz w:val="20"/>
                <w:szCs w:val="20"/>
                <w:lang w:val="en-US"/>
              </w:rPr>
              <w:t>Heating Oil</w:t>
            </w:r>
          </w:p>
          <w:p w14:paraId="3FA4A470" w14:textId="77777777" w:rsidR="00976575" w:rsidRPr="001A4A7B" w:rsidRDefault="00976575" w:rsidP="00976575">
            <w:pPr>
              <w:spacing w:line="288" w:lineRule="auto"/>
              <w:ind w:firstLine="284"/>
              <w:jc w:val="both"/>
              <w:rPr>
                <w:color w:val="000000" w:themeColor="text1"/>
                <w:sz w:val="20"/>
                <w:szCs w:val="20"/>
                <w:lang w:val="en-US"/>
              </w:rPr>
            </w:pPr>
            <w:r w:rsidRPr="001A4A7B">
              <w:rPr>
                <w:color w:val="000000" w:themeColor="text1"/>
                <w:sz w:val="20"/>
                <w:szCs w:val="20"/>
                <w:lang w:val="en-US"/>
              </w:rPr>
              <w:t>diesel</w:t>
            </w:r>
          </w:p>
        </w:tc>
        <w:tc>
          <w:tcPr>
            <w:tcW w:w="1955" w:type="dxa"/>
            <w:tcBorders>
              <w:top w:val="single" w:sz="4" w:space="0" w:color="auto"/>
              <w:left w:val="single" w:sz="4" w:space="0" w:color="auto"/>
              <w:bottom w:val="single" w:sz="4" w:space="0" w:color="auto"/>
            </w:tcBorders>
            <w:vAlign w:val="center"/>
          </w:tcPr>
          <w:p w14:paraId="2A45454A" w14:textId="77777777" w:rsidR="00976575" w:rsidRPr="001A4A7B" w:rsidRDefault="00976575" w:rsidP="00976575">
            <w:pPr>
              <w:spacing w:line="288" w:lineRule="auto"/>
              <w:ind w:firstLine="284"/>
              <w:jc w:val="both"/>
              <w:rPr>
                <w:color w:val="000000" w:themeColor="text1"/>
                <w:sz w:val="20"/>
                <w:szCs w:val="20"/>
                <w:lang w:val="en-US"/>
              </w:rPr>
            </w:pPr>
          </w:p>
        </w:tc>
        <w:tc>
          <w:tcPr>
            <w:tcW w:w="1666" w:type="dxa"/>
            <w:tcBorders>
              <w:top w:val="single" w:sz="4" w:space="0" w:color="auto"/>
              <w:left w:val="single" w:sz="4" w:space="0" w:color="auto"/>
              <w:bottom w:val="single" w:sz="4" w:space="0" w:color="auto"/>
            </w:tcBorders>
          </w:tcPr>
          <w:p w14:paraId="3E7FF13D" w14:textId="77777777" w:rsidR="00976575" w:rsidRPr="001A4A7B" w:rsidRDefault="00976575" w:rsidP="00976575">
            <w:pPr>
              <w:spacing w:line="288" w:lineRule="auto"/>
              <w:ind w:firstLine="284"/>
              <w:jc w:val="both"/>
              <w:rPr>
                <w:color w:val="000000" w:themeColor="text1"/>
                <w:sz w:val="20"/>
                <w:szCs w:val="20"/>
                <w:lang w:val="en-US"/>
              </w:rPr>
            </w:pPr>
            <w:r w:rsidRPr="001A4A7B">
              <w:rPr>
                <w:color w:val="000000" w:themeColor="text1"/>
                <w:sz w:val="20"/>
                <w:szCs w:val="20"/>
                <w:lang w:val="en-US"/>
              </w:rPr>
              <w:t>conventional gasoline</w:t>
            </w:r>
          </w:p>
          <w:p w14:paraId="4D568454" w14:textId="77777777" w:rsidR="00976575" w:rsidRPr="001A4A7B" w:rsidRDefault="00976575" w:rsidP="00976575">
            <w:pPr>
              <w:spacing w:line="288" w:lineRule="auto"/>
              <w:ind w:firstLine="284"/>
              <w:jc w:val="both"/>
              <w:rPr>
                <w:color w:val="000000" w:themeColor="text1"/>
                <w:sz w:val="20"/>
                <w:szCs w:val="20"/>
                <w:lang w:val="en-US"/>
              </w:rPr>
            </w:pPr>
            <w:r w:rsidRPr="001A4A7B">
              <w:rPr>
                <w:color w:val="000000" w:themeColor="text1"/>
                <w:sz w:val="20"/>
                <w:szCs w:val="20"/>
                <w:lang w:val="en-US"/>
              </w:rPr>
              <w:t>kerosene</w:t>
            </w:r>
          </w:p>
        </w:tc>
      </w:tr>
    </w:tbl>
    <w:p w14:paraId="7C3800B9" w14:textId="77777777" w:rsidR="00976575" w:rsidRPr="001A4A7B" w:rsidRDefault="00976575" w:rsidP="00AA1A63">
      <w:pPr>
        <w:spacing w:line="288" w:lineRule="auto"/>
        <w:ind w:firstLine="284"/>
        <w:jc w:val="both"/>
        <w:rPr>
          <w:color w:val="000000" w:themeColor="text1"/>
          <w:lang w:val="en-US"/>
        </w:rPr>
      </w:pPr>
    </w:p>
    <w:p w14:paraId="53D162E1" w14:textId="77777777" w:rsidR="00A4437B" w:rsidRPr="001A4A7B" w:rsidRDefault="00A4437B" w:rsidP="00AA1A63">
      <w:pPr>
        <w:spacing w:line="288" w:lineRule="auto"/>
        <w:ind w:firstLine="284"/>
        <w:jc w:val="both"/>
        <w:rPr>
          <w:color w:val="000000" w:themeColor="text1"/>
          <w:lang w:val="en-US"/>
        </w:rPr>
      </w:pPr>
    </w:p>
    <w:p w14:paraId="598A76BE" w14:textId="77777777" w:rsidR="005C093B" w:rsidRPr="001A4A7B" w:rsidRDefault="00F67D76" w:rsidP="005C093B">
      <w:pPr>
        <w:spacing w:line="288" w:lineRule="auto"/>
        <w:ind w:firstLine="284"/>
        <w:jc w:val="both"/>
        <w:rPr>
          <w:color w:val="000000" w:themeColor="text1"/>
          <w:lang w:val="en-US"/>
        </w:rPr>
      </w:pPr>
      <w:r w:rsidRPr="001A4A7B">
        <w:rPr>
          <w:color w:val="000000" w:themeColor="text1"/>
          <w:lang w:val="en-US"/>
        </w:rPr>
        <w:t xml:space="preserve">In this regard, we can see a mix of results, following a heterogeneous pattern and revealing the need to study the asymmetries regarding the causal relationships given. </w:t>
      </w:r>
      <w:r w:rsidR="00A33E8B" w:rsidRPr="001A4A7B">
        <w:rPr>
          <w:color w:val="000000" w:themeColor="text1"/>
          <w:lang w:val="en-US"/>
        </w:rPr>
        <w:t>In this sense, our results suggest the dependent role of crude oil, represented in each type of integration, i.e., supply-driven and demand-driven market integration, when assessing the effects of linear relation or positive and negative shocks</w:t>
      </w:r>
      <w:r w:rsidRPr="001A4A7B">
        <w:rPr>
          <w:color w:val="000000" w:themeColor="text1"/>
          <w:lang w:val="en-US"/>
        </w:rPr>
        <w:t>.</w:t>
      </w:r>
      <w:r w:rsidR="00AA1A63" w:rsidRPr="001A4A7B">
        <w:rPr>
          <w:color w:val="000000" w:themeColor="text1"/>
          <w:lang w:val="en-US"/>
        </w:rPr>
        <w:t xml:space="preserve"> </w:t>
      </w:r>
      <w:r w:rsidRPr="001A4A7B">
        <w:rPr>
          <w:color w:val="000000" w:themeColor="text1"/>
          <w:lang w:val="en-US"/>
        </w:rPr>
        <w:t xml:space="preserve">Furthermore, </w:t>
      </w:r>
      <w:r w:rsidR="00A33E8B" w:rsidRPr="001A4A7B">
        <w:rPr>
          <w:color w:val="000000" w:themeColor="text1"/>
          <w:lang w:val="en-US"/>
        </w:rPr>
        <w:t xml:space="preserve">our results indicate that all refined products would be under supply-driven market integration when negative shocks occur. </w:t>
      </w:r>
      <w:r w:rsidRPr="001A4A7B">
        <w:rPr>
          <w:color w:val="000000" w:themeColor="text1"/>
          <w:lang w:val="en-US"/>
        </w:rPr>
        <w:t xml:space="preserve">On the other, </w:t>
      </w:r>
      <w:r w:rsidR="00A020F8" w:rsidRPr="001A4A7B">
        <w:rPr>
          <w:color w:val="000000" w:themeColor="text1"/>
          <w:lang w:val="en-US"/>
        </w:rPr>
        <w:t>c</w:t>
      </w:r>
      <w:r w:rsidRPr="001A4A7B">
        <w:rPr>
          <w:color w:val="000000" w:themeColor="text1"/>
          <w:lang w:val="en-US"/>
        </w:rPr>
        <w:t xml:space="preserve">onventional gasoline joints to kerosene are also placed on the side of demand-driven market integration. In this respect, it catches the eye that, in contrast to linear effects where </w:t>
      </w:r>
      <w:r w:rsidR="006378BF" w:rsidRPr="001A4A7B">
        <w:rPr>
          <w:color w:val="000000" w:themeColor="text1"/>
          <w:lang w:val="en-US"/>
        </w:rPr>
        <w:t>c</w:t>
      </w:r>
      <w:r w:rsidRPr="001A4A7B">
        <w:rPr>
          <w:color w:val="000000" w:themeColor="text1"/>
          <w:lang w:val="en-US"/>
        </w:rPr>
        <w:t xml:space="preserve">onventional gasoline is only situated under the demand-driven market integration when the negative effects make their appearance, </w:t>
      </w:r>
      <w:r w:rsidR="009F0E83" w:rsidRPr="001A4A7B">
        <w:rPr>
          <w:color w:val="000000" w:themeColor="text1"/>
          <w:lang w:val="en-US"/>
        </w:rPr>
        <w:t>c</w:t>
      </w:r>
      <w:r w:rsidRPr="001A4A7B">
        <w:rPr>
          <w:color w:val="000000" w:themeColor="text1"/>
          <w:lang w:val="en-US"/>
        </w:rPr>
        <w:t>onventional gasoline prices become fully integrated.</w:t>
      </w:r>
      <w:r w:rsidR="00A4437B" w:rsidRPr="001A4A7B">
        <w:rPr>
          <w:color w:val="000000" w:themeColor="text1"/>
          <w:lang w:val="en-US"/>
        </w:rPr>
        <w:t xml:space="preserve"> </w:t>
      </w:r>
    </w:p>
    <w:p w14:paraId="2F591B9E" w14:textId="77777777" w:rsidR="005C093B" w:rsidRPr="001A4A7B" w:rsidRDefault="005C093B" w:rsidP="005C093B">
      <w:pPr>
        <w:spacing w:line="288" w:lineRule="auto"/>
        <w:ind w:firstLine="284"/>
        <w:jc w:val="both"/>
        <w:rPr>
          <w:color w:val="000000" w:themeColor="text1"/>
          <w:lang w:val="en-US"/>
        </w:rPr>
      </w:pPr>
    </w:p>
    <w:p w14:paraId="49210200" w14:textId="0E3FE1D0" w:rsidR="00AC33A5" w:rsidRPr="001A4A7B" w:rsidRDefault="00A4437B" w:rsidP="00494401">
      <w:pPr>
        <w:spacing w:line="288" w:lineRule="auto"/>
        <w:ind w:firstLine="284"/>
        <w:jc w:val="both"/>
        <w:rPr>
          <w:color w:val="000000" w:themeColor="text1"/>
          <w:lang w:val="en-US"/>
        </w:rPr>
      </w:pPr>
      <w:r w:rsidRPr="001A4A7B">
        <w:rPr>
          <w:color w:val="000000" w:themeColor="text1"/>
          <w:lang w:val="en-US"/>
        </w:rPr>
        <w:t xml:space="preserve">Finally, concerning the </w:t>
      </w:r>
      <w:r w:rsidR="005C093B" w:rsidRPr="001A4A7B">
        <w:rPr>
          <w:color w:val="000000" w:themeColor="text1"/>
          <w:lang w:val="en-US"/>
        </w:rPr>
        <w:t>existence of asymmetries</w:t>
      </w:r>
      <w:r w:rsidRPr="001A4A7B">
        <w:rPr>
          <w:color w:val="000000" w:themeColor="text1"/>
          <w:lang w:val="en-US"/>
        </w:rPr>
        <w:t>, our results align with</w:t>
      </w:r>
      <w:r w:rsidR="005C093B" w:rsidRPr="001A4A7B">
        <w:rPr>
          <w:color w:val="000000" w:themeColor="text1"/>
          <w:lang w:val="en-US"/>
        </w:rPr>
        <w:t xml:space="preserve"> those of</w:t>
      </w:r>
      <w:r w:rsidRPr="001A4A7B">
        <w:rPr>
          <w:color w:val="000000" w:themeColor="text1"/>
          <w:lang w:val="en-US"/>
        </w:rPr>
        <w:t xml:space="preserve"> Karali and Ramirez (2014). Thereby, the crude oil effect on refined products is more significant and more persistent during bearish markets than bullish ones.</w:t>
      </w:r>
      <w:r w:rsidR="005C093B" w:rsidRPr="001A4A7B">
        <w:rPr>
          <w:color w:val="000000" w:themeColor="text1"/>
          <w:lang w:val="en-US"/>
        </w:rPr>
        <w:t xml:space="preserve"> These findings provide some interesting information for policymakers and practitioners, being important to consider policies in favour of consuming or producing one product over another, depending on the market conditions at a given moment.</w:t>
      </w:r>
      <w:r w:rsidR="00494401" w:rsidRPr="001A4A7B">
        <w:rPr>
          <w:color w:val="000000" w:themeColor="text1"/>
          <w:lang w:val="en-US"/>
        </w:rPr>
        <w:t xml:space="preserve"> </w:t>
      </w:r>
      <w:r w:rsidR="00AC33A5" w:rsidRPr="001A4A7B">
        <w:rPr>
          <w:color w:val="000000" w:themeColor="text1"/>
          <w:lang w:val="en-US"/>
        </w:rPr>
        <w:t>Additionally, we know that effective competition in the market relies heavily on the information available to concerned parties. Consequently, government policies designed for informing about the different prices in real time may be a good measure to influence price asymmetries.</w:t>
      </w:r>
    </w:p>
    <w:p w14:paraId="380B20C1" w14:textId="77777777" w:rsidR="0028644D" w:rsidRPr="001A4A7B" w:rsidRDefault="0028644D" w:rsidP="00C47284">
      <w:pPr>
        <w:spacing w:line="288" w:lineRule="auto"/>
        <w:jc w:val="both"/>
        <w:rPr>
          <w:color w:val="000000" w:themeColor="text1"/>
          <w:lang w:val="en-US"/>
        </w:rPr>
      </w:pPr>
    </w:p>
    <w:p w14:paraId="334F8122" w14:textId="77777777" w:rsidR="003A2F85" w:rsidRPr="001A4A7B" w:rsidRDefault="003A2F85" w:rsidP="00C47284">
      <w:pPr>
        <w:widowControl w:val="0"/>
        <w:autoSpaceDE w:val="0"/>
        <w:autoSpaceDN w:val="0"/>
        <w:adjustRightInd w:val="0"/>
        <w:spacing w:after="240"/>
        <w:jc w:val="both"/>
        <w:rPr>
          <w:b/>
          <w:color w:val="000000" w:themeColor="text1"/>
          <w:lang w:val="en-US"/>
        </w:rPr>
      </w:pPr>
      <w:r w:rsidRPr="001A4A7B">
        <w:rPr>
          <w:b/>
          <w:color w:val="000000" w:themeColor="text1"/>
          <w:lang w:val="en-US"/>
        </w:rPr>
        <w:t>5. Conclusions</w:t>
      </w:r>
    </w:p>
    <w:p w14:paraId="1883C410" w14:textId="7F466E67" w:rsidR="008313BF" w:rsidRPr="001A4A7B" w:rsidRDefault="00794ECC" w:rsidP="00794ECC">
      <w:pPr>
        <w:spacing w:line="288" w:lineRule="auto"/>
        <w:ind w:firstLine="284"/>
        <w:jc w:val="both"/>
        <w:rPr>
          <w:color w:val="000000" w:themeColor="text1"/>
          <w:lang w:val="en-US"/>
        </w:rPr>
      </w:pPr>
      <w:r w:rsidRPr="001A4A7B">
        <w:rPr>
          <w:color w:val="000000" w:themeColor="text1"/>
          <w:lang w:val="en-US"/>
        </w:rPr>
        <w:t xml:space="preserve">The </w:t>
      </w:r>
      <w:r w:rsidR="00C441D0" w:rsidRPr="001A4A7B">
        <w:rPr>
          <w:color w:val="000000" w:themeColor="text1"/>
          <w:lang w:val="en-US"/>
        </w:rPr>
        <w:t>paper</w:t>
      </w:r>
      <w:r w:rsidRPr="001A4A7B">
        <w:rPr>
          <w:color w:val="000000" w:themeColor="text1"/>
          <w:lang w:val="en-US"/>
        </w:rPr>
        <w:t xml:space="preserve"> addressed to analyze the causality relationship is a set of alternative tests that reveals Granger causality considering asymmetries in the relationships, following the approaches by Toda and Yamamoto (1995) and Hatemi-J (2012). This paper provides evidence to previous empirical studies by analyzing the asymmetric behaviour of the relationship between crude oil price and the price of its refined products</w:t>
      </w:r>
      <w:r w:rsidR="00133030" w:rsidRPr="001A4A7B">
        <w:rPr>
          <w:color w:val="000000" w:themeColor="text1"/>
          <w:lang w:val="en-US"/>
        </w:rPr>
        <w:t>, which play a pivotal role in the global economy and remains at the core of energy markets (Fazelabdolabadi, 2019).</w:t>
      </w:r>
      <w:r w:rsidRPr="001A4A7B">
        <w:rPr>
          <w:color w:val="000000" w:themeColor="text1"/>
          <w:lang w:val="en-US"/>
        </w:rPr>
        <w:t xml:space="preserve"> Furthermore, as previously mentioned in the literature review section, the shocks in different economic sectors caused by ‘Ukraine – Russian war’ and, significantly, the COVID-19 pandemic and the measures applied by governments have impacted crude oil prices differently and refined products.</w:t>
      </w:r>
      <w:r w:rsidR="005E0C0F" w:rsidRPr="001A4A7B">
        <w:rPr>
          <w:color w:val="000000" w:themeColor="text1"/>
          <w:lang w:val="en-US"/>
        </w:rPr>
        <w:t xml:space="preserve"> Thus, we have to highlight that the period analyzed covers several financially risky economic events, such as the global </w:t>
      </w:r>
      <w:r w:rsidR="005E0C0F" w:rsidRPr="001A4A7B">
        <w:rPr>
          <w:color w:val="000000" w:themeColor="text1"/>
          <w:lang w:val="en-US"/>
        </w:rPr>
        <w:lastRenderedPageBreak/>
        <w:t>financial crisis and rises in tight oil production, and the abovementioned recent geopolitical events.</w:t>
      </w:r>
    </w:p>
    <w:p w14:paraId="12054FB0" w14:textId="77777777" w:rsidR="008313BF" w:rsidRPr="001A4A7B" w:rsidRDefault="008313BF" w:rsidP="00794ECC">
      <w:pPr>
        <w:spacing w:line="288" w:lineRule="auto"/>
        <w:ind w:firstLine="284"/>
        <w:jc w:val="both"/>
        <w:rPr>
          <w:color w:val="000000" w:themeColor="text1"/>
          <w:lang w:val="en-US"/>
        </w:rPr>
      </w:pPr>
    </w:p>
    <w:p w14:paraId="70CEDD6A" w14:textId="08FB13B5" w:rsidR="008313BF" w:rsidRPr="001A4A7B" w:rsidRDefault="008313BF" w:rsidP="00794ECC">
      <w:pPr>
        <w:spacing w:line="288" w:lineRule="auto"/>
        <w:ind w:firstLine="284"/>
        <w:jc w:val="both"/>
        <w:rPr>
          <w:color w:val="000000" w:themeColor="text1"/>
          <w:lang w:val="en-US"/>
        </w:rPr>
      </w:pPr>
      <w:r w:rsidRPr="001A4A7B">
        <w:rPr>
          <w:color w:val="000000" w:themeColor="text1"/>
          <w:lang w:val="en-US"/>
        </w:rPr>
        <w:t xml:space="preserve">As Karagiannis et al. (2015) stated, symmetry in crude oil and refined products prices might be viewed </w:t>
      </w:r>
      <w:r w:rsidR="00494949" w:rsidRPr="001A4A7B">
        <w:rPr>
          <w:color w:val="000000" w:themeColor="text1"/>
          <w:lang w:val="en-US"/>
        </w:rPr>
        <w:t>because of</w:t>
      </w:r>
      <w:r w:rsidRPr="001A4A7B">
        <w:rPr>
          <w:color w:val="000000" w:themeColor="text1"/>
          <w:lang w:val="en-US"/>
        </w:rPr>
        <w:t xml:space="preserve"> an effective regulatory policy of the energy sector in an economy. Indeed, the remarkable nature of our results let us identify heterogeneity in the pattern of refined products concerning the causality</w:t>
      </w:r>
      <w:r w:rsidR="00270478" w:rsidRPr="001A4A7B">
        <w:rPr>
          <w:color w:val="000000" w:themeColor="text1"/>
          <w:lang w:val="en-US"/>
        </w:rPr>
        <w:t xml:space="preserve"> </w:t>
      </w:r>
      <w:r w:rsidRPr="001A4A7B">
        <w:rPr>
          <w:color w:val="000000" w:themeColor="text1"/>
          <w:lang w:val="en-US"/>
        </w:rPr>
        <w:t>versus</w:t>
      </w:r>
      <w:r w:rsidR="00270478" w:rsidRPr="001A4A7B">
        <w:rPr>
          <w:color w:val="000000" w:themeColor="text1"/>
          <w:lang w:val="en-US"/>
        </w:rPr>
        <w:t xml:space="preserve"> </w:t>
      </w:r>
      <w:r w:rsidRPr="001A4A7B">
        <w:rPr>
          <w:color w:val="000000" w:themeColor="text1"/>
          <w:lang w:val="en-US"/>
        </w:rPr>
        <w:t>WTI, revealing the opportuneness of studying the asymmetries regarding the causal relationships given. In line with Tiwari et al. (2021), the presence of asymmetries could be explained by the different arrangements between every link in the chain in the energy markets, provoking an extra payment of costs. On this point, the dependent role to crude oil of kerosene is represented in each type of market integration, i.e., it appears as a result in the supply-driven and the demand-driven market integration, when measuring the effects of linear relation or positive and negative shocks, which makes sense. This aspect would convey us to explore the treatment of this refined product, which is essential to the airlines and the travel industry. In this sense, the hedging strategies followed by airlines are well-known to protect themselves from volatility and explosiveness in fuel prices. Contrary to the efficient market hypothesis, investors could protect themselves and their portfolios by forecasting the prices due to the asymmetries</w:t>
      </w:r>
      <w:r w:rsidR="00621FD6" w:rsidRPr="001A4A7B">
        <w:rPr>
          <w:color w:val="000000" w:themeColor="text1"/>
          <w:lang w:val="en-US"/>
        </w:rPr>
        <w:t>, providing a convenient way to reduce portfolio risk (see Tang and Xiong, 2012).</w:t>
      </w:r>
    </w:p>
    <w:p w14:paraId="4B111A7A" w14:textId="77777777" w:rsidR="008313BF" w:rsidRPr="001A4A7B" w:rsidRDefault="008313BF" w:rsidP="00794ECC">
      <w:pPr>
        <w:spacing w:line="288" w:lineRule="auto"/>
        <w:ind w:firstLine="284"/>
        <w:jc w:val="both"/>
        <w:rPr>
          <w:color w:val="000000" w:themeColor="text1"/>
          <w:lang w:val="en-US"/>
        </w:rPr>
      </w:pPr>
    </w:p>
    <w:p w14:paraId="0B1EF9CB" w14:textId="236EA864" w:rsidR="008313BF" w:rsidRPr="001A4A7B" w:rsidRDefault="008313BF" w:rsidP="00C441D0">
      <w:pPr>
        <w:spacing w:line="288" w:lineRule="auto"/>
        <w:ind w:firstLine="284"/>
        <w:jc w:val="both"/>
        <w:rPr>
          <w:color w:val="000000" w:themeColor="text1"/>
          <w:lang w:val="en-US"/>
        </w:rPr>
      </w:pPr>
      <w:r w:rsidRPr="001A4A7B">
        <w:rPr>
          <w:color w:val="000000" w:themeColor="text1"/>
          <w:lang w:val="en-US"/>
        </w:rPr>
        <w:t xml:space="preserve">Furthermore, how changes in the crude oil price affect refined product prices is known as the pass-through. People’s main sense is that the pass-through is not symmetric: The speed at which the price of any refined product changes is different depending on if the price of each refined product is relatively high or relatively low compared to the price of oil (Owyang and Vermann, 2014). Thus, our results suggest the importance of attending when negative shocks appear, where all refined products would be located under the supply-driven market integration (this is evidence of rejection of the Rockets </w:t>
      </w:r>
      <w:r w:rsidR="00752592" w:rsidRPr="001A4A7B">
        <w:rPr>
          <w:color w:val="000000" w:themeColor="text1"/>
          <w:lang w:val="en-US"/>
        </w:rPr>
        <w:t>and</w:t>
      </w:r>
      <w:r w:rsidRPr="001A4A7B">
        <w:rPr>
          <w:color w:val="000000" w:themeColor="text1"/>
          <w:lang w:val="en-US"/>
        </w:rPr>
        <w:t xml:space="preserve"> Feathers hypothesis). On the other, conventional gasoline joints to kerosene are also placed on demand-driven market integration</w:t>
      </w:r>
      <w:r w:rsidR="00163988" w:rsidRPr="001A4A7B">
        <w:rPr>
          <w:color w:val="000000" w:themeColor="text1"/>
          <w:lang w:val="en-US"/>
        </w:rPr>
        <w:t xml:space="preserve">, </w:t>
      </w:r>
      <w:r w:rsidR="00BC48E2" w:rsidRPr="001A4A7B">
        <w:rPr>
          <w:color w:val="000000" w:themeColor="text1"/>
          <w:lang w:val="en-US"/>
        </w:rPr>
        <w:t>implying that these products would be the driving factor in the petro-derivatives price-generating process and could be key for refiners, which may use this information for designing refining strategies and controlling product stocks. Additionally</w:t>
      </w:r>
      <w:r w:rsidRPr="001A4A7B">
        <w:rPr>
          <w:color w:val="000000" w:themeColor="text1"/>
          <w:lang w:val="en-US"/>
        </w:rPr>
        <w:t>, in contrast to linear effects where conventional gasoline is only situated under the demand-driven market integration when the negative effects appear, conventional gasoline prices become fully integrated.</w:t>
      </w:r>
      <w:r w:rsidR="00C441D0" w:rsidRPr="001A4A7B">
        <w:rPr>
          <w:color w:val="000000" w:themeColor="text1"/>
          <w:lang w:val="en-US"/>
        </w:rPr>
        <w:t xml:space="preserve"> </w:t>
      </w:r>
    </w:p>
    <w:p w14:paraId="673ECC2F" w14:textId="77777777" w:rsidR="00C441D0" w:rsidRPr="001A4A7B" w:rsidRDefault="00C441D0" w:rsidP="00C441D0">
      <w:pPr>
        <w:spacing w:line="288" w:lineRule="auto"/>
        <w:ind w:firstLine="284"/>
        <w:jc w:val="both"/>
        <w:rPr>
          <w:color w:val="000000" w:themeColor="text1"/>
          <w:lang w:val="en-US"/>
        </w:rPr>
      </w:pPr>
    </w:p>
    <w:p w14:paraId="1260691E" w14:textId="3B7664C4" w:rsidR="00AC33A5" w:rsidRPr="001A4A7B" w:rsidRDefault="00C9573B" w:rsidP="00D30D87">
      <w:pPr>
        <w:autoSpaceDE w:val="0"/>
        <w:autoSpaceDN w:val="0"/>
        <w:adjustRightInd w:val="0"/>
        <w:spacing w:line="288" w:lineRule="auto"/>
        <w:jc w:val="both"/>
        <w:rPr>
          <w:color w:val="000000" w:themeColor="text1"/>
          <w:lang w:val="en-US"/>
        </w:rPr>
      </w:pPr>
      <w:r w:rsidRPr="001A4A7B">
        <w:rPr>
          <w:color w:val="000000" w:themeColor="text1"/>
          <w:lang w:val="en-US"/>
        </w:rPr>
        <w:t>Thus</w:t>
      </w:r>
      <w:r w:rsidR="00794ECC" w:rsidRPr="001A4A7B">
        <w:rPr>
          <w:color w:val="000000" w:themeColor="text1"/>
          <w:lang w:val="en-US"/>
        </w:rPr>
        <w:t xml:space="preserve">, given the results obtained, it is well-known that there exist two price transmission mechanisms between crude oil and its refined product prices in the economic sense. An increase in crude oil price fosters refining costs, raising the refined product prices. Therefore, if the refined products prices rise, refiners would be able to offer a more considerable volume of products. Subsequently, the demand for crude oil would grow, triggering a higher price. Due to the presence of asymmetries and the impact of different </w:t>
      </w:r>
      <w:r w:rsidR="00794ECC" w:rsidRPr="001A4A7B">
        <w:rPr>
          <w:color w:val="000000" w:themeColor="text1"/>
          <w:lang w:val="en-US"/>
        </w:rPr>
        <w:lastRenderedPageBreak/>
        <w:t xml:space="preserve">shocks on crude oil price and the prices of the refined products, there is a high degree of uncertainty in prices. In this regard, the US regulatory authorities and policymakers should implement and carry out a national energy </w:t>
      </w:r>
      <w:r w:rsidR="006A342D" w:rsidRPr="001A4A7B">
        <w:rPr>
          <w:color w:val="000000" w:themeColor="text1"/>
          <w:lang w:val="en-US"/>
        </w:rPr>
        <w:t>outlook</w:t>
      </w:r>
      <w:r w:rsidR="00794ECC" w:rsidRPr="001A4A7B">
        <w:rPr>
          <w:color w:val="000000" w:themeColor="text1"/>
          <w:lang w:val="en-US"/>
        </w:rPr>
        <w:t xml:space="preserve"> in oil markets, by using effective monitoring tools to avoid adverse effects </w:t>
      </w:r>
      <w:r w:rsidR="004E77CA" w:rsidRPr="001A4A7B">
        <w:rPr>
          <w:color w:val="000000" w:themeColor="text1"/>
          <w:lang w:val="en-US"/>
        </w:rPr>
        <w:t xml:space="preserve">of energy price shocks </w:t>
      </w:r>
      <w:r w:rsidR="00794ECC" w:rsidRPr="001A4A7B">
        <w:rPr>
          <w:color w:val="000000" w:themeColor="text1"/>
          <w:lang w:val="en-US"/>
        </w:rPr>
        <w:t>on consumers and, consequently, for the overall welfare of the economy.</w:t>
      </w:r>
      <w:r w:rsidR="006A342D" w:rsidRPr="001A4A7B">
        <w:rPr>
          <w:color w:val="000000" w:themeColor="text1"/>
          <w:lang w:val="en-US"/>
        </w:rPr>
        <w:t xml:space="preserve"> Also, the use of those tools provide to policymakers the possibility of minimizing oil price risk in different oil-dependent sectors, such as transportation, heating, or agriculture, by diversification and elaboration energy mixes with a view to a </w:t>
      </w:r>
      <w:r w:rsidR="0030651A" w:rsidRPr="001A4A7B">
        <w:rPr>
          <w:color w:val="000000" w:themeColor="text1"/>
          <w:lang w:val="en-US"/>
        </w:rPr>
        <w:t>clean</w:t>
      </w:r>
      <w:r w:rsidR="006A342D" w:rsidRPr="001A4A7B">
        <w:rPr>
          <w:color w:val="000000" w:themeColor="text1"/>
          <w:lang w:val="en-US"/>
        </w:rPr>
        <w:t xml:space="preserve"> energy system.</w:t>
      </w:r>
      <w:r w:rsidR="004E77CA" w:rsidRPr="001A4A7B">
        <w:rPr>
          <w:color w:val="000000" w:themeColor="text1"/>
          <w:lang w:val="en-US"/>
        </w:rPr>
        <w:t xml:space="preserve"> Furthermore, it would be advisable the implementation of fiscal and monetary stimulus packages to alleviate the aftermath of COVID-19 on commodity markets (Polat, 2020).</w:t>
      </w:r>
      <w:r w:rsidR="00C441D0" w:rsidRPr="001A4A7B">
        <w:rPr>
          <w:color w:val="000000" w:themeColor="text1"/>
          <w:lang w:val="en-US"/>
        </w:rPr>
        <w:t xml:space="preserve"> Additionally, in these times of high levels of inflation, it seems necessary to monitor the sign of the shock that may be a valuable tool for economic authorities to prevent the inflationist tensions that might occur and affect the transmission channels to the rest of the economy, affecting the rest of the products and altering the whole economy</w:t>
      </w:r>
      <w:r w:rsidR="00904773" w:rsidRPr="001A4A7B">
        <w:rPr>
          <w:color w:val="000000" w:themeColor="text1"/>
          <w:lang w:val="en-US"/>
        </w:rPr>
        <w:t xml:space="preserve"> (Barros et al., 2011)</w:t>
      </w:r>
      <w:r w:rsidR="00C441D0" w:rsidRPr="001A4A7B">
        <w:rPr>
          <w:color w:val="000000" w:themeColor="text1"/>
          <w:lang w:val="en-US"/>
        </w:rPr>
        <w:t>.</w:t>
      </w:r>
    </w:p>
    <w:p w14:paraId="7E6296B1" w14:textId="77777777" w:rsidR="00C441D0" w:rsidRPr="001A4A7B" w:rsidRDefault="00C441D0" w:rsidP="00C441D0">
      <w:pPr>
        <w:autoSpaceDE w:val="0"/>
        <w:autoSpaceDN w:val="0"/>
        <w:adjustRightInd w:val="0"/>
        <w:rPr>
          <w:color w:val="000000" w:themeColor="text1"/>
          <w:lang w:val="en-US"/>
        </w:rPr>
      </w:pPr>
    </w:p>
    <w:p w14:paraId="16579626" w14:textId="3F222CE5" w:rsidR="00AB7A35" w:rsidRPr="001A4A7B" w:rsidRDefault="00947433" w:rsidP="00D30D87">
      <w:pPr>
        <w:spacing w:line="288" w:lineRule="auto"/>
        <w:ind w:firstLine="284"/>
        <w:jc w:val="both"/>
        <w:rPr>
          <w:color w:val="000000" w:themeColor="text1"/>
          <w:lang w:val="en-US"/>
        </w:rPr>
      </w:pPr>
      <w:r w:rsidRPr="001A4A7B">
        <w:rPr>
          <w:color w:val="000000" w:themeColor="text1"/>
          <w:lang w:val="en-US"/>
        </w:rPr>
        <w:t>Lastly</w:t>
      </w:r>
      <w:r w:rsidR="00C9573B" w:rsidRPr="001A4A7B">
        <w:rPr>
          <w:color w:val="000000" w:themeColor="text1"/>
          <w:lang w:val="en-US"/>
        </w:rPr>
        <w:t xml:space="preserve">, we have </w:t>
      </w:r>
      <w:r w:rsidR="005E0C0F" w:rsidRPr="001A4A7B">
        <w:rPr>
          <w:color w:val="000000" w:themeColor="text1"/>
          <w:lang w:val="en-US"/>
        </w:rPr>
        <w:t>revealed</w:t>
      </w:r>
      <w:r w:rsidR="00C9573B" w:rsidRPr="001A4A7B">
        <w:rPr>
          <w:color w:val="000000" w:themeColor="text1"/>
          <w:lang w:val="en-US"/>
        </w:rPr>
        <w:t xml:space="preserve"> that the existence of asymmetries could be translated into a </w:t>
      </w:r>
      <w:r w:rsidR="005E0C0F" w:rsidRPr="001A4A7B">
        <w:rPr>
          <w:color w:val="000000" w:themeColor="text1"/>
          <w:lang w:val="en-US"/>
        </w:rPr>
        <w:t>more</w:t>
      </w:r>
      <w:r w:rsidR="00C9573B" w:rsidRPr="001A4A7B">
        <w:rPr>
          <w:color w:val="000000" w:themeColor="text1"/>
          <w:lang w:val="en-US"/>
        </w:rPr>
        <w:t xml:space="preserve"> predictability and, </w:t>
      </w:r>
      <w:r w:rsidR="005E0C0F" w:rsidRPr="001A4A7B">
        <w:rPr>
          <w:color w:val="000000" w:themeColor="text1"/>
          <w:lang w:val="en-US"/>
        </w:rPr>
        <w:t>subsequently</w:t>
      </w:r>
      <w:r w:rsidR="00C9573B" w:rsidRPr="001A4A7B">
        <w:rPr>
          <w:color w:val="000000" w:themeColor="text1"/>
          <w:lang w:val="en-US"/>
        </w:rPr>
        <w:t xml:space="preserve">, a weaker form of market efficiency. This provides </w:t>
      </w:r>
      <w:r w:rsidR="005E0C0F" w:rsidRPr="001A4A7B">
        <w:rPr>
          <w:color w:val="000000" w:themeColor="text1"/>
          <w:lang w:val="en-US"/>
        </w:rPr>
        <w:t>valued</w:t>
      </w:r>
      <w:r w:rsidR="00C9573B" w:rsidRPr="001A4A7B">
        <w:rPr>
          <w:color w:val="000000" w:themeColor="text1"/>
          <w:lang w:val="en-US"/>
        </w:rPr>
        <w:t xml:space="preserve"> information to market participants regarding the behaviour of the WTI and refined products prices. Moreover, the </w:t>
      </w:r>
      <w:r w:rsidR="00163988" w:rsidRPr="001A4A7B">
        <w:rPr>
          <w:color w:val="000000" w:themeColor="text1"/>
          <w:lang w:val="en-US"/>
        </w:rPr>
        <w:t>consideration</w:t>
      </w:r>
      <w:r w:rsidR="00C9573B" w:rsidRPr="001A4A7B">
        <w:rPr>
          <w:color w:val="000000" w:themeColor="text1"/>
          <w:lang w:val="en-US"/>
        </w:rPr>
        <w:t xml:space="preserve"> of asymmetries would </w:t>
      </w:r>
      <w:r w:rsidR="00163988" w:rsidRPr="001A4A7B">
        <w:rPr>
          <w:color w:val="000000" w:themeColor="text1"/>
          <w:lang w:val="en-US"/>
        </w:rPr>
        <w:t>response</w:t>
      </w:r>
      <w:r w:rsidR="00C9573B" w:rsidRPr="001A4A7B">
        <w:rPr>
          <w:color w:val="000000" w:themeColor="text1"/>
          <w:lang w:val="en-US"/>
        </w:rPr>
        <w:t xml:space="preserve"> how the oil market reacts when a movement of its inputs occurs, i.e., whether a given refined product price moves symmetrically o asymmetrically when crude oil moves (Perdiguero-García, 2013).</w:t>
      </w:r>
    </w:p>
    <w:p w14:paraId="37F2441B" w14:textId="2E8A77C3" w:rsidR="00AB7A35" w:rsidRPr="001A4A7B" w:rsidRDefault="00AB7A35" w:rsidP="00D30D87">
      <w:pPr>
        <w:spacing w:line="288" w:lineRule="auto"/>
        <w:rPr>
          <w:color w:val="000000" w:themeColor="text1"/>
          <w:lang w:val="en-US"/>
        </w:rPr>
      </w:pPr>
    </w:p>
    <w:p w14:paraId="03A8D11A" w14:textId="67D7490D" w:rsidR="00904773" w:rsidRPr="001A4A7B" w:rsidRDefault="00494401" w:rsidP="00133030">
      <w:pPr>
        <w:spacing w:line="288" w:lineRule="auto"/>
        <w:ind w:firstLine="284"/>
        <w:jc w:val="both"/>
        <w:rPr>
          <w:color w:val="000000" w:themeColor="text1"/>
          <w:lang w:val="en-US"/>
        </w:rPr>
      </w:pPr>
      <w:r w:rsidRPr="001A4A7B">
        <w:rPr>
          <w:color w:val="000000" w:themeColor="text1"/>
          <w:lang w:val="en-US"/>
        </w:rPr>
        <w:t>Likewise, our research findings have practical applications for developing a more effective approach focused on time series, especially when dealing with market participants who have varying temporal horizons, such as investors, speculators, hedge funds, and refineries. The energy sector, economists, policymakers, and investors require a deeper understanding of the relationship between crude oil and its refined products, particularly in light of the global economic crisis and the surge in tight oil production. Therefore, our results contribute to improving the comprehension of energy market behavior.</w:t>
      </w:r>
      <w:r w:rsidR="00947433" w:rsidRPr="001A4A7B">
        <w:rPr>
          <w:color w:val="000000" w:themeColor="text1"/>
          <w:lang w:val="en-US"/>
        </w:rPr>
        <w:t xml:space="preserve"> </w:t>
      </w:r>
      <w:r w:rsidR="00133030" w:rsidRPr="001A4A7B">
        <w:rPr>
          <w:color w:val="000000" w:themeColor="text1"/>
          <w:lang w:val="en-US"/>
        </w:rPr>
        <w:t>This latter idea can be complemented by the fact that the energy market is changing over time, requiring that the different actors establish new positions because governments and public opinion demand heavier regulations and greater environmental commitment (Kirikkaleli and Güngör, 2021). Thus, from an environmental point of view, the energy markets (the petro-derivatives market in particular) have a growing impact on the carbon emission problem due to the use of fossil fuels in transport vehicles. In this sense, Kou et al. (2022) argue that one plausible solution to mitigate and fight this problem is the use of electric vehicles, especially in road transport, being these electric vehicles would be solar-energy-type. Furthermore, Anser et al. (2021) identified this issue, i.e., carbon emissions, as one of the main problems that must be reduced so that economies can improve in the long term.</w:t>
      </w:r>
    </w:p>
    <w:p w14:paraId="491A75E7" w14:textId="77777777" w:rsidR="00133030" w:rsidRPr="001A4A7B" w:rsidRDefault="00133030" w:rsidP="00133030">
      <w:pPr>
        <w:spacing w:line="288" w:lineRule="auto"/>
        <w:ind w:firstLine="284"/>
        <w:jc w:val="both"/>
        <w:rPr>
          <w:color w:val="000000" w:themeColor="text1"/>
          <w:lang w:val="en-US"/>
        </w:rPr>
      </w:pPr>
    </w:p>
    <w:p w14:paraId="0AAD1793" w14:textId="0DADEAA7" w:rsidR="00224911" w:rsidRPr="001A4A7B" w:rsidRDefault="00C441D0" w:rsidP="00133030">
      <w:pPr>
        <w:spacing w:line="288" w:lineRule="auto"/>
        <w:ind w:firstLine="284"/>
        <w:jc w:val="both"/>
        <w:rPr>
          <w:color w:val="000000" w:themeColor="text1"/>
          <w:lang w:val="en-US"/>
        </w:rPr>
      </w:pPr>
      <w:r w:rsidRPr="001A4A7B">
        <w:rPr>
          <w:color w:val="000000" w:themeColor="text1"/>
          <w:lang w:val="en-US"/>
        </w:rPr>
        <w:lastRenderedPageBreak/>
        <w:t xml:space="preserve">Finally, future research could be oriented to the study of the relationship between WTI crude oil and the refined products, by using other methodologies which also could capture the nature of the relations in a different way (thresholds, spatial </w:t>
      </w:r>
      <w:r w:rsidR="008C526E" w:rsidRPr="001A4A7B">
        <w:rPr>
          <w:color w:val="000000" w:themeColor="text1"/>
          <w:lang w:val="en-US"/>
        </w:rPr>
        <w:t xml:space="preserve">analysis, </w:t>
      </w:r>
      <w:r w:rsidRPr="001A4A7B">
        <w:rPr>
          <w:color w:val="000000" w:themeColor="text1"/>
          <w:lang w:val="en-US"/>
        </w:rPr>
        <w:t>among others), or by using the Brent crude oil as a benchmark.</w:t>
      </w:r>
      <w:r w:rsidR="00665AC1" w:rsidRPr="001A4A7B">
        <w:rPr>
          <w:color w:val="000000" w:themeColor="text1"/>
          <w:lang w:val="en-US"/>
        </w:rPr>
        <w:t xml:space="preserve"> </w:t>
      </w:r>
      <w:r w:rsidR="00133030" w:rsidRPr="001A4A7B">
        <w:rPr>
          <w:color w:val="000000" w:themeColor="text1"/>
          <w:lang w:val="en-US"/>
        </w:rPr>
        <w:t>Additionally, large-scale GDM and fuzzy cluster analysis (Li et al., 2021) or an MCDM-based approach (Kou et al., 2014) might be suitable when assessing refiner’s or investors’ preferences, attending to spot and future prices or the financial risk associated.</w:t>
      </w:r>
    </w:p>
    <w:p w14:paraId="76860529" w14:textId="77777777" w:rsidR="00224911" w:rsidRPr="001A4A7B" w:rsidRDefault="00224911">
      <w:pPr>
        <w:rPr>
          <w:color w:val="000000" w:themeColor="text1"/>
          <w:lang w:val="en-US"/>
        </w:rPr>
      </w:pPr>
    </w:p>
    <w:p w14:paraId="436E6668" w14:textId="17F88699" w:rsidR="00B02CF0" w:rsidRPr="001A4A7B" w:rsidRDefault="00B02CF0" w:rsidP="00B02CF0">
      <w:pPr>
        <w:widowControl w:val="0"/>
        <w:autoSpaceDE w:val="0"/>
        <w:autoSpaceDN w:val="0"/>
        <w:adjustRightInd w:val="0"/>
        <w:spacing w:after="240"/>
        <w:jc w:val="both"/>
        <w:rPr>
          <w:b/>
          <w:color w:val="000000" w:themeColor="text1"/>
          <w:lang w:val="en-US"/>
        </w:rPr>
      </w:pPr>
      <w:r w:rsidRPr="001A4A7B">
        <w:rPr>
          <w:b/>
          <w:color w:val="000000" w:themeColor="text1"/>
          <w:lang w:val="en-US"/>
        </w:rPr>
        <w:t>Abbreviations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122"/>
        <w:gridCol w:w="2122"/>
        <w:gridCol w:w="2123"/>
      </w:tblGrid>
      <w:tr w:rsidR="001A4A7B" w:rsidRPr="001A4A7B" w14:paraId="4E4A2822" w14:textId="77777777" w:rsidTr="002B78D7">
        <w:tc>
          <w:tcPr>
            <w:tcW w:w="2122" w:type="dxa"/>
          </w:tcPr>
          <w:p w14:paraId="1127BD40" w14:textId="576BE7AB" w:rsidR="00880E54" w:rsidRPr="001A4A7B" w:rsidRDefault="00880E54" w:rsidP="00880E54">
            <w:pPr>
              <w:spacing w:before="40" w:line="288" w:lineRule="auto"/>
              <w:ind w:left="-57"/>
              <w:rPr>
                <w:b/>
                <w:bCs/>
                <w:color w:val="000000" w:themeColor="text1"/>
                <w:sz w:val="20"/>
                <w:szCs w:val="20"/>
                <w:lang w:val="en-US"/>
              </w:rPr>
            </w:pPr>
            <w:r w:rsidRPr="001A4A7B">
              <w:rPr>
                <w:b/>
                <w:bCs/>
                <w:color w:val="000000" w:themeColor="text1"/>
                <w:sz w:val="20"/>
                <w:szCs w:val="20"/>
                <w:lang w:val="en-US"/>
              </w:rPr>
              <w:t>COVID-19</w:t>
            </w:r>
          </w:p>
        </w:tc>
        <w:tc>
          <w:tcPr>
            <w:tcW w:w="6367" w:type="dxa"/>
            <w:gridSpan w:val="3"/>
          </w:tcPr>
          <w:p w14:paraId="26BA25D5" w14:textId="61A36496" w:rsidR="00880E54" w:rsidRPr="001A4A7B" w:rsidRDefault="00880E54" w:rsidP="00880E54">
            <w:pPr>
              <w:spacing w:before="40" w:line="288" w:lineRule="auto"/>
              <w:ind w:left="-57"/>
              <w:rPr>
                <w:color w:val="000000" w:themeColor="text1"/>
                <w:sz w:val="20"/>
                <w:szCs w:val="20"/>
                <w:lang w:val="en-US"/>
              </w:rPr>
            </w:pPr>
            <w:r w:rsidRPr="001A4A7B">
              <w:rPr>
                <w:color w:val="000000" w:themeColor="text1"/>
                <w:sz w:val="20"/>
                <w:szCs w:val="20"/>
                <w:lang w:val="en-US"/>
              </w:rPr>
              <w:t>Coronavirus disease 2019</w:t>
            </w:r>
          </w:p>
        </w:tc>
      </w:tr>
      <w:tr w:rsidR="001A4A7B" w:rsidRPr="001A4A7B" w14:paraId="3ED82470" w14:textId="77777777" w:rsidTr="00D13319">
        <w:tc>
          <w:tcPr>
            <w:tcW w:w="2122" w:type="dxa"/>
          </w:tcPr>
          <w:p w14:paraId="0DF26C55" w14:textId="53F66E10" w:rsidR="00880E54" w:rsidRPr="001A4A7B" w:rsidRDefault="00880E54" w:rsidP="00880E54">
            <w:pPr>
              <w:spacing w:before="40" w:line="288" w:lineRule="auto"/>
              <w:ind w:left="-57"/>
              <w:rPr>
                <w:b/>
                <w:bCs/>
                <w:color w:val="000000" w:themeColor="text1"/>
                <w:sz w:val="20"/>
                <w:szCs w:val="20"/>
                <w:lang w:val="en-US"/>
              </w:rPr>
            </w:pPr>
            <w:r w:rsidRPr="001A4A7B">
              <w:rPr>
                <w:b/>
                <w:bCs/>
                <w:color w:val="000000" w:themeColor="text1"/>
                <w:sz w:val="20"/>
                <w:szCs w:val="20"/>
                <w:lang w:val="en-US"/>
              </w:rPr>
              <w:t>Deriv</w:t>
            </w:r>
          </w:p>
        </w:tc>
        <w:tc>
          <w:tcPr>
            <w:tcW w:w="6367" w:type="dxa"/>
            <w:gridSpan w:val="3"/>
          </w:tcPr>
          <w:p w14:paraId="2B9CF10C" w14:textId="2FE92EC2" w:rsidR="00880E54" w:rsidRPr="001A4A7B" w:rsidRDefault="00880E54" w:rsidP="00880E54">
            <w:pPr>
              <w:spacing w:before="40" w:line="288" w:lineRule="auto"/>
              <w:ind w:left="-57"/>
              <w:rPr>
                <w:color w:val="000000" w:themeColor="text1"/>
                <w:sz w:val="20"/>
                <w:szCs w:val="20"/>
                <w:lang w:val="en-US"/>
              </w:rPr>
            </w:pPr>
            <w:r w:rsidRPr="001A4A7B">
              <w:rPr>
                <w:color w:val="000000" w:themeColor="text1"/>
                <w:sz w:val="20"/>
                <w:szCs w:val="20"/>
                <w:lang w:val="en-US"/>
              </w:rPr>
              <w:t>Derivatives products</w:t>
            </w:r>
          </w:p>
        </w:tc>
      </w:tr>
      <w:tr w:rsidR="001A4A7B" w:rsidRPr="001A4A7B" w14:paraId="5A1552A6" w14:textId="77777777" w:rsidTr="00B02CF0">
        <w:tc>
          <w:tcPr>
            <w:tcW w:w="2122" w:type="dxa"/>
          </w:tcPr>
          <w:p w14:paraId="04FAB6AE" w14:textId="2054100B" w:rsidR="00880E54" w:rsidRPr="001A4A7B" w:rsidRDefault="00880E54" w:rsidP="00880E54">
            <w:pPr>
              <w:spacing w:before="40" w:line="288" w:lineRule="auto"/>
              <w:ind w:left="-57"/>
              <w:rPr>
                <w:b/>
                <w:bCs/>
                <w:color w:val="000000" w:themeColor="text1"/>
                <w:sz w:val="20"/>
                <w:szCs w:val="20"/>
                <w:lang w:val="en-US"/>
              </w:rPr>
            </w:pPr>
            <w:r w:rsidRPr="001A4A7B">
              <w:rPr>
                <w:b/>
                <w:bCs/>
                <w:color w:val="000000" w:themeColor="text1"/>
                <w:sz w:val="20"/>
                <w:szCs w:val="20"/>
                <w:lang w:val="en-US"/>
              </w:rPr>
              <w:t>ECM</w:t>
            </w:r>
          </w:p>
        </w:tc>
        <w:tc>
          <w:tcPr>
            <w:tcW w:w="2122" w:type="dxa"/>
          </w:tcPr>
          <w:p w14:paraId="213EEA75" w14:textId="53F83336" w:rsidR="00880E54" w:rsidRPr="001A4A7B" w:rsidRDefault="00880E54" w:rsidP="00880E54">
            <w:pPr>
              <w:spacing w:before="40" w:line="288" w:lineRule="auto"/>
              <w:ind w:left="-57"/>
              <w:rPr>
                <w:color w:val="000000" w:themeColor="text1"/>
                <w:sz w:val="20"/>
                <w:szCs w:val="20"/>
                <w:lang w:val="en-US"/>
              </w:rPr>
            </w:pPr>
            <w:r w:rsidRPr="001A4A7B">
              <w:rPr>
                <w:color w:val="000000" w:themeColor="text1"/>
                <w:sz w:val="20"/>
                <w:szCs w:val="20"/>
                <w:lang w:val="en-US"/>
              </w:rPr>
              <w:t>Error Correction Model</w:t>
            </w:r>
          </w:p>
        </w:tc>
        <w:tc>
          <w:tcPr>
            <w:tcW w:w="2122" w:type="dxa"/>
          </w:tcPr>
          <w:p w14:paraId="05B55BA8" w14:textId="77777777" w:rsidR="00880E54" w:rsidRPr="001A4A7B" w:rsidRDefault="00880E54" w:rsidP="00880E54">
            <w:pPr>
              <w:spacing w:before="40" w:line="288" w:lineRule="auto"/>
              <w:ind w:left="-57"/>
              <w:rPr>
                <w:color w:val="000000" w:themeColor="text1"/>
                <w:sz w:val="20"/>
                <w:szCs w:val="20"/>
                <w:lang w:val="en-US"/>
              </w:rPr>
            </w:pPr>
          </w:p>
        </w:tc>
        <w:tc>
          <w:tcPr>
            <w:tcW w:w="2123" w:type="dxa"/>
          </w:tcPr>
          <w:p w14:paraId="1989E4A5" w14:textId="77777777" w:rsidR="00880E54" w:rsidRPr="001A4A7B" w:rsidRDefault="00880E54" w:rsidP="00880E54">
            <w:pPr>
              <w:spacing w:before="40" w:line="288" w:lineRule="auto"/>
              <w:ind w:left="-57"/>
              <w:rPr>
                <w:color w:val="000000" w:themeColor="text1"/>
                <w:sz w:val="20"/>
                <w:szCs w:val="20"/>
                <w:lang w:val="en-US"/>
              </w:rPr>
            </w:pPr>
          </w:p>
        </w:tc>
      </w:tr>
      <w:tr w:rsidR="001A4A7B" w:rsidRPr="001A4A7B" w14:paraId="7AF49F6F" w14:textId="77777777" w:rsidTr="00B02CF0">
        <w:tc>
          <w:tcPr>
            <w:tcW w:w="2122" w:type="dxa"/>
          </w:tcPr>
          <w:p w14:paraId="7F1099CB" w14:textId="230975D9" w:rsidR="00880E54" w:rsidRPr="001A4A7B" w:rsidRDefault="00880E54" w:rsidP="00880E54">
            <w:pPr>
              <w:spacing w:before="40" w:line="288" w:lineRule="auto"/>
              <w:ind w:left="-57"/>
              <w:rPr>
                <w:b/>
                <w:bCs/>
                <w:color w:val="000000" w:themeColor="text1"/>
                <w:sz w:val="20"/>
                <w:szCs w:val="20"/>
                <w:lang w:val="en-US"/>
              </w:rPr>
            </w:pPr>
            <w:r w:rsidRPr="001A4A7B">
              <w:rPr>
                <w:b/>
                <w:bCs/>
                <w:color w:val="000000" w:themeColor="text1"/>
                <w:sz w:val="20"/>
                <w:szCs w:val="20"/>
                <w:lang w:val="en-US"/>
              </w:rPr>
              <w:t>NY</w:t>
            </w:r>
          </w:p>
        </w:tc>
        <w:tc>
          <w:tcPr>
            <w:tcW w:w="2122" w:type="dxa"/>
          </w:tcPr>
          <w:p w14:paraId="3AE90BBD" w14:textId="362B0CF5" w:rsidR="00880E54" w:rsidRPr="001A4A7B" w:rsidRDefault="00880E54" w:rsidP="00880E54">
            <w:pPr>
              <w:spacing w:before="40" w:line="288" w:lineRule="auto"/>
              <w:ind w:left="-57"/>
              <w:rPr>
                <w:color w:val="000000" w:themeColor="text1"/>
                <w:sz w:val="20"/>
                <w:szCs w:val="20"/>
                <w:lang w:val="en-US"/>
              </w:rPr>
            </w:pPr>
            <w:r w:rsidRPr="001A4A7B">
              <w:rPr>
                <w:color w:val="000000" w:themeColor="text1"/>
                <w:sz w:val="20"/>
                <w:szCs w:val="20"/>
                <w:lang w:val="en-US"/>
              </w:rPr>
              <w:t>New York</w:t>
            </w:r>
          </w:p>
        </w:tc>
        <w:tc>
          <w:tcPr>
            <w:tcW w:w="2122" w:type="dxa"/>
          </w:tcPr>
          <w:p w14:paraId="19742967" w14:textId="77777777" w:rsidR="00880E54" w:rsidRPr="001A4A7B" w:rsidRDefault="00880E54" w:rsidP="00880E54">
            <w:pPr>
              <w:spacing w:before="40" w:line="288" w:lineRule="auto"/>
              <w:ind w:left="-57"/>
              <w:rPr>
                <w:color w:val="000000" w:themeColor="text1"/>
                <w:sz w:val="20"/>
                <w:szCs w:val="20"/>
                <w:lang w:val="en-US"/>
              </w:rPr>
            </w:pPr>
          </w:p>
        </w:tc>
        <w:tc>
          <w:tcPr>
            <w:tcW w:w="2123" w:type="dxa"/>
          </w:tcPr>
          <w:p w14:paraId="186522CC" w14:textId="77777777" w:rsidR="00880E54" w:rsidRPr="001A4A7B" w:rsidRDefault="00880E54" w:rsidP="00880E54">
            <w:pPr>
              <w:spacing w:before="40" w:line="288" w:lineRule="auto"/>
              <w:ind w:left="-57"/>
              <w:rPr>
                <w:color w:val="000000" w:themeColor="text1"/>
                <w:sz w:val="20"/>
                <w:szCs w:val="20"/>
                <w:lang w:val="en-US"/>
              </w:rPr>
            </w:pPr>
          </w:p>
        </w:tc>
      </w:tr>
      <w:tr w:rsidR="001A4A7B" w:rsidRPr="001A4A7B" w14:paraId="517C65CC" w14:textId="77777777" w:rsidTr="00A20E2C">
        <w:tc>
          <w:tcPr>
            <w:tcW w:w="2122" w:type="dxa"/>
          </w:tcPr>
          <w:p w14:paraId="740E2FD6" w14:textId="7D4FB54D" w:rsidR="00880E54" w:rsidRPr="001A4A7B" w:rsidRDefault="00880E54" w:rsidP="00880E54">
            <w:pPr>
              <w:spacing w:before="40" w:line="288" w:lineRule="auto"/>
              <w:ind w:left="-57"/>
              <w:rPr>
                <w:b/>
                <w:bCs/>
                <w:color w:val="000000" w:themeColor="text1"/>
                <w:sz w:val="20"/>
                <w:szCs w:val="20"/>
                <w:lang w:val="en-US"/>
              </w:rPr>
            </w:pPr>
            <w:r w:rsidRPr="001A4A7B">
              <w:rPr>
                <w:b/>
                <w:bCs/>
                <w:color w:val="000000" w:themeColor="text1"/>
                <w:sz w:val="20"/>
                <w:szCs w:val="20"/>
                <w:lang w:val="en-US"/>
              </w:rPr>
              <w:t>OPEC</w:t>
            </w:r>
          </w:p>
        </w:tc>
        <w:tc>
          <w:tcPr>
            <w:tcW w:w="6367" w:type="dxa"/>
            <w:gridSpan w:val="3"/>
          </w:tcPr>
          <w:p w14:paraId="5F4E14AF" w14:textId="75EB428E" w:rsidR="00880E54" w:rsidRPr="001A4A7B" w:rsidRDefault="00880E54" w:rsidP="00880E54">
            <w:pPr>
              <w:spacing w:before="40" w:line="288" w:lineRule="auto"/>
              <w:ind w:left="-57"/>
              <w:rPr>
                <w:color w:val="000000" w:themeColor="text1"/>
                <w:sz w:val="20"/>
                <w:szCs w:val="20"/>
                <w:lang w:val="en-US"/>
              </w:rPr>
            </w:pPr>
            <w:r w:rsidRPr="001A4A7B">
              <w:rPr>
                <w:color w:val="000000" w:themeColor="text1"/>
                <w:sz w:val="20"/>
                <w:szCs w:val="20"/>
                <w:lang w:val="en-US"/>
              </w:rPr>
              <w:t>Organization of the Petroleum Exporting Countries</w:t>
            </w:r>
          </w:p>
        </w:tc>
      </w:tr>
      <w:tr w:rsidR="001A4A7B" w:rsidRPr="001A4A7B" w14:paraId="77F2C7A0" w14:textId="77777777" w:rsidTr="00A20E2C">
        <w:tc>
          <w:tcPr>
            <w:tcW w:w="2122" w:type="dxa"/>
          </w:tcPr>
          <w:p w14:paraId="4DC60697" w14:textId="5A4226BC" w:rsidR="00880E54" w:rsidRPr="001A4A7B" w:rsidRDefault="00880E54" w:rsidP="00880E54">
            <w:pPr>
              <w:spacing w:before="40" w:line="288" w:lineRule="auto"/>
              <w:ind w:left="-57"/>
              <w:rPr>
                <w:b/>
                <w:bCs/>
                <w:color w:val="000000" w:themeColor="text1"/>
                <w:sz w:val="20"/>
                <w:szCs w:val="20"/>
                <w:lang w:val="en-US"/>
              </w:rPr>
            </w:pPr>
            <w:r w:rsidRPr="001A4A7B">
              <w:rPr>
                <w:b/>
                <w:bCs/>
                <w:color w:val="000000" w:themeColor="text1"/>
                <w:sz w:val="20"/>
                <w:szCs w:val="20"/>
                <w:lang w:val="en-US"/>
              </w:rPr>
              <w:t>RBOB</w:t>
            </w:r>
          </w:p>
        </w:tc>
        <w:tc>
          <w:tcPr>
            <w:tcW w:w="6367" w:type="dxa"/>
            <w:gridSpan w:val="3"/>
          </w:tcPr>
          <w:p w14:paraId="40F7A7F2" w14:textId="36D4D842" w:rsidR="00880E54" w:rsidRPr="001A4A7B" w:rsidRDefault="00880E54" w:rsidP="00880E54">
            <w:pPr>
              <w:spacing w:before="40" w:line="288" w:lineRule="auto"/>
              <w:ind w:left="-57"/>
              <w:rPr>
                <w:color w:val="000000" w:themeColor="text1"/>
                <w:sz w:val="20"/>
                <w:szCs w:val="20"/>
                <w:lang w:val="en-US"/>
              </w:rPr>
            </w:pPr>
            <w:r w:rsidRPr="001A4A7B">
              <w:rPr>
                <w:color w:val="000000" w:themeColor="text1"/>
                <w:sz w:val="20"/>
                <w:szCs w:val="20"/>
                <w:lang w:val="en-US"/>
              </w:rPr>
              <w:t>Reformulated Gasoline Blendstock for Oxygen Blending</w:t>
            </w:r>
          </w:p>
        </w:tc>
      </w:tr>
      <w:tr w:rsidR="001A4A7B" w:rsidRPr="001A4A7B" w14:paraId="18D8B7A7" w14:textId="77777777" w:rsidTr="00A20E2C">
        <w:tc>
          <w:tcPr>
            <w:tcW w:w="2122" w:type="dxa"/>
          </w:tcPr>
          <w:p w14:paraId="04E5C430" w14:textId="6CFC1F03" w:rsidR="00880E54" w:rsidRPr="001A4A7B" w:rsidRDefault="00880E54" w:rsidP="00880E54">
            <w:pPr>
              <w:spacing w:before="40" w:line="288" w:lineRule="auto"/>
              <w:ind w:left="-57"/>
              <w:rPr>
                <w:b/>
                <w:bCs/>
                <w:color w:val="000000" w:themeColor="text1"/>
                <w:sz w:val="20"/>
                <w:szCs w:val="20"/>
                <w:lang w:val="en-US"/>
              </w:rPr>
            </w:pPr>
            <w:r w:rsidRPr="001A4A7B">
              <w:rPr>
                <w:b/>
                <w:bCs/>
                <w:color w:val="000000" w:themeColor="text1"/>
                <w:sz w:val="20"/>
                <w:szCs w:val="20"/>
                <w:lang w:val="en-US"/>
              </w:rPr>
              <w:t>U.S.</w:t>
            </w:r>
          </w:p>
        </w:tc>
        <w:tc>
          <w:tcPr>
            <w:tcW w:w="6367" w:type="dxa"/>
            <w:gridSpan w:val="3"/>
          </w:tcPr>
          <w:p w14:paraId="7DA40820" w14:textId="1F3E9507" w:rsidR="00880E54" w:rsidRPr="001A4A7B" w:rsidRDefault="00880E54" w:rsidP="00880E54">
            <w:pPr>
              <w:spacing w:before="40" w:line="288" w:lineRule="auto"/>
              <w:ind w:left="-57"/>
              <w:rPr>
                <w:color w:val="000000" w:themeColor="text1"/>
                <w:sz w:val="20"/>
                <w:szCs w:val="20"/>
                <w:lang w:val="en-US"/>
              </w:rPr>
            </w:pPr>
            <w:r w:rsidRPr="001A4A7B">
              <w:rPr>
                <w:color w:val="000000" w:themeColor="text1"/>
                <w:sz w:val="20"/>
                <w:szCs w:val="20"/>
                <w:lang w:val="en-US"/>
              </w:rPr>
              <w:t>United States of America</w:t>
            </w:r>
          </w:p>
        </w:tc>
      </w:tr>
      <w:tr w:rsidR="001A4A7B" w:rsidRPr="001A4A7B" w14:paraId="6397FF30" w14:textId="77777777" w:rsidTr="00A20E2C">
        <w:tc>
          <w:tcPr>
            <w:tcW w:w="2122" w:type="dxa"/>
          </w:tcPr>
          <w:p w14:paraId="15C565C3" w14:textId="3EE7E66A" w:rsidR="00880E54" w:rsidRPr="001A4A7B" w:rsidRDefault="00880E54" w:rsidP="00880E54">
            <w:pPr>
              <w:spacing w:before="40" w:line="288" w:lineRule="auto"/>
              <w:ind w:left="-57"/>
              <w:rPr>
                <w:b/>
                <w:bCs/>
                <w:color w:val="000000" w:themeColor="text1"/>
                <w:sz w:val="20"/>
                <w:szCs w:val="20"/>
                <w:lang w:val="en-US"/>
              </w:rPr>
            </w:pPr>
            <w:r w:rsidRPr="001A4A7B">
              <w:rPr>
                <w:b/>
                <w:bCs/>
                <w:color w:val="000000" w:themeColor="text1"/>
                <w:sz w:val="20"/>
                <w:szCs w:val="20"/>
                <w:lang w:val="en-US"/>
              </w:rPr>
              <w:t>VAR</w:t>
            </w:r>
          </w:p>
        </w:tc>
        <w:tc>
          <w:tcPr>
            <w:tcW w:w="6367" w:type="dxa"/>
            <w:gridSpan w:val="3"/>
          </w:tcPr>
          <w:p w14:paraId="50DDAF39" w14:textId="617F452D" w:rsidR="00880E54" w:rsidRPr="001A4A7B" w:rsidRDefault="00880E54" w:rsidP="00880E54">
            <w:pPr>
              <w:spacing w:before="40" w:line="288" w:lineRule="auto"/>
              <w:ind w:left="-57"/>
              <w:rPr>
                <w:color w:val="000000" w:themeColor="text1"/>
                <w:sz w:val="20"/>
                <w:szCs w:val="20"/>
                <w:lang w:val="en-US"/>
              </w:rPr>
            </w:pPr>
            <w:r w:rsidRPr="001A4A7B">
              <w:rPr>
                <w:color w:val="000000" w:themeColor="text1"/>
                <w:sz w:val="20"/>
                <w:szCs w:val="20"/>
                <w:lang w:val="en-US"/>
              </w:rPr>
              <w:t>Vector Autoregression</w:t>
            </w:r>
          </w:p>
        </w:tc>
      </w:tr>
      <w:tr w:rsidR="00880E54" w:rsidRPr="001A4A7B" w14:paraId="5674F513" w14:textId="77777777" w:rsidTr="00A20E2C">
        <w:tc>
          <w:tcPr>
            <w:tcW w:w="2122" w:type="dxa"/>
          </w:tcPr>
          <w:p w14:paraId="3BEC9069" w14:textId="63B17D46" w:rsidR="00880E54" w:rsidRPr="001A4A7B" w:rsidRDefault="00880E54" w:rsidP="00880E54">
            <w:pPr>
              <w:spacing w:before="40" w:line="288" w:lineRule="auto"/>
              <w:ind w:left="-57"/>
              <w:rPr>
                <w:b/>
                <w:bCs/>
                <w:color w:val="000000" w:themeColor="text1"/>
                <w:sz w:val="20"/>
                <w:szCs w:val="20"/>
                <w:lang w:val="en-US"/>
              </w:rPr>
            </w:pPr>
            <w:r w:rsidRPr="001A4A7B">
              <w:rPr>
                <w:b/>
                <w:bCs/>
                <w:color w:val="000000" w:themeColor="text1"/>
                <w:sz w:val="20"/>
                <w:szCs w:val="20"/>
                <w:lang w:val="en-US"/>
              </w:rPr>
              <w:t>WTI</w:t>
            </w:r>
          </w:p>
        </w:tc>
        <w:tc>
          <w:tcPr>
            <w:tcW w:w="6367" w:type="dxa"/>
            <w:gridSpan w:val="3"/>
          </w:tcPr>
          <w:p w14:paraId="7D6CEAB4" w14:textId="2B1FC092" w:rsidR="00880E54" w:rsidRPr="001A4A7B" w:rsidRDefault="00880E54" w:rsidP="00880E54">
            <w:pPr>
              <w:spacing w:before="40" w:line="288" w:lineRule="auto"/>
              <w:ind w:left="-57"/>
              <w:rPr>
                <w:color w:val="000000" w:themeColor="text1"/>
                <w:sz w:val="20"/>
                <w:szCs w:val="20"/>
                <w:lang w:val="en-US"/>
              </w:rPr>
            </w:pPr>
            <w:r w:rsidRPr="001A4A7B">
              <w:rPr>
                <w:color w:val="000000" w:themeColor="text1"/>
                <w:sz w:val="20"/>
                <w:szCs w:val="20"/>
                <w:lang w:val="en-US"/>
              </w:rPr>
              <w:t>West Texas Intermediate</w:t>
            </w:r>
          </w:p>
        </w:tc>
      </w:tr>
    </w:tbl>
    <w:p w14:paraId="34506B9B" w14:textId="77777777" w:rsidR="00B02CF0" w:rsidRPr="001A4A7B" w:rsidRDefault="00B02CF0" w:rsidP="00B02CF0">
      <w:pPr>
        <w:widowControl w:val="0"/>
        <w:autoSpaceDE w:val="0"/>
        <w:autoSpaceDN w:val="0"/>
        <w:adjustRightInd w:val="0"/>
        <w:spacing w:after="240"/>
        <w:jc w:val="both"/>
        <w:rPr>
          <w:b/>
          <w:color w:val="000000" w:themeColor="text1"/>
          <w:lang w:val="en-US"/>
        </w:rPr>
      </w:pPr>
    </w:p>
    <w:p w14:paraId="3ABBAA62" w14:textId="093BADE6" w:rsidR="00A020F8" w:rsidRPr="001A4A7B" w:rsidRDefault="00A020F8">
      <w:pPr>
        <w:rPr>
          <w:color w:val="000000" w:themeColor="text1"/>
          <w:lang w:val="en-US"/>
        </w:rPr>
      </w:pPr>
      <w:r w:rsidRPr="001A4A7B">
        <w:rPr>
          <w:color w:val="000000" w:themeColor="text1"/>
          <w:lang w:val="en-US"/>
        </w:rPr>
        <w:br w:type="page"/>
      </w:r>
    </w:p>
    <w:p w14:paraId="6F714787" w14:textId="26C07BBE" w:rsidR="00EB262D" w:rsidRPr="001A4A7B" w:rsidRDefault="003A2F85" w:rsidP="000D79F0">
      <w:pPr>
        <w:rPr>
          <w:b/>
          <w:color w:val="000000" w:themeColor="text1"/>
          <w:lang w:val="en-US"/>
        </w:rPr>
      </w:pPr>
      <w:r w:rsidRPr="001A4A7B">
        <w:rPr>
          <w:b/>
          <w:color w:val="000000" w:themeColor="text1"/>
          <w:lang w:val="en-US"/>
        </w:rPr>
        <w:lastRenderedPageBreak/>
        <w:t>References</w:t>
      </w:r>
    </w:p>
    <w:p w14:paraId="4157EEE8" w14:textId="77777777" w:rsidR="000D79F0" w:rsidRPr="001A4A7B" w:rsidRDefault="000D79F0" w:rsidP="000D79F0">
      <w:pPr>
        <w:rPr>
          <w:b/>
          <w:color w:val="000000" w:themeColor="text1"/>
          <w:lang w:val="en-US"/>
        </w:rPr>
      </w:pPr>
    </w:p>
    <w:p w14:paraId="095F2EF5" w14:textId="39129A36"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Adrangi, B., Chatrath, A., Raffiee, K.,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Ripple, R. D. (2001). Alaska North Slope crude oil price and the behavior of diesel prices in California.</w:t>
      </w:r>
      <w:r w:rsidRPr="001A4A7B">
        <w:rPr>
          <w:rStyle w:val="apple-converted-space"/>
          <w:color w:val="000000" w:themeColor="text1"/>
          <w:shd w:val="clear" w:color="auto" w:fill="FFFFFF"/>
          <w:lang w:val="en-US"/>
        </w:rPr>
        <w:t> </w:t>
      </w:r>
      <w:r w:rsidRPr="001A4A7B">
        <w:rPr>
          <w:i/>
          <w:iCs/>
          <w:color w:val="000000" w:themeColor="text1"/>
          <w:lang w:val="en-US"/>
        </w:rPr>
        <w:t>Energy Economics</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23</w:t>
      </w:r>
      <w:r w:rsidRPr="001A4A7B">
        <w:rPr>
          <w:color w:val="000000" w:themeColor="text1"/>
          <w:shd w:val="clear" w:color="auto" w:fill="FFFFFF"/>
          <w:lang w:val="en-US"/>
        </w:rPr>
        <w:t>(1), 29-42.</w:t>
      </w:r>
    </w:p>
    <w:p w14:paraId="19B2DBD1" w14:textId="7DA79E5D" w:rsidR="00897571" w:rsidRPr="001A4A7B" w:rsidRDefault="00897571" w:rsidP="000D79F0">
      <w:pPr>
        <w:jc w:val="both"/>
        <w:rPr>
          <w:color w:val="000000" w:themeColor="text1"/>
          <w:lang w:val="en-US"/>
        </w:rPr>
      </w:pPr>
    </w:p>
    <w:p w14:paraId="2B75B89C" w14:textId="46F8492C" w:rsidR="00A56B96" w:rsidRPr="001A4A7B" w:rsidRDefault="00897571" w:rsidP="000D79F0">
      <w:pPr>
        <w:jc w:val="both"/>
        <w:rPr>
          <w:color w:val="000000" w:themeColor="text1"/>
          <w:lang w:val="en-US"/>
        </w:rPr>
      </w:pPr>
      <w:r w:rsidRPr="001A4A7B">
        <w:rPr>
          <w:color w:val="000000" w:themeColor="text1"/>
          <w:lang w:val="en-US"/>
        </w:rPr>
        <w:t>Ahundjanov, B. B., Akhundjanov, S. B., and Okhunjanov, B. B. (2020). Information search and financial markets under COVID-19. </w:t>
      </w:r>
      <w:r w:rsidRPr="001A4A7B">
        <w:rPr>
          <w:i/>
          <w:iCs/>
          <w:color w:val="000000" w:themeColor="text1"/>
          <w:lang w:val="en-US"/>
        </w:rPr>
        <w:t>Entropy</w:t>
      </w:r>
      <w:r w:rsidRPr="001A4A7B">
        <w:rPr>
          <w:color w:val="000000" w:themeColor="text1"/>
          <w:lang w:val="en-US"/>
        </w:rPr>
        <w:t>, </w:t>
      </w:r>
      <w:r w:rsidRPr="001A4A7B">
        <w:rPr>
          <w:i/>
          <w:iCs/>
          <w:color w:val="000000" w:themeColor="text1"/>
          <w:lang w:val="en-US"/>
        </w:rPr>
        <w:t>22</w:t>
      </w:r>
      <w:r w:rsidRPr="001A4A7B">
        <w:rPr>
          <w:color w:val="000000" w:themeColor="text1"/>
          <w:lang w:val="en-US"/>
        </w:rPr>
        <w:t>(7), 791.</w:t>
      </w:r>
    </w:p>
    <w:p w14:paraId="23C42FF6" w14:textId="77777777" w:rsidR="00A56B96" w:rsidRPr="001A4A7B" w:rsidRDefault="00A56B96" w:rsidP="000D79F0">
      <w:pPr>
        <w:jc w:val="both"/>
        <w:rPr>
          <w:color w:val="000000" w:themeColor="text1"/>
          <w:lang w:val="en-US"/>
        </w:rPr>
      </w:pPr>
    </w:p>
    <w:p w14:paraId="750B5F34" w14:textId="5C7CF103" w:rsidR="002B018F" w:rsidRPr="001A4A7B" w:rsidRDefault="002B018F" w:rsidP="002B018F">
      <w:pPr>
        <w:jc w:val="both"/>
        <w:rPr>
          <w:color w:val="000000" w:themeColor="text1"/>
          <w:lang w:val="en-US"/>
        </w:rPr>
      </w:pPr>
      <w:r w:rsidRPr="001A4A7B">
        <w:rPr>
          <w:color w:val="000000" w:themeColor="text1"/>
          <w:lang w:val="en-US"/>
        </w:rPr>
        <w:t xml:space="preserve">Alquist, R., Kilian, L., and Vigfusson, R. J. (2013). Forecasting the price of oil. In </w:t>
      </w:r>
      <w:r w:rsidRPr="001A4A7B">
        <w:rPr>
          <w:i/>
          <w:iCs/>
          <w:color w:val="000000" w:themeColor="text1"/>
          <w:lang w:val="en-US"/>
        </w:rPr>
        <w:t>Handbook of economic forecasting</w:t>
      </w:r>
      <w:r w:rsidRPr="001A4A7B">
        <w:rPr>
          <w:color w:val="000000" w:themeColor="text1"/>
          <w:lang w:val="en-US"/>
        </w:rPr>
        <w:t xml:space="preserve"> (Vol. 2, pp. 427-507). Elsevier.</w:t>
      </w:r>
    </w:p>
    <w:p w14:paraId="714F5BF0" w14:textId="207F47F3" w:rsidR="000D79F0" w:rsidRPr="001A4A7B" w:rsidRDefault="000D79F0" w:rsidP="000D79F0">
      <w:pPr>
        <w:jc w:val="both"/>
        <w:rPr>
          <w:color w:val="000000" w:themeColor="text1"/>
          <w:shd w:val="clear" w:color="auto" w:fill="FFFFFF"/>
          <w:lang w:val="en-US"/>
        </w:rPr>
      </w:pPr>
    </w:p>
    <w:p w14:paraId="4DF7FC89" w14:textId="067AEC42" w:rsidR="008E5C5D" w:rsidRPr="001A4A7B" w:rsidRDefault="008E5C5D" w:rsidP="000D79F0">
      <w:pPr>
        <w:jc w:val="both"/>
        <w:rPr>
          <w:color w:val="000000" w:themeColor="text1"/>
          <w:shd w:val="clear" w:color="auto" w:fill="FFFFFF"/>
          <w:lang w:val="en-US"/>
        </w:rPr>
      </w:pPr>
      <w:r w:rsidRPr="001A4A7B">
        <w:rPr>
          <w:color w:val="000000" w:themeColor="text1"/>
          <w:shd w:val="clear" w:color="auto" w:fill="FFFFFF"/>
          <w:lang w:val="en-US"/>
        </w:rPr>
        <w:t>Anser, M. K., Khan, M. A., Zaman, K., Nassani, A. A., Askar, S. E., Abro, M. M. Q., and Kabbani, A. (2021). Financial development during COVID-19 pandemic: the role of coronavirus testing and functional labs. Financial Innovation, 7, 1-13.</w:t>
      </w:r>
    </w:p>
    <w:p w14:paraId="39ECFC8B" w14:textId="77777777" w:rsidR="008E5C5D" w:rsidRPr="001A4A7B" w:rsidRDefault="008E5C5D" w:rsidP="000D79F0">
      <w:pPr>
        <w:jc w:val="both"/>
        <w:rPr>
          <w:color w:val="000000" w:themeColor="text1"/>
          <w:shd w:val="clear" w:color="auto" w:fill="FFFFFF"/>
          <w:lang w:val="en-US"/>
        </w:rPr>
      </w:pPr>
    </w:p>
    <w:p w14:paraId="57C449FF" w14:textId="3CCDBF52" w:rsidR="000D79F0" w:rsidRPr="001A4A7B" w:rsidRDefault="000D79F0" w:rsidP="000D79F0">
      <w:pPr>
        <w:jc w:val="both"/>
        <w:rPr>
          <w:color w:val="000000" w:themeColor="text1"/>
          <w:lang w:val="en-US"/>
        </w:rPr>
      </w:pPr>
      <w:r w:rsidRPr="001A4A7B">
        <w:rPr>
          <w:color w:val="000000" w:themeColor="text1"/>
          <w:shd w:val="clear" w:color="auto" w:fill="FFFFFF"/>
          <w:lang w:val="en-US"/>
        </w:rPr>
        <w:t xml:space="preserve">Asche, F., Gjølberg, O.,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Völker, T. (2003). Price relationships in the petroleum market: an analysis of crude oil and refined product prices.</w:t>
      </w:r>
      <w:r w:rsidRPr="001A4A7B">
        <w:rPr>
          <w:rStyle w:val="apple-converted-space"/>
          <w:color w:val="000000" w:themeColor="text1"/>
          <w:shd w:val="clear" w:color="auto" w:fill="FFFFFF"/>
          <w:lang w:val="en-US"/>
        </w:rPr>
        <w:t> </w:t>
      </w:r>
      <w:r w:rsidRPr="001A4A7B">
        <w:rPr>
          <w:i/>
          <w:iCs/>
          <w:color w:val="000000" w:themeColor="text1"/>
          <w:lang w:val="en-US"/>
        </w:rPr>
        <w:t>Energy Economics</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25</w:t>
      </w:r>
      <w:r w:rsidRPr="001A4A7B">
        <w:rPr>
          <w:color w:val="000000" w:themeColor="text1"/>
          <w:shd w:val="clear" w:color="auto" w:fill="FFFFFF"/>
          <w:lang w:val="en-US"/>
        </w:rPr>
        <w:t>(3), 289-301.</w:t>
      </w:r>
    </w:p>
    <w:p w14:paraId="5CD4668F" w14:textId="77777777" w:rsidR="000D79F0" w:rsidRPr="001A4A7B" w:rsidRDefault="000D79F0" w:rsidP="000D79F0">
      <w:pPr>
        <w:jc w:val="both"/>
        <w:rPr>
          <w:color w:val="000000" w:themeColor="text1"/>
          <w:shd w:val="clear" w:color="auto" w:fill="FFFFFF"/>
          <w:lang w:val="en-US"/>
        </w:rPr>
      </w:pPr>
    </w:p>
    <w:p w14:paraId="387E599A" w14:textId="3EB43AEE" w:rsidR="000D79F0" w:rsidRPr="001A4A7B" w:rsidRDefault="000D79F0" w:rsidP="000D79F0">
      <w:pPr>
        <w:jc w:val="both"/>
        <w:rPr>
          <w:color w:val="000000" w:themeColor="text1"/>
          <w:lang w:val="en-US"/>
        </w:rPr>
      </w:pPr>
      <w:r w:rsidRPr="001A4A7B">
        <w:rPr>
          <w:color w:val="000000" w:themeColor="text1"/>
          <w:shd w:val="clear" w:color="auto" w:fill="FFFFFF"/>
          <w:lang w:val="en-US"/>
        </w:rPr>
        <w:t xml:space="preserve">Atil, A., Lahiani, A.,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Nguyen, D. K. (2014). Asymmetric and </w:t>
      </w:r>
      <w:r w:rsidR="006A7E1F" w:rsidRPr="001A4A7B">
        <w:rPr>
          <w:color w:val="000000" w:themeColor="text1"/>
          <w:shd w:val="clear" w:color="auto" w:fill="FFFFFF"/>
          <w:lang w:val="en-US"/>
        </w:rPr>
        <w:t>non-linear</w:t>
      </w:r>
      <w:r w:rsidRPr="001A4A7B">
        <w:rPr>
          <w:color w:val="000000" w:themeColor="text1"/>
          <w:shd w:val="clear" w:color="auto" w:fill="FFFFFF"/>
          <w:lang w:val="en-US"/>
        </w:rPr>
        <w:t xml:space="preserve"> pass-through of crude oil prices to gasoline and natural gas prices.</w:t>
      </w:r>
      <w:r w:rsidRPr="001A4A7B">
        <w:rPr>
          <w:rStyle w:val="apple-converted-space"/>
          <w:color w:val="000000" w:themeColor="text1"/>
          <w:shd w:val="clear" w:color="auto" w:fill="FFFFFF"/>
          <w:lang w:val="en-US"/>
        </w:rPr>
        <w:t> </w:t>
      </w:r>
      <w:r w:rsidRPr="001A4A7B">
        <w:rPr>
          <w:i/>
          <w:iCs/>
          <w:color w:val="000000" w:themeColor="text1"/>
          <w:lang w:val="en-US"/>
        </w:rPr>
        <w:t>Energy Policy</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65</w:t>
      </w:r>
      <w:r w:rsidRPr="001A4A7B">
        <w:rPr>
          <w:color w:val="000000" w:themeColor="text1"/>
          <w:shd w:val="clear" w:color="auto" w:fill="FFFFFF"/>
          <w:lang w:val="en-US"/>
        </w:rPr>
        <w:t>, 567-573.</w:t>
      </w:r>
    </w:p>
    <w:p w14:paraId="55045990" w14:textId="77777777" w:rsidR="000D79F0" w:rsidRPr="001A4A7B" w:rsidRDefault="000D79F0" w:rsidP="000D79F0">
      <w:pPr>
        <w:jc w:val="both"/>
        <w:rPr>
          <w:color w:val="000000" w:themeColor="text1"/>
          <w:lang w:val="en-US"/>
        </w:rPr>
      </w:pPr>
    </w:p>
    <w:p w14:paraId="77465362" w14:textId="267336D6" w:rsidR="00BB047E" w:rsidRPr="001A4A7B" w:rsidRDefault="00BB047E" w:rsidP="00BB047E">
      <w:pPr>
        <w:jc w:val="both"/>
        <w:rPr>
          <w:color w:val="000000" w:themeColor="text1"/>
          <w:lang w:val="en-US"/>
        </w:rPr>
      </w:pPr>
      <w:r w:rsidRPr="001A4A7B">
        <w:rPr>
          <w:color w:val="000000" w:themeColor="text1"/>
          <w:lang w:val="en-US"/>
        </w:rPr>
        <w:t xml:space="preserve">Bachmeier, L. J., </w:t>
      </w:r>
      <w:r w:rsidR="002B018F" w:rsidRPr="001A4A7B">
        <w:rPr>
          <w:color w:val="000000" w:themeColor="text1"/>
          <w:lang w:val="en-US"/>
        </w:rPr>
        <w:t>and</w:t>
      </w:r>
      <w:r w:rsidRPr="001A4A7B">
        <w:rPr>
          <w:color w:val="000000" w:themeColor="text1"/>
          <w:lang w:val="en-US"/>
        </w:rPr>
        <w:t xml:space="preserve"> Griffin, J. M. (2003). New evidence on asymmetric gasoline price responses. </w:t>
      </w:r>
      <w:r w:rsidRPr="001A4A7B">
        <w:rPr>
          <w:i/>
          <w:iCs/>
          <w:color w:val="000000" w:themeColor="text1"/>
          <w:lang w:val="en-US"/>
        </w:rPr>
        <w:t>Review of Economics and Statistics</w:t>
      </w:r>
      <w:r w:rsidRPr="001A4A7B">
        <w:rPr>
          <w:color w:val="000000" w:themeColor="text1"/>
          <w:lang w:val="en-US"/>
        </w:rPr>
        <w:t>, </w:t>
      </w:r>
      <w:r w:rsidRPr="001A4A7B">
        <w:rPr>
          <w:i/>
          <w:iCs/>
          <w:color w:val="000000" w:themeColor="text1"/>
          <w:lang w:val="en-US"/>
        </w:rPr>
        <w:t>85</w:t>
      </w:r>
      <w:r w:rsidRPr="001A4A7B">
        <w:rPr>
          <w:color w:val="000000" w:themeColor="text1"/>
          <w:lang w:val="en-US"/>
        </w:rPr>
        <w:t>(3), 772-776.</w:t>
      </w:r>
    </w:p>
    <w:p w14:paraId="2D0B853D" w14:textId="77777777" w:rsidR="009C7E24" w:rsidRPr="001A4A7B" w:rsidRDefault="009C7E24" w:rsidP="00BB047E">
      <w:pPr>
        <w:jc w:val="both"/>
        <w:rPr>
          <w:color w:val="000000" w:themeColor="text1"/>
          <w:lang w:val="en-US"/>
        </w:rPr>
      </w:pPr>
    </w:p>
    <w:p w14:paraId="2274FDC4" w14:textId="36384366" w:rsidR="009C7E24" w:rsidRPr="001A4A7B" w:rsidRDefault="009C7E24" w:rsidP="00BB047E">
      <w:pPr>
        <w:jc w:val="both"/>
        <w:rPr>
          <w:color w:val="000000" w:themeColor="text1"/>
          <w:lang w:val="en-US"/>
        </w:rPr>
      </w:pPr>
      <w:r w:rsidRPr="001A4A7B">
        <w:rPr>
          <w:color w:val="000000" w:themeColor="text1"/>
          <w:lang w:val="en-US"/>
        </w:rPr>
        <w:t xml:space="preserve">Bacon, R. W. (1991). Rockets and feathers: the asymmetric speed of adjustment of </w:t>
      </w:r>
      <w:r w:rsidR="006A7E1F" w:rsidRPr="001A4A7B">
        <w:rPr>
          <w:color w:val="000000" w:themeColor="text1"/>
          <w:lang w:val="en-US"/>
        </w:rPr>
        <w:t>UK</w:t>
      </w:r>
      <w:r w:rsidRPr="001A4A7B">
        <w:rPr>
          <w:color w:val="000000" w:themeColor="text1"/>
          <w:lang w:val="en-US"/>
        </w:rPr>
        <w:t xml:space="preserve"> retail gasoline prices to cost changes. </w:t>
      </w:r>
      <w:r w:rsidRPr="001A4A7B">
        <w:rPr>
          <w:i/>
          <w:color w:val="000000" w:themeColor="text1"/>
          <w:lang w:val="en-US"/>
        </w:rPr>
        <w:t>Energy economics, 13</w:t>
      </w:r>
      <w:r w:rsidRPr="001A4A7B">
        <w:rPr>
          <w:color w:val="000000" w:themeColor="text1"/>
          <w:lang w:val="en-US"/>
        </w:rPr>
        <w:t>(3), 211-218.</w:t>
      </w:r>
    </w:p>
    <w:p w14:paraId="71FE8A34" w14:textId="1C1655C6" w:rsidR="000D79F0" w:rsidRPr="001A4A7B" w:rsidRDefault="000D79F0" w:rsidP="000D79F0">
      <w:pPr>
        <w:jc w:val="both"/>
        <w:rPr>
          <w:color w:val="000000" w:themeColor="text1"/>
          <w:shd w:val="clear" w:color="auto" w:fill="FFFFFF"/>
          <w:lang w:val="en-US"/>
        </w:rPr>
      </w:pPr>
    </w:p>
    <w:p w14:paraId="1FE53B76" w14:textId="4AE7895D" w:rsidR="00C36CEE" w:rsidRPr="001A4A7B" w:rsidRDefault="00C36CEE" w:rsidP="000D79F0">
      <w:pPr>
        <w:jc w:val="both"/>
        <w:rPr>
          <w:color w:val="000000" w:themeColor="text1"/>
          <w:shd w:val="clear" w:color="auto" w:fill="FFFFFF"/>
          <w:lang w:val="en-US"/>
        </w:rPr>
      </w:pPr>
      <w:r w:rsidRPr="001A4A7B">
        <w:rPr>
          <w:color w:val="000000" w:themeColor="text1"/>
          <w:shd w:val="clear" w:color="auto" w:fill="FFFFFF"/>
          <w:lang w:val="en-US"/>
        </w:rPr>
        <w:t>Bakas, D., and Triantafyllou, A. (2020). Commodity price volatility and the economic uncertainty of pandemics. </w:t>
      </w:r>
      <w:r w:rsidRPr="001A4A7B">
        <w:rPr>
          <w:i/>
          <w:iCs/>
          <w:color w:val="000000" w:themeColor="text1"/>
          <w:shd w:val="clear" w:color="auto" w:fill="FFFFFF"/>
          <w:lang w:val="en-US"/>
        </w:rPr>
        <w:t>Economics Letters</w:t>
      </w:r>
      <w:r w:rsidRPr="001A4A7B">
        <w:rPr>
          <w:color w:val="000000" w:themeColor="text1"/>
          <w:shd w:val="clear" w:color="auto" w:fill="FFFFFF"/>
          <w:lang w:val="en-US"/>
        </w:rPr>
        <w:t>, </w:t>
      </w:r>
      <w:r w:rsidRPr="001A4A7B">
        <w:rPr>
          <w:i/>
          <w:iCs/>
          <w:color w:val="000000" w:themeColor="text1"/>
          <w:shd w:val="clear" w:color="auto" w:fill="FFFFFF"/>
          <w:lang w:val="en-US"/>
        </w:rPr>
        <w:t>193</w:t>
      </w:r>
      <w:r w:rsidRPr="001A4A7B">
        <w:rPr>
          <w:color w:val="000000" w:themeColor="text1"/>
          <w:shd w:val="clear" w:color="auto" w:fill="FFFFFF"/>
          <w:lang w:val="en-US"/>
        </w:rPr>
        <w:t>, 109283.</w:t>
      </w:r>
    </w:p>
    <w:p w14:paraId="2F8D99DD" w14:textId="66548E65" w:rsidR="00CE624E" w:rsidRPr="001A4A7B" w:rsidRDefault="00CE624E" w:rsidP="000D79F0">
      <w:pPr>
        <w:jc w:val="both"/>
        <w:rPr>
          <w:color w:val="000000" w:themeColor="text1"/>
          <w:shd w:val="clear" w:color="auto" w:fill="FFFFFF"/>
          <w:lang w:val="en-US"/>
        </w:rPr>
      </w:pPr>
    </w:p>
    <w:p w14:paraId="54E7B419" w14:textId="2B782049" w:rsidR="00CE624E" w:rsidRPr="001A4A7B" w:rsidRDefault="00CE624E" w:rsidP="000D79F0">
      <w:pPr>
        <w:jc w:val="both"/>
        <w:rPr>
          <w:color w:val="000000" w:themeColor="text1"/>
          <w:shd w:val="clear" w:color="auto" w:fill="FFFFFF"/>
          <w:lang w:val="en-US"/>
        </w:rPr>
      </w:pPr>
      <w:r w:rsidRPr="001A4A7B">
        <w:rPr>
          <w:color w:val="000000" w:themeColor="text1"/>
          <w:shd w:val="clear" w:color="auto" w:fill="FFFFFF"/>
          <w:lang w:val="en-US"/>
        </w:rPr>
        <w:t xml:space="preserve">Bakhat, M., Rosselló, J., and Sansó, A. (2022). Price transmission between oil and gasoline and diesel: A new measure for evaluating time asymmetries. </w:t>
      </w:r>
      <w:r w:rsidRPr="001A4A7B">
        <w:rPr>
          <w:i/>
          <w:iCs/>
          <w:color w:val="000000" w:themeColor="text1"/>
          <w:shd w:val="clear" w:color="auto" w:fill="FFFFFF"/>
          <w:lang w:val="en-US"/>
        </w:rPr>
        <w:t>Energy Economics, 106</w:t>
      </w:r>
      <w:r w:rsidRPr="001A4A7B">
        <w:rPr>
          <w:color w:val="000000" w:themeColor="text1"/>
          <w:shd w:val="clear" w:color="auto" w:fill="FFFFFF"/>
          <w:lang w:val="en-US"/>
        </w:rPr>
        <w:t>, 105766.</w:t>
      </w:r>
    </w:p>
    <w:p w14:paraId="48D199BF" w14:textId="77777777" w:rsidR="00C36CEE" w:rsidRPr="001A4A7B" w:rsidRDefault="00C36CEE" w:rsidP="000D79F0">
      <w:pPr>
        <w:jc w:val="both"/>
        <w:rPr>
          <w:color w:val="000000" w:themeColor="text1"/>
          <w:shd w:val="clear" w:color="auto" w:fill="FFFFFF"/>
          <w:lang w:val="en-US"/>
        </w:rPr>
      </w:pPr>
    </w:p>
    <w:p w14:paraId="658A694B" w14:textId="0179EA3D"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Bal, D. P.,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Rath, B. N. (2015). </w:t>
      </w:r>
      <w:r w:rsidR="006A7E1F" w:rsidRPr="001A4A7B">
        <w:rPr>
          <w:color w:val="000000" w:themeColor="text1"/>
          <w:shd w:val="clear" w:color="auto" w:fill="FFFFFF"/>
          <w:lang w:val="en-US"/>
        </w:rPr>
        <w:t>Non-linear</w:t>
      </w:r>
      <w:r w:rsidRPr="001A4A7B">
        <w:rPr>
          <w:color w:val="000000" w:themeColor="text1"/>
          <w:shd w:val="clear" w:color="auto" w:fill="FFFFFF"/>
          <w:lang w:val="en-US"/>
        </w:rPr>
        <w:t xml:space="preserve"> causality between crude oil price and exchange rate: A comparative study of China and India.</w:t>
      </w:r>
      <w:r w:rsidRPr="001A4A7B">
        <w:rPr>
          <w:rStyle w:val="apple-converted-space"/>
          <w:color w:val="000000" w:themeColor="text1"/>
          <w:shd w:val="clear" w:color="auto" w:fill="FFFFFF"/>
          <w:lang w:val="en-US"/>
        </w:rPr>
        <w:t> </w:t>
      </w:r>
      <w:r w:rsidRPr="001A4A7B">
        <w:rPr>
          <w:i/>
          <w:iCs/>
          <w:color w:val="000000" w:themeColor="text1"/>
          <w:lang w:val="en-US"/>
        </w:rPr>
        <w:t>Energy Economics</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51</w:t>
      </w:r>
      <w:r w:rsidRPr="001A4A7B">
        <w:rPr>
          <w:color w:val="000000" w:themeColor="text1"/>
          <w:shd w:val="clear" w:color="auto" w:fill="FFFFFF"/>
          <w:lang w:val="en-US"/>
        </w:rPr>
        <w:t>, 149-156.</w:t>
      </w:r>
    </w:p>
    <w:p w14:paraId="3D1BEA0C" w14:textId="72EE9790" w:rsidR="00904773" w:rsidRPr="001A4A7B" w:rsidRDefault="00904773" w:rsidP="000D79F0">
      <w:pPr>
        <w:jc w:val="both"/>
        <w:rPr>
          <w:color w:val="000000" w:themeColor="text1"/>
          <w:shd w:val="clear" w:color="auto" w:fill="FFFFFF"/>
          <w:lang w:val="en-US"/>
        </w:rPr>
      </w:pPr>
    </w:p>
    <w:p w14:paraId="46396660" w14:textId="092183FE" w:rsidR="00904773" w:rsidRPr="001A4A7B" w:rsidRDefault="00904773" w:rsidP="000D79F0">
      <w:pPr>
        <w:jc w:val="both"/>
        <w:rPr>
          <w:color w:val="000000" w:themeColor="text1"/>
          <w:shd w:val="clear" w:color="auto" w:fill="FFFFFF"/>
          <w:lang w:val="en-US"/>
        </w:rPr>
      </w:pPr>
      <w:r w:rsidRPr="001A4A7B">
        <w:rPr>
          <w:color w:val="000000" w:themeColor="text1"/>
          <w:shd w:val="clear" w:color="auto" w:fill="FFFFFF"/>
          <w:lang w:val="en-US"/>
        </w:rPr>
        <w:t>Barros, C. P., Gil-Alana, L. A., and Payne, J. E. (2011). An analysis of oil production by OPEC countries: Persistence, breaks, and outliers. Energy policy, 39(1), 442-453.</w:t>
      </w:r>
    </w:p>
    <w:p w14:paraId="6B9356D8" w14:textId="77777777" w:rsidR="000D79F0" w:rsidRPr="001A4A7B" w:rsidRDefault="000D79F0" w:rsidP="000D79F0">
      <w:pPr>
        <w:jc w:val="both"/>
        <w:rPr>
          <w:color w:val="000000" w:themeColor="text1"/>
          <w:shd w:val="clear" w:color="auto" w:fill="FFFFFF"/>
          <w:lang w:val="en-US"/>
        </w:rPr>
      </w:pPr>
    </w:p>
    <w:p w14:paraId="09F64A66" w14:textId="3F907BF5"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Baumeister, C., Kilian, L.,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Zhou, X. (2018). Are product spreads useful for forecasting oil prices? An empirical evaluation of the Verleger hypothesis. </w:t>
      </w:r>
      <w:r w:rsidRPr="001A4A7B">
        <w:rPr>
          <w:i/>
          <w:iCs/>
          <w:color w:val="000000" w:themeColor="text1"/>
          <w:lang w:val="en-US"/>
        </w:rPr>
        <w:t>Macroeconomic Dynamics</w:t>
      </w:r>
      <w:r w:rsidRPr="001A4A7B">
        <w:rPr>
          <w:color w:val="000000" w:themeColor="text1"/>
          <w:shd w:val="clear" w:color="auto" w:fill="FFFFFF"/>
          <w:lang w:val="en-US"/>
        </w:rPr>
        <w:t>, </w:t>
      </w:r>
      <w:r w:rsidRPr="001A4A7B">
        <w:rPr>
          <w:i/>
          <w:iCs/>
          <w:color w:val="000000" w:themeColor="text1"/>
          <w:lang w:val="en-US"/>
        </w:rPr>
        <w:t>22</w:t>
      </w:r>
      <w:r w:rsidRPr="001A4A7B">
        <w:rPr>
          <w:color w:val="000000" w:themeColor="text1"/>
          <w:shd w:val="clear" w:color="auto" w:fill="FFFFFF"/>
          <w:lang w:val="en-US"/>
        </w:rPr>
        <w:t>(3), 562-580.</w:t>
      </w:r>
    </w:p>
    <w:p w14:paraId="1B4700E4" w14:textId="77777777" w:rsidR="000D79F0" w:rsidRPr="001A4A7B" w:rsidRDefault="000D79F0" w:rsidP="000D79F0">
      <w:pPr>
        <w:jc w:val="both"/>
        <w:rPr>
          <w:color w:val="000000" w:themeColor="text1"/>
          <w:shd w:val="clear" w:color="auto" w:fill="FFFFFF"/>
          <w:lang w:val="en-US"/>
        </w:rPr>
      </w:pPr>
    </w:p>
    <w:p w14:paraId="4890F0F6" w14:textId="2F4CB8F6"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Bilgin, D.,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Ellwanger, R. (2019).</w:t>
      </w:r>
      <w:r w:rsidR="00FB40DA" w:rsidRPr="001A4A7B">
        <w:rPr>
          <w:color w:val="000000" w:themeColor="text1"/>
          <w:shd w:val="clear" w:color="auto" w:fill="FFFFFF"/>
          <w:lang w:val="en-US"/>
        </w:rPr>
        <w:t xml:space="preserve"> </w:t>
      </w:r>
      <w:r w:rsidRPr="001A4A7B">
        <w:rPr>
          <w:i/>
          <w:iCs/>
          <w:color w:val="000000" w:themeColor="text1"/>
          <w:lang w:val="en-US"/>
        </w:rPr>
        <w:t>The simple economics of global fuel consumption</w:t>
      </w:r>
      <w:r w:rsidR="00FB40DA" w:rsidRPr="001A4A7B">
        <w:rPr>
          <w:color w:val="000000" w:themeColor="text1"/>
          <w:shd w:val="clear" w:color="auto" w:fill="FFFFFF"/>
          <w:lang w:val="en-US"/>
        </w:rPr>
        <w:t xml:space="preserve"> </w:t>
      </w:r>
      <w:r w:rsidRPr="001A4A7B">
        <w:rPr>
          <w:color w:val="000000" w:themeColor="text1"/>
          <w:shd w:val="clear" w:color="auto" w:fill="FFFFFF"/>
          <w:lang w:val="en-US"/>
        </w:rPr>
        <w:t>(No. 2019-35). Bank of Canada Staff Working Paper.</w:t>
      </w:r>
    </w:p>
    <w:p w14:paraId="682C7765" w14:textId="77777777" w:rsidR="00C56754" w:rsidRPr="001A4A7B" w:rsidRDefault="00C56754" w:rsidP="000D79F0">
      <w:pPr>
        <w:jc w:val="both"/>
        <w:rPr>
          <w:color w:val="000000" w:themeColor="text1"/>
          <w:shd w:val="clear" w:color="auto" w:fill="FFFFFF"/>
          <w:lang w:val="en-US"/>
        </w:rPr>
      </w:pPr>
    </w:p>
    <w:p w14:paraId="03EB1C02" w14:textId="691B8A5A" w:rsidR="00C56754" w:rsidRPr="001A4A7B" w:rsidRDefault="00C56754" w:rsidP="00C56754">
      <w:pPr>
        <w:jc w:val="both"/>
        <w:rPr>
          <w:color w:val="000000" w:themeColor="text1"/>
          <w:shd w:val="clear" w:color="auto" w:fill="FFFFFF"/>
          <w:lang w:val="en-US"/>
        </w:rPr>
      </w:pPr>
      <w:r w:rsidRPr="001A4A7B">
        <w:rPr>
          <w:color w:val="000000" w:themeColor="text1"/>
          <w:shd w:val="clear" w:color="auto" w:fill="FFFFFF"/>
          <w:lang w:val="en-US"/>
        </w:rPr>
        <w:lastRenderedPageBreak/>
        <w:t xml:space="preserve">Billio, M., </w:t>
      </w:r>
      <w:r w:rsidR="00C06BB2" w:rsidRPr="001A4A7B">
        <w:rPr>
          <w:color w:val="000000" w:themeColor="text1"/>
          <w:shd w:val="clear" w:color="auto" w:fill="FFFFFF"/>
          <w:lang w:val="en-US"/>
        </w:rPr>
        <w:t>and</w:t>
      </w:r>
      <w:r w:rsidRPr="001A4A7B">
        <w:rPr>
          <w:color w:val="000000" w:themeColor="text1"/>
          <w:shd w:val="clear" w:color="auto" w:fill="FFFFFF"/>
          <w:lang w:val="en-US"/>
        </w:rPr>
        <w:t xml:space="preserve"> Varotto, S. (2020). A New World Post COVID-19: Lessons for Business, the Finance Industry and Policy Makers. </w:t>
      </w:r>
      <w:r w:rsidRPr="001A4A7B">
        <w:rPr>
          <w:i/>
          <w:iCs/>
          <w:color w:val="000000" w:themeColor="text1"/>
          <w:shd w:val="clear" w:color="auto" w:fill="FFFFFF"/>
          <w:lang w:val="en-US"/>
        </w:rPr>
        <w:t>Venezia Edizioni Ca’Foscari-Digital Publishing</w:t>
      </w:r>
      <w:r w:rsidRPr="001A4A7B">
        <w:rPr>
          <w:color w:val="000000" w:themeColor="text1"/>
          <w:shd w:val="clear" w:color="auto" w:fill="FFFFFF"/>
          <w:lang w:val="en-US"/>
        </w:rPr>
        <w:t>.</w:t>
      </w:r>
    </w:p>
    <w:p w14:paraId="465941EE" w14:textId="77777777" w:rsidR="000D79F0" w:rsidRPr="001A4A7B" w:rsidRDefault="000D79F0" w:rsidP="000D79F0">
      <w:pPr>
        <w:jc w:val="both"/>
        <w:rPr>
          <w:color w:val="000000" w:themeColor="text1"/>
          <w:shd w:val="clear" w:color="auto" w:fill="FFFFFF"/>
          <w:lang w:val="en-US"/>
        </w:rPr>
      </w:pPr>
    </w:p>
    <w:p w14:paraId="7B78F943" w14:textId="3C9BB700" w:rsidR="000D79F0" w:rsidRPr="001A4A7B" w:rsidRDefault="000D79F0" w:rsidP="000D79F0">
      <w:pPr>
        <w:jc w:val="both"/>
        <w:rPr>
          <w:color w:val="000000" w:themeColor="text1"/>
          <w:lang w:val="en-US"/>
        </w:rPr>
      </w:pPr>
      <w:r w:rsidRPr="001A4A7B">
        <w:rPr>
          <w:color w:val="000000" w:themeColor="text1"/>
          <w:shd w:val="clear" w:color="auto" w:fill="FFFFFF"/>
          <w:lang w:val="en-US"/>
        </w:rPr>
        <w:t xml:space="preserve">Borenstein, S., Cameron, A. C.,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Gilbert, R. (1997). Do gasoline prices respond asymmetrically to crude oil price </w:t>
      </w:r>
      <w:r w:rsidR="000F0D08" w:rsidRPr="001A4A7B">
        <w:rPr>
          <w:color w:val="000000" w:themeColor="text1"/>
          <w:shd w:val="clear" w:color="auto" w:fill="FFFFFF"/>
          <w:lang w:val="en-US"/>
        </w:rPr>
        <w:t>changes?</w:t>
      </w:r>
      <w:r w:rsidRPr="001A4A7B">
        <w:rPr>
          <w:rStyle w:val="apple-converted-space"/>
          <w:color w:val="000000" w:themeColor="text1"/>
          <w:shd w:val="clear" w:color="auto" w:fill="FFFFFF"/>
          <w:lang w:val="en-US"/>
        </w:rPr>
        <w:t> </w:t>
      </w:r>
      <w:r w:rsidRPr="001A4A7B">
        <w:rPr>
          <w:i/>
          <w:iCs/>
          <w:color w:val="000000" w:themeColor="text1"/>
          <w:lang w:val="en-US"/>
        </w:rPr>
        <w:t>The Quarterly journal of economics</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112</w:t>
      </w:r>
      <w:r w:rsidRPr="001A4A7B">
        <w:rPr>
          <w:color w:val="000000" w:themeColor="text1"/>
          <w:shd w:val="clear" w:color="auto" w:fill="FFFFFF"/>
          <w:lang w:val="en-US"/>
        </w:rPr>
        <w:t>(1), 305-339.</w:t>
      </w:r>
    </w:p>
    <w:p w14:paraId="4F083CA7" w14:textId="77777777" w:rsidR="000D79F0" w:rsidRPr="001A4A7B" w:rsidRDefault="000D79F0" w:rsidP="000D79F0">
      <w:pPr>
        <w:jc w:val="both"/>
        <w:rPr>
          <w:color w:val="000000" w:themeColor="text1"/>
          <w:shd w:val="clear" w:color="auto" w:fill="FFFFFF"/>
          <w:lang w:val="en-US"/>
        </w:rPr>
      </w:pPr>
    </w:p>
    <w:p w14:paraId="2AA9E47A" w14:textId="017FED56"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Brahmasrene, T., Huang, J. C.,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Sissoko, Y. (2014). Crude oil prices and exchange rates: Causality, variance decomposition and impulse response.</w:t>
      </w:r>
      <w:r w:rsidRPr="001A4A7B">
        <w:rPr>
          <w:rStyle w:val="apple-converted-space"/>
          <w:color w:val="000000" w:themeColor="text1"/>
          <w:shd w:val="clear" w:color="auto" w:fill="FFFFFF"/>
          <w:lang w:val="en-US"/>
        </w:rPr>
        <w:t> </w:t>
      </w:r>
      <w:r w:rsidRPr="001A4A7B">
        <w:rPr>
          <w:i/>
          <w:iCs/>
          <w:color w:val="000000" w:themeColor="text1"/>
          <w:lang w:val="en-US"/>
        </w:rPr>
        <w:t>Energy Economics</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44</w:t>
      </w:r>
      <w:r w:rsidRPr="001A4A7B">
        <w:rPr>
          <w:color w:val="000000" w:themeColor="text1"/>
          <w:shd w:val="clear" w:color="auto" w:fill="FFFFFF"/>
          <w:lang w:val="en-US"/>
        </w:rPr>
        <w:t>, 407-412.</w:t>
      </w:r>
    </w:p>
    <w:p w14:paraId="188EB4F7" w14:textId="77777777" w:rsidR="000D79F0" w:rsidRPr="001A4A7B" w:rsidRDefault="000D79F0" w:rsidP="000D79F0">
      <w:pPr>
        <w:jc w:val="both"/>
        <w:rPr>
          <w:color w:val="000000" w:themeColor="text1"/>
          <w:lang w:val="en-US"/>
        </w:rPr>
      </w:pPr>
    </w:p>
    <w:p w14:paraId="3EB1ECE6" w14:textId="39D21AF8"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Bremmer, D. S.,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Kesselring, R. G. (2016). The relationship between </w:t>
      </w:r>
      <w:r w:rsidR="006A7E1F" w:rsidRPr="001A4A7B">
        <w:rPr>
          <w:color w:val="000000" w:themeColor="text1"/>
          <w:shd w:val="clear" w:color="auto" w:fill="FFFFFF"/>
          <w:lang w:val="en-US"/>
        </w:rPr>
        <w:t>US</w:t>
      </w:r>
      <w:r w:rsidRPr="001A4A7B">
        <w:rPr>
          <w:color w:val="000000" w:themeColor="text1"/>
          <w:shd w:val="clear" w:color="auto" w:fill="FFFFFF"/>
          <w:lang w:val="en-US"/>
        </w:rPr>
        <w:t xml:space="preserve"> retail gasoline and crude oil prices during the Great Recession:</w:t>
      </w:r>
      <w:r w:rsidR="00833605" w:rsidRPr="001A4A7B">
        <w:rPr>
          <w:color w:val="000000" w:themeColor="text1"/>
          <w:shd w:val="clear" w:color="auto" w:fill="FFFFFF"/>
          <w:lang w:val="en-US"/>
        </w:rPr>
        <w:t xml:space="preserve"> "</w:t>
      </w:r>
      <w:r w:rsidRPr="001A4A7B">
        <w:rPr>
          <w:color w:val="000000" w:themeColor="text1"/>
          <w:shd w:val="clear" w:color="auto" w:fill="FFFFFF"/>
          <w:lang w:val="en-US"/>
        </w:rPr>
        <w:t>Rockets and feathers</w:t>
      </w:r>
      <w:r w:rsidR="00833605" w:rsidRPr="001A4A7B">
        <w:rPr>
          <w:color w:val="000000" w:themeColor="text1"/>
          <w:shd w:val="clear" w:color="auto" w:fill="FFFFFF"/>
          <w:lang w:val="en-US"/>
        </w:rPr>
        <w:t>"</w:t>
      </w:r>
      <w:r w:rsidRPr="001A4A7B">
        <w:rPr>
          <w:color w:val="000000" w:themeColor="text1"/>
          <w:shd w:val="clear" w:color="auto" w:fill="FFFFFF"/>
          <w:lang w:val="en-US"/>
        </w:rPr>
        <w:t xml:space="preserve"> or </w:t>
      </w:r>
      <w:r w:rsidR="00833605" w:rsidRPr="001A4A7B">
        <w:rPr>
          <w:color w:val="000000" w:themeColor="text1"/>
          <w:shd w:val="clear" w:color="auto" w:fill="FFFFFF"/>
          <w:lang w:val="en-US"/>
        </w:rPr>
        <w:t>"</w:t>
      </w:r>
      <w:r w:rsidRPr="001A4A7B">
        <w:rPr>
          <w:color w:val="000000" w:themeColor="text1"/>
          <w:shd w:val="clear" w:color="auto" w:fill="FFFFFF"/>
          <w:lang w:val="en-US"/>
        </w:rPr>
        <w:t>balloons and rocks</w:t>
      </w:r>
      <w:r w:rsidR="00833605" w:rsidRPr="001A4A7B">
        <w:rPr>
          <w:color w:val="000000" w:themeColor="text1"/>
          <w:shd w:val="clear" w:color="auto" w:fill="FFFFFF"/>
          <w:lang w:val="en-US"/>
        </w:rPr>
        <w:t>"</w:t>
      </w:r>
      <w:r w:rsidRPr="001A4A7B">
        <w:rPr>
          <w:color w:val="000000" w:themeColor="text1"/>
          <w:shd w:val="clear" w:color="auto" w:fill="FFFFFF"/>
          <w:lang w:val="en-US"/>
        </w:rPr>
        <w:t xml:space="preserve"> behavior?. Energy Economics, 55, 200-210.</w:t>
      </w:r>
    </w:p>
    <w:p w14:paraId="2C0C98AC" w14:textId="77777777" w:rsidR="000D79F0" w:rsidRPr="001A4A7B" w:rsidRDefault="000D79F0" w:rsidP="000D79F0">
      <w:pPr>
        <w:jc w:val="both"/>
        <w:rPr>
          <w:color w:val="000000" w:themeColor="text1"/>
          <w:shd w:val="clear" w:color="auto" w:fill="FFFFFF"/>
          <w:lang w:val="en-US"/>
        </w:rPr>
      </w:pPr>
    </w:p>
    <w:p w14:paraId="73637C31" w14:textId="5A420AD7"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Brown, S. P.,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Yucel, M. K. (2008). What drives natural gas prices?.</w:t>
      </w:r>
      <w:r w:rsidRPr="001A4A7B">
        <w:rPr>
          <w:rStyle w:val="apple-converted-space"/>
          <w:color w:val="000000" w:themeColor="text1"/>
          <w:shd w:val="clear" w:color="auto" w:fill="FFFFFF"/>
          <w:lang w:val="en-US"/>
        </w:rPr>
        <w:t> </w:t>
      </w:r>
      <w:r w:rsidRPr="001A4A7B">
        <w:rPr>
          <w:i/>
          <w:iCs/>
          <w:color w:val="000000" w:themeColor="text1"/>
          <w:lang w:val="en-US"/>
        </w:rPr>
        <w:t>The Energy Journal</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29</w:t>
      </w:r>
      <w:r w:rsidRPr="001A4A7B">
        <w:rPr>
          <w:color w:val="000000" w:themeColor="text1"/>
          <w:shd w:val="clear" w:color="auto" w:fill="FFFFFF"/>
          <w:lang w:val="en-US"/>
        </w:rPr>
        <w:t>(2).</w:t>
      </w:r>
    </w:p>
    <w:p w14:paraId="04745FC6" w14:textId="77777777" w:rsidR="000D79F0" w:rsidRPr="001A4A7B" w:rsidRDefault="000D79F0" w:rsidP="000D79F0">
      <w:pPr>
        <w:jc w:val="both"/>
        <w:rPr>
          <w:color w:val="000000" w:themeColor="text1"/>
          <w:shd w:val="clear" w:color="auto" w:fill="FFFFFF"/>
          <w:lang w:val="en-US"/>
        </w:rPr>
      </w:pPr>
    </w:p>
    <w:p w14:paraId="666AB4DB" w14:textId="67FC2E46"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Caro, J. M. B., Golpe, A. A., Iglesias, J.,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Vides, J. C. (2020). A new way of measuring the WTI–Brent spread. </w:t>
      </w:r>
      <w:r w:rsidR="006A7E1F" w:rsidRPr="001A4A7B">
        <w:rPr>
          <w:color w:val="000000" w:themeColor="text1"/>
          <w:shd w:val="clear" w:color="auto" w:fill="FFFFFF"/>
          <w:lang w:val="en-US"/>
        </w:rPr>
        <w:t>Globalisation</w:t>
      </w:r>
      <w:r w:rsidRPr="001A4A7B">
        <w:rPr>
          <w:color w:val="000000" w:themeColor="text1"/>
          <w:shd w:val="clear" w:color="auto" w:fill="FFFFFF"/>
          <w:lang w:val="en-US"/>
        </w:rPr>
        <w:t>, shock persistence and common trends.</w:t>
      </w:r>
      <w:r w:rsidRPr="001A4A7B">
        <w:rPr>
          <w:rStyle w:val="apple-converted-space"/>
          <w:color w:val="000000" w:themeColor="text1"/>
          <w:shd w:val="clear" w:color="auto" w:fill="FFFFFF"/>
          <w:lang w:val="en-US"/>
        </w:rPr>
        <w:t> </w:t>
      </w:r>
      <w:r w:rsidRPr="001A4A7B">
        <w:rPr>
          <w:i/>
          <w:iCs/>
          <w:color w:val="000000" w:themeColor="text1"/>
          <w:lang w:val="en-US"/>
        </w:rPr>
        <w:t>Energy Economics</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85</w:t>
      </w:r>
      <w:r w:rsidRPr="001A4A7B">
        <w:rPr>
          <w:color w:val="000000" w:themeColor="text1"/>
          <w:shd w:val="clear" w:color="auto" w:fill="FFFFFF"/>
          <w:lang w:val="en-US"/>
        </w:rPr>
        <w:t>, 104546.</w:t>
      </w:r>
    </w:p>
    <w:p w14:paraId="436C57ED" w14:textId="77777777" w:rsidR="000D79F0" w:rsidRPr="001A4A7B" w:rsidRDefault="000D79F0" w:rsidP="000D79F0">
      <w:pPr>
        <w:jc w:val="both"/>
        <w:rPr>
          <w:color w:val="000000" w:themeColor="text1"/>
          <w:lang w:val="en-US"/>
        </w:rPr>
      </w:pPr>
    </w:p>
    <w:p w14:paraId="2AF2A39E" w14:textId="01A8EBB3" w:rsidR="000D79F0" w:rsidRPr="001A4A7B" w:rsidRDefault="000D79F0" w:rsidP="000D79F0">
      <w:pPr>
        <w:jc w:val="both"/>
        <w:rPr>
          <w:color w:val="000000" w:themeColor="text1"/>
          <w:shd w:val="clear" w:color="auto" w:fill="FFFFFF"/>
          <w:lang w:val="en-US"/>
        </w:rPr>
      </w:pPr>
      <w:r w:rsidRPr="001A4A7B">
        <w:rPr>
          <w:color w:val="000000" w:themeColor="text1"/>
          <w:lang w:val="en-US"/>
        </w:rPr>
        <w:t xml:space="preserve">Clarke, J. A., </w:t>
      </w:r>
      <w:r w:rsidR="002B018F" w:rsidRPr="001A4A7B">
        <w:rPr>
          <w:color w:val="000000" w:themeColor="text1"/>
          <w:lang w:val="en-US"/>
        </w:rPr>
        <w:t>and</w:t>
      </w:r>
      <w:r w:rsidRPr="001A4A7B">
        <w:rPr>
          <w:color w:val="000000" w:themeColor="text1"/>
          <w:lang w:val="en-US"/>
        </w:rPr>
        <w:t xml:space="preserve"> Mirza, S. (2006). A comparison of some common methods for detecting Granger noncausality. </w:t>
      </w:r>
      <w:r w:rsidRPr="001A4A7B">
        <w:rPr>
          <w:i/>
          <w:iCs/>
          <w:color w:val="000000" w:themeColor="text1"/>
          <w:lang w:val="en-US"/>
        </w:rPr>
        <w:t>Journal of Statistical Computation and Simulation</w:t>
      </w:r>
      <w:r w:rsidRPr="001A4A7B">
        <w:rPr>
          <w:color w:val="000000" w:themeColor="text1"/>
          <w:lang w:val="en-US"/>
        </w:rPr>
        <w:t>, </w:t>
      </w:r>
      <w:r w:rsidRPr="001A4A7B">
        <w:rPr>
          <w:i/>
          <w:iCs/>
          <w:color w:val="000000" w:themeColor="text1"/>
          <w:lang w:val="en-US"/>
        </w:rPr>
        <w:t>76</w:t>
      </w:r>
      <w:r w:rsidRPr="001A4A7B">
        <w:rPr>
          <w:color w:val="000000" w:themeColor="text1"/>
          <w:lang w:val="en-US"/>
        </w:rPr>
        <w:t>(3), 207-231.</w:t>
      </w:r>
    </w:p>
    <w:p w14:paraId="41B777BB" w14:textId="3F1FBE3B" w:rsidR="000D79F0" w:rsidRPr="001A4A7B" w:rsidRDefault="000D79F0" w:rsidP="000D79F0">
      <w:pPr>
        <w:jc w:val="both"/>
        <w:rPr>
          <w:color w:val="000000" w:themeColor="text1"/>
          <w:shd w:val="clear" w:color="auto" w:fill="FFFFFF"/>
          <w:lang w:val="en-US"/>
        </w:rPr>
      </w:pPr>
    </w:p>
    <w:p w14:paraId="3FD1A2E4" w14:textId="3D3250C2" w:rsidR="00BF55AF" w:rsidRPr="001A4A7B" w:rsidRDefault="00BF55AF" w:rsidP="000D79F0">
      <w:pPr>
        <w:jc w:val="both"/>
        <w:rPr>
          <w:color w:val="000000" w:themeColor="text1"/>
          <w:shd w:val="clear" w:color="auto" w:fill="FFFFFF"/>
          <w:lang w:val="en-US"/>
        </w:rPr>
      </w:pPr>
      <w:r w:rsidRPr="001A4A7B">
        <w:rPr>
          <w:color w:val="000000" w:themeColor="text1"/>
          <w:shd w:val="clear" w:color="auto" w:fill="FFFFFF"/>
          <w:lang w:val="en-US"/>
        </w:rPr>
        <w:t xml:space="preserve">Dickey, D., and Fuller, W. A. (1979). Distribution of the estimators for autoregressive time series with a unit root. </w:t>
      </w:r>
      <w:r w:rsidRPr="001A4A7B">
        <w:rPr>
          <w:i/>
          <w:iCs/>
          <w:color w:val="000000" w:themeColor="text1"/>
          <w:shd w:val="clear" w:color="auto" w:fill="FFFFFF"/>
          <w:lang w:val="en-US"/>
        </w:rPr>
        <w:t>Journal of the American Statistical Association, 74</w:t>
      </w:r>
      <w:r w:rsidRPr="001A4A7B">
        <w:rPr>
          <w:color w:val="000000" w:themeColor="text1"/>
          <w:shd w:val="clear" w:color="auto" w:fill="FFFFFF"/>
          <w:lang w:val="en-US"/>
        </w:rPr>
        <w:t>(366a), 427-431.</w:t>
      </w:r>
    </w:p>
    <w:p w14:paraId="36359E93" w14:textId="77777777" w:rsidR="00BF55AF" w:rsidRPr="001A4A7B" w:rsidRDefault="00BF55AF" w:rsidP="000D79F0">
      <w:pPr>
        <w:jc w:val="both"/>
        <w:rPr>
          <w:color w:val="000000" w:themeColor="text1"/>
          <w:shd w:val="clear" w:color="auto" w:fill="FFFFFF"/>
          <w:lang w:val="en-US"/>
        </w:rPr>
      </w:pPr>
    </w:p>
    <w:p w14:paraId="020BCD4F" w14:textId="5E765533"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Ding, H., Kim, H. G.,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Park, S. Y. (2016). Crude oil and stock markets: Causal relationships in </w:t>
      </w:r>
      <w:r w:rsidR="000F0D08" w:rsidRPr="001A4A7B">
        <w:rPr>
          <w:color w:val="000000" w:themeColor="text1"/>
          <w:shd w:val="clear" w:color="auto" w:fill="FFFFFF"/>
          <w:lang w:val="en-US"/>
        </w:rPr>
        <w:t>tails?</w:t>
      </w:r>
      <w:r w:rsidRPr="001A4A7B">
        <w:rPr>
          <w:rStyle w:val="apple-converted-space"/>
          <w:color w:val="000000" w:themeColor="text1"/>
          <w:shd w:val="clear" w:color="auto" w:fill="FFFFFF"/>
          <w:lang w:val="en-US"/>
        </w:rPr>
        <w:t> </w:t>
      </w:r>
      <w:r w:rsidRPr="001A4A7B">
        <w:rPr>
          <w:i/>
          <w:iCs/>
          <w:color w:val="000000" w:themeColor="text1"/>
          <w:lang w:val="en-US"/>
        </w:rPr>
        <w:t>Energy Economics</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59</w:t>
      </w:r>
      <w:r w:rsidRPr="001A4A7B">
        <w:rPr>
          <w:color w:val="000000" w:themeColor="text1"/>
          <w:shd w:val="clear" w:color="auto" w:fill="FFFFFF"/>
          <w:lang w:val="en-US"/>
        </w:rPr>
        <w:t>, 58-69.</w:t>
      </w:r>
    </w:p>
    <w:p w14:paraId="5AAC7751" w14:textId="77777777" w:rsidR="000D79F0" w:rsidRPr="001A4A7B" w:rsidRDefault="000D79F0" w:rsidP="000D79F0">
      <w:pPr>
        <w:jc w:val="both"/>
        <w:rPr>
          <w:color w:val="000000" w:themeColor="text1"/>
          <w:lang w:val="en-US"/>
        </w:rPr>
      </w:pPr>
    </w:p>
    <w:p w14:paraId="41EECAB4" w14:textId="1053F9E4" w:rsidR="000D79F0" w:rsidRPr="001A4A7B" w:rsidRDefault="000D79F0" w:rsidP="000D79F0">
      <w:pPr>
        <w:jc w:val="both"/>
        <w:rPr>
          <w:color w:val="000000" w:themeColor="text1"/>
          <w:shd w:val="clear" w:color="auto" w:fill="FFFFFF"/>
          <w:lang w:val="en-US"/>
        </w:rPr>
      </w:pPr>
      <w:r w:rsidRPr="001A4A7B">
        <w:rPr>
          <w:color w:val="000000" w:themeColor="text1"/>
          <w:lang w:val="en-US"/>
        </w:rPr>
        <w:t>Douglas CC</w:t>
      </w:r>
      <w:r w:rsidR="0068201E" w:rsidRPr="001A4A7B">
        <w:rPr>
          <w:color w:val="000000" w:themeColor="text1"/>
          <w:lang w:val="en-US"/>
        </w:rPr>
        <w:t>.</w:t>
      </w:r>
      <w:r w:rsidRPr="001A4A7B">
        <w:rPr>
          <w:color w:val="000000" w:themeColor="text1"/>
          <w:lang w:val="en-US"/>
        </w:rPr>
        <w:t xml:space="preserve"> (2010)</w:t>
      </w:r>
      <w:r w:rsidR="0068201E" w:rsidRPr="001A4A7B">
        <w:rPr>
          <w:color w:val="000000" w:themeColor="text1"/>
          <w:lang w:val="en-US"/>
        </w:rPr>
        <w:t>.</w:t>
      </w:r>
      <w:r w:rsidRPr="001A4A7B">
        <w:rPr>
          <w:color w:val="000000" w:themeColor="text1"/>
          <w:lang w:val="en-US"/>
        </w:rPr>
        <w:t xml:space="preserve"> Do gasoline prices exhibit asymmetry? Not </w:t>
      </w:r>
      <w:r w:rsidR="000F0D08" w:rsidRPr="001A4A7B">
        <w:rPr>
          <w:color w:val="000000" w:themeColor="text1"/>
          <w:lang w:val="en-US"/>
        </w:rPr>
        <w:t>usually!</w:t>
      </w:r>
      <w:r w:rsidRPr="001A4A7B">
        <w:rPr>
          <w:color w:val="000000" w:themeColor="text1"/>
          <w:lang w:val="en-US"/>
        </w:rPr>
        <w:t xml:space="preserve"> </w:t>
      </w:r>
      <w:r w:rsidRPr="001A4A7B">
        <w:rPr>
          <w:i/>
          <w:iCs/>
          <w:color w:val="000000" w:themeColor="text1"/>
          <w:lang w:val="en-US"/>
        </w:rPr>
        <w:t>Energy Econ</w:t>
      </w:r>
      <w:r w:rsidR="0068201E" w:rsidRPr="001A4A7B">
        <w:rPr>
          <w:i/>
          <w:iCs/>
          <w:color w:val="000000" w:themeColor="text1"/>
          <w:lang w:val="en-US"/>
        </w:rPr>
        <w:t>omics,</w:t>
      </w:r>
      <w:r w:rsidRPr="001A4A7B">
        <w:rPr>
          <w:i/>
          <w:iCs/>
          <w:color w:val="000000" w:themeColor="text1"/>
          <w:lang w:val="en-US"/>
        </w:rPr>
        <w:t xml:space="preserve"> 32</w:t>
      </w:r>
      <w:r w:rsidRPr="001A4A7B">
        <w:rPr>
          <w:color w:val="000000" w:themeColor="text1"/>
          <w:lang w:val="en-US"/>
        </w:rPr>
        <w:t>(4)</w:t>
      </w:r>
      <w:r w:rsidR="0068201E" w:rsidRPr="001A4A7B">
        <w:rPr>
          <w:color w:val="000000" w:themeColor="text1"/>
          <w:lang w:val="en-US"/>
        </w:rPr>
        <w:t xml:space="preserve">, </w:t>
      </w:r>
      <w:r w:rsidRPr="001A4A7B">
        <w:rPr>
          <w:color w:val="000000" w:themeColor="text1"/>
          <w:lang w:val="en-US"/>
        </w:rPr>
        <w:t>918–925.</w:t>
      </w:r>
    </w:p>
    <w:p w14:paraId="299D31AA" w14:textId="77777777" w:rsidR="000D79F0" w:rsidRPr="001A4A7B" w:rsidRDefault="000D79F0" w:rsidP="000D79F0">
      <w:pPr>
        <w:jc w:val="both"/>
        <w:rPr>
          <w:color w:val="000000" w:themeColor="text1"/>
          <w:shd w:val="clear" w:color="auto" w:fill="FFFFFF"/>
          <w:lang w:val="en-US"/>
        </w:rPr>
      </w:pPr>
    </w:p>
    <w:p w14:paraId="7795BDC0" w14:textId="092AFFE8"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Ederington, L. H., Fernando, C. S., Hoelscher, S. A., Lee, T. K.,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Linn, S. C. (2019). A review of the evidence on the relation between crude oil prices and petroleum product prices.</w:t>
      </w:r>
      <w:r w:rsidRPr="001A4A7B">
        <w:rPr>
          <w:rStyle w:val="apple-converted-space"/>
          <w:color w:val="000000" w:themeColor="text1"/>
          <w:shd w:val="clear" w:color="auto" w:fill="FFFFFF"/>
          <w:lang w:val="en-US"/>
        </w:rPr>
        <w:t> </w:t>
      </w:r>
      <w:r w:rsidRPr="001A4A7B">
        <w:rPr>
          <w:i/>
          <w:iCs/>
          <w:color w:val="000000" w:themeColor="text1"/>
          <w:lang w:val="en-US"/>
        </w:rPr>
        <w:t>Journal of Commodity Markets</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13</w:t>
      </w:r>
      <w:r w:rsidRPr="001A4A7B">
        <w:rPr>
          <w:color w:val="000000" w:themeColor="text1"/>
          <w:shd w:val="clear" w:color="auto" w:fill="FFFFFF"/>
          <w:lang w:val="en-US"/>
        </w:rPr>
        <w:t>, 1-15.</w:t>
      </w:r>
    </w:p>
    <w:p w14:paraId="51A80D92" w14:textId="371D6CE9" w:rsidR="00D5208B" w:rsidRPr="001A4A7B" w:rsidRDefault="00D5208B" w:rsidP="000D79F0">
      <w:pPr>
        <w:jc w:val="both"/>
        <w:rPr>
          <w:color w:val="000000" w:themeColor="text1"/>
          <w:shd w:val="clear" w:color="auto" w:fill="FFFFFF"/>
          <w:lang w:val="en-US"/>
        </w:rPr>
      </w:pPr>
    </w:p>
    <w:p w14:paraId="7EE7FC6F" w14:textId="1D882AF1" w:rsidR="00D5208B" w:rsidRPr="001A4A7B" w:rsidRDefault="00D5208B" w:rsidP="000D79F0">
      <w:pPr>
        <w:jc w:val="both"/>
        <w:rPr>
          <w:color w:val="000000" w:themeColor="text1"/>
          <w:shd w:val="clear" w:color="auto" w:fill="FFFFFF"/>
          <w:lang w:val="en-US"/>
        </w:rPr>
      </w:pPr>
      <w:r w:rsidRPr="001A4A7B">
        <w:rPr>
          <w:color w:val="000000" w:themeColor="text1"/>
          <w:shd w:val="clear" w:color="auto" w:fill="FFFFFF"/>
          <w:lang w:val="en-US"/>
        </w:rPr>
        <w:t xml:space="preserve">Ederington, L. H., Fernando, C. S., Lee, T. K., Linn, S. C., </w:t>
      </w:r>
      <w:r w:rsidR="00752592" w:rsidRPr="001A4A7B">
        <w:rPr>
          <w:color w:val="000000" w:themeColor="text1"/>
          <w:shd w:val="clear" w:color="auto" w:fill="FFFFFF"/>
          <w:lang w:val="en-US"/>
        </w:rPr>
        <w:t>and</w:t>
      </w:r>
      <w:r w:rsidRPr="001A4A7B">
        <w:rPr>
          <w:color w:val="000000" w:themeColor="text1"/>
          <w:shd w:val="clear" w:color="auto" w:fill="FFFFFF"/>
          <w:lang w:val="en-US"/>
        </w:rPr>
        <w:t xml:space="preserve"> Zhang, H. (2021). The relation between petroleum product prices and crude oil prices. Energy Economics, 94, 105079.</w:t>
      </w:r>
    </w:p>
    <w:p w14:paraId="0035AB8A" w14:textId="01566F1A" w:rsidR="000D79F0" w:rsidRPr="001A4A7B" w:rsidRDefault="000D79F0" w:rsidP="000D79F0">
      <w:pPr>
        <w:jc w:val="both"/>
        <w:rPr>
          <w:color w:val="000000" w:themeColor="text1"/>
          <w:lang w:val="en-US"/>
        </w:rPr>
      </w:pPr>
    </w:p>
    <w:p w14:paraId="6BF0E8C6" w14:textId="1EF2A1BF" w:rsidR="006A2FDF" w:rsidRPr="001A4A7B" w:rsidRDefault="006A2FDF" w:rsidP="000D79F0">
      <w:pPr>
        <w:jc w:val="both"/>
        <w:rPr>
          <w:color w:val="000000" w:themeColor="text1"/>
          <w:lang w:val="en-US"/>
        </w:rPr>
      </w:pPr>
      <w:r w:rsidRPr="001A4A7B">
        <w:rPr>
          <w:color w:val="000000" w:themeColor="text1"/>
          <w:lang w:val="en-US"/>
        </w:rPr>
        <w:t>Fazelabdolabadi, B. (2019). A hybrid Bayesian-network proposition for forecasting the crude oil price. Financial Innovation, 5(1), 1-21.</w:t>
      </w:r>
    </w:p>
    <w:p w14:paraId="5D33ED62" w14:textId="77777777" w:rsidR="006A2FDF" w:rsidRPr="001A4A7B" w:rsidRDefault="006A2FDF" w:rsidP="000D79F0">
      <w:pPr>
        <w:jc w:val="both"/>
        <w:rPr>
          <w:color w:val="000000" w:themeColor="text1"/>
          <w:lang w:val="en-US"/>
        </w:rPr>
      </w:pPr>
    </w:p>
    <w:p w14:paraId="6612EE04" w14:textId="1AB5B735" w:rsidR="000D79F0" w:rsidRPr="001A4A7B" w:rsidRDefault="000D79F0" w:rsidP="000D79F0">
      <w:pPr>
        <w:jc w:val="both"/>
        <w:rPr>
          <w:color w:val="000000" w:themeColor="text1"/>
          <w:shd w:val="clear" w:color="auto" w:fill="FFFFFF"/>
          <w:lang w:val="en-US"/>
        </w:rPr>
      </w:pPr>
      <w:r w:rsidRPr="001A4A7B">
        <w:rPr>
          <w:color w:val="000000" w:themeColor="text1"/>
          <w:lang w:val="en-US"/>
        </w:rPr>
        <w:t xml:space="preserve">Fisher, R.A. (1932). </w:t>
      </w:r>
      <w:r w:rsidRPr="001A4A7B">
        <w:rPr>
          <w:bCs/>
          <w:color w:val="000000" w:themeColor="text1"/>
          <w:lang w:val="en-US"/>
        </w:rPr>
        <w:t>Statistical Methods for Research Workers</w:t>
      </w:r>
      <w:r w:rsidRPr="001A4A7B">
        <w:rPr>
          <w:color w:val="000000" w:themeColor="text1"/>
          <w:lang w:val="en-US"/>
        </w:rPr>
        <w:t>. (4th edition), Oliver and Boyd, Edinburgh.</w:t>
      </w:r>
    </w:p>
    <w:p w14:paraId="20F2B926" w14:textId="77777777" w:rsidR="000D79F0" w:rsidRPr="001A4A7B" w:rsidRDefault="000D79F0" w:rsidP="000D79F0">
      <w:pPr>
        <w:jc w:val="both"/>
        <w:rPr>
          <w:color w:val="000000" w:themeColor="text1"/>
          <w:shd w:val="clear" w:color="auto" w:fill="FFFFFF"/>
          <w:lang w:val="en-US"/>
        </w:rPr>
      </w:pPr>
    </w:p>
    <w:p w14:paraId="3EAA6D46" w14:textId="4F780035"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Fousekis, P.,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Grigoriadis, V. (2017). Price co-movement and the crack spread in the </w:t>
      </w:r>
      <w:r w:rsidR="006A7E1F" w:rsidRPr="001A4A7B">
        <w:rPr>
          <w:color w:val="000000" w:themeColor="text1"/>
          <w:shd w:val="clear" w:color="auto" w:fill="FFFFFF"/>
          <w:lang w:val="en-US"/>
        </w:rPr>
        <w:t>US</w:t>
      </w:r>
      <w:r w:rsidRPr="001A4A7B">
        <w:rPr>
          <w:color w:val="000000" w:themeColor="text1"/>
          <w:shd w:val="clear" w:color="auto" w:fill="FFFFFF"/>
          <w:lang w:val="en-US"/>
        </w:rPr>
        <w:t xml:space="preserve"> futures markets.</w:t>
      </w:r>
      <w:r w:rsidRPr="001A4A7B">
        <w:rPr>
          <w:rStyle w:val="apple-converted-space"/>
          <w:color w:val="000000" w:themeColor="text1"/>
          <w:shd w:val="clear" w:color="auto" w:fill="FFFFFF"/>
          <w:lang w:val="en-US"/>
        </w:rPr>
        <w:t> </w:t>
      </w:r>
      <w:r w:rsidRPr="001A4A7B">
        <w:rPr>
          <w:i/>
          <w:iCs/>
          <w:color w:val="000000" w:themeColor="text1"/>
          <w:lang w:val="en-US"/>
        </w:rPr>
        <w:t>Journal of Commodity Markets</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7</w:t>
      </w:r>
      <w:r w:rsidRPr="001A4A7B">
        <w:rPr>
          <w:color w:val="000000" w:themeColor="text1"/>
          <w:shd w:val="clear" w:color="auto" w:fill="FFFFFF"/>
          <w:lang w:val="en-US"/>
        </w:rPr>
        <w:t>, 57-71.</w:t>
      </w:r>
    </w:p>
    <w:p w14:paraId="43E98B8C" w14:textId="77777777" w:rsidR="000D79F0" w:rsidRPr="001A4A7B" w:rsidRDefault="000D79F0" w:rsidP="000D79F0">
      <w:pPr>
        <w:jc w:val="both"/>
        <w:rPr>
          <w:color w:val="000000" w:themeColor="text1"/>
          <w:shd w:val="clear" w:color="auto" w:fill="FFFFFF"/>
          <w:lang w:val="en-US"/>
        </w:rPr>
      </w:pPr>
    </w:p>
    <w:p w14:paraId="0B8809D2" w14:textId="38C19654"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Frey, G.,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Manera, M. (2007). Econometric models of asymmetric price transmission.</w:t>
      </w:r>
      <w:r w:rsidRPr="001A4A7B">
        <w:rPr>
          <w:rStyle w:val="apple-converted-space"/>
          <w:color w:val="000000" w:themeColor="text1"/>
          <w:shd w:val="clear" w:color="auto" w:fill="FFFFFF"/>
          <w:lang w:val="en-US"/>
        </w:rPr>
        <w:t> </w:t>
      </w:r>
      <w:r w:rsidRPr="001A4A7B">
        <w:rPr>
          <w:i/>
          <w:iCs/>
          <w:color w:val="000000" w:themeColor="text1"/>
          <w:lang w:val="en-US"/>
        </w:rPr>
        <w:t>Journal of Economic surveys</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21</w:t>
      </w:r>
      <w:r w:rsidRPr="001A4A7B">
        <w:rPr>
          <w:color w:val="000000" w:themeColor="text1"/>
          <w:shd w:val="clear" w:color="auto" w:fill="FFFFFF"/>
          <w:lang w:val="en-US"/>
        </w:rPr>
        <w:t>(2), 349-415.</w:t>
      </w:r>
    </w:p>
    <w:p w14:paraId="3D4DD264" w14:textId="77777777" w:rsidR="000D79F0" w:rsidRPr="001A4A7B" w:rsidRDefault="000D79F0" w:rsidP="000D79F0">
      <w:pPr>
        <w:jc w:val="both"/>
        <w:rPr>
          <w:color w:val="000000" w:themeColor="text1"/>
          <w:shd w:val="clear" w:color="auto" w:fill="FFFFFF"/>
          <w:lang w:val="en-US"/>
        </w:rPr>
      </w:pPr>
    </w:p>
    <w:p w14:paraId="43F747F9" w14:textId="1FB4EABC"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Girma, P. B.,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Paulson, A. S. (1999). Risk arbitrage opportunities in petroleum futures spreads.</w:t>
      </w:r>
      <w:r w:rsidRPr="001A4A7B">
        <w:rPr>
          <w:rStyle w:val="apple-converted-space"/>
          <w:color w:val="000000" w:themeColor="text1"/>
          <w:shd w:val="clear" w:color="auto" w:fill="FFFFFF"/>
          <w:lang w:val="en-US"/>
        </w:rPr>
        <w:t> </w:t>
      </w:r>
      <w:r w:rsidRPr="001A4A7B">
        <w:rPr>
          <w:i/>
          <w:iCs/>
          <w:color w:val="000000" w:themeColor="text1"/>
          <w:lang w:val="en-US"/>
        </w:rPr>
        <w:t>Journal of Futures Markets</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19</w:t>
      </w:r>
      <w:r w:rsidRPr="001A4A7B">
        <w:rPr>
          <w:color w:val="000000" w:themeColor="text1"/>
          <w:shd w:val="clear" w:color="auto" w:fill="FFFFFF"/>
          <w:lang w:val="en-US"/>
        </w:rPr>
        <w:t>(8), 931-955.</w:t>
      </w:r>
    </w:p>
    <w:p w14:paraId="5358DF34" w14:textId="77777777" w:rsidR="000D79F0" w:rsidRPr="001A4A7B" w:rsidRDefault="000D79F0" w:rsidP="000D79F0">
      <w:pPr>
        <w:jc w:val="both"/>
        <w:rPr>
          <w:color w:val="000000" w:themeColor="text1"/>
          <w:shd w:val="clear" w:color="auto" w:fill="FFFFFF"/>
          <w:lang w:val="en-US"/>
        </w:rPr>
      </w:pPr>
    </w:p>
    <w:p w14:paraId="113BE580" w14:textId="172D2727"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Gjolberg, O.,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Johnsen, T. (1999). Risk management in the oil industry: can information on long-run equilibrium prices be </w:t>
      </w:r>
      <w:r w:rsidR="00FB6EA6" w:rsidRPr="001A4A7B">
        <w:rPr>
          <w:color w:val="000000" w:themeColor="text1"/>
          <w:shd w:val="clear" w:color="auto" w:fill="FFFFFF"/>
          <w:lang w:val="en-US"/>
        </w:rPr>
        <w:t>utilized</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Energy Economics</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21</w:t>
      </w:r>
      <w:r w:rsidRPr="001A4A7B">
        <w:rPr>
          <w:color w:val="000000" w:themeColor="text1"/>
          <w:shd w:val="clear" w:color="auto" w:fill="FFFFFF"/>
          <w:lang w:val="en-US"/>
        </w:rPr>
        <w:t>(6), 517-527.</w:t>
      </w:r>
    </w:p>
    <w:p w14:paraId="4DCBC0E7" w14:textId="77777777" w:rsidR="000D79F0" w:rsidRPr="001A4A7B" w:rsidRDefault="000D79F0" w:rsidP="000D79F0">
      <w:pPr>
        <w:jc w:val="both"/>
        <w:rPr>
          <w:color w:val="000000" w:themeColor="text1"/>
          <w:lang w:val="en-US"/>
        </w:rPr>
      </w:pPr>
    </w:p>
    <w:p w14:paraId="6198CCFB" w14:textId="64ABD365" w:rsidR="000D79F0" w:rsidRPr="001A4A7B" w:rsidRDefault="000D79F0" w:rsidP="000D79F0">
      <w:pPr>
        <w:jc w:val="both"/>
        <w:rPr>
          <w:color w:val="000000" w:themeColor="text1"/>
          <w:lang w:val="en-US"/>
        </w:rPr>
      </w:pPr>
      <w:r w:rsidRPr="001A4A7B">
        <w:rPr>
          <w:color w:val="000000" w:themeColor="text1"/>
          <w:lang w:val="en-US"/>
        </w:rPr>
        <w:t xml:space="preserve">Gosińska, E., Leszkiewicz-Kędzior, K., </w:t>
      </w:r>
      <w:r w:rsidR="002B018F" w:rsidRPr="001A4A7B">
        <w:rPr>
          <w:color w:val="000000" w:themeColor="text1"/>
          <w:lang w:val="en-US"/>
        </w:rPr>
        <w:t>and</w:t>
      </w:r>
      <w:r w:rsidRPr="001A4A7B">
        <w:rPr>
          <w:color w:val="000000" w:themeColor="text1"/>
          <w:lang w:val="en-US"/>
        </w:rPr>
        <w:t xml:space="preserve"> Welfe, A. (2020). Who is responsible for asymmetric fuel price adjustments? An application of the threshold cointegrated VAR model. </w:t>
      </w:r>
      <w:r w:rsidRPr="001A4A7B">
        <w:rPr>
          <w:i/>
          <w:iCs/>
          <w:color w:val="000000" w:themeColor="text1"/>
          <w:lang w:val="en-US"/>
        </w:rPr>
        <w:t>Baltic Journal of Economics</w:t>
      </w:r>
      <w:r w:rsidRPr="001A4A7B">
        <w:rPr>
          <w:color w:val="000000" w:themeColor="text1"/>
          <w:lang w:val="en-US"/>
        </w:rPr>
        <w:t>, </w:t>
      </w:r>
      <w:r w:rsidRPr="001A4A7B">
        <w:rPr>
          <w:i/>
          <w:iCs/>
          <w:color w:val="000000" w:themeColor="text1"/>
          <w:lang w:val="en-US"/>
        </w:rPr>
        <w:t>20</w:t>
      </w:r>
      <w:r w:rsidRPr="001A4A7B">
        <w:rPr>
          <w:color w:val="000000" w:themeColor="text1"/>
          <w:lang w:val="en-US"/>
        </w:rPr>
        <w:t>(1), 59-73.</w:t>
      </w:r>
    </w:p>
    <w:p w14:paraId="427F647C" w14:textId="2C3ED013" w:rsidR="00344F21" w:rsidRPr="001A4A7B" w:rsidRDefault="00344F21" w:rsidP="000D79F0">
      <w:pPr>
        <w:jc w:val="both"/>
        <w:rPr>
          <w:color w:val="000000" w:themeColor="text1"/>
          <w:shd w:val="clear" w:color="auto" w:fill="FFFFFF"/>
          <w:lang w:val="en-US"/>
        </w:rPr>
      </w:pPr>
    </w:p>
    <w:p w14:paraId="00C13961" w14:textId="1A2CAD39" w:rsidR="00344F21" w:rsidRPr="001A4A7B" w:rsidRDefault="00344F21" w:rsidP="000D79F0">
      <w:pPr>
        <w:jc w:val="both"/>
        <w:rPr>
          <w:color w:val="000000" w:themeColor="text1"/>
          <w:shd w:val="clear" w:color="auto" w:fill="FFFFFF"/>
          <w:lang w:val="en-US"/>
        </w:rPr>
      </w:pPr>
      <w:r w:rsidRPr="001A4A7B">
        <w:rPr>
          <w:color w:val="000000" w:themeColor="text1"/>
          <w:shd w:val="clear" w:color="auto" w:fill="FFFFFF"/>
          <w:lang w:val="en-US"/>
        </w:rPr>
        <w:t>Granger, C. W. (1969). Investigating causal relations by econometric models and cross-spectral methods. </w:t>
      </w:r>
      <w:r w:rsidRPr="001A4A7B">
        <w:rPr>
          <w:i/>
          <w:iCs/>
          <w:color w:val="000000" w:themeColor="text1"/>
          <w:shd w:val="clear" w:color="auto" w:fill="FFFFFF"/>
          <w:lang w:val="en-US"/>
        </w:rPr>
        <w:t>Econometrica: journal of the Econometric Society</w:t>
      </w:r>
      <w:r w:rsidRPr="001A4A7B">
        <w:rPr>
          <w:color w:val="000000" w:themeColor="text1"/>
          <w:shd w:val="clear" w:color="auto" w:fill="FFFFFF"/>
          <w:lang w:val="en-US"/>
        </w:rPr>
        <w:t>, 424-438.</w:t>
      </w:r>
    </w:p>
    <w:p w14:paraId="210817AB" w14:textId="77777777" w:rsidR="000D79F0" w:rsidRPr="001A4A7B" w:rsidRDefault="000D79F0" w:rsidP="000D79F0">
      <w:pPr>
        <w:jc w:val="both"/>
        <w:rPr>
          <w:color w:val="000000" w:themeColor="text1"/>
          <w:lang w:val="en-US"/>
        </w:rPr>
      </w:pPr>
    </w:p>
    <w:p w14:paraId="26CEA967" w14:textId="72E6F616" w:rsidR="000D79F0" w:rsidRPr="001A4A7B" w:rsidRDefault="000D79F0" w:rsidP="000D79F0">
      <w:pPr>
        <w:jc w:val="both"/>
        <w:rPr>
          <w:color w:val="000000" w:themeColor="text1"/>
          <w:shd w:val="clear" w:color="auto" w:fill="FFFFFF"/>
          <w:lang w:val="en-US"/>
        </w:rPr>
      </w:pPr>
      <w:r w:rsidRPr="001A4A7B">
        <w:rPr>
          <w:color w:val="000000" w:themeColor="text1"/>
          <w:lang w:val="en-US"/>
        </w:rPr>
        <w:t xml:space="preserve">Granger, C. W., </w:t>
      </w:r>
      <w:r w:rsidR="002B018F" w:rsidRPr="001A4A7B">
        <w:rPr>
          <w:color w:val="000000" w:themeColor="text1"/>
          <w:lang w:val="en-US"/>
        </w:rPr>
        <w:t>and</w:t>
      </w:r>
      <w:r w:rsidRPr="001A4A7B">
        <w:rPr>
          <w:color w:val="000000" w:themeColor="text1"/>
          <w:lang w:val="en-US"/>
        </w:rPr>
        <w:t xml:space="preserve"> Yoon, G. (2002). Hidden cointegration. </w:t>
      </w:r>
      <w:r w:rsidRPr="001A4A7B">
        <w:rPr>
          <w:i/>
          <w:iCs/>
          <w:color w:val="000000" w:themeColor="text1"/>
          <w:lang w:val="en-US"/>
        </w:rPr>
        <w:t>U of California, Economics Working Paper</w:t>
      </w:r>
      <w:r w:rsidRPr="001A4A7B">
        <w:rPr>
          <w:color w:val="000000" w:themeColor="text1"/>
          <w:lang w:val="en-US"/>
        </w:rPr>
        <w:t>, (2002-02).</w:t>
      </w:r>
    </w:p>
    <w:p w14:paraId="489FB2A2" w14:textId="77777777" w:rsidR="000D79F0" w:rsidRPr="001A4A7B" w:rsidRDefault="000D79F0" w:rsidP="000D79F0">
      <w:pPr>
        <w:jc w:val="both"/>
        <w:rPr>
          <w:color w:val="000000" w:themeColor="text1"/>
          <w:shd w:val="clear" w:color="auto" w:fill="FFFFFF"/>
          <w:lang w:val="en-US"/>
        </w:rPr>
      </w:pPr>
    </w:p>
    <w:p w14:paraId="46A6B2A8" w14:textId="40BCF597"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Grasso, M.,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Manera, M. (2007). Asymmetric error correction models for the oil–gasoline price relationship.</w:t>
      </w:r>
      <w:r w:rsidRPr="001A4A7B">
        <w:rPr>
          <w:rStyle w:val="apple-converted-space"/>
          <w:color w:val="000000" w:themeColor="text1"/>
          <w:shd w:val="clear" w:color="auto" w:fill="FFFFFF"/>
          <w:lang w:val="en-US"/>
        </w:rPr>
        <w:t> </w:t>
      </w:r>
      <w:r w:rsidRPr="001A4A7B">
        <w:rPr>
          <w:i/>
          <w:iCs/>
          <w:color w:val="000000" w:themeColor="text1"/>
          <w:lang w:val="en-US"/>
        </w:rPr>
        <w:t>Energy Policy</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35</w:t>
      </w:r>
      <w:r w:rsidRPr="001A4A7B">
        <w:rPr>
          <w:color w:val="000000" w:themeColor="text1"/>
          <w:shd w:val="clear" w:color="auto" w:fill="FFFFFF"/>
          <w:lang w:val="en-US"/>
        </w:rPr>
        <w:t>(1), 156-177.</w:t>
      </w:r>
    </w:p>
    <w:p w14:paraId="2C26867C" w14:textId="5D021AB6" w:rsidR="00CE624E" w:rsidRPr="001A4A7B" w:rsidRDefault="00CE624E" w:rsidP="000D79F0">
      <w:pPr>
        <w:jc w:val="both"/>
        <w:rPr>
          <w:color w:val="000000" w:themeColor="text1"/>
          <w:shd w:val="clear" w:color="auto" w:fill="FFFFFF"/>
          <w:lang w:val="en-US"/>
        </w:rPr>
      </w:pPr>
    </w:p>
    <w:p w14:paraId="34C7A5E3" w14:textId="3676A9AD" w:rsidR="00CE624E" w:rsidRPr="001A4A7B" w:rsidRDefault="00CE624E" w:rsidP="000D79F0">
      <w:pPr>
        <w:jc w:val="both"/>
        <w:rPr>
          <w:color w:val="000000" w:themeColor="text1"/>
          <w:shd w:val="clear" w:color="auto" w:fill="FFFFFF"/>
          <w:lang w:val="en-US"/>
        </w:rPr>
      </w:pPr>
      <w:r w:rsidRPr="001A4A7B">
        <w:rPr>
          <w:color w:val="000000" w:themeColor="text1"/>
          <w:shd w:val="clear" w:color="auto" w:fill="FFFFFF"/>
          <w:lang w:val="en-US"/>
        </w:rPr>
        <w:t xml:space="preserve">Hamilton, J. D. (2011). Nonlinearities and the macroeconomic effects of oil prices. </w:t>
      </w:r>
      <w:r w:rsidRPr="001A4A7B">
        <w:rPr>
          <w:i/>
          <w:iCs/>
          <w:color w:val="000000" w:themeColor="text1"/>
          <w:shd w:val="clear" w:color="auto" w:fill="FFFFFF"/>
          <w:lang w:val="en-US"/>
        </w:rPr>
        <w:t>Macroeconomic dynamics, 15</w:t>
      </w:r>
      <w:r w:rsidRPr="001A4A7B">
        <w:rPr>
          <w:color w:val="000000" w:themeColor="text1"/>
          <w:shd w:val="clear" w:color="auto" w:fill="FFFFFF"/>
          <w:lang w:val="en-US"/>
        </w:rPr>
        <w:t>(S3), 364-378.</w:t>
      </w:r>
    </w:p>
    <w:p w14:paraId="73202459" w14:textId="77777777" w:rsidR="000D79F0" w:rsidRPr="001A4A7B" w:rsidRDefault="000D79F0" w:rsidP="000D79F0">
      <w:pPr>
        <w:jc w:val="both"/>
        <w:rPr>
          <w:color w:val="000000" w:themeColor="text1"/>
          <w:shd w:val="clear" w:color="auto" w:fill="FFFFFF"/>
          <w:lang w:val="en-US"/>
        </w:rPr>
      </w:pPr>
    </w:p>
    <w:p w14:paraId="5C9A38F8" w14:textId="5E3BB430"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Hamilton, J. D.,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Wu, J. C. (2014). Risk premia in crude oil futures prices.</w:t>
      </w:r>
      <w:r w:rsidRPr="001A4A7B">
        <w:rPr>
          <w:rStyle w:val="apple-converted-space"/>
          <w:color w:val="000000" w:themeColor="text1"/>
          <w:shd w:val="clear" w:color="auto" w:fill="FFFFFF"/>
          <w:lang w:val="en-US"/>
        </w:rPr>
        <w:t> </w:t>
      </w:r>
      <w:r w:rsidRPr="001A4A7B">
        <w:rPr>
          <w:i/>
          <w:iCs/>
          <w:color w:val="000000" w:themeColor="text1"/>
          <w:lang w:val="en-US"/>
        </w:rPr>
        <w:t>Journal of International Money and Finance</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42</w:t>
      </w:r>
      <w:r w:rsidRPr="001A4A7B">
        <w:rPr>
          <w:color w:val="000000" w:themeColor="text1"/>
          <w:shd w:val="clear" w:color="auto" w:fill="FFFFFF"/>
          <w:lang w:val="en-US"/>
        </w:rPr>
        <w:t>, 9-37.</w:t>
      </w:r>
    </w:p>
    <w:p w14:paraId="4557C22A" w14:textId="77777777" w:rsidR="000D79F0" w:rsidRPr="001A4A7B" w:rsidRDefault="000D79F0" w:rsidP="000D79F0">
      <w:pPr>
        <w:jc w:val="both"/>
        <w:rPr>
          <w:color w:val="000000" w:themeColor="text1"/>
          <w:shd w:val="clear" w:color="auto" w:fill="FFFFFF"/>
          <w:lang w:val="en-US"/>
        </w:rPr>
      </w:pPr>
    </w:p>
    <w:p w14:paraId="56F86EDF" w14:textId="4C7FF205"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Hammoudeh, S., Li, H.,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Jeon, B. (2003). Causality and volatility spillovers among petroleum prices of WTI, gasoline and heating oil in different locations.</w:t>
      </w:r>
      <w:r w:rsidRPr="001A4A7B">
        <w:rPr>
          <w:rStyle w:val="apple-converted-space"/>
          <w:color w:val="000000" w:themeColor="text1"/>
          <w:shd w:val="clear" w:color="auto" w:fill="FFFFFF"/>
          <w:lang w:val="en-US"/>
        </w:rPr>
        <w:t> </w:t>
      </w:r>
      <w:r w:rsidRPr="001A4A7B">
        <w:rPr>
          <w:i/>
          <w:iCs/>
          <w:color w:val="000000" w:themeColor="text1"/>
          <w:lang w:val="en-US"/>
        </w:rPr>
        <w:t>The North American Journal of Economics and Finance</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14</w:t>
      </w:r>
      <w:r w:rsidRPr="001A4A7B">
        <w:rPr>
          <w:color w:val="000000" w:themeColor="text1"/>
          <w:shd w:val="clear" w:color="auto" w:fill="FFFFFF"/>
          <w:lang w:val="en-US"/>
        </w:rPr>
        <w:t>(1), 89-114.</w:t>
      </w:r>
    </w:p>
    <w:p w14:paraId="1DABEB1E" w14:textId="77777777" w:rsidR="000D79F0" w:rsidRPr="001A4A7B" w:rsidRDefault="000D79F0" w:rsidP="000D79F0">
      <w:pPr>
        <w:jc w:val="both"/>
        <w:rPr>
          <w:color w:val="000000" w:themeColor="text1"/>
          <w:shd w:val="clear" w:color="auto" w:fill="FFFFFF"/>
          <w:lang w:val="en-US"/>
        </w:rPr>
      </w:pPr>
    </w:p>
    <w:p w14:paraId="600C7660" w14:textId="068FC55B"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Han, Z. H., Yang, S., Chen, M. L.,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He, L. Y. (2015). Mean spillover effect between crude oil and gasoline markets: an empirical result.</w:t>
      </w:r>
      <w:r w:rsidRPr="001A4A7B">
        <w:rPr>
          <w:rStyle w:val="apple-converted-space"/>
          <w:color w:val="000000" w:themeColor="text1"/>
          <w:shd w:val="clear" w:color="auto" w:fill="FFFFFF"/>
          <w:lang w:val="en-US"/>
        </w:rPr>
        <w:t> </w:t>
      </w:r>
      <w:r w:rsidRPr="001A4A7B">
        <w:rPr>
          <w:i/>
          <w:iCs/>
          <w:color w:val="000000" w:themeColor="text1"/>
          <w:lang w:val="en-US"/>
        </w:rPr>
        <w:t>International Journal of Global Energy Issues</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38</w:t>
      </w:r>
      <w:r w:rsidRPr="001A4A7B">
        <w:rPr>
          <w:color w:val="000000" w:themeColor="text1"/>
          <w:shd w:val="clear" w:color="auto" w:fill="FFFFFF"/>
          <w:lang w:val="en-US"/>
        </w:rPr>
        <w:t>(1-3), 49-68.</w:t>
      </w:r>
    </w:p>
    <w:p w14:paraId="2637AC04" w14:textId="77777777" w:rsidR="000D79F0" w:rsidRPr="001A4A7B" w:rsidRDefault="000D79F0" w:rsidP="000D79F0">
      <w:pPr>
        <w:jc w:val="both"/>
        <w:rPr>
          <w:color w:val="000000" w:themeColor="text1"/>
          <w:shd w:val="clear" w:color="auto" w:fill="FFFFFF"/>
          <w:lang w:val="en-US"/>
        </w:rPr>
      </w:pPr>
    </w:p>
    <w:p w14:paraId="6BAAAAE8" w14:textId="77777777"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Hatemi-j, A. (2012). Asymmetric causality tests with an application.</w:t>
      </w:r>
      <w:r w:rsidRPr="001A4A7B">
        <w:rPr>
          <w:rStyle w:val="apple-converted-space"/>
          <w:color w:val="000000" w:themeColor="text1"/>
          <w:shd w:val="clear" w:color="auto" w:fill="FFFFFF"/>
          <w:lang w:val="en-US"/>
        </w:rPr>
        <w:t> </w:t>
      </w:r>
      <w:r w:rsidRPr="001A4A7B">
        <w:rPr>
          <w:i/>
          <w:iCs/>
          <w:color w:val="000000" w:themeColor="text1"/>
          <w:lang w:val="en-US"/>
        </w:rPr>
        <w:t>Empirical Economics</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43</w:t>
      </w:r>
      <w:r w:rsidRPr="001A4A7B">
        <w:rPr>
          <w:color w:val="000000" w:themeColor="text1"/>
          <w:shd w:val="clear" w:color="auto" w:fill="FFFFFF"/>
          <w:lang w:val="en-US"/>
        </w:rPr>
        <w:t>(1), 447-456.</w:t>
      </w:r>
    </w:p>
    <w:p w14:paraId="6DEB5935" w14:textId="77777777" w:rsidR="000D79F0" w:rsidRPr="001A4A7B" w:rsidRDefault="000D79F0" w:rsidP="000D79F0">
      <w:pPr>
        <w:jc w:val="both"/>
        <w:rPr>
          <w:color w:val="000000" w:themeColor="text1"/>
          <w:shd w:val="clear" w:color="auto" w:fill="FFFFFF"/>
          <w:lang w:val="en-US"/>
        </w:rPr>
      </w:pPr>
    </w:p>
    <w:p w14:paraId="45CAF777" w14:textId="77777777"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Honarvar, A. (2009). Asymmetry in retail gasoline and crude oil price movements in the United States: an application of hidden cointegration technique.</w:t>
      </w:r>
      <w:r w:rsidRPr="001A4A7B">
        <w:rPr>
          <w:rStyle w:val="apple-converted-space"/>
          <w:color w:val="000000" w:themeColor="text1"/>
          <w:shd w:val="clear" w:color="auto" w:fill="FFFFFF"/>
          <w:lang w:val="en-US"/>
        </w:rPr>
        <w:t> </w:t>
      </w:r>
      <w:r w:rsidRPr="001A4A7B">
        <w:rPr>
          <w:i/>
          <w:iCs/>
          <w:color w:val="000000" w:themeColor="text1"/>
          <w:lang w:val="en-US"/>
        </w:rPr>
        <w:t>Energy Economics</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31</w:t>
      </w:r>
      <w:r w:rsidRPr="001A4A7B">
        <w:rPr>
          <w:color w:val="000000" w:themeColor="text1"/>
          <w:shd w:val="clear" w:color="auto" w:fill="FFFFFF"/>
          <w:lang w:val="en-US"/>
        </w:rPr>
        <w:t>(3), 395-402.</w:t>
      </w:r>
    </w:p>
    <w:p w14:paraId="65FC2DB4" w14:textId="77777777" w:rsidR="00355090" w:rsidRPr="001A4A7B" w:rsidRDefault="00355090" w:rsidP="000D79F0">
      <w:pPr>
        <w:jc w:val="both"/>
        <w:rPr>
          <w:color w:val="000000" w:themeColor="text1"/>
          <w:shd w:val="clear" w:color="auto" w:fill="FFFFFF"/>
          <w:lang w:val="en-US"/>
        </w:rPr>
      </w:pPr>
    </w:p>
    <w:p w14:paraId="24CC768E" w14:textId="127A1E8B" w:rsidR="00355090" w:rsidRPr="001A4A7B" w:rsidRDefault="00355090" w:rsidP="00355090">
      <w:pPr>
        <w:jc w:val="both"/>
        <w:rPr>
          <w:color w:val="000000" w:themeColor="text1"/>
          <w:lang w:val="en-US"/>
        </w:rPr>
      </w:pPr>
      <w:r w:rsidRPr="001A4A7B">
        <w:rPr>
          <w:color w:val="000000" w:themeColor="text1"/>
          <w:lang w:val="en-US"/>
        </w:rPr>
        <w:t xml:space="preserve">Jefferson, M. (2020). A crude future? COVID-19s challenges for oil demand, </w:t>
      </w:r>
      <w:r w:rsidR="00E64508" w:rsidRPr="001A4A7B">
        <w:rPr>
          <w:color w:val="000000" w:themeColor="text1"/>
          <w:lang w:val="en-US"/>
        </w:rPr>
        <w:t>supply</w:t>
      </w:r>
      <w:r w:rsidRPr="001A4A7B">
        <w:rPr>
          <w:color w:val="000000" w:themeColor="text1"/>
          <w:lang w:val="en-US"/>
        </w:rPr>
        <w:t xml:space="preserve"> and prices. </w:t>
      </w:r>
      <w:r w:rsidRPr="001A4A7B">
        <w:rPr>
          <w:i/>
          <w:iCs/>
          <w:color w:val="000000" w:themeColor="text1"/>
          <w:lang w:val="en-US"/>
        </w:rPr>
        <w:t>Energy Research &amp; Social Science</w:t>
      </w:r>
      <w:r w:rsidRPr="001A4A7B">
        <w:rPr>
          <w:color w:val="000000" w:themeColor="text1"/>
          <w:lang w:val="en-US"/>
        </w:rPr>
        <w:t>, </w:t>
      </w:r>
      <w:r w:rsidRPr="001A4A7B">
        <w:rPr>
          <w:i/>
          <w:iCs/>
          <w:color w:val="000000" w:themeColor="text1"/>
          <w:lang w:val="en-US"/>
        </w:rPr>
        <w:t>68</w:t>
      </w:r>
      <w:r w:rsidRPr="001A4A7B">
        <w:rPr>
          <w:color w:val="000000" w:themeColor="text1"/>
          <w:lang w:val="en-US"/>
        </w:rPr>
        <w:t>, 101669.</w:t>
      </w:r>
    </w:p>
    <w:p w14:paraId="72E89D72" w14:textId="77777777" w:rsidR="000D79F0" w:rsidRPr="001A4A7B" w:rsidRDefault="000D79F0" w:rsidP="000D79F0">
      <w:pPr>
        <w:jc w:val="both"/>
        <w:rPr>
          <w:color w:val="000000" w:themeColor="text1"/>
          <w:lang w:val="en-US"/>
        </w:rPr>
      </w:pPr>
    </w:p>
    <w:p w14:paraId="600EE35F" w14:textId="5ADF63E4" w:rsidR="000D79F0" w:rsidRPr="001A4A7B" w:rsidRDefault="000D79F0" w:rsidP="000D79F0">
      <w:pPr>
        <w:jc w:val="both"/>
        <w:rPr>
          <w:color w:val="000000" w:themeColor="text1"/>
          <w:lang w:val="en-US"/>
        </w:rPr>
      </w:pPr>
      <w:r w:rsidRPr="001A4A7B">
        <w:rPr>
          <w:color w:val="000000" w:themeColor="text1"/>
          <w:lang w:val="en-US"/>
        </w:rPr>
        <w:t>Johansen, S., and Juselius, K. (1990). Maximum Likelihood Estimation and Inference on Cointegration with Applications to the Demand for Money. Oxford Bulletin of Economics and Statistics, Vol. 52, No. 2, pp. 169–210.</w:t>
      </w:r>
    </w:p>
    <w:p w14:paraId="4707F8D2" w14:textId="17E165B6" w:rsidR="00CE624E" w:rsidRPr="001A4A7B" w:rsidRDefault="00CE624E" w:rsidP="000D79F0">
      <w:pPr>
        <w:jc w:val="both"/>
        <w:rPr>
          <w:color w:val="000000" w:themeColor="text1"/>
          <w:lang w:val="en-US"/>
        </w:rPr>
      </w:pPr>
    </w:p>
    <w:p w14:paraId="6A8FD63C" w14:textId="77777777" w:rsidR="00CE624E" w:rsidRPr="001A4A7B" w:rsidRDefault="00CE624E" w:rsidP="00CE624E">
      <w:pPr>
        <w:jc w:val="both"/>
        <w:rPr>
          <w:color w:val="000000" w:themeColor="text1"/>
          <w:shd w:val="clear" w:color="auto" w:fill="FFFFFF"/>
          <w:lang w:val="en-US"/>
        </w:rPr>
      </w:pPr>
      <w:r w:rsidRPr="001A4A7B">
        <w:rPr>
          <w:color w:val="000000" w:themeColor="text1"/>
          <w:shd w:val="clear" w:color="auto" w:fill="FFFFFF"/>
          <w:lang w:val="en-US"/>
        </w:rPr>
        <w:t xml:space="preserve">Karagiannis, S., Panagopoulos, Y., and Vlamis, P. (2015). Are unleaded gasoline and diesel price adjustments symmetric? A comparison of the four largest EU retail fuel markets. </w:t>
      </w:r>
      <w:r w:rsidRPr="001A4A7B">
        <w:rPr>
          <w:i/>
          <w:iCs/>
          <w:color w:val="000000" w:themeColor="text1"/>
          <w:shd w:val="clear" w:color="auto" w:fill="FFFFFF"/>
          <w:lang w:val="en-US"/>
        </w:rPr>
        <w:t>Economic Modelling, 48</w:t>
      </w:r>
      <w:r w:rsidRPr="001A4A7B">
        <w:rPr>
          <w:color w:val="000000" w:themeColor="text1"/>
          <w:shd w:val="clear" w:color="auto" w:fill="FFFFFF"/>
          <w:lang w:val="en-US"/>
        </w:rPr>
        <w:t>, 281-291.</w:t>
      </w:r>
    </w:p>
    <w:p w14:paraId="2B1A9A48" w14:textId="77777777" w:rsidR="00CE624E" w:rsidRPr="001A4A7B" w:rsidRDefault="00CE624E" w:rsidP="00CE624E">
      <w:pPr>
        <w:jc w:val="both"/>
        <w:rPr>
          <w:color w:val="000000" w:themeColor="text1"/>
          <w:shd w:val="clear" w:color="auto" w:fill="FFFFFF"/>
          <w:lang w:val="en-US"/>
        </w:rPr>
      </w:pPr>
    </w:p>
    <w:p w14:paraId="3D07AD4A" w14:textId="56D80613" w:rsidR="00CE624E" w:rsidRPr="001A4A7B" w:rsidRDefault="00CE624E" w:rsidP="000D79F0">
      <w:pPr>
        <w:jc w:val="both"/>
        <w:rPr>
          <w:color w:val="000000" w:themeColor="text1"/>
          <w:shd w:val="clear" w:color="auto" w:fill="FFFFFF"/>
          <w:lang w:val="en-US"/>
        </w:rPr>
      </w:pPr>
      <w:r w:rsidRPr="001A4A7B">
        <w:rPr>
          <w:color w:val="000000" w:themeColor="text1"/>
          <w:shd w:val="clear" w:color="auto" w:fill="FFFFFF"/>
          <w:lang w:val="en-US"/>
        </w:rPr>
        <w:t xml:space="preserve">Karali, B., and Ramirez, O. A. (2014). Macro determinants of volatility and volatility spillover in energy markets. </w:t>
      </w:r>
      <w:r w:rsidRPr="001A4A7B">
        <w:rPr>
          <w:i/>
          <w:iCs/>
          <w:color w:val="000000" w:themeColor="text1"/>
          <w:shd w:val="clear" w:color="auto" w:fill="FFFFFF"/>
          <w:lang w:val="en-US"/>
        </w:rPr>
        <w:t>Energy Economics, 46</w:t>
      </w:r>
      <w:r w:rsidRPr="001A4A7B">
        <w:rPr>
          <w:color w:val="000000" w:themeColor="text1"/>
          <w:shd w:val="clear" w:color="auto" w:fill="FFFFFF"/>
          <w:lang w:val="en-US"/>
        </w:rPr>
        <w:t>, 413-421.</w:t>
      </w:r>
    </w:p>
    <w:p w14:paraId="447E9927" w14:textId="77777777" w:rsidR="000D79F0" w:rsidRPr="001A4A7B" w:rsidRDefault="000D79F0" w:rsidP="000D79F0">
      <w:pPr>
        <w:jc w:val="both"/>
        <w:rPr>
          <w:color w:val="000000" w:themeColor="text1"/>
          <w:shd w:val="clear" w:color="auto" w:fill="FFFFFF"/>
          <w:lang w:val="en-US"/>
        </w:rPr>
      </w:pPr>
    </w:p>
    <w:p w14:paraId="3AFF10C5" w14:textId="7B42AD86"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Kaufmann, R. K., Dees, S.,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Mann, M. (2009). Horizontal and vertical transmissions in the </w:t>
      </w:r>
      <w:r w:rsidR="006A7E1F" w:rsidRPr="001A4A7B">
        <w:rPr>
          <w:color w:val="000000" w:themeColor="text1"/>
          <w:shd w:val="clear" w:color="auto" w:fill="FFFFFF"/>
          <w:lang w:val="en-US"/>
        </w:rPr>
        <w:t>US</w:t>
      </w:r>
      <w:r w:rsidRPr="001A4A7B">
        <w:rPr>
          <w:color w:val="000000" w:themeColor="text1"/>
          <w:shd w:val="clear" w:color="auto" w:fill="FFFFFF"/>
          <w:lang w:val="en-US"/>
        </w:rPr>
        <w:t xml:space="preserve"> oil supply chain. </w:t>
      </w:r>
      <w:r w:rsidRPr="001A4A7B">
        <w:rPr>
          <w:i/>
          <w:iCs/>
          <w:color w:val="000000" w:themeColor="text1"/>
          <w:lang w:val="en-US"/>
        </w:rPr>
        <w:t>Energy Policy</w:t>
      </w:r>
      <w:r w:rsidRPr="001A4A7B">
        <w:rPr>
          <w:color w:val="000000" w:themeColor="text1"/>
          <w:shd w:val="clear" w:color="auto" w:fill="FFFFFF"/>
          <w:lang w:val="en-US"/>
        </w:rPr>
        <w:t>, </w:t>
      </w:r>
      <w:r w:rsidRPr="001A4A7B">
        <w:rPr>
          <w:i/>
          <w:iCs/>
          <w:color w:val="000000" w:themeColor="text1"/>
          <w:lang w:val="en-US"/>
        </w:rPr>
        <w:t>37</w:t>
      </w:r>
      <w:r w:rsidRPr="001A4A7B">
        <w:rPr>
          <w:color w:val="000000" w:themeColor="text1"/>
          <w:shd w:val="clear" w:color="auto" w:fill="FFFFFF"/>
          <w:lang w:val="en-US"/>
        </w:rPr>
        <w:t>(2), 644-650.</w:t>
      </w:r>
    </w:p>
    <w:p w14:paraId="4807E39E" w14:textId="71B3FAA3" w:rsidR="00CE624E" w:rsidRPr="001A4A7B" w:rsidRDefault="00CE624E" w:rsidP="000D79F0">
      <w:pPr>
        <w:jc w:val="both"/>
        <w:rPr>
          <w:color w:val="000000" w:themeColor="text1"/>
          <w:shd w:val="clear" w:color="auto" w:fill="FFFFFF"/>
          <w:lang w:val="en-US"/>
        </w:rPr>
      </w:pPr>
    </w:p>
    <w:p w14:paraId="20A3420B" w14:textId="0B38B09D" w:rsidR="00CE624E" w:rsidRPr="001A4A7B" w:rsidRDefault="00CE624E" w:rsidP="000D79F0">
      <w:pPr>
        <w:jc w:val="both"/>
        <w:rPr>
          <w:color w:val="000000" w:themeColor="text1"/>
          <w:shd w:val="clear" w:color="auto" w:fill="FFFFFF"/>
          <w:lang w:val="en-US"/>
        </w:rPr>
      </w:pPr>
      <w:r w:rsidRPr="001A4A7B">
        <w:rPr>
          <w:color w:val="000000" w:themeColor="text1"/>
          <w:shd w:val="clear" w:color="auto" w:fill="FFFFFF"/>
          <w:lang w:val="en-US"/>
        </w:rPr>
        <w:t xml:space="preserve">Kaufmann, R. K., and Laskowski, C. (2005). Causes for an asymmetric relation between the price of crude oil and refined petroleum products. </w:t>
      </w:r>
      <w:r w:rsidRPr="001A4A7B">
        <w:rPr>
          <w:i/>
          <w:iCs/>
          <w:color w:val="000000" w:themeColor="text1"/>
          <w:shd w:val="clear" w:color="auto" w:fill="FFFFFF"/>
          <w:lang w:val="en-US"/>
        </w:rPr>
        <w:t>Energy policy, 33</w:t>
      </w:r>
      <w:r w:rsidRPr="001A4A7B">
        <w:rPr>
          <w:color w:val="000000" w:themeColor="text1"/>
          <w:shd w:val="clear" w:color="auto" w:fill="FFFFFF"/>
          <w:lang w:val="en-US"/>
        </w:rPr>
        <w:t>(12), 1587-1596.</w:t>
      </w:r>
    </w:p>
    <w:p w14:paraId="18DC1D8D" w14:textId="4F666BA2" w:rsidR="006A2FDF" w:rsidRPr="001A4A7B" w:rsidRDefault="006A2FDF" w:rsidP="000D79F0">
      <w:pPr>
        <w:jc w:val="both"/>
        <w:rPr>
          <w:color w:val="000000" w:themeColor="text1"/>
          <w:shd w:val="clear" w:color="auto" w:fill="FFFFFF"/>
          <w:lang w:val="en-US"/>
        </w:rPr>
      </w:pPr>
    </w:p>
    <w:p w14:paraId="273C15A5" w14:textId="39C4E5FC" w:rsidR="006A2FDF" w:rsidRPr="001A4A7B" w:rsidRDefault="006A2FDF" w:rsidP="000D79F0">
      <w:pPr>
        <w:jc w:val="both"/>
        <w:rPr>
          <w:color w:val="000000" w:themeColor="text1"/>
          <w:shd w:val="clear" w:color="auto" w:fill="FFFFFF"/>
        </w:rPr>
      </w:pPr>
      <w:r w:rsidRPr="001A4A7B">
        <w:rPr>
          <w:color w:val="000000" w:themeColor="text1"/>
          <w:shd w:val="clear" w:color="auto" w:fill="FFFFFF"/>
          <w:lang w:val="en-US"/>
        </w:rPr>
        <w:t xml:space="preserve">Kirikkaleli, D., and Güngör, H. (2021). Co-movement of commodity price indexes and energy price index: a wavelet coherence approach. </w:t>
      </w:r>
      <w:r w:rsidRPr="001A4A7B">
        <w:rPr>
          <w:i/>
          <w:iCs/>
          <w:color w:val="000000" w:themeColor="text1"/>
          <w:shd w:val="clear" w:color="auto" w:fill="FFFFFF"/>
        </w:rPr>
        <w:t>Financial Innovation</w:t>
      </w:r>
      <w:r w:rsidRPr="001A4A7B">
        <w:rPr>
          <w:color w:val="000000" w:themeColor="text1"/>
          <w:shd w:val="clear" w:color="auto" w:fill="FFFFFF"/>
        </w:rPr>
        <w:t xml:space="preserve">, </w:t>
      </w:r>
      <w:r w:rsidRPr="001A4A7B">
        <w:rPr>
          <w:i/>
          <w:iCs/>
          <w:color w:val="000000" w:themeColor="text1"/>
          <w:shd w:val="clear" w:color="auto" w:fill="FFFFFF"/>
        </w:rPr>
        <w:t>7</w:t>
      </w:r>
      <w:r w:rsidRPr="001A4A7B">
        <w:rPr>
          <w:color w:val="000000" w:themeColor="text1"/>
          <w:shd w:val="clear" w:color="auto" w:fill="FFFFFF"/>
        </w:rPr>
        <w:t>(1), 1-18.</w:t>
      </w:r>
    </w:p>
    <w:p w14:paraId="2C65E350" w14:textId="77777777" w:rsidR="00A020F8" w:rsidRPr="001A4A7B" w:rsidRDefault="00A020F8" w:rsidP="000D79F0">
      <w:pPr>
        <w:jc w:val="both"/>
        <w:rPr>
          <w:color w:val="000000" w:themeColor="text1"/>
          <w:shd w:val="clear" w:color="auto" w:fill="FFFFFF"/>
          <w:lang w:val="en-US"/>
        </w:rPr>
      </w:pPr>
    </w:p>
    <w:p w14:paraId="1B035CB9" w14:textId="397F6650"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Kilian, L. (2008). Exogenous oil supply shocks: how big are they and how much do they matter for the </w:t>
      </w:r>
      <w:r w:rsidR="006A7E1F" w:rsidRPr="001A4A7B">
        <w:rPr>
          <w:color w:val="000000" w:themeColor="text1"/>
          <w:shd w:val="clear" w:color="auto" w:fill="FFFFFF"/>
          <w:lang w:val="en-US"/>
        </w:rPr>
        <w:t>US</w:t>
      </w:r>
      <w:r w:rsidRPr="001A4A7B">
        <w:rPr>
          <w:color w:val="000000" w:themeColor="text1"/>
          <w:shd w:val="clear" w:color="auto" w:fill="FFFFFF"/>
          <w:lang w:val="en-US"/>
        </w:rPr>
        <w:t xml:space="preserve"> economy?.</w:t>
      </w:r>
      <w:r w:rsidRPr="001A4A7B">
        <w:rPr>
          <w:rStyle w:val="apple-converted-space"/>
          <w:color w:val="000000" w:themeColor="text1"/>
          <w:shd w:val="clear" w:color="auto" w:fill="FFFFFF"/>
          <w:lang w:val="en-US"/>
        </w:rPr>
        <w:t> </w:t>
      </w:r>
      <w:r w:rsidRPr="001A4A7B">
        <w:rPr>
          <w:i/>
          <w:iCs/>
          <w:color w:val="000000" w:themeColor="text1"/>
          <w:lang w:val="en-US"/>
        </w:rPr>
        <w:t>The Review of Economics and Statistics</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90</w:t>
      </w:r>
      <w:r w:rsidRPr="001A4A7B">
        <w:rPr>
          <w:color w:val="000000" w:themeColor="text1"/>
          <w:shd w:val="clear" w:color="auto" w:fill="FFFFFF"/>
          <w:lang w:val="en-US"/>
        </w:rPr>
        <w:t>(2), 216-240.</w:t>
      </w:r>
    </w:p>
    <w:p w14:paraId="6784E7A2" w14:textId="70B72ED4" w:rsidR="00CE624E" w:rsidRPr="001A4A7B" w:rsidRDefault="00CE624E" w:rsidP="000D79F0">
      <w:pPr>
        <w:jc w:val="both"/>
        <w:rPr>
          <w:color w:val="000000" w:themeColor="text1"/>
          <w:shd w:val="clear" w:color="auto" w:fill="FFFFFF"/>
          <w:lang w:val="en-US"/>
        </w:rPr>
      </w:pPr>
    </w:p>
    <w:p w14:paraId="3E8C7A52" w14:textId="1C358A31" w:rsidR="00CE624E" w:rsidRPr="001A4A7B" w:rsidRDefault="00CE624E" w:rsidP="000D79F0">
      <w:pPr>
        <w:jc w:val="both"/>
        <w:rPr>
          <w:color w:val="000000" w:themeColor="text1"/>
          <w:shd w:val="clear" w:color="auto" w:fill="FFFFFF"/>
          <w:lang w:val="en-US"/>
        </w:rPr>
      </w:pPr>
      <w:r w:rsidRPr="001A4A7B">
        <w:rPr>
          <w:color w:val="000000" w:themeColor="text1"/>
          <w:shd w:val="clear" w:color="auto" w:fill="FFFFFF"/>
          <w:lang w:val="en-US"/>
        </w:rPr>
        <w:t xml:space="preserve">Kilian, L. (2010). Explaining fluctuations in gasoline prices: a joint model of the global crude oil market and the US retail gasoline market. </w:t>
      </w:r>
      <w:r w:rsidRPr="001A4A7B">
        <w:rPr>
          <w:i/>
          <w:iCs/>
          <w:color w:val="000000" w:themeColor="text1"/>
          <w:shd w:val="clear" w:color="auto" w:fill="FFFFFF"/>
          <w:lang w:val="en-US"/>
        </w:rPr>
        <w:t>The Energy Journal, 31</w:t>
      </w:r>
      <w:r w:rsidRPr="001A4A7B">
        <w:rPr>
          <w:color w:val="000000" w:themeColor="text1"/>
          <w:shd w:val="clear" w:color="auto" w:fill="FFFFFF"/>
          <w:lang w:val="en-US"/>
        </w:rPr>
        <w:t>(2), 87-112.</w:t>
      </w:r>
    </w:p>
    <w:p w14:paraId="5227ACCD" w14:textId="77777777" w:rsidR="000D79F0" w:rsidRPr="001A4A7B" w:rsidRDefault="000D79F0" w:rsidP="000D79F0">
      <w:pPr>
        <w:jc w:val="both"/>
        <w:rPr>
          <w:color w:val="000000" w:themeColor="text1"/>
          <w:shd w:val="clear" w:color="auto" w:fill="FFFFFF"/>
          <w:lang w:val="en-US"/>
        </w:rPr>
      </w:pPr>
    </w:p>
    <w:p w14:paraId="3BE436CF" w14:textId="5556650C"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Kilian, L. (2014). Oil price shocks: Causes and consequences. </w:t>
      </w:r>
      <w:r w:rsidR="00FB6EA6" w:rsidRPr="001A4A7B">
        <w:rPr>
          <w:i/>
          <w:iCs/>
          <w:color w:val="000000" w:themeColor="text1"/>
          <w:lang w:val="en-US"/>
        </w:rPr>
        <w:t>Annual Review of Resource Economics</w:t>
      </w:r>
      <w:r w:rsidRPr="001A4A7B">
        <w:rPr>
          <w:color w:val="000000" w:themeColor="text1"/>
          <w:shd w:val="clear" w:color="auto" w:fill="FFFFFF"/>
          <w:lang w:val="en-US"/>
        </w:rPr>
        <w:t>, </w:t>
      </w:r>
      <w:r w:rsidRPr="001A4A7B">
        <w:rPr>
          <w:i/>
          <w:iCs/>
          <w:color w:val="000000" w:themeColor="text1"/>
          <w:lang w:val="en-US"/>
        </w:rPr>
        <w:t>6</w:t>
      </w:r>
      <w:r w:rsidRPr="001A4A7B">
        <w:rPr>
          <w:color w:val="000000" w:themeColor="text1"/>
          <w:shd w:val="clear" w:color="auto" w:fill="FFFFFF"/>
          <w:lang w:val="en-US"/>
        </w:rPr>
        <w:t>(1), 133-154.</w:t>
      </w:r>
    </w:p>
    <w:p w14:paraId="466A39BB" w14:textId="77777777" w:rsidR="000D79F0" w:rsidRPr="001A4A7B" w:rsidRDefault="000D79F0" w:rsidP="000D79F0">
      <w:pPr>
        <w:jc w:val="both"/>
        <w:rPr>
          <w:color w:val="000000" w:themeColor="text1"/>
          <w:shd w:val="clear" w:color="auto" w:fill="FFFFFF"/>
          <w:lang w:val="en-US"/>
        </w:rPr>
      </w:pPr>
    </w:p>
    <w:p w14:paraId="3F63FB45" w14:textId="1DFC8222"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Kilian, L.,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Vigfusson, R. J. (2011). Are the responses of the </w:t>
      </w:r>
      <w:r w:rsidR="006A7E1F" w:rsidRPr="001A4A7B">
        <w:rPr>
          <w:color w:val="000000" w:themeColor="text1"/>
          <w:shd w:val="clear" w:color="auto" w:fill="FFFFFF"/>
          <w:lang w:val="en-US"/>
        </w:rPr>
        <w:t>US</w:t>
      </w:r>
      <w:r w:rsidRPr="001A4A7B">
        <w:rPr>
          <w:color w:val="000000" w:themeColor="text1"/>
          <w:shd w:val="clear" w:color="auto" w:fill="FFFFFF"/>
          <w:lang w:val="en-US"/>
        </w:rPr>
        <w:t xml:space="preserve"> economy asymmetric in energy price increases and decreases?.</w:t>
      </w:r>
      <w:r w:rsidRPr="001A4A7B">
        <w:rPr>
          <w:rStyle w:val="apple-converted-space"/>
          <w:color w:val="000000" w:themeColor="text1"/>
          <w:shd w:val="clear" w:color="auto" w:fill="FFFFFF"/>
          <w:lang w:val="en-US"/>
        </w:rPr>
        <w:t> </w:t>
      </w:r>
      <w:r w:rsidRPr="001A4A7B">
        <w:rPr>
          <w:color w:val="000000" w:themeColor="text1"/>
          <w:lang w:val="en-US"/>
        </w:rPr>
        <w:t>Quantitative Economics</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color w:val="000000" w:themeColor="text1"/>
          <w:lang w:val="en-US"/>
        </w:rPr>
        <w:t>2</w:t>
      </w:r>
      <w:r w:rsidRPr="001A4A7B">
        <w:rPr>
          <w:color w:val="000000" w:themeColor="text1"/>
          <w:shd w:val="clear" w:color="auto" w:fill="FFFFFF"/>
          <w:lang w:val="en-US"/>
        </w:rPr>
        <w:t>(3), 419-453.</w:t>
      </w:r>
    </w:p>
    <w:p w14:paraId="7B19036D" w14:textId="09A56BD4" w:rsidR="008E5C5D" w:rsidRPr="001A4A7B" w:rsidRDefault="008E5C5D" w:rsidP="000D79F0">
      <w:pPr>
        <w:jc w:val="both"/>
        <w:rPr>
          <w:color w:val="000000" w:themeColor="text1"/>
          <w:shd w:val="clear" w:color="auto" w:fill="FFFFFF"/>
          <w:lang w:val="en-US"/>
        </w:rPr>
      </w:pPr>
    </w:p>
    <w:p w14:paraId="3249F7EB" w14:textId="6B47E4D9" w:rsidR="004B2CEA" w:rsidRPr="001A4A7B" w:rsidRDefault="004B2CEA" w:rsidP="000D79F0">
      <w:pPr>
        <w:jc w:val="both"/>
        <w:rPr>
          <w:color w:val="000000" w:themeColor="text1"/>
          <w:shd w:val="clear" w:color="auto" w:fill="FFFFFF"/>
          <w:lang w:val="en-US"/>
        </w:rPr>
      </w:pPr>
      <w:r w:rsidRPr="001A4A7B">
        <w:rPr>
          <w:color w:val="000000" w:themeColor="text1"/>
          <w:shd w:val="clear" w:color="auto" w:fill="FFFFFF"/>
          <w:lang w:val="en-US"/>
        </w:rPr>
        <w:t>Kou, G., Peng, Y., and Wang, G. (2014). Evaluation of clustering algorithms for financial risk analysis using MCDM methods. Information sciences, 275, 1-12.</w:t>
      </w:r>
    </w:p>
    <w:p w14:paraId="7D42D383" w14:textId="77777777" w:rsidR="004B2CEA" w:rsidRPr="001A4A7B" w:rsidRDefault="004B2CEA" w:rsidP="000D79F0">
      <w:pPr>
        <w:jc w:val="both"/>
        <w:rPr>
          <w:color w:val="000000" w:themeColor="text1"/>
          <w:shd w:val="clear" w:color="auto" w:fill="FFFFFF"/>
          <w:lang w:val="en-US"/>
        </w:rPr>
      </w:pPr>
    </w:p>
    <w:p w14:paraId="2A2667FA" w14:textId="5AB8C3F7" w:rsidR="008E5C5D" w:rsidRPr="001A4A7B" w:rsidRDefault="008E5C5D" w:rsidP="000D79F0">
      <w:pPr>
        <w:jc w:val="both"/>
        <w:rPr>
          <w:color w:val="000000" w:themeColor="text1"/>
          <w:shd w:val="clear" w:color="auto" w:fill="FFFFFF"/>
          <w:lang w:val="en-US"/>
        </w:rPr>
      </w:pPr>
      <w:r w:rsidRPr="001A4A7B">
        <w:rPr>
          <w:color w:val="000000" w:themeColor="text1"/>
          <w:shd w:val="clear" w:color="auto" w:fill="FFFFFF"/>
          <w:lang w:val="en-US"/>
        </w:rPr>
        <w:t>Kou, G., Yüksel, S., and Dinçer, H. (2022). Inventive problem-solving map of innovative carbon emission strategies for solar energy-based transportation investment projects. Applied Energy, 311, 118680.</w:t>
      </w:r>
    </w:p>
    <w:p w14:paraId="407C6294" w14:textId="77777777" w:rsidR="000D79F0" w:rsidRPr="001A4A7B" w:rsidRDefault="000D79F0" w:rsidP="000D79F0">
      <w:pPr>
        <w:jc w:val="both"/>
        <w:rPr>
          <w:color w:val="000000" w:themeColor="text1"/>
          <w:shd w:val="clear" w:color="auto" w:fill="FFFFFF"/>
          <w:lang w:val="en-US"/>
        </w:rPr>
      </w:pPr>
    </w:p>
    <w:p w14:paraId="02CBE7FC" w14:textId="05EC00B0"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Kpodar, K.,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Abdallah, C. (2017). Dynamic fuel price pass-through: Evidence from a new global retail fuel price database.</w:t>
      </w:r>
      <w:r w:rsidRPr="001A4A7B">
        <w:rPr>
          <w:rStyle w:val="apple-converted-space"/>
          <w:color w:val="000000" w:themeColor="text1"/>
          <w:shd w:val="clear" w:color="auto" w:fill="FFFFFF"/>
          <w:lang w:val="en-US"/>
        </w:rPr>
        <w:t> </w:t>
      </w:r>
      <w:r w:rsidRPr="001A4A7B">
        <w:rPr>
          <w:i/>
          <w:iCs/>
          <w:color w:val="000000" w:themeColor="text1"/>
          <w:lang w:val="en-US"/>
        </w:rPr>
        <w:t>Energy Economics</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66</w:t>
      </w:r>
      <w:r w:rsidRPr="001A4A7B">
        <w:rPr>
          <w:color w:val="000000" w:themeColor="text1"/>
          <w:shd w:val="clear" w:color="auto" w:fill="FFFFFF"/>
          <w:lang w:val="en-US"/>
        </w:rPr>
        <w:t>, 303-312.</w:t>
      </w:r>
    </w:p>
    <w:p w14:paraId="49E325C5" w14:textId="2A2CDB7F" w:rsidR="00C2626A" w:rsidRPr="001A4A7B" w:rsidRDefault="00C2626A" w:rsidP="000D79F0">
      <w:pPr>
        <w:jc w:val="both"/>
        <w:rPr>
          <w:color w:val="000000" w:themeColor="text1"/>
          <w:shd w:val="clear" w:color="auto" w:fill="FFFFFF"/>
          <w:lang w:val="en-US"/>
        </w:rPr>
      </w:pPr>
    </w:p>
    <w:p w14:paraId="15ED6451" w14:textId="4E333E6A" w:rsidR="00C2626A" w:rsidRPr="001A4A7B" w:rsidRDefault="00C2626A" w:rsidP="000D79F0">
      <w:pPr>
        <w:jc w:val="both"/>
        <w:rPr>
          <w:color w:val="000000" w:themeColor="text1"/>
          <w:shd w:val="clear" w:color="auto" w:fill="FFFFFF"/>
          <w:lang w:val="en-US"/>
        </w:rPr>
      </w:pPr>
      <w:r w:rsidRPr="001A4A7B">
        <w:rPr>
          <w:color w:val="000000" w:themeColor="text1"/>
          <w:shd w:val="clear" w:color="auto" w:fill="FFFFFF"/>
          <w:lang w:val="en-US"/>
        </w:rPr>
        <w:t xml:space="preserve">Kwiatkowski, D., Phillips, P. C., Schmidt, P., and Shin, Y. (1992). Testing the null hypothesis of stationarity against the alternative of a unit root: How sure are we that economic time series have a unit root?. </w:t>
      </w:r>
      <w:r w:rsidRPr="001A4A7B">
        <w:rPr>
          <w:i/>
          <w:iCs/>
          <w:color w:val="000000" w:themeColor="text1"/>
          <w:shd w:val="clear" w:color="auto" w:fill="FFFFFF"/>
          <w:lang w:val="en-US"/>
        </w:rPr>
        <w:t>Journal of econometrics, 54</w:t>
      </w:r>
      <w:r w:rsidRPr="001A4A7B">
        <w:rPr>
          <w:color w:val="000000" w:themeColor="text1"/>
          <w:shd w:val="clear" w:color="auto" w:fill="FFFFFF"/>
          <w:lang w:val="en-US"/>
        </w:rPr>
        <w:t>(1-3), 159-178.</w:t>
      </w:r>
    </w:p>
    <w:p w14:paraId="0F376BC7" w14:textId="77777777" w:rsidR="000D79F0" w:rsidRPr="001A4A7B" w:rsidRDefault="000D79F0" w:rsidP="000D79F0">
      <w:pPr>
        <w:jc w:val="both"/>
        <w:rPr>
          <w:color w:val="000000" w:themeColor="text1"/>
          <w:shd w:val="clear" w:color="auto" w:fill="FFFFFF"/>
          <w:lang w:val="en-US"/>
        </w:rPr>
      </w:pPr>
    </w:p>
    <w:p w14:paraId="628C465F" w14:textId="4782B82F"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Kyritsis, E.,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Andersson, J. (2019). Causality in quantiles and dynamic relations in energy markets:(De) tails matter.</w:t>
      </w:r>
      <w:r w:rsidRPr="001A4A7B">
        <w:rPr>
          <w:rStyle w:val="apple-converted-space"/>
          <w:color w:val="000000" w:themeColor="text1"/>
          <w:shd w:val="clear" w:color="auto" w:fill="FFFFFF"/>
          <w:lang w:val="en-US"/>
        </w:rPr>
        <w:t> </w:t>
      </w:r>
      <w:r w:rsidRPr="001A4A7B">
        <w:rPr>
          <w:i/>
          <w:iCs/>
          <w:color w:val="000000" w:themeColor="text1"/>
          <w:lang w:val="en-US"/>
        </w:rPr>
        <w:t>Energy Policy</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133</w:t>
      </w:r>
      <w:r w:rsidRPr="001A4A7B">
        <w:rPr>
          <w:color w:val="000000" w:themeColor="text1"/>
          <w:shd w:val="clear" w:color="auto" w:fill="FFFFFF"/>
          <w:lang w:val="en-US"/>
        </w:rPr>
        <w:t>, 110933.</w:t>
      </w:r>
    </w:p>
    <w:p w14:paraId="254AE83F" w14:textId="77777777" w:rsidR="000D79F0" w:rsidRPr="001A4A7B" w:rsidRDefault="000D79F0" w:rsidP="000D79F0">
      <w:pPr>
        <w:jc w:val="both"/>
        <w:rPr>
          <w:color w:val="000000" w:themeColor="text1"/>
          <w:shd w:val="clear" w:color="auto" w:fill="FFFFFF"/>
          <w:lang w:val="en-US"/>
        </w:rPr>
      </w:pPr>
    </w:p>
    <w:p w14:paraId="1DDE82B7" w14:textId="64CFFF7F"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lastRenderedPageBreak/>
        <w:t xml:space="preserve">Kyritsis, E.,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Serletis, A. (2018). The zero lower bound and market spillovers: Evidence from the G7 and Norway.</w:t>
      </w:r>
      <w:r w:rsidRPr="001A4A7B">
        <w:rPr>
          <w:rStyle w:val="apple-converted-space"/>
          <w:color w:val="000000" w:themeColor="text1"/>
          <w:shd w:val="clear" w:color="auto" w:fill="FFFFFF"/>
          <w:lang w:val="en-US"/>
        </w:rPr>
        <w:t> </w:t>
      </w:r>
      <w:r w:rsidRPr="001A4A7B">
        <w:rPr>
          <w:i/>
          <w:iCs/>
          <w:color w:val="000000" w:themeColor="text1"/>
          <w:lang w:val="en-US"/>
        </w:rPr>
        <w:t>Research in International Business and Finance</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44</w:t>
      </w:r>
      <w:r w:rsidRPr="001A4A7B">
        <w:rPr>
          <w:color w:val="000000" w:themeColor="text1"/>
          <w:shd w:val="clear" w:color="auto" w:fill="FFFFFF"/>
          <w:lang w:val="en-US"/>
        </w:rPr>
        <w:t>, 100-123.</w:t>
      </w:r>
    </w:p>
    <w:p w14:paraId="1A898C52" w14:textId="29D8EFD2" w:rsidR="00665AC1" w:rsidRPr="001A4A7B" w:rsidRDefault="00665AC1" w:rsidP="000D79F0">
      <w:pPr>
        <w:jc w:val="both"/>
        <w:rPr>
          <w:color w:val="000000" w:themeColor="text1"/>
          <w:shd w:val="clear" w:color="auto" w:fill="FFFFFF"/>
          <w:lang w:val="en-US"/>
        </w:rPr>
      </w:pPr>
    </w:p>
    <w:p w14:paraId="02751074" w14:textId="39A91E89" w:rsidR="00665AC1" w:rsidRPr="001A4A7B" w:rsidRDefault="00665AC1" w:rsidP="000D79F0">
      <w:pPr>
        <w:jc w:val="both"/>
        <w:rPr>
          <w:color w:val="000000" w:themeColor="text1"/>
          <w:shd w:val="clear" w:color="auto" w:fill="FFFFFF"/>
          <w:lang w:val="en-US"/>
        </w:rPr>
      </w:pPr>
      <w:r w:rsidRPr="001A4A7B">
        <w:rPr>
          <w:color w:val="000000" w:themeColor="text1"/>
          <w:shd w:val="clear" w:color="auto" w:fill="FFFFFF"/>
          <w:lang w:val="en-US"/>
        </w:rPr>
        <w:t>Li, G., Kou, G., and Peng, Y. (2021). Heterogeneous large-scale group decision making using fuzzy cluster analysis and its application to emergency response plan selection. IEEE Transactions on Systems, Man, and Cybernetics: Systems, 52(6), 3391-3403.</w:t>
      </w:r>
    </w:p>
    <w:p w14:paraId="25DEB43D" w14:textId="0820FCB5" w:rsidR="000D79F0" w:rsidRPr="001A4A7B" w:rsidRDefault="000D79F0" w:rsidP="000D79F0">
      <w:pPr>
        <w:jc w:val="both"/>
        <w:rPr>
          <w:color w:val="000000" w:themeColor="text1"/>
          <w:lang w:val="en-US"/>
        </w:rPr>
      </w:pPr>
    </w:p>
    <w:p w14:paraId="748B4F7E" w14:textId="6DA133E3" w:rsidR="00C250F2" w:rsidRPr="001A4A7B" w:rsidRDefault="00C250F2" w:rsidP="000D79F0">
      <w:pPr>
        <w:jc w:val="both"/>
        <w:rPr>
          <w:color w:val="000000" w:themeColor="text1"/>
          <w:lang w:val="en-US"/>
        </w:rPr>
      </w:pPr>
      <w:r w:rsidRPr="001A4A7B">
        <w:rPr>
          <w:color w:val="000000" w:themeColor="text1"/>
          <w:lang w:val="en-US"/>
        </w:rPr>
        <w:t xml:space="preserve">Li, F., Huang, Z., Zhong, J., </w:t>
      </w:r>
      <w:r w:rsidR="00752592" w:rsidRPr="001A4A7B">
        <w:rPr>
          <w:color w:val="000000" w:themeColor="text1"/>
          <w:lang w:val="en-US"/>
        </w:rPr>
        <w:t>and</w:t>
      </w:r>
      <w:r w:rsidRPr="001A4A7B">
        <w:rPr>
          <w:color w:val="000000" w:themeColor="text1"/>
          <w:lang w:val="en-US"/>
        </w:rPr>
        <w:t xml:space="preserve"> Albitar, K. (2020). Do tense geopolitical factors drive crude oil prices?. Energies, 13(16), 4277.</w:t>
      </w:r>
    </w:p>
    <w:p w14:paraId="7AD30428" w14:textId="77777777" w:rsidR="00C250F2" w:rsidRPr="001A4A7B" w:rsidRDefault="00C250F2" w:rsidP="000D79F0">
      <w:pPr>
        <w:jc w:val="both"/>
        <w:rPr>
          <w:color w:val="000000" w:themeColor="text1"/>
          <w:lang w:val="en-US"/>
        </w:rPr>
      </w:pPr>
    </w:p>
    <w:p w14:paraId="1EAC26B2" w14:textId="77777777" w:rsidR="000D79F0" w:rsidRPr="001A4A7B" w:rsidRDefault="000D79F0" w:rsidP="000D79F0">
      <w:pPr>
        <w:jc w:val="both"/>
        <w:rPr>
          <w:color w:val="000000" w:themeColor="text1"/>
          <w:shd w:val="clear" w:color="auto" w:fill="FFFFFF"/>
          <w:lang w:val="en-US"/>
        </w:rPr>
      </w:pPr>
      <w:r w:rsidRPr="001A4A7B">
        <w:rPr>
          <w:color w:val="000000" w:themeColor="text1"/>
          <w:lang w:val="en-US"/>
        </w:rPr>
        <w:t>Maddala, G.S., and Kim, I.-M. (1998). Unit Roots, Cointegration and Structural Change. Oxford University Press, Oxford.</w:t>
      </w:r>
    </w:p>
    <w:p w14:paraId="5C755798" w14:textId="77777777" w:rsidR="000D79F0" w:rsidRPr="001A4A7B" w:rsidRDefault="000D79F0" w:rsidP="000D79F0">
      <w:pPr>
        <w:jc w:val="both"/>
        <w:rPr>
          <w:color w:val="000000" w:themeColor="text1"/>
          <w:lang w:val="en-US"/>
        </w:rPr>
      </w:pPr>
    </w:p>
    <w:p w14:paraId="63293ABE" w14:textId="7AA2CBCC" w:rsidR="000D79F0" w:rsidRPr="001A4A7B" w:rsidRDefault="000D79F0" w:rsidP="000D79F0">
      <w:pPr>
        <w:jc w:val="both"/>
        <w:rPr>
          <w:color w:val="000000" w:themeColor="text1"/>
          <w:shd w:val="clear" w:color="auto" w:fill="FFFFFF"/>
        </w:rPr>
      </w:pPr>
      <w:r w:rsidRPr="001A4A7B">
        <w:rPr>
          <w:color w:val="000000" w:themeColor="text1"/>
          <w:lang w:val="en-US"/>
        </w:rPr>
        <w:t xml:space="preserve">Martín-Moreno, J. M., Pérez, R., </w:t>
      </w:r>
      <w:r w:rsidR="002B018F" w:rsidRPr="001A4A7B">
        <w:rPr>
          <w:color w:val="000000" w:themeColor="text1"/>
          <w:lang w:val="en-US"/>
        </w:rPr>
        <w:t>and</w:t>
      </w:r>
      <w:r w:rsidRPr="001A4A7B">
        <w:rPr>
          <w:color w:val="000000" w:themeColor="text1"/>
          <w:lang w:val="en-US"/>
        </w:rPr>
        <w:t xml:space="preserve"> Ruiz, J. (2019a). Evidence about asymmetric price transmission in the main European fuel markets: from TAR-ECM to Markov-switching approach. </w:t>
      </w:r>
      <w:r w:rsidRPr="001A4A7B">
        <w:rPr>
          <w:color w:val="000000" w:themeColor="text1"/>
        </w:rPr>
        <w:t>Empirical Economics, 56(4), 1383-1412.</w:t>
      </w:r>
    </w:p>
    <w:p w14:paraId="31A6493F" w14:textId="77777777" w:rsidR="000D79F0" w:rsidRPr="001A4A7B" w:rsidRDefault="000D79F0" w:rsidP="000D79F0">
      <w:pPr>
        <w:jc w:val="both"/>
        <w:rPr>
          <w:color w:val="000000" w:themeColor="text1"/>
        </w:rPr>
      </w:pPr>
    </w:p>
    <w:p w14:paraId="308883A6" w14:textId="7B68773D" w:rsidR="000D79F0" w:rsidRPr="001A4A7B" w:rsidRDefault="000D79F0" w:rsidP="000D79F0">
      <w:pPr>
        <w:jc w:val="both"/>
        <w:rPr>
          <w:color w:val="000000" w:themeColor="text1"/>
          <w:lang w:val="en-US"/>
        </w:rPr>
      </w:pPr>
      <w:r w:rsidRPr="001A4A7B">
        <w:rPr>
          <w:color w:val="000000" w:themeColor="text1"/>
        </w:rPr>
        <w:t>Martín</w:t>
      </w:r>
      <w:r w:rsidRPr="001A4A7B">
        <w:rPr>
          <w:rFonts w:ascii="Cambria Math" w:hAnsi="Cambria Math" w:cs="Cambria Math"/>
          <w:color w:val="000000" w:themeColor="text1"/>
        </w:rPr>
        <w:t>‐</w:t>
      </w:r>
      <w:r w:rsidRPr="001A4A7B">
        <w:rPr>
          <w:color w:val="000000" w:themeColor="text1"/>
        </w:rPr>
        <w:t xml:space="preserve">Moreno, J. M., Pérez, R., </w:t>
      </w:r>
      <w:r w:rsidR="002B018F" w:rsidRPr="001A4A7B">
        <w:rPr>
          <w:color w:val="000000" w:themeColor="text1"/>
        </w:rPr>
        <w:t>and</w:t>
      </w:r>
      <w:r w:rsidRPr="001A4A7B">
        <w:rPr>
          <w:color w:val="000000" w:themeColor="text1"/>
        </w:rPr>
        <w:t xml:space="preserve"> Ruiz, J. (2019b). </w:t>
      </w:r>
      <w:r w:rsidRPr="001A4A7B">
        <w:rPr>
          <w:color w:val="000000" w:themeColor="text1"/>
          <w:lang w:val="en-US"/>
        </w:rPr>
        <w:t>Rockets and feathers behaviour in the Spanish gasoline and diesel market: New evidence. Bulletin of Economic Research, 71(4), 657-683.</w:t>
      </w:r>
    </w:p>
    <w:p w14:paraId="71B368BA" w14:textId="0AC5944B" w:rsidR="006E3A9C" w:rsidRPr="001A4A7B" w:rsidRDefault="006E3A9C" w:rsidP="000D79F0">
      <w:pPr>
        <w:jc w:val="both"/>
        <w:rPr>
          <w:color w:val="000000" w:themeColor="text1"/>
          <w:lang w:val="en-US"/>
        </w:rPr>
      </w:pPr>
    </w:p>
    <w:p w14:paraId="58D6CA4D" w14:textId="34DFDC7C" w:rsidR="006E3A9C" w:rsidRPr="001A4A7B" w:rsidRDefault="006E3A9C" w:rsidP="000D79F0">
      <w:pPr>
        <w:jc w:val="both"/>
        <w:rPr>
          <w:color w:val="000000" w:themeColor="text1"/>
          <w:lang w:val="en-US"/>
        </w:rPr>
      </w:pPr>
      <w:r w:rsidRPr="001A4A7B">
        <w:rPr>
          <w:color w:val="000000" w:themeColor="text1"/>
          <w:lang w:val="en-US"/>
        </w:rPr>
        <w:t xml:space="preserve">Martínez, J. M. P., Abadie, L. M., </w:t>
      </w:r>
      <w:r w:rsidR="00752592" w:rsidRPr="001A4A7B">
        <w:rPr>
          <w:color w:val="000000" w:themeColor="text1"/>
          <w:lang w:val="en-US"/>
        </w:rPr>
        <w:t>and</w:t>
      </w:r>
      <w:r w:rsidRPr="001A4A7B">
        <w:rPr>
          <w:color w:val="000000" w:themeColor="text1"/>
          <w:lang w:val="en-US"/>
        </w:rPr>
        <w:t xml:space="preserve"> Fernández-Macho, J. (2018). A multi-resolution and multivariate analysis of the dynamic relationships between crude oil and petroleum-product prices. </w:t>
      </w:r>
      <w:r w:rsidRPr="001A4A7B">
        <w:rPr>
          <w:i/>
          <w:iCs/>
          <w:color w:val="000000" w:themeColor="text1"/>
          <w:lang w:val="en-US"/>
        </w:rPr>
        <w:t>Applied energy, 228</w:t>
      </w:r>
      <w:r w:rsidRPr="001A4A7B">
        <w:rPr>
          <w:color w:val="000000" w:themeColor="text1"/>
          <w:lang w:val="en-US"/>
        </w:rPr>
        <w:t>, 1550-1560.</w:t>
      </w:r>
    </w:p>
    <w:p w14:paraId="0B1A4DED" w14:textId="0B2C3E83" w:rsidR="008034A5" w:rsidRPr="001A4A7B" w:rsidRDefault="008034A5" w:rsidP="000D79F0">
      <w:pPr>
        <w:jc w:val="both"/>
        <w:rPr>
          <w:color w:val="000000" w:themeColor="text1"/>
          <w:lang w:val="en-US"/>
        </w:rPr>
      </w:pPr>
    </w:p>
    <w:p w14:paraId="3B66F105" w14:textId="07581DC0" w:rsidR="008034A5" w:rsidRPr="001A4A7B" w:rsidRDefault="008034A5" w:rsidP="000D79F0">
      <w:pPr>
        <w:jc w:val="both"/>
        <w:rPr>
          <w:color w:val="000000" w:themeColor="text1"/>
          <w:lang w:val="en-US"/>
        </w:rPr>
      </w:pPr>
      <w:r w:rsidRPr="001A4A7B">
        <w:rPr>
          <w:color w:val="000000" w:themeColor="text1"/>
          <w:lang w:val="en-US"/>
        </w:rPr>
        <w:t xml:space="preserve">Masih, A. M., and Masih, R. (1998). A multivariate cointegrated modelling approach in testing temporal causality between energy consumption, real income and prices with an application to two Asian LDCs. </w:t>
      </w:r>
      <w:r w:rsidRPr="001A4A7B">
        <w:rPr>
          <w:i/>
          <w:iCs/>
          <w:color w:val="000000" w:themeColor="text1"/>
          <w:lang w:val="en-US"/>
        </w:rPr>
        <w:t>Applied Economics, 30</w:t>
      </w:r>
      <w:r w:rsidRPr="001A4A7B">
        <w:rPr>
          <w:color w:val="000000" w:themeColor="text1"/>
          <w:lang w:val="en-US"/>
        </w:rPr>
        <w:t>(10), 1287-1298.</w:t>
      </w:r>
    </w:p>
    <w:p w14:paraId="35A99BCF" w14:textId="7C5300B8" w:rsidR="00C06BB2" w:rsidRPr="001A4A7B" w:rsidRDefault="00C06BB2" w:rsidP="000D79F0">
      <w:pPr>
        <w:jc w:val="both"/>
        <w:rPr>
          <w:color w:val="000000" w:themeColor="text1"/>
          <w:shd w:val="clear" w:color="auto" w:fill="FFFFFF"/>
          <w:lang w:val="en-US"/>
        </w:rPr>
      </w:pPr>
    </w:p>
    <w:p w14:paraId="174F8A95" w14:textId="10572F9A" w:rsidR="008034A5" w:rsidRPr="001A4A7B" w:rsidRDefault="008034A5" w:rsidP="000D79F0">
      <w:pPr>
        <w:jc w:val="both"/>
        <w:rPr>
          <w:color w:val="000000" w:themeColor="text1"/>
          <w:shd w:val="clear" w:color="auto" w:fill="FFFFFF"/>
          <w:lang w:val="en-US"/>
        </w:rPr>
      </w:pPr>
      <w:r w:rsidRPr="001A4A7B">
        <w:rPr>
          <w:color w:val="000000" w:themeColor="text1"/>
          <w:shd w:val="clear" w:color="auto" w:fill="FFFFFF"/>
          <w:lang w:val="en-US"/>
        </w:rPr>
        <w:t xml:space="preserve">Mishra, A. K., Ghate, K., Renganathan, J., Kennet, J. J., and Rajderkar, N. P. (2022). Rolling, recursive evolving and asymmetric causality between crude oil and gold prices: evidence from an emerging market. </w:t>
      </w:r>
      <w:r w:rsidRPr="001A4A7B">
        <w:rPr>
          <w:i/>
          <w:iCs/>
          <w:color w:val="000000" w:themeColor="text1"/>
          <w:shd w:val="clear" w:color="auto" w:fill="FFFFFF"/>
          <w:lang w:val="en-US"/>
        </w:rPr>
        <w:t>Resources Policy, 75</w:t>
      </w:r>
      <w:r w:rsidRPr="001A4A7B">
        <w:rPr>
          <w:color w:val="000000" w:themeColor="text1"/>
          <w:shd w:val="clear" w:color="auto" w:fill="FFFFFF"/>
          <w:lang w:val="en-US"/>
        </w:rPr>
        <w:t>, 102474.</w:t>
      </w:r>
    </w:p>
    <w:p w14:paraId="27C3DF65" w14:textId="77777777" w:rsidR="008034A5" w:rsidRPr="001A4A7B" w:rsidRDefault="008034A5" w:rsidP="000D79F0">
      <w:pPr>
        <w:jc w:val="both"/>
        <w:rPr>
          <w:color w:val="000000" w:themeColor="text1"/>
          <w:shd w:val="clear" w:color="auto" w:fill="FFFFFF"/>
          <w:lang w:val="en-US"/>
        </w:rPr>
      </w:pPr>
    </w:p>
    <w:p w14:paraId="74CE0AFF" w14:textId="119EFDD5" w:rsidR="00F248B1" w:rsidRPr="001A4A7B" w:rsidRDefault="00F248B1" w:rsidP="000D79F0">
      <w:pPr>
        <w:jc w:val="both"/>
        <w:rPr>
          <w:color w:val="000000" w:themeColor="text1"/>
          <w:shd w:val="clear" w:color="auto" w:fill="FFFFFF"/>
          <w:lang w:val="en-US"/>
        </w:rPr>
      </w:pPr>
      <w:r w:rsidRPr="001A4A7B">
        <w:rPr>
          <w:color w:val="000000" w:themeColor="text1"/>
          <w:shd w:val="clear" w:color="auto" w:fill="FFFFFF"/>
          <w:lang w:val="en-US"/>
        </w:rPr>
        <w:t xml:space="preserve">Ng, S., </w:t>
      </w:r>
      <w:r w:rsidR="00CF5A7B" w:rsidRPr="001A4A7B">
        <w:rPr>
          <w:color w:val="000000" w:themeColor="text1"/>
          <w:shd w:val="clear" w:color="auto" w:fill="FFFFFF"/>
          <w:lang w:val="en-US"/>
        </w:rPr>
        <w:t>and</w:t>
      </w:r>
      <w:r w:rsidRPr="001A4A7B">
        <w:rPr>
          <w:color w:val="000000" w:themeColor="text1"/>
          <w:shd w:val="clear" w:color="auto" w:fill="FFFFFF"/>
          <w:lang w:val="en-US"/>
        </w:rPr>
        <w:t xml:space="preserve"> Perron, P. (2001). Lag length selection and the construction of unit root tests with good size and power. </w:t>
      </w:r>
      <w:r w:rsidRPr="001A4A7B">
        <w:rPr>
          <w:i/>
          <w:iCs/>
          <w:color w:val="000000" w:themeColor="text1"/>
          <w:shd w:val="clear" w:color="auto" w:fill="FFFFFF"/>
          <w:lang w:val="en-US"/>
        </w:rPr>
        <w:t>Econometrica, 69</w:t>
      </w:r>
      <w:r w:rsidRPr="001A4A7B">
        <w:rPr>
          <w:color w:val="000000" w:themeColor="text1"/>
          <w:shd w:val="clear" w:color="auto" w:fill="FFFFFF"/>
          <w:lang w:val="en-US"/>
        </w:rPr>
        <w:t>(6), 1519-1554.</w:t>
      </w:r>
    </w:p>
    <w:p w14:paraId="60BCB8CC" w14:textId="77777777" w:rsidR="00F248B1" w:rsidRPr="001A4A7B" w:rsidRDefault="00F248B1" w:rsidP="000D79F0">
      <w:pPr>
        <w:jc w:val="both"/>
        <w:rPr>
          <w:color w:val="000000" w:themeColor="text1"/>
          <w:shd w:val="clear" w:color="auto" w:fill="FFFFFF"/>
          <w:lang w:val="en-US"/>
        </w:rPr>
      </w:pPr>
    </w:p>
    <w:p w14:paraId="00A4A94B" w14:textId="3CE60459" w:rsidR="005520E0" w:rsidRPr="001A4A7B" w:rsidRDefault="005520E0" w:rsidP="000D79F0">
      <w:pPr>
        <w:jc w:val="both"/>
        <w:rPr>
          <w:color w:val="000000" w:themeColor="text1"/>
          <w:shd w:val="clear" w:color="auto" w:fill="FFFFFF"/>
          <w:lang w:val="en-US"/>
        </w:rPr>
      </w:pPr>
      <w:r w:rsidRPr="001A4A7B">
        <w:rPr>
          <w:color w:val="000000" w:themeColor="text1"/>
          <w:shd w:val="clear" w:color="auto" w:fill="FFFFFF"/>
          <w:lang w:val="en-US"/>
        </w:rPr>
        <w:t xml:space="preserve">Olayungbo, D. O., </w:t>
      </w:r>
      <w:r w:rsidR="00752592" w:rsidRPr="001A4A7B">
        <w:rPr>
          <w:color w:val="000000" w:themeColor="text1"/>
          <w:shd w:val="clear" w:color="auto" w:fill="FFFFFF"/>
          <w:lang w:val="en-US"/>
        </w:rPr>
        <w:t>and</w:t>
      </w:r>
      <w:r w:rsidRPr="001A4A7B">
        <w:rPr>
          <w:color w:val="000000" w:themeColor="text1"/>
          <w:shd w:val="clear" w:color="auto" w:fill="FFFFFF"/>
          <w:lang w:val="en-US"/>
        </w:rPr>
        <w:t xml:space="preserve"> Ojeyinka, T. A. (2021). Crude oil prices pass-through to retail petroleum product prices in Nigeria: evidence from hidden cointegration approach. Economic Change and Restructuring, 1-22.</w:t>
      </w:r>
    </w:p>
    <w:p w14:paraId="4BFF5509" w14:textId="1D04DC2A" w:rsidR="005520E0" w:rsidRPr="001A4A7B" w:rsidRDefault="005520E0" w:rsidP="000D79F0">
      <w:pPr>
        <w:jc w:val="both"/>
        <w:rPr>
          <w:color w:val="000000" w:themeColor="text1"/>
          <w:shd w:val="clear" w:color="auto" w:fill="FFFFFF"/>
          <w:lang w:val="en-US"/>
        </w:rPr>
      </w:pPr>
    </w:p>
    <w:p w14:paraId="5E7EE8DC" w14:textId="2719BD57" w:rsidR="00A020F8" w:rsidRPr="001A4A7B" w:rsidRDefault="00A020F8" w:rsidP="000D79F0">
      <w:pPr>
        <w:jc w:val="both"/>
        <w:rPr>
          <w:color w:val="000000" w:themeColor="text1"/>
          <w:shd w:val="clear" w:color="auto" w:fill="FFFFFF"/>
          <w:lang w:val="en-US"/>
        </w:rPr>
      </w:pPr>
      <w:r w:rsidRPr="001A4A7B">
        <w:rPr>
          <w:color w:val="000000" w:themeColor="text1"/>
          <w:shd w:val="clear" w:color="auto" w:fill="FFFFFF"/>
          <w:lang w:val="en-US"/>
        </w:rPr>
        <w:t xml:space="preserve">Owyang, M. T., </w:t>
      </w:r>
      <w:r w:rsidR="00752592" w:rsidRPr="001A4A7B">
        <w:rPr>
          <w:color w:val="000000" w:themeColor="text1"/>
          <w:shd w:val="clear" w:color="auto" w:fill="FFFFFF"/>
          <w:lang w:val="en-US"/>
        </w:rPr>
        <w:t>and</w:t>
      </w:r>
      <w:r w:rsidRPr="001A4A7B">
        <w:rPr>
          <w:color w:val="000000" w:themeColor="text1"/>
          <w:shd w:val="clear" w:color="auto" w:fill="FFFFFF"/>
          <w:lang w:val="en-US"/>
        </w:rPr>
        <w:t xml:space="preserve"> Vermann, E. K. (2014). Rockets and feathers: why don't gasoline prices always move in sync with oil prices?. The Regional Economist.</w:t>
      </w:r>
    </w:p>
    <w:p w14:paraId="21817E5C" w14:textId="77777777" w:rsidR="00C9573B" w:rsidRPr="001A4A7B" w:rsidRDefault="00C9573B" w:rsidP="000D79F0">
      <w:pPr>
        <w:jc w:val="both"/>
        <w:rPr>
          <w:color w:val="000000" w:themeColor="text1"/>
          <w:shd w:val="clear" w:color="auto" w:fill="FFFFFF"/>
          <w:lang w:val="en-US"/>
        </w:rPr>
      </w:pPr>
    </w:p>
    <w:p w14:paraId="2F214C30" w14:textId="7FD95B65" w:rsidR="00C06BB2" w:rsidRPr="001A4A7B" w:rsidRDefault="00C06BB2" w:rsidP="00C06BB2">
      <w:pPr>
        <w:jc w:val="both"/>
        <w:rPr>
          <w:color w:val="000000" w:themeColor="text1"/>
          <w:lang w:val="en-US"/>
        </w:rPr>
      </w:pPr>
      <w:r w:rsidRPr="001A4A7B">
        <w:rPr>
          <w:color w:val="000000" w:themeColor="text1"/>
          <w:lang w:val="en-US"/>
        </w:rPr>
        <w:t>Ozili, P. K., and Arun, T. (2020). Spillover of COVID-19: impact on the Global Economy. </w:t>
      </w:r>
      <w:r w:rsidRPr="001A4A7B">
        <w:rPr>
          <w:i/>
          <w:iCs/>
          <w:color w:val="000000" w:themeColor="text1"/>
          <w:lang w:val="en-US"/>
        </w:rPr>
        <w:t>Available at SSRN 3562570</w:t>
      </w:r>
      <w:r w:rsidRPr="001A4A7B">
        <w:rPr>
          <w:color w:val="000000" w:themeColor="text1"/>
          <w:lang w:val="en-US"/>
        </w:rPr>
        <w:t>.</w:t>
      </w:r>
    </w:p>
    <w:p w14:paraId="509438F0" w14:textId="615923C8" w:rsidR="00C9573B" w:rsidRPr="001A4A7B" w:rsidRDefault="00C9573B" w:rsidP="00C06BB2">
      <w:pPr>
        <w:jc w:val="both"/>
        <w:rPr>
          <w:color w:val="000000" w:themeColor="text1"/>
          <w:lang w:val="en-US"/>
        </w:rPr>
      </w:pPr>
    </w:p>
    <w:p w14:paraId="33BE8C45" w14:textId="70769BE3" w:rsidR="00C9573B" w:rsidRPr="001A4A7B" w:rsidRDefault="00C9573B" w:rsidP="00C06BB2">
      <w:pPr>
        <w:jc w:val="both"/>
        <w:rPr>
          <w:color w:val="000000" w:themeColor="text1"/>
          <w:lang w:val="en-US"/>
        </w:rPr>
      </w:pPr>
      <w:r w:rsidRPr="001A4A7B">
        <w:rPr>
          <w:color w:val="000000" w:themeColor="text1"/>
          <w:lang w:val="en-US"/>
        </w:rPr>
        <w:t xml:space="preserve">Perdiguero-Garcia, J. (2013). Symmetric or asymmetric oil prices? A meta-analysis approach. </w:t>
      </w:r>
      <w:r w:rsidRPr="001A4A7B">
        <w:rPr>
          <w:i/>
          <w:iCs/>
          <w:color w:val="000000" w:themeColor="text1"/>
          <w:lang w:val="en-US"/>
        </w:rPr>
        <w:t>Energy policy, 57</w:t>
      </w:r>
      <w:r w:rsidRPr="001A4A7B">
        <w:rPr>
          <w:color w:val="000000" w:themeColor="text1"/>
          <w:lang w:val="en-US"/>
        </w:rPr>
        <w:t>, 389-397.</w:t>
      </w:r>
    </w:p>
    <w:p w14:paraId="311817D3" w14:textId="77777777" w:rsidR="000D79F0" w:rsidRPr="001A4A7B" w:rsidRDefault="000D79F0" w:rsidP="000D79F0">
      <w:pPr>
        <w:jc w:val="both"/>
        <w:rPr>
          <w:color w:val="000000" w:themeColor="text1"/>
          <w:lang w:val="en-US"/>
        </w:rPr>
      </w:pPr>
    </w:p>
    <w:p w14:paraId="434A2AF6" w14:textId="59C78463" w:rsidR="000D79F0" w:rsidRPr="001A4A7B" w:rsidRDefault="000D79F0" w:rsidP="000D79F0">
      <w:pPr>
        <w:jc w:val="both"/>
        <w:rPr>
          <w:color w:val="000000" w:themeColor="text1"/>
          <w:lang w:val="en-US"/>
        </w:rPr>
      </w:pPr>
      <w:r w:rsidRPr="001A4A7B">
        <w:rPr>
          <w:color w:val="000000" w:themeColor="text1"/>
          <w:lang w:val="en-US"/>
        </w:rPr>
        <w:lastRenderedPageBreak/>
        <w:t xml:space="preserve">Pesaran, M.H., Shin, Y., and Smith, R.J. (2001). Bounds testing approaches to the analysis of level relationships. </w:t>
      </w:r>
      <w:r w:rsidRPr="001A4A7B">
        <w:rPr>
          <w:i/>
          <w:iCs/>
          <w:color w:val="000000" w:themeColor="text1"/>
          <w:lang w:val="en-US"/>
        </w:rPr>
        <w:t>Journal of Applied Econometrics, 16</w:t>
      </w:r>
      <w:r w:rsidRPr="001A4A7B">
        <w:rPr>
          <w:color w:val="000000" w:themeColor="text1"/>
          <w:lang w:val="en-US"/>
        </w:rPr>
        <w:t>,</w:t>
      </w:r>
      <w:r w:rsidR="00C2626A" w:rsidRPr="001A4A7B">
        <w:rPr>
          <w:color w:val="000000" w:themeColor="text1"/>
          <w:lang w:val="en-US"/>
        </w:rPr>
        <w:t xml:space="preserve"> </w:t>
      </w:r>
      <w:r w:rsidRPr="001A4A7B">
        <w:rPr>
          <w:color w:val="000000" w:themeColor="text1"/>
          <w:lang w:val="en-US"/>
        </w:rPr>
        <w:t>289–326.</w:t>
      </w:r>
    </w:p>
    <w:p w14:paraId="2E44C75D" w14:textId="1FA10B2F" w:rsidR="00C2626A" w:rsidRPr="001A4A7B" w:rsidRDefault="00C2626A" w:rsidP="000D79F0">
      <w:pPr>
        <w:jc w:val="both"/>
        <w:rPr>
          <w:color w:val="000000" w:themeColor="text1"/>
          <w:lang w:val="en-US"/>
        </w:rPr>
      </w:pPr>
    </w:p>
    <w:p w14:paraId="0036E019" w14:textId="32ED2435" w:rsidR="00C2626A" w:rsidRPr="001A4A7B" w:rsidRDefault="00C2626A" w:rsidP="000D79F0">
      <w:pPr>
        <w:jc w:val="both"/>
        <w:rPr>
          <w:color w:val="000000" w:themeColor="text1"/>
          <w:lang w:val="en-US"/>
        </w:rPr>
      </w:pPr>
      <w:r w:rsidRPr="001A4A7B">
        <w:rPr>
          <w:color w:val="000000" w:themeColor="text1"/>
          <w:lang w:val="en-US"/>
        </w:rPr>
        <w:t xml:space="preserve">Phillips, P. C., and Perron, P. (1988). Testing for a unit root in time series regression. </w:t>
      </w:r>
      <w:r w:rsidRPr="001A4A7B">
        <w:rPr>
          <w:i/>
          <w:iCs/>
          <w:color w:val="000000" w:themeColor="text1"/>
          <w:lang w:val="en-US"/>
        </w:rPr>
        <w:t>Biometrika, 75</w:t>
      </w:r>
      <w:r w:rsidRPr="001A4A7B">
        <w:rPr>
          <w:color w:val="000000" w:themeColor="text1"/>
          <w:lang w:val="en-US"/>
        </w:rPr>
        <w:t>(2), 335-346.</w:t>
      </w:r>
    </w:p>
    <w:p w14:paraId="3CE2A17D" w14:textId="5D5A19D1" w:rsidR="004E77CA" w:rsidRPr="001A4A7B" w:rsidRDefault="004E77CA" w:rsidP="000D79F0">
      <w:pPr>
        <w:jc w:val="both"/>
        <w:rPr>
          <w:color w:val="000000" w:themeColor="text1"/>
          <w:lang w:val="en-US"/>
        </w:rPr>
      </w:pPr>
    </w:p>
    <w:p w14:paraId="649D45DC" w14:textId="09786EA4" w:rsidR="004E77CA" w:rsidRPr="001A4A7B" w:rsidRDefault="004E77CA" w:rsidP="000D79F0">
      <w:pPr>
        <w:jc w:val="both"/>
        <w:rPr>
          <w:color w:val="000000" w:themeColor="text1"/>
          <w:shd w:val="clear" w:color="auto" w:fill="FFFFFF"/>
          <w:lang w:val="en-US"/>
        </w:rPr>
      </w:pPr>
      <w:r w:rsidRPr="001A4A7B">
        <w:rPr>
          <w:color w:val="000000" w:themeColor="text1"/>
          <w:shd w:val="clear" w:color="auto" w:fill="FFFFFF"/>
          <w:lang w:val="en-US"/>
        </w:rPr>
        <w:t xml:space="preserve">Polat, O. (2020). Measuring dynamic connectedness networks in energy commodities: evidence from the D‐Y and frequency connectedness approaches. </w:t>
      </w:r>
      <w:r w:rsidRPr="001A4A7B">
        <w:rPr>
          <w:i/>
          <w:iCs/>
          <w:color w:val="000000" w:themeColor="text1"/>
          <w:shd w:val="clear" w:color="auto" w:fill="FFFFFF"/>
          <w:lang w:val="en-US"/>
        </w:rPr>
        <w:t>OPEC Energy Review, 44</w:t>
      </w:r>
      <w:r w:rsidRPr="001A4A7B">
        <w:rPr>
          <w:color w:val="000000" w:themeColor="text1"/>
          <w:shd w:val="clear" w:color="auto" w:fill="FFFFFF"/>
          <w:lang w:val="en-US"/>
        </w:rPr>
        <w:t>(4), 404-428.</w:t>
      </w:r>
    </w:p>
    <w:p w14:paraId="493D9B6B" w14:textId="77777777" w:rsidR="000D79F0" w:rsidRPr="001A4A7B" w:rsidRDefault="000D79F0" w:rsidP="000D79F0">
      <w:pPr>
        <w:jc w:val="both"/>
        <w:rPr>
          <w:color w:val="000000" w:themeColor="text1"/>
          <w:shd w:val="clear" w:color="auto" w:fill="FFFFFF"/>
          <w:lang w:val="en-US"/>
        </w:rPr>
      </w:pPr>
    </w:p>
    <w:p w14:paraId="694B5F01" w14:textId="2B567513"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Rezitis, A. N. (2015). The relationship between agricultural commodity prices, crude oil prices and </w:t>
      </w:r>
      <w:r w:rsidR="006A7E1F" w:rsidRPr="001A4A7B">
        <w:rPr>
          <w:color w:val="000000" w:themeColor="text1"/>
          <w:shd w:val="clear" w:color="auto" w:fill="FFFFFF"/>
          <w:lang w:val="en-US"/>
        </w:rPr>
        <w:t>US</w:t>
      </w:r>
      <w:r w:rsidRPr="001A4A7B">
        <w:rPr>
          <w:color w:val="000000" w:themeColor="text1"/>
          <w:shd w:val="clear" w:color="auto" w:fill="FFFFFF"/>
          <w:lang w:val="en-US"/>
        </w:rPr>
        <w:t xml:space="preserve"> dollar exchange rates: A panel VAR approach and causality analysis.</w:t>
      </w:r>
      <w:r w:rsidRPr="001A4A7B">
        <w:rPr>
          <w:rStyle w:val="apple-converted-space"/>
          <w:color w:val="000000" w:themeColor="text1"/>
          <w:shd w:val="clear" w:color="auto" w:fill="FFFFFF"/>
          <w:lang w:val="en-US"/>
        </w:rPr>
        <w:t> </w:t>
      </w:r>
      <w:r w:rsidRPr="001A4A7B">
        <w:rPr>
          <w:i/>
          <w:iCs/>
          <w:color w:val="000000" w:themeColor="text1"/>
          <w:lang w:val="en-US"/>
        </w:rPr>
        <w:t>International Review of Applied Economics</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29</w:t>
      </w:r>
      <w:r w:rsidRPr="001A4A7B">
        <w:rPr>
          <w:color w:val="000000" w:themeColor="text1"/>
          <w:shd w:val="clear" w:color="auto" w:fill="FFFFFF"/>
          <w:lang w:val="en-US"/>
        </w:rPr>
        <w:t>(3), 403-434.</w:t>
      </w:r>
    </w:p>
    <w:p w14:paraId="2ED6255B" w14:textId="6863EA86" w:rsidR="00702341" w:rsidRPr="001A4A7B" w:rsidRDefault="00702341" w:rsidP="000D79F0">
      <w:pPr>
        <w:jc w:val="both"/>
        <w:rPr>
          <w:color w:val="000000" w:themeColor="text1"/>
          <w:shd w:val="clear" w:color="auto" w:fill="FFFFFF"/>
          <w:lang w:val="en-US"/>
        </w:rPr>
      </w:pPr>
    </w:p>
    <w:p w14:paraId="5C29080B" w14:textId="120480A0" w:rsidR="00702341" w:rsidRPr="001A4A7B" w:rsidRDefault="00702341" w:rsidP="000D79F0">
      <w:pPr>
        <w:jc w:val="both"/>
        <w:rPr>
          <w:color w:val="000000" w:themeColor="text1"/>
          <w:shd w:val="clear" w:color="auto" w:fill="FFFFFF"/>
          <w:lang w:val="en-US"/>
        </w:rPr>
      </w:pPr>
      <w:r w:rsidRPr="001A4A7B">
        <w:rPr>
          <w:color w:val="000000" w:themeColor="text1"/>
          <w:shd w:val="clear" w:color="auto" w:fill="FFFFFF"/>
          <w:lang w:val="en-US"/>
        </w:rPr>
        <w:t xml:space="preserve">Salisu, A. A., and Obiora, K. (2021). COVID-19 pandemic and the crude oil market risk: hedging options with non-energy financial innovations. </w:t>
      </w:r>
      <w:r w:rsidRPr="001A4A7B">
        <w:rPr>
          <w:i/>
          <w:iCs/>
          <w:color w:val="000000" w:themeColor="text1"/>
          <w:shd w:val="clear" w:color="auto" w:fill="FFFFFF"/>
          <w:lang w:val="en-US"/>
        </w:rPr>
        <w:t>Financial Innovation, 7</w:t>
      </w:r>
      <w:r w:rsidRPr="001A4A7B">
        <w:rPr>
          <w:color w:val="000000" w:themeColor="text1"/>
          <w:shd w:val="clear" w:color="auto" w:fill="FFFFFF"/>
          <w:lang w:val="en-US"/>
        </w:rPr>
        <w:t>(1), 1-19.</w:t>
      </w:r>
    </w:p>
    <w:p w14:paraId="70A51936" w14:textId="08C52CE6" w:rsidR="00A33173" w:rsidRPr="001A4A7B" w:rsidRDefault="00A33173" w:rsidP="000D79F0">
      <w:pPr>
        <w:jc w:val="both"/>
        <w:rPr>
          <w:color w:val="000000" w:themeColor="text1"/>
          <w:shd w:val="clear" w:color="auto" w:fill="FFFFFF"/>
          <w:lang w:val="en-US"/>
        </w:rPr>
      </w:pPr>
    </w:p>
    <w:p w14:paraId="0F5825D6" w14:textId="6BB59EBD" w:rsidR="00A33173" w:rsidRPr="001A4A7B" w:rsidRDefault="00A33173" w:rsidP="000D79F0">
      <w:pPr>
        <w:jc w:val="both"/>
        <w:rPr>
          <w:color w:val="000000" w:themeColor="text1"/>
          <w:shd w:val="clear" w:color="auto" w:fill="FFFFFF"/>
          <w:lang w:val="en-US"/>
        </w:rPr>
      </w:pPr>
      <w:r w:rsidRPr="001A4A7B">
        <w:rPr>
          <w:color w:val="000000" w:themeColor="text1"/>
          <w:shd w:val="clear" w:color="auto" w:fill="FFFFFF"/>
          <w:lang w:val="en-US"/>
        </w:rPr>
        <w:t xml:space="preserve">Sharif, A., Aloui, C., and Yarovaya, L. (2020). COVID-19 pandemic, oil prices, stock market, geopolitical risk and policy uncertainty nexus in the </w:t>
      </w:r>
      <w:r w:rsidR="006A7E1F" w:rsidRPr="001A4A7B">
        <w:rPr>
          <w:color w:val="000000" w:themeColor="text1"/>
          <w:shd w:val="clear" w:color="auto" w:fill="FFFFFF"/>
          <w:lang w:val="en-US"/>
        </w:rPr>
        <w:t>US</w:t>
      </w:r>
      <w:r w:rsidRPr="001A4A7B">
        <w:rPr>
          <w:color w:val="000000" w:themeColor="text1"/>
          <w:shd w:val="clear" w:color="auto" w:fill="FFFFFF"/>
          <w:lang w:val="en-US"/>
        </w:rPr>
        <w:t xml:space="preserve"> economy: Fresh evidence from the wavelet-based approach. </w:t>
      </w:r>
      <w:r w:rsidRPr="001A4A7B">
        <w:rPr>
          <w:i/>
          <w:iCs/>
          <w:color w:val="000000" w:themeColor="text1"/>
          <w:shd w:val="clear" w:color="auto" w:fill="FFFFFF"/>
          <w:lang w:val="en-US"/>
        </w:rPr>
        <w:t>International Review of Financial Analysis</w:t>
      </w:r>
      <w:r w:rsidRPr="001A4A7B">
        <w:rPr>
          <w:color w:val="000000" w:themeColor="text1"/>
          <w:shd w:val="clear" w:color="auto" w:fill="FFFFFF"/>
          <w:lang w:val="en-US"/>
        </w:rPr>
        <w:t>, </w:t>
      </w:r>
      <w:r w:rsidRPr="001A4A7B">
        <w:rPr>
          <w:i/>
          <w:iCs/>
          <w:color w:val="000000" w:themeColor="text1"/>
          <w:shd w:val="clear" w:color="auto" w:fill="FFFFFF"/>
          <w:lang w:val="en-US"/>
        </w:rPr>
        <w:t>70</w:t>
      </w:r>
      <w:r w:rsidRPr="001A4A7B">
        <w:rPr>
          <w:color w:val="000000" w:themeColor="text1"/>
          <w:shd w:val="clear" w:color="auto" w:fill="FFFFFF"/>
          <w:lang w:val="en-US"/>
        </w:rPr>
        <w:t>, 101496.</w:t>
      </w:r>
    </w:p>
    <w:p w14:paraId="3197A216" w14:textId="2131EF59" w:rsidR="00CE624E" w:rsidRPr="001A4A7B" w:rsidRDefault="00CE624E" w:rsidP="000D79F0">
      <w:pPr>
        <w:jc w:val="both"/>
        <w:rPr>
          <w:color w:val="000000" w:themeColor="text1"/>
          <w:shd w:val="clear" w:color="auto" w:fill="FFFFFF"/>
          <w:lang w:val="en-US"/>
        </w:rPr>
      </w:pPr>
    </w:p>
    <w:p w14:paraId="13B7FC81" w14:textId="4DB9EE5E" w:rsidR="00CE624E" w:rsidRPr="001A4A7B" w:rsidRDefault="00CE624E" w:rsidP="000D79F0">
      <w:pPr>
        <w:jc w:val="both"/>
        <w:rPr>
          <w:color w:val="000000" w:themeColor="text1"/>
          <w:shd w:val="clear" w:color="auto" w:fill="FFFFFF"/>
          <w:lang w:val="en-US"/>
        </w:rPr>
      </w:pPr>
      <w:r w:rsidRPr="001A4A7B">
        <w:rPr>
          <w:color w:val="000000" w:themeColor="text1"/>
          <w:shd w:val="clear" w:color="auto" w:fill="FFFFFF"/>
          <w:lang w:val="en-US"/>
        </w:rPr>
        <w:t xml:space="preserve">Shojaie, A., and Fox, E. B. (2022). Granger causality: A review and recent advances. </w:t>
      </w:r>
      <w:r w:rsidRPr="001A4A7B">
        <w:rPr>
          <w:i/>
          <w:iCs/>
          <w:color w:val="000000" w:themeColor="text1"/>
          <w:shd w:val="clear" w:color="auto" w:fill="FFFFFF"/>
          <w:lang w:val="en-US"/>
        </w:rPr>
        <w:t>Annual Review of Statistics and Its Application, 9</w:t>
      </w:r>
      <w:r w:rsidRPr="001A4A7B">
        <w:rPr>
          <w:color w:val="000000" w:themeColor="text1"/>
          <w:shd w:val="clear" w:color="auto" w:fill="FFFFFF"/>
          <w:lang w:val="en-US"/>
        </w:rPr>
        <w:t>, 289-319.</w:t>
      </w:r>
    </w:p>
    <w:p w14:paraId="799483C0" w14:textId="77777777" w:rsidR="003F3188" w:rsidRPr="001A4A7B" w:rsidRDefault="003F3188" w:rsidP="000D79F0">
      <w:pPr>
        <w:jc w:val="both"/>
        <w:rPr>
          <w:color w:val="000000" w:themeColor="text1"/>
          <w:shd w:val="clear" w:color="auto" w:fill="FFFFFF"/>
          <w:lang w:val="en-US"/>
        </w:rPr>
      </w:pPr>
    </w:p>
    <w:p w14:paraId="2E48E3CE" w14:textId="232FBC08" w:rsidR="003F3188" w:rsidRPr="001A4A7B" w:rsidRDefault="003F3188" w:rsidP="003F3188">
      <w:pPr>
        <w:jc w:val="both"/>
        <w:rPr>
          <w:color w:val="000000" w:themeColor="text1"/>
          <w:lang w:val="en-US"/>
        </w:rPr>
      </w:pPr>
      <w:r w:rsidRPr="001A4A7B">
        <w:rPr>
          <w:color w:val="000000" w:themeColor="text1"/>
          <w:lang w:val="en-US"/>
        </w:rPr>
        <w:t xml:space="preserve">Sovacool, B. K., Del Rio, D. F., </w:t>
      </w:r>
      <w:r w:rsidR="00C06BB2" w:rsidRPr="001A4A7B">
        <w:rPr>
          <w:color w:val="000000" w:themeColor="text1"/>
          <w:lang w:val="en-US"/>
        </w:rPr>
        <w:t>and</w:t>
      </w:r>
      <w:r w:rsidRPr="001A4A7B">
        <w:rPr>
          <w:color w:val="000000" w:themeColor="text1"/>
          <w:lang w:val="en-US"/>
        </w:rPr>
        <w:t xml:space="preserve"> Griffiths, S. (2020). </w:t>
      </w:r>
      <w:r w:rsidR="001D5E7F" w:rsidRPr="001A4A7B">
        <w:rPr>
          <w:color w:val="000000" w:themeColor="text1"/>
          <w:lang w:val="en-US"/>
        </w:rPr>
        <w:t>Contextualizing</w:t>
      </w:r>
      <w:r w:rsidRPr="001A4A7B">
        <w:rPr>
          <w:color w:val="000000" w:themeColor="text1"/>
          <w:lang w:val="en-US"/>
        </w:rPr>
        <w:t xml:space="preserve"> the Covid-19 pandemic for a carbon-constrained world: Insights for sustainability transitions, energy justice, and research methodology. </w:t>
      </w:r>
      <w:r w:rsidRPr="001A4A7B">
        <w:rPr>
          <w:i/>
          <w:iCs/>
          <w:color w:val="000000" w:themeColor="text1"/>
          <w:lang w:val="en-US"/>
        </w:rPr>
        <w:t>Energy Research &amp; Social Science</w:t>
      </w:r>
      <w:r w:rsidRPr="001A4A7B">
        <w:rPr>
          <w:color w:val="000000" w:themeColor="text1"/>
          <w:lang w:val="en-US"/>
        </w:rPr>
        <w:t>, </w:t>
      </w:r>
      <w:r w:rsidRPr="001A4A7B">
        <w:rPr>
          <w:i/>
          <w:iCs/>
          <w:color w:val="000000" w:themeColor="text1"/>
          <w:lang w:val="en-US"/>
        </w:rPr>
        <w:t>68</w:t>
      </w:r>
      <w:r w:rsidRPr="001A4A7B">
        <w:rPr>
          <w:color w:val="000000" w:themeColor="text1"/>
          <w:lang w:val="en-US"/>
        </w:rPr>
        <w:t>, 101701.</w:t>
      </w:r>
    </w:p>
    <w:p w14:paraId="794D3800" w14:textId="226A4193" w:rsidR="00621FD6" w:rsidRPr="001A4A7B" w:rsidRDefault="00621FD6" w:rsidP="003F3188">
      <w:pPr>
        <w:jc w:val="both"/>
        <w:rPr>
          <w:color w:val="000000" w:themeColor="text1"/>
          <w:lang w:val="en-US"/>
        </w:rPr>
      </w:pPr>
    </w:p>
    <w:p w14:paraId="61627BB1" w14:textId="2C4CB72E" w:rsidR="00621FD6" w:rsidRPr="001A4A7B" w:rsidRDefault="00621FD6" w:rsidP="003F3188">
      <w:pPr>
        <w:jc w:val="both"/>
        <w:rPr>
          <w:color w:val="000000" w:themeColor="text1"/>
          <w:lang w:val="en-US"/>
        </w:rPr>
      </w:pPr>
      <w:r w:rsidRPr="001A4A7B">
        <w:rPr>
          <w:color w:val="000000" w:themeColor="text1"/>
          <w:lang w:val="en-US"/>
        </w:rPr>
        <w:t xml:space="preserve">Tang, K., and Xiong, W. (2012). Index investment and the financialization of commodities. </w:t>
      </w:r>
      <w:r w:rsidRPr="001A4A7B">
        <w:rPr>
          <w:i/>
          <w:iCs/>
          <w:color w:val="000000" w:themeColor="text1"/>
          <w:lang w:val="en-US"/>
        </w:rPr>
        <w:t>Financial Analysts Journal, 68</w:t>
      </w:r>
      <w:r w:rsidRPr="001A4A7B">
        <w:rPr>
          <w:color w:val="000000" w:themeColor="text1"/>
          <w:lang w:val="en-US"/>
        </w:rPr>
        <w:t>(6), 54-74.</w:t>
      </w:r>
    </w:p>
    <w:p w14:paraId="0FED2A41" w14:textId="19AB4BBB" w:rsidR="000D79F0" w:rsidRPr="001A4A7B" w:rsidRDefault="000D79F0" w:rsidP="000D79F0">
      <w:pPr>
        <w:jc w:val="both"/>
        <w:rPr>
          <w:color w:val="000000" w:themeColor="text1"/>
          <w:lang w:val="en-US"/>
        </w:rPr>
      </w:pPr>
    </w:p>
    <w:p w14:paraId="5B8502C0" w14:textId="17E960AA" w:rsidR="00A020F8" w:rsidRPr="001A4A7B" w:rsidRDefault="00A020F8" w:rsidP="000D79F0">
      <w:pPr>
        <w:jc w:val="both"/>
        <w:rPr>
          <w:color w:val="000000" w:themeColor="text1"/>
          <w:lang w:val="en-US"/>
        </w:rPr>
      </w:pPr>
      <w:r w:rsidRPr="001A4A7B">
        <w:rPr>
          <w:color w:val="000000" w:themeColor="text1"/>
          <w:lang w:val="en-US"/>
        </w:rPr>
        <w:t xml:space="preserve">Tiwari, A. K., Suleman, M. T., Ullah, S., </w:t>
      </w:r>
      <w:r w:rsidR="00752592" w:rsidRPr="001A4A7B">
        <w:rPr>
          <w:color w:val="000000" w:themeColor="text1"/>
          <w:lang w:val="en-US"/>
        </w:rPr>
        <w:t>and</w:t>
      </w:r>
      <w:r w:rsidRPr="001A4A7B">
        <w:rPr>
          <w:color w:val="000000" w:themeColor="text1"/>
          <w:lang w:val="en-US"/>
        </w:rPr>
        <w:t xml:space="preserve"> Shahbaz, M. (2021). Analyzing the connectedness between crude oil and petroleum products: Evidence from USA. International Journal of Finance &amp; Economics.</w:t>
      </w:r>
    </w:p>
    <w:p w14:paraId="09A704CD" w14:textId="77777777" w:rsidR="00A020F8" w:rsidRPr="001A4A7B" w:rsidRDefault="00A020F8" w:rsidP="000D79F0">
      <w:pPr>
        <w:jc w:val="both"/>
        <w:rPr>
          <w:color w:val="000000" w:themeColor="text1"/>
          <w:lang w:val="en-US"/>
        </w:rPr>
      </w:pPr>
    </w:p>
    <w:p w14:paraId="354DEAB8" w14:textId="72AE3E44" w:rsidR="000D79F0" w:rsidRPr="001A4A7B" w:rsidRDefault="000D79F0" w:rsidP="000D79F0">
      <w:pPr>
        <w:jc w:val="both"/>
        <w:rPr>
          <w:color w:val="000000" w:themeColor="text1"/>
          <w:lang w:val="en-US"/>
        </w:rPr>
      </w:pPr>
      <w:r w:rsidRPr="001A4A7B">
        <w:rPr>
          <w:color w:val="000000" w:themeColor="text1"/>
          <w:lang w:val="en-US"/>
        </w:rPr>
        <w:t xml:space="preserve">Toda, H.Y. and Yamamoto (1995). Statistical inference in Vector Autoregressions with possibly integrated processes. </w:t>
      </w:r>
      <w:r w:rsidRPr="001A4A7B">
        <w:rPr>
          <w:i/>
          <w:iCs/>
          <w:color w:val="000000" w:themeColor="text1"/>
          <w:lang w:val="en-US"/>
        </w:rPr>
        <w:t>Journal of Econometrics</w:t>
      </w:r>
      <w:r w:rsidRPr="001A4A7B">
        <w:rPr>
          <w:color w:val="000000" w:themeColor="text1"/>
          <w:lang w:val="en-US"/>
        </w:rPr>
        <w:t>, 66, 225-250.</w:t>
      </w:r>
    </w:p>
    <w:p w14:paraId="21979EA1" w14:textId="77777777" w:rsidR="00A24676" w:rsidRPr="001A4A7B" w:rsidRDefault="00A24676" w:rsidP="000D79F0">
      <w:pPr>
        <w:jc w:val="both"/>
        <w:rPr>
          <w:color w:val="000000" w:themeColor="text1"/>
          <w:shd w:val="clear" w:color="auto" w:fill="FFFFFF"/>
          <w:lang w:val="en-US"/>
        </w:rPr>
      </w:pPr>
    </w:p>
    <w:p w14:paraId="6E9C2371" w14:textId="218C5BAC" w:rsidR="000D79F0" w:rsidRPr="001A4A7B" w:rsidRDefault="00A24676" w:rsidP="000D79F0">
      <w:pPr>
        <w:jc w:val="both"/>
        <w:rPr>
          <w:color w:val="000000" w:themeColor="text1"/>
          <w:lang w:val="en-US"/>
        </w:rPr>
      </w:pPr>
      <w:r w:rsidRPr="001A4A7B">
        <w:rPr>
          <w:color w:val="000000" w:themeColor="text1"/>
          <w:lang w:val="en-US"/>
        </w:rPr>
        <w:t xml:space="preserve">Tong, B., Wu, C., </w:t>
      </w:r>
      <w:r w:rsidR="00752592" w:rsidRPr="001A4A7B">
        <w:rPr>
          <w:color w:val="000000" w:themeColor="text1"/>
          <w:lang w:val="en-US"/>
        </w:rPr>
        <w:t>and</w:t>
      </w:r>
      <w:r w:rsidRPr="001A4A7B">
        <w:rPr>
          <w:color w:val="000000" w:themeColor="text1"/>
          <w:lang w:val="en-US"/>
        </w:rPr>
        <w:t xml:space="preserve"> Zhou, C. (2013). Modeling the co-movements between crude oil and refined petroleum markets. Energy Economics, 40, 882-897.</w:t>
      </w:r>
    </w:p>
    <w:p w14:paraId="7472C9A2" w14:textId="37796DB8" w:rsidR="00A24676" w:rsidRPr="001A4A7B" w:rsidRDefault="00A24676" w:rsidP="000D79F0">
      <w:pPr>
        <w:jc w:val="both"/>
        <w:rPr>
          <w:color w:val="000000" w:themeColor="text1"/>
          <w:lang w:val="en-US"/>
        </w:rPr>
      </w:pPr>
    </w:p>
    <w:p w14:paraId="48730A7A" w14:textId="1A8FD345" w:rsidR="00CE624E" w:rsidRPr="001A4A7B" w:rsidRDefault="00CE624E" w:rsidP="000D79F0">
      <w:pPr>
        <w:jc w:val="both"/>
        <w:rPr>
          <w:color w:val="000000" w:themeColor="text1"/>
          <w:lang w:val="en-US"/>
        </w:rPr>
      </w:pPr>
      <w:r w:rsidRPr="001A4A7B">
        <w:rPr>
          <w:color w:val="000000" w:themeColor="text1"/>
          <w:lang w:val="en-US"/>
        </w:rPr>
        <w:t xml:space="preserve">Venditti, F. (2013). From oil to consumer energy prices: How much asymmetry along the way?. </w:t>
      </w:r>
      <w:r w:rsidRPr="001A4A7B">
        <w:rPr>
          <w:i/>
          <w:iCs/>
          <w:color w:val="000000" w:themeColor="text1"/>
          <w:lang w:val="en-US"/>
        </w:rPr>
        <w:t>Energy Economics, 40</w:t>
      </w:r>
      <w:r w:rsidRPr="001A4A7B">
        <w:rPr>
          <w:color w:val="000000" w:themeColor="text1"/>
          <w:lang w:val="en-US"/>
        </w:rPr>
        <w:t>, 468-473.</w:t>
      </w:r>
    </w:p>
    <w:p w14:paraId="1AA8B750" w14:textId="77777777" w:rsidR="00CE624E" w:rsidRPr="001A4A7B" w:rsidRDefault="00CE624E" w:rsidP="000D79F0">
      <w:pPr>
        <w:jc w:val="both"/>
        <w:rPr>
          <w:color w:val="000000" w:themeColor="text1"/>
          <w:lang w:val="en-US"/>
        </w:rPr>
      </w:pPr>
    </w:p>
    <w:p w14:paraId="11BAC760" w14:textId="77777777" w:rsidR="000D79F0" w:rsidRPr="001A4A7B" w:rsidRDefault="000D79F0" w:rsidP="000D79F0">
      <w:pPr>
        <w:jc w:val="both"/>
        <w:rPr>
          <w:color w:val="000000" w:themeColor="text1"/>
          <w:shd w:val="clear" w:color="auto" w:fill="FFFFFF"/>
          <w:lang w:val="en-US"/>
        </w:rPr>
      </w:pPr>
      <w:r w:rsidRPr="001A4A7B">
        <w:rPr>
          <w:color w:val="000000" w:themeColor="text1"/>
          <w:lang w:val="en-US"/>
        </w:rPr>
        <w:t>Verleger, P. K. (1982). The determinants of official OPEC crude prices. </w:t>
      </w:r>
      <w:r w:rsidRPr="001A4A7B">
        <w:rPr>
          <w:i/>
          <w:iCs/>
          <w:color w:val="000000" w:themeColor="text1"/>
          <w:lang w:val="en-US"/>
        </w:rPr>
        <w:t>The Review of Economics and Statistics</w:t>
      </w:r>
      <w:r w:rsidRPr="001A4A7B">
        <w:rPr>
          <w:color w:val="000000" w:themeColor="text1"/>
          <w:lang w:val="en-US"/>
        </w:rPr>
        <w:t>, 177-183.</w:t>
      </w:r>
    </w:p>
    <w:p w14:paraId="427EAE9A" w14:textId="77777777" w:rsidR="000D79F0" w:rsidRPr="001A4A7B" w:rsidRDefault="000D79F0" w:rsidP="000D79F0">
      <w:pPr>
        <w:jc w:val="both"/>
        <w:rPr>
          <w:color w:val="000000" w:themeColor="text1"/>
          <w:shd w:val="clear" w:color="auto" w:fill="FFFFFF"/>
          <w:lang w:val="en-US"/>
        </w:rPr>
      </w:pPr>
    </w:p>
    <w:p w14:paraId="4008F6F3" w14:textId="77777777"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Verleger, P. K. (2011). The margin, currency, and the price of oil.</w:t>
      </w:r>
      <w:r w:rsidRPr="001A4A7B">
        <w:rPr>
          <w:rStyle w:val="apple-converted-space"/>
          <w:color w:val="000000" w:themeColor="text1"/>
          <w:shd w:val="clear" w:color="auto" w:fill="FFFFFF"/>
          <w:lang w:val="en-US"/>
        </w:rPr>
        <w:t> </w:t>
      </w:r>
      <w:r w:rsidRPr="001A4A7B">
        <w:rPr>
          <w:i/>
          <w:iCs/>
          <w:color w:val="000000" w:themeColor="text1"/>
          <w:lang w:val="en-US"/>
        </w:rPr>
        <w:t>Business Economics</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46</w:t>
      </w:r>
      <w:r w:rsidRPr="001A4A7B">
        <w:rPr>
          <w:color w:val="000000" w:themeColor="text1"/>
          <w:shd w:val="clear" w:color="auto" w:fill="FFFFFF"/>
          <w:lang w:val="en-US"/>
        </w:rPr>
        <w:t>(2), 71-82.</w:t>
      </w:r>
    </w:p>
    <w:p w14:paraId="3B17E62C" w14:textId="77777777" w:rsidR="000D79F0" w:rsidRPr="001A4A7B" w:rsidRDefault="000D79F0" w:rsidP="000D79F0">
      <w:pPr>
        <w:jc w:val="both"/>
        <w:rPr>
          <w:color w:val="000000" w:themeColor="text1"/>
          <w:shd w:val="clear" w:color="auto" w:fill="FFFFFF"/>
          <w:lang w:val="en-US"/>
        </w:rPr>
      </w:pPr>
    </w:p>
    <w:p w14:paraId="7B0555BC" w14:textId="0001D8FD"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Villar, J. A.,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Joutz, F. L. (2006). The relationship between crude oil and natural gas prices.</w:t>
      </w:r>
      <w:r w:rsidRPr="001A4A7B">
        <w:rPr>
          <w:rStyle w:val="apple-converted-space"/>
          <w:color w:val="000000" w:themeColor="text1"/>
          <w:shd w:val="clear" w:color="auto" w:fill="FFFFFF"/>
          <w:lang w:val="en-US"/>
        </w:rPr>
        <w:t> </w:t>
      </w:r>
      <w:r w:rsidRPr="001A4A7B">
        <w:rPr>
          <w:i/>
          <w:iCs/>
          <w:color w:val="000000" w:themeColor="text1"/>
          <w:lang w:val="en-US"/>
        </w:rPr>
        <w:t>Energy Information Administration, Office of Oil and Gas</w:t>
      </w:r>
      <w:r w:rsidRPr="001A4A7B">
        <w:rPr>
          <w:color w:val="000000" w:themeColor="text1"/>
          <w:shd w:val="clear" w:color="auto" w:fill="FFFFFF"/>
          <w:lang w:val="en-US"/>
        </w:rPr>
        <w:t>, 1-43.</w:t>
      </w:r>
    </w:p>
    <w:p w14:paraId="61EE250B" w14:textId="08100D9D" w:rsidR="00BF17D3" w:rsidRPr="001A4A7B" w:rsidRDefault="00BF17D3" w:rsidP="000D79F0">
      <w:pPr>
        <w:jc w:val="both"/>
        <w:rPr>
          <w:color w:val="000000" w:themeColor="text1"/>
          <w:shd w:val="clear" w:color="auto" w:fill="FFFFFF"/>
          <w:lang w:val="en-US"/>
        </w:rPr>
      </w:pPr>
    </w:p>
    <w:p w14:paraId="6AE6EF9D" w14:textId="40195FC7" w:rsidR="00BF17D3" w:rsidRPr="001A4A7B" w:rsidRDefault="00BF17D3" w:rsidP="000D79F0">
      <w:pPr>
        <w:jc w:val="both"/>
        <w:rPr>
          <w:color w:val="000000" w:themeColor="text1"/>
          <w:shd w:val="clear" w:color="auto" w:fill="FFFFFF"/>
          <w:lang w:val="en-US"/>
        </w:rPr>
      </w:pPr>
      <w:r w:rsidRPr="001A4A7B">
        <w:rPr>
          <w:color w:val="000000" w:themeColor="text1"/>
          <w:shd w:val="clear" w:color="auto" w:fill="FFFFFF"/>
          <w:lang w:val="en-US"/>
        </w:rPr>
        <w:t xml:space="preserve">Vides, J. C., Carmona, M., Feria, J., </w:t>
      </w:r>
      <w:r w:rsidR="00752592" w:rsidRPr="001A4A7B">
        <w:rPr>
          <w:color w:val="000000" w:themeColor="text1"/>
          <w:shd w:val="clear" w:color="auto" w:fill="FFFFFF"/>
          <w:lang w:val="en-US"/>
        </w:rPr>
        <w:t>and</w:t>
      </w:r>
      <w:r w:rsidRPr="001A4A7B">
        <w:rPr>
          <w:color w:val="000000" w:themeColor="text1"/>
          <w:shd w:val="clear" w:color="auto" w:fill="FFFFFF"/>
          <w:lang w:val="en-US"/>
        </w:rPr>
        <w:t xml:space="preserve"> Golpe, A. A. (2021). Modeling the United States crack spread: Market efficiency, persistence and the Verleger hypothesis. Energy Sources, Part B: Economics, Planning, and Policy, 1-20.</w:t>
      </w:r>
    </w:p>
    <w:p w14:paraId="03FBA260" w14:textId="77777777" w:rsidR="000D79F0" w:rsidRPr="001A4A7B" w:rsidRDefault="000D79F0" w:rsidP="000D79F0">
      <w:pPr>
        <w:jc w:val="both"/>
        <w:rPr>
          <w:color w:val="000000" w:themeColor="text1"/>
          <w:shd w:val="clear" w:color="auto" w:fill="FFFFFF"/>
          <w:lang w:val="en-US"/>
        </w:rPr>
      </w:pPr>
    </w:p>
    <w:p w14:paraId="09B59D10" w14:textId="0BC007CA"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Wolfe, M. H.,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Rosenman, R. (2014). Bidirectional causality in oil and gas markets.</w:t>
      </w:r>
      <w:r w:rsidRPr="001A4A7B">
        <w:rPr>
          <w:rStyle w:val="apple-converted-space"/>
          <w:color w:val="000000" w:themeColor="text1"/>
          <w:shd w:val="clear" w:color="auto" w:fill="FFFFFF"/>
          <w:lang w:val="en-US"/>
        </w:rPr>
        <w:t> </w:t>
      </w:r>
      <w:r w:rsidRPr="001A4A7B">
        <w:rPr>
          <w:i/>
          <w:iCs/>
          <w:color w:val="000000" w:themeColor="text1"/>
          <w:lang w:val="en-US"/>
        </w:rPr>
        <w:t>Energy Economics</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42</w:t>
      </w:r>
      <w:r w:rsidRPr="001A4A7B">
        <w:rPr>
          <w:color w:val="000000" w:themeColor="text1"/>
          <w:shd w:val="clear" w:color="auto" w:fill="FFFFFF"/>
          <w:lang w:val="en-US"/>
        </w:rPr>
        <w:t>, 325-331.</w:t>
      </w:r>
    </w:p>
    <w:p w14:paraId="06CAEB8A" w14:textId="77777777" w:rsidR="000D79F0" w:rsidRPr="001A4A7B" w:rsidRDefault="000D79F0" w:rsidP="000D79F0">
      <w:pPr>
        <w:jc w:val="both"/>
        <w:rPr>
          <w:color w:val="000000" w:themeColor="text1"/>
          <w:shd w:val="clear" w:color="auto" w:fill="FFFFFF"/>
          <w:lang w:val="en-US"/>
        </w:rPr>
      </w:pPr>
    </w:p>
    <w:p w14:paraId="3758D2CB" w14:textId="12C3DE03"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Yang, H.,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Ye, L. (2008). Search with learning: understanding asymmetric price adjustments. </w:t>
      </w:r>
      <w:r w:rsidRPr="001A4A7B">
        <w:rPr>
          <w:i/>
          <w:iCs/>
          <w:color w:val="000000" w:themeColor="text1"/>
          <w:shd w:val="clear" w:color="auto" w:fill="FFFFFF"/>
          <w:lang w:val="en-US"/>
        </w:rPr>
        <w:t>The RAND Journal of Economics</w:t>
      </w:r>
      <w:r w:rsidRPr="001A4A7B">
        <w:rPr>
          <w:color w:val="000000" w:themeColor="text1"/>
          <w:shd w:val="clear" w:color="auto" w:fill="FFFFFF"/>
          <w:lang w:val="en-US"/>
        </w:rPr>
        <w:t>, </w:t>
      </w:r>
      <w:r w:rsidRPr="001A4A7B">
        <w:rPr>
          <w:i/>
          <w:iCs/>
          <w:color w:val="000000" w:themeColor="text1"/>
          <w:shd w:val="clear" w:color="auto" w:fill="FFFFFF"/>
          <w:lang w:val="en-US"/>
        </w:rPr>
        <w:t>39</w:t>
      </w:r>
      <w:r w:rsidRPr="001A4A7B">
        <w:rPr>
          <w:color w:val="000000" w:themeColor="text1"/>
          <w:shd w:val="clear" w:color="auto" w:fill="FFFFFF"/>
          <w:lang w:val="en-US"/>
        </w:rPr>
        <w:t>(2), 547-564.</w:t>
      </w:r>
    </w:p>
    <w:p w14:paraId="1C111CF8" w14:textId="77777777" w:rsidR="000D79F0" w:rsidRPr="001A4A7B" w:rsidRDefault="000D79F0" w:rsidP="000D79F0">
      <w:pPr>
        <w:jc w:val="both"/>
        <w:rPr>
          <w:color w:val="000000" w:themeColor="text1"/>
          <w:shd w:val="clear" w:color="auto" w:fill="FFFFFF"/>
          <w:lang w:val="en-US"/>
        </w:rPr>
      </w:pPr>
    </w:p>
    <w:p w14:paraId="69882F6E" w14:textId="2EB33040"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Yu, L., Li, J., Tang, L.,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Wang, S. (2015). Linear and </w:t>
      </w:r>
      <w:r w:rsidR="006A7E1F" w:rsidRPr="001A4A7B">
        <w:rPr>
          <w:color w:val="000000" w:themeColor="text1"/>
          <w:shd w:val="clear" w:color="auto" w:fill="FFFFFF"/>
          <w:lang w:val="en-US"/>
        </w:rPr>
        <w:t>non-linear</w:t>
      </w:r>
      <w:r w:rsidRPr="001A4A7B">
        <w:rPr>
          <w:color w:val="000000" w:themeColor="text1"/>
          <w:shd w:val="clear" w:color="auto" w:fill="FFFFFF"/>
          <w:lang w:val="en-US"/>
        </w:rPr>
        <w:t xml:space="preserve"> Granger causality investigation between carbon market and crude oil market: A multi-scale approach.</w:t>
      </w:r>
      <w:r w:rsidRPr="001A4A7B">
        <w:rPr>
          <w:rStyle w:val="apple-converted-space"/>
          <w:color w:val="000000" w:themeColor="text1"/>
          <w:shd w:val="clear" w:color="auto" w:fill="FFFFFF"/>
          <w:lang w:val="en-US"/>
        </w:rPr>
        <w:t> </w:t>
      </w:r>
      <w:r w:rsidRPr="001A4A7B">
        <w:rPr>
          <w:i/>
          <w:iCs/>
          <w:color w:val="000000" w:themeColor="text1"/>
          <w:lang w:val="en-US"/>
        </w:rPr>
        <w:t>Energy Economics</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51</w:t>
      </w:r>
      <w:r w:rsidRPr="001A4A7B">
        <w:rPr>
          <w:color w:val="000000" w:themeColor="text1"/>
          <w:shd w:val="clear" w:color="auto" w:fill="FFFFFF"/>
          <w:lang w:val="en-US"/>
        </w:rPr>
        <w:t>, 300-311.</w:t>
      </w:r>
    </w:p>
    <w:p w14:paraId="49FCB085" w14:textId="77777777" w:rsidR="000D79F0" w:rsidRPr="001A4A7B" w:rsidRDefault="000D79F0" w:rsidP="000D79F0">
      <w:pPr>
        <w:jc w:val="both"/>
        <w:rPr>
          <w:color w:val="000000" w:themeColor="text1"/>
          <w:lang w:val="en-US"/>
        </w:rPr>
      </w:pPr>
    </w:p>
    <w:p w14:paraId="4BDF1500" w14:textId="77777777" w:rsidR="000D79F0" w:rsidRPr="001A4A7B" w:rsidRDefault="000D79F0" w:rsidP="000D79F0">
      <w:pPr>
        <w:jc w:val="both"/>
        <w:rPr>
          <w:color w:val="000000" w:themeColor="text1"/>
          <w:shd w:val="clear" w:color="auto" w:fill="FFFFFF"/>
          <w:lang w:val="en-US"/>
        </w:rPr>
      </w:pPr>
      <w:r w:rsidRPr="001A4A7B">
        <w:rPr>
          <w:color w:val="000000" w:themeColor="text1"/>
          <w:lang w:val="en-US"/>
        </w:rPr>
        <w:t>Zapata, H.O., and Rambaldi, A.N. (1997). Monte Cario evidence on cointegration and causation. Oxford Bull. Econ. Statist. 59, 285-298.</w:t>
      </w:r>
    </w:p>
    <w:p w14:paraId="46A7FC6D" w14:textId="77777777" w:rsidR="000D79F0" w:rsidRPr="001A4A7B" w:rsidRDefault="000D79F0" w:rsidP="000D79F0">
      <w:pPr>
        <w:jc w:val="both"/>
        <w:rPr>
          <w:color w:val="000000" w:themeColor="text1"/>
          <w:shd w:val="clear" w:color="auto" w:fill="FFFFFF"/>
          <w:lang w:val="en-US"/>
        </w:rPr>
      </w:pPr>
    </w:p>
    <w:p w14:paraId="591DB9B7" w14:textId="342FDA45" w:rsidR="000D79F0" w:rsidRPr="001A4A7B" w:rsidRDefault="000D79F0" w:rsidP="000D79F0">
      <w:pPr>
        <w:jc w:val="both"/>
        <w:rPr>
          <w:color w:val="000000" w:themeColor="text1"/>
          <w:shd w:val="clear" w:color="auto" w:fill="FFFFFF"/>
          <w:lang w:val="en-US"/>
        </w:rPr>
      </w:pPr>
      <w:r w:rsidRPr="001A4A7B">
        <w:rPr>
          <w:color w:val="000000" w:themeColor="text1"/>
          <w:shd w:val="clear" w:color="auto" w:fill="FFFFFF"/>
          <w:lang w:val="en-US"/>
        </w:rPr>
        <w:t xml:space="preserve">Zhang, Y. J., </w:t>
      </w:r>
      <w:r w:rsidR="002B018F" w:rsidRPr="001A4A7B">
        <w:rPr>
          <w:color w:val="000000" w:themeColor="text1"/>
          <w:shd w:val="clear" w:color="auto" w:fill="FFFFFF"/>
          <w:lang w:val="en-US"/>
        </w:rPr>
        <w:t>and</w:t>
      </w:r>
      <w:r w:rsidRPr="001A4A7B">
        <w:rPr>
          <w:color w:val="000000" w:themeColor="text1"/>
          <w:shd w:val="clear" w:color="auto" w:fill="FFFFFF"/>
          <w:lang w:val="en-US"/>
        </w:rPr>
        <w:t xml:space="preserve"> Wei, Y. M. (2010). The crude oil market and the gold market: Evidence for cointegration, causality and price discovery.</w:t>
      </w:r>
      <w:r w:rsidRPr="001A4A7B">
        <w:rPr>
          <w:rStyle w:val="apple-converted-space"/>
          <w:color w:val="000000" w:themeColor="text1"/>
          <w:shd w:val="clear" w:color="auto" w:fill="FFFFFF"/>
          <w:lang w:val="en-US"/>
        </w:rPr>
        <w:t> </w:t>
      </w:r>
      <w:r w:rsidRPr="001A4A7B">
        <w:rPr>
          <w:i/>
          <w:iCs/>
          <w:color w:val="000000" w:themeColor="text1"/>
          <w:lang w:val="en-US"/>
        </w:rPr>
        <w:t>Resources Policy</w:t>
      </w:r>
      <w:r w:rsidRPr="001A4A7B">
        <w:rPr>
          <w:color w:val="000000" w:themeColor="text1"/>
          <w:shd w:val="clear" w:color="auto" w:fill="FFFFFF"/>
          <w:lang w:val="en-US"/>
        </w:rPr>
        <w:t>,</w:t>
      </w:r>
      <w:r w:rsidRPr="001A4A7B">
        <w:rPr>
          <w:rStyle w:val="apple-converted-space"/>
          <w:color w:val="000000" w:themeColor="text1"/>
          <w:shd w:val="clear" w:color="auto" w:fill="FFFFFF"/>
          <w:lang w:val="en-US"/>
        </w:rPr>
        <w:t> </w:t>
      </w:r>
      <w:r w:rsidRPr="001A4A7B">
        <w:rPr>
          <w:i/>
          <w:iCs/>
          <w:color w:val="000000" w:themeColor="text1"/>
          <w:lang w:val="en-US"/>
        </w:rPr>
        <w:t>35</w:t>
      </w:r>
      <w:r w:rsidRPr="001A4A7B">
        <w:rPr>
          <w:color w:val="000000" w:themeColor="text1"/>
          <w:shd w:val="clear" w:color="auto" w:fill="FFFFFF"/>
          <w:lang w:val="en-US"/>
        </w:rPr>
        <w:t>(3), 168-177.</w:t>
      </w:r>
    </w:p>
    <w:p w14:paraId="2AD55CD6" w14:textId="56575A6D" w:rsidR="006B4DF5" w:rsidRPr="001A4A7B" w:rsidRDefault="006B4DF5" w:rsidP="000D79F0">
      <w:pPr>
        <w:jc w:val="both"/>
        <w:rPr>
          <w:color w:val="000000" w:themeColor="text1"/>
          <w:shd w:val="clear" w:color="auto" w:fill="FFFFFF"/>
          <w:lang w:val="en-US"/>
        </w:rPr>
      </w:pPr>
    </w:p>
    <w:p w14:paraId="7034FBE2" w14:textId="1E6D5AB3" w:rsidR="006B4DF5" w:rsidRPr="001A4A7B" w:rsidRDefault="006B4DF5" w:rsidP="000D79F0">
      <w:pPr>
        <w:jc w:val="both"/>
        <w:rPr>
          <w:color w:val="000000" w:themeColor="text1"/>
          <w:shd w:val="clear" w:color="auto" w:fill="FFFFFF"/>
          <w:lang w:val="en-US"/>
        </w:rPr>
      </w:pPr>
      <w:r w:rsidRPr="001A4A7B">
        <w:rPr>
          <w:color w:val="000000" w:themeColor="text1"/>
          <w:shd w:val="clear" w:color="auto" w:fill="FFFFFF"/>
          <w:lang w:val="en-US"/>
        </w:rPr>
        <w:t xml:space="preserve">Zhang, F., Narayan, P. K., and Devpura, N. (2021). Has COVID-19 changed the stock return-oil price predictability pattern?. </w:t>
      </w:r>
      <w:r w:rsidRPr="001A4A7B">
        <w:rPr>
          <w:i/>
          <w:iCs/>
          <w:color w:val="000000" w:themeColor="text1"/>
          <w:shd w:val="clear" w:color="auto" w:fill="FFFFFF"/>
          <w:lang w:val="en-US"/>
        </w:rPr>
        <w:t>Financial Innovation, 7</w:t>
      </w:r>
      <w:r w:rsidRPr="001A4A7B">
        <w:rPr>
          <w:color w:val="000000" w:themeColor="text1"/>
          <w:shd w:val="clear" w:color="auto" w:fill="FFFFFF"/>
          <w:lang w:val="en-US"/>
        </w:rPr>
        <w:t>(1), 1-10.</w:t>
      </w:r>
    </w:p>
    <w:p w14:paraId="17B65096" w14:textId="483E4FA7" w:rsidR="00752592" w:rsidRPr="001A4A7B" w:rsidRDefault="00752592" w:rsidP="000D79F0">
      <w:pPr>
        <w:jc w:val="both"/>
        <w:rPr>
          <w:color w:val="000000" w:themeColor="text1"/>
          <w:shd w:val="clear" w:color="auto" w:fill="FFFFFF"/>
          <w:lang w:val="en-US"/>
        </w:rPr>
      </w:pPr>
    </w:p>
    <w:p w14:paraId="1982863F" w14:textId="3F64EACA" w:rsidR="00752592" w:rsidRPr="001A4A7B" w:rsidRDefault="00752592">
      <w:pPr>
        <w:rPr>
          <w:color w:val="000000" w:themeColor="text1"/>
          <w:shd w:val="clear" w:color="auto" w:fill="FFFFFF"/>
          <w:lang w:val="en-US"/>
        </w:rPr>
      </w:pPr>
      <w:r w:rsidRPr="001A4A7B">
        <w:rPr>
          <w:color w:val="000000" w:themeColor="text1"/>
          <w:shd w:val="clear" w:color="auto" w:fill="FFFFFF"/>
          <w:lang w:val="en-US"/>
        </w:rPr>
        <w:br w:type="page"/>
      </w:r>
    </w:p>
    <w:p w14:paraId="1D90214D" w14:textId="5E4731FB" w:rsidR="00752592" w:rsidRPr="001A4A7B" w:rsidRDefault="00752592" w:rsidP="000D79F0">
      <w:pPr>
        <w:jc w:val="both"/>
        <w:rPr>
          <w:b/>
          <w:i/>
          <w:color w:val="000000" w:themeColor="text1"/>
          <w:shd w:val="clear" w:color="auto" w:fill="FFFFFF"/>
          <w:lang w:val="en-US"/>
        </w:rPr>
      </w:pPr>
      <w:r w:rsidRPr="001A4A7B">
        <w:rPr>
          <w:b/>
          <w:i/>
          <w:color w:val="000000" w:themeColor="text1"/>
          <w:shd w:val="clear" w:color="auto" w:fill="FFFFFF"/>
          <w:lang w:val="en-US"/>
        </w:rPr>
        <w:lastRenderedPageBreak/>
        <w:t>Appendix</w:t>
      </w:r>
    </w:p>
    <w:p w14:paraId="6BBDFBDD" w14:textId="77777777" w:rsidR="00E4230E" w:rsidRPr="001A4A7B" w:rsidRDefault="00E4230E" w:rsidP="000D79F0">
      <w:pPr>
        <w:jc w:val="both"/>
        <w:rPr>
          <w:color w:val="000000" w:themeColor="text1"/>
          <w:shd w:val="clear" w:color="auto" w:fill="FFFFFF"/>
          <w:lang w:val="en-U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5"/>
        <w:gridCol w:w="1039"/>
        <w:gridCol w:w="1192"/>
        <w:gridCol w:w="1220"/>
        <w:gridCol w:w="1257"/>
        <w:gridCol w:w="1207"/>
        <w:gridCol w:w="1349"/>
      </w:tblGrid>
      <w:tr w:rsidR="001A4A7B" w:rsidRPr="001A4A7B" w14:paraId="71BF5250" w14:textId="77777777" w:rsidTr="00DC6676">
        <w:tc>
          <w:tcPr>
            <w:tcW w:w="8499" w:type="dxa"/>
            <w:gridSpan w:val="7"/>
            <w:tcBorders>
              <w:bottom w:val="single" w:sz="4" w:space="0" w:color="auto"/>
            </w:tcBorders>
          </w:tcPr>
          <w:p w14:paraId="72744671" w14:textId="607350D9" w:rsidR="00BF68E5" w:rsidRPr="001A4A7B" w:rsidRDefault="00BF68E5" w:rsidP="00A705C5">
            <w:pPr>
              <w:spacing w:line="288" w:lineRule="auto"/>
              <w:jc w:val="both"/>
              <w:rPr>
                <w:b/>
                <w:color w:val="000000" w:themeColor="text1"/>
                <w:sz w:val="20"/>
                <w:szCs w:val="20"/>
                <w:lang w:val="en-US"/>
              </w:rPr>
            </w:pPr>
            <w:r w:rsidRPr="001A4A7B">
              <w:rPr>
                <w:b/>
                <w:color w:val="000000" w:themeColor="text1"/>
                <w:sz w:val="20"/>
                <w:szCs w:val="20"/>
                <w:lang w:val="en-US"/>
              </w:rPr>
              <w:t xml:space="preserve">Table </w:t>
            </w:r>
            <w:r w:rsidR="00F248B1" w:rsidRPr="001A4A7B">
              <w:rPr>
                <w:b/>
                <w:color w:val="000000" w:themeColor="text1"/>
                <w:sz w:val="20"/>
                <w:szCs w:val="20"/>
                <w:lang w:val="en-US"/>
              </w:rPr>
              <w:t>A</w:t>
            </w:r>
            <w:r w:rsidRPr="001A4A7B">
              <w:rPr>
                <w:b/>
                <w:color w:val="000000" w:themeColor="text1"/>
                <w:sz w:val="20"/>
                <w:szCs w:val="20"/>
                <w:lang w:val="en-US"/>
              </w:rPr>
              <w:t xml:space="preserve">1. </w:t>
            </w:r>
            <w:r w:rsidRPr="001A4A7B">
              <w:rPr>
                <w:color w:val="000000" w:themeColor="text1"/>
                <w:sz w:val="20"/>
                <w:szCs w:val="20"/>
                <w:lang w:val="en-US"/>
              </w:rPr>
              <w:t>Descriptive Statistics</w:t>
            </w:r>
          </w:p>
        </w:tc>
      </w:tr>
      <w:tr w:rsidR="001A4A7B" w:rsidRPr="001A4A7B" w14:paraId="1E7FA894" w14:textId="77777777" w:rsidTr="00BF68E5">
        <w:tc>
          <w:tcPr>
            <w:tcW w:w="1235" w:type="dxa"/>
            <w:tcBorders>
              <w:bottom w:val="single" w:sz="4" w:space="0" w:color="auto"/>
            </w:tcBorders>
            <w:vAlign w:val="center"/>
          </w:tcPr>
          <w:p w14:paraId="5FFFD80D" w14:textId="77777777" w:rsidR="00BF68E5" w:rsidRPr="001A4A7B" w:rsidRDefault="00BF68E5" w:rsidP="00A705C5">
            <w:pPr>
              <w:spacing w:line="288" w:lineRule="auto"/>
              <w:jc w:val="both"/>
              <w:rPr>
                <w:b/>
                <w:color w:val="000000" w:themeColor="text1"/>
                <w:sz w:val="20"/>
                <w:szCs w:val="20"/>
                <w:lang w:val="en-US"/>
              </w:rPr>
            </w:pPr>
          </w:p>
        </w:tc>
        <w:tc>
          <w:tcPr>
            <w:tcW w:w="1039" w:type="dxa"/>
            <w:tcBorders>
              <w:bottom w:val="single" w:sz="4" w:space="0" w:color="auto"/>
            </w:tcBorders>
            <w:vAlign w:val="center"/>
          </w:tcPr>
          <w:p w14:paraId="1139CE21" w14:textId="268730B7" w:rsidR="00BF68E5" w:rsidRPr="001A4A7B" w:rsidRDefault="00BF68E5" w:rsidP="00BF68E5">
            <w:pPr>
              <w:spacing w:line="288" w:lineRule="auto"/>
              <w:jc w:val="center"/>
              <w:rPr>
                <w:b/>
                <w:bCs/>
                <w:color w:val="000000" w:themeColor="text1"/>
                <w:sz w:val="20"/>
                <w:szCs w:val="20"/>
                <w:lang w:val="en-US"/>
              </w:rPr>
            </w:pPr>
            <w:r w:rsidRPr="001A4A7B">
              <w:rPr>
                <w:b/>
                <w:bCs/>
                <w:color w:val="000000" w:themeColor="text1"/>
                <w:sz w:val="20"/>
                <w:szCs w:val="20"/>
                <w:lang w:val="en-US"/>
              </w:rPr>
              <w:t>WTI</w:t>
            </w:r>
          </w:p>
        </w:tc>
        <w:tc>
          <w:tcPr>
            <w:tcW w:w="1192" w:type="dxa"/>
            <w:tcBorders>
              <w:bottom w:val="single" w:sz="4" w:space="0" w:color="auto"/>
            </w:tcBorders>
            <w:vAlign w:val="center"/>
          </w:tcPr>
          <w:p w14:paraId="7510550B" w14:textId="6CC308E9" w:rsidR="00BF68E5" w:rsidRPr="001A4A7B" w:rsidRDefault="00BF68E5" w:rsidP="00BF68E5">
            <w:pPr>
              <w:spacing w:line="288" w:lineRule="auto"/>
              <w:jc w:val="center"/>
              <w:rPr>
                <w:b/>
                <w:bCs/>
                <w:color w:val="000000" w:themeColor="text1"/>
                <w:sz w:val="20"/>
                <w:szCs w:val="20"/>
                <w:lang w:val="en-US"/>
              </w:rPr>
            </w:pPr>
            <w:r w:rsidRPr="001A4A7B">
              <w:rPr>
                <w:b/>
                <w:bCs/>
                <w:color w:val="000000" w:themeColor="text1"/>
                <w:sz w:val="20"/>
                <w:szCs w:val="20"/>
                <w:lang w:val="en-US"/>
              </w:rPr>
              <w:t>Conv. Gasol.</w:t>
            </w:r>
          </w:p>
        </w:tc>
        <w:tc>
          <w:tcPr>
            <w:tcW w:w="1220" w:type="dxa"/>
            <w:tcBorders>
              <w:bottom w:val="single" w:sz="4" w:space="0" w:color="auto"/>
            </w:tcBorders>
            <w:vAlign w:val="center"/>
          </w:tcPr>
          <w:p w14:paraId="0E9B7D89" w14:textId="4AFC208C" w:rsidR="00BF68E5" w:rsidRPr="001A4A7B" w:rsidRDefault="00BF68E5" w:rsidP="00BF68E5">
            <w:pPr>
              <w:spacing w:line="288" w:lineRule="auto"/>
              <w:jc w:val="center"/>
              <w:rPr>
                <w:b/>
                <w:color w:val="000000" w:themeColor="text1"/>
                <w:sz w:val="20"/>
                <w:szCs w:val="20"/>
                <w:lang w:val="en-US"/>
              </w:rPr>
            </w:pPr>
            <w:r w:rsidRPr="001A4A7B">
              <w:rPr>
                <w:b/>
                <w:color w:val="000000" w:themeColor="text1"/>
                <w:sz w:val="20"/>
                <w:szCs w:val="20"/>
                <w:lang w:val="en-US"/>
              </w:rPr>
              <w:t>RBOB</w:t>
            </w:r>
          </w:p>
        </w:tc>
        <w:tc>
          <w:tcPr>
            <w:tcW w:w="1257" w:type="dxa"/>
            <w:tcBorders>
              <w:bottom w:val="single" w:sz="4" w:space="0" w:color="auto"/>
            </w:tcBorders>
            <w:vAlign w:val="center"/>
          </w:tcPr>
          <w:p w14:paraId="7E2BB207" w14:textId="12CB038D" w:rsidR="00BF68E5" w:rsidRPr="001A4A7B" w:rsidRDefault="00BF68E5" w:rsidP="00BF68E5">
            <w:pPr>
              <w:spacing w:line="288" w:lineRule="auto"/>
              <w:jc w:val="center"/>
              <w:rPr>
                <w:b/>
                <w:color w:val="000000" w:themeColor="text1"/>
                <w:sz w:val="20"/>
                <w:szCs w:val="20"/>
                <w:lang w:val="en-US"/>
              </w:rPr>
            </w:pPr>
            <w:r w:rsidRPr="001A4A7B">
              <w:rPr>
                <w:b/>
                <w:color w:val="000000" w:themeColor="text1"/>
                <w:sz w:val="20"/>
                <w:szCs w:val="20"/>
                <w:lang w:val="en-US"/>
              </w:rPr>
              <w:t>Heating Oil</w:t>
            </w:r>
          </w:p>
        </w:tc>
        <w:tc>
          <w:tcPr>
            <w:tcW w:w="1207" w:type="dxa"/>
            <w:tcBorders>
              <w:bottom w:val="single" w:sz="4" w:space="0" w:color="auto"/>
            </w:tcBorders>
            <w:vAlign w:val="center"/>
          </w:tcPr>
          <w:p w14:paraId="6D59BEC3" w14:textId="4F93956B" w:rsidR="00BF68E5" w:rsidRPr="001A4A7B" w:rsidRDefault="00BF68E5" w:rsidP="00BF68E5">
            <w:pPr>
              <w:spacing w:line="288" w:lineRule="auto"/>
              <w:jc w:val="center"/>
              <w:rPr>
                <w:b/>
                <w:color w:val="000000" w:themeColor="text1"/>
                <w:sz w:val="20"/>
                <w:szCs w:val="20"/>
                <w:lang w:val="en-US"/>
              </w:rPr>
            </w:pPr>
            <w:r w:rsidRPr="001A4A7B">
              <w:rPr>
                <w:b/>
                <w:color w:val="000000" w:themeColor="text1"/>
                <w:sz w:val="20"/>
                <w:szCs w:val="20"/>
                <w:lang w:val="en-US"/>
              </w:rPr>
              <w:t>Diesel NY</w:t>
            </w:r>
          </w:p>
        </w:tc>
        <w:tc>
          <w:tcPr>
            <w:tcW w:w="1349" w:type="dxa"/>
            <w:tcBorders>
              <w:bottom w:val="single" w:sz="4" w:space="0" w:color="auto"/>
            </w:tcBorders>
            <w:vAlign w:val="center"/>
          </w:tcPr>
          <w:p w14:paraId="67A0CA59" w14:textId="2BED704A" w:rsidR="00BF68E5" w:rsidRPr="001A4A7B" w:rsidRDefault="00BF68E5" w:rsidP="00BF68E5">
            <w:pPr>
              <w:spacing w:line="288" w:lineRule="auto"/>
              <w:jc w:val="center"/>
              <w:rPr>
                <w:b/>
                <w:color w:val="000000" w:themeColor="text1"/>
                <w:sz w:val="20"/>
                <w:szCs w:val="20"/>
                <w:lang w:val="en-US"/>
              </w:rPr>
            </w:pPr>
            <w:r w:rsidRPr="001A4A7B">
              <w:rPr>
                <w:b/>
                <w:color w:val="000000" w:themeColor="text1"/>
                <w:sz w:val="20"/>
                <w:szCs w:val="20"/>
                <w:lang w:val="en-US"/>
              </w:rPr>
              <w:t>Kerosene</w:t>
            </w:r>
          </w:p>
        </w:tc>
      </w:tr>
      <w:tr w:rsidR="001A4A7B" w:rsidRPr="001A4A7B" w14:paraId="5F4DDEC3" w14:textId="77777777" w:rsidTr="00BF68E5">
        <w:tc>
          <w:tcPr>
            <w:tcW w:w="1235" w:type="dxa"/>
            <w:tcBorders>
              <w:top w:val="single" w:sz="4" w:space="0" w:color="auto"/>
            </w:tcBorders>
            <w:vAlign w:val="center"/>
          </w:tcPr>
          <w:p w14:paraId="29C40ACE" w14:textId="218EE0BA" w:rsidR="00BF68E5" w:rsidRPr="001A4A7B" w:rsidRDefault="00BF68E5" w:rsidP="00E4230E">
            <w:pPr>
              <w:spacing w:line="288" w:lineRule="auto"/>
              <w:jc w:val="both"/>
              <w:rPr>
                <w:b/>
                <w:color w:val="000000" w:themeColor="text1"/>
                <w:sz w:val="20"/>
                <w:szCs w:val="20"/>
                <w:lang w:val="en-US"/>
              </w:rPr>
            </w:pPr>
            <w:r w:rsidRPr="001A4A7B">
              <w:rPr>
                <w:b/>
                <w:color w:val="000000" w:themeColor="text1"/>
                <w:sz w:val="20"/>
                <w:szCs w:val="20"/>
                <w:lang w:val="en-US"/>
              </w:rPr>
              <w:t>Mean</w:t>
            </w:r>
          </w:p>
        </w:tc>
        <w:tc>
          <w:tcPr>
            <w:tcW w:w="1039" w:type="dxa"/>
            <w:tcBorders>
              <w:top w:val="single" w:sz="4" w:space="0" w:color="auto"/>
            </w:tcBorders>
          </w:tcPr>
          <w:p w14:paraId="76783F23" w14:textId="3C78BB44"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71.994</w:t>
            </w:r>
          </w:p>
        </w:tc>
        <w:tc>
          <w:tcPr>
            <w:tcW w:w="1192" w:type="dxa"/>
            <w:tcBorders>
              <w:top w:val="single" w:sz="4" w:space="0" w:color="auto"/>
            </w:tcBorders>
            <w:vAlign w:val="center"/>
          </w:tcPr>
          <w:p w14:paraId="60DF5BCC" w14:textId="649C474C"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2.106</w:t>
            </w:r>
          </w:p>
        </w:tc>
        <w:tc>
          <w:tcPr>
            <w:tcW w:w="1220" w:type="dxa"/>
            <w:tcBorders>
              <w:top w:val="single" w:sz="4" w:space="0" w:color="auto"/>
            </w:tcBorders>
            <w:vAlign w:val="center"/>
          </w:tcPr>
          <w:p w14:paraId="73D18E94" w14:textId="0621B767"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2.249</w:t>
            </w:r>
          </w:p>
        </w:tc>
        <w:tc>
          <w:tcPr>
            <w:tcW w:w="1257" w:type="dxa"/>
            <w:tcBorders>
              <w:top w:val="single" w:sz="4" w:space="0" w:color="auto"/>
            </w:tcBorders>
            <w:vAlign w:val="center"/>
          </w:tcPr>
          <w:p w14:paraId="4957AC11" w14:textId="0609EF4E"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2.160</w:t>
            </w:r>
          </w:p>
        </w:tc>
        <w:tc>
          <w:tcPr>
            <w:tcW w:w="1207" w:type="dxa"/>
            <w:tcBorders>
              <w:top w:val="single" w:sz="4" w:space="0" w:color="auto"/>
            </w:tcBorders>
            <w:vAlign w:val="center"/>
          </w:tcPr>
          <w:p w14:paraId="4370DC05" w14:textId="5D43759B"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2.248</w:t>
            </w:r>
          </w:p>
        </w:tc>
        <w:tc>
          <w:tcPr>
            <w:tcW w:w="1349" w:type="dxa"/>
            <w:tcBorders>
              <w:top w:val="single" w:sz="4" w:space="0" w:color="auto"/>
            </w:tcBorders>
            <w:vAlign w:val="center"/>
          </w:tcPr>
          <w:p w14:paraId="5BB58F78" w14:textId="442717C5"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2.160</w:t>
            </w:r>
          </w:p>
        </w:tc>
      </w:tr>
      <w:tr w:rsidR="001A4A7B" w:rsidRPr="001A4A7B" w14:paraId="1591AB33" w14:textId="77777777" w:rsidTr="00BF68E5">
        <w:tc>
          <w:tcPr>
            <w:tcW w:w="1235" w:type="dxa"/>
            <w:vAlign w:val="center"/>
          </w:tcPr>
          <w:p w14:paraId="52052CD8" w14:textId="788DE1A7" w:rsidR="00BF68E5" w:rsidRPr="001A4A7B" w:rsidRDefault="00BF68E5" w:rsidP="00E4230E">
            <w:pPr>
              <w:spacing w:line="288" w:lineRule="auto"/>
              <w:jc w:val="both"/>
              <w:rPr>
                <w:b/>
                <w:color w:val="000000" w:themeColor="text1"/>
                <w:sz w:val="20"/>
                <w:szCs w:val="20"/>
                <w:lang w:val="en-US"/>
              </w:rPr>
            </w:pPr>
            <w:r w:rsidRPr="001A4A7B">
              <w:rPr>
                <w:b/>
                <w:color w:val="000000" w:themeColor="text1"/>
                <w:sz w:val="20"/>
                <w:szCs w:val="20"/>
                <w:lang w:val="en-US"/>
              </w:rPr>
              <w:t>S.D.</w:t>
            </w:r>
          </w:p>
        </w:tc>
        <w:tc>
          <w:tcPr>
            <w:tcW w:w="1039" w:type="dxa"/>
          </w:tcPr>
          <w:p w14:paraId="726F806D" w14:textId="2E4F7EE3"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23.278</w:t>
            </w:r>
          </w:p>
        </w:tc>
        <w:tc>
          <w:tcPr>
            <w:tcW w:w="1192" w:type="dxa"/>
            <w:vAlign w:val="center"/>
          </w:tcPr>
          <w:p w14:paraId="2B9649E4" w14:textId="14A4E958"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0.641</w:t>
            </w:r>
          </w:p>
        </w:tc>
        <w:tc>
          <w:tcPr>
            <w:tcW w:w="1220" w:type="dxa"/>
            <w:vAlign w:val="center"/>
          </w:tcPr>
          <w:p w14:paraId="3F9D6720" w14:textId="3284EF3F"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0.657</w:t>
            </w:r>
          </w:p>
        </w:tc>
        <w:tc>
          <w:tcPr>
            <w:tcW w:w="1257" w:type="dxa"/>
            <w:vAlign w:val="center"/>
          </w:tcPr>
          <w:p w14:paraId="148A126A" w14:textId="6E71D63D"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0.721</w:t>
            </w:r>
          </w:p>
        </w:tc>
        <w:tc>
          <w:tcPr>
            <w:tcW w:w="1207" w:type="dxa"/>
            <w:vAlign w:val="center"/>
          </w:tcPr>
          <w:p w14:paraId="0FF1338B" w14:textId="1375209F"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0.732</w:t>
            </w:r>
          </w:p>
        </w:tc>
        <w:tc>
          <w:tcPr>
            <w:tcW w:w="1349" w:type="dxa"/>
            <w:vAlign w:val="center"/>
          </w:tcPr>
          <w:p w14:paraId="33531677" w14:textId="0D6FDCD7"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0.736</w:t>
            </w:r>
          </w:p>
        </w:tc>
      </w:tr>
      <w:tr w:rsidR="001A4A7B" w:rsidRPr="001A4A7B" w14:paraId="7A935B28" w14:textId="77777777" w:rsidTr="00BF68E5">
        <w:tc>
          <w:tcPr>
            <w:tcW w:w="1235" w:type="dxa"/>
            <w:vAlign w:val="center"/>
          </w:tcPr>
          <w:p w14:paraId="68A63388" w14:textId="3E5068E2" w:rsidR="00BF68E5" w:rsidRPr="001A4A7B" w:rsidRDefault="00BF68E5" w:rsidP="00E4230E">
            <w:pPr>
              <w:spacing w:line="288" w:lineRule="auto"/>
              <w:jc w:val="both"/>
              <w:rPr>
                <w:b/>
                <w:color w:val="000000" w:themeColor="text1"/>
                <w:sz w:val="20"/>
                <w:szCs w:val="20"/>
                <w:lang w:val="en-US"/>
              </w:rPr>
            </w:pPr>
            <w:r w:rsidRPr="001A4A7B">
              <w:rPr>
                <w:b/>
                <w:color w:val="000000" w:themeColor="text1"/>
                <w:sz w:val="20"/>
                <w:szCs w:val="20"/>
                <w:lang w:val="en-US"/>
              </w:rPr>
              <w:t>Max</w:t>
            </w:r>
          </w:p>
        </w:tc>
        <w:tc>
          <w:tcPr>
            <w:tcW w:w="1039" w:type="dxa"/>
          </w:tcPr>
          <w:p w14:paraId="774C8FF2" w14:textId="0E14BFC1"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142.520</w:t>
            </w:r>
          </w:p>
        </w:tc>
        <w:tc>
          <w:tcPr>
            <w:tcW w:w="1192" w:type="dxa"/>
            <w:vAlign w:val="center"/>
          </w:tcPr>
          <w:p w14:paraId="4B13D667" w14:textId="72832806"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4.336</w:t>
            </w:r>
          </w:p>
        </w:tc>
        <w:tc>
          <w:tcPr>
            <w:tcW w:w="1220" w:type="dxa"/>
            <w:vAlign w:val="center"/>
          </w:tcPr>
          <w:p w14:paraId="5314F9C5" w14:textId="27CCFA8C"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4.551</w:t>
            </w:r>
          </w:p>
        </w:tc>
        <w:tc>
          <w:tcPr>
            <w:tcW w:w="1257" w:type="dxa"/>
            <w:vAlign w:val="center"/>
          </w:tcPr>
          <w:p w14:paraId="66BED7ED" w14:textId="3F1BC8D1"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4.874</w:t>
            </w:r>
          </w:p>
        </w:tc>
        <w:tc>
          <w:tcPr>
            <w:tcW w:w="1207" w:type="dxa"/>
            <w:vAlign w:val="center"/>
          </w:tcPr>
          <w:p w14:paraId="426E8560" w14:textId="467F9014"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5.211</w:t>
            </w:r>
          </w:p>
        </w:tc>
        <w:tc>
          <w:tcPr>
            <w:tcW w:w="1349" w:type="dxa"/>
            <w:vAlign w:val="center"/>
          </w:tcPr>
          <w:p w14:paraId="24FF8B65" w14:textId="6E4FFFC9"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4.626</w:t>
            </w:r>
          </w:p>
        </w:tc>
      </w:tr>
      <w:tr w:rsidR="00BF68E5" w:rsidRPr="001A4A7B" w14:paraId="2F205454" w14:textId="77777777" w:rsidTr="00BF68E5">
        <w:tc>
          <w:tcPr>
            <w:tcW w:w="1235" w:type="dxa"/>
            <w:tcBorders>
              <w:bottom w:val="single" w:sz="4" w:space="0" w:color="auto"/>
            </w:tcBorders>
            <w:vAlign w:val="center"/>
          </w:tcPr>
          <w:p w14:paraId="164E2610" w14:textId="05FE39FB" w:rsidR="00BF68E5" w:rsidRPr="001A4A7B" w:rsidRDefault="00BF68E5" w:rsidP="00E4230E">
            <w:pPr>
              <w:spacing w:line="288" w:lineRule="auto"/>
              <w:jc w:val="both"/>
              <w:rPr>
                <w:b/>
                <w:color w:val="000000" w:themeColor="text1"/>
                <w:sz w:val="20"/>
                <w:szCs w:val="20"/>
                <w:lang w:val="en-US"/>
              </w:rPr>
            </w:pPr>
            <w:r w:rsidRPr="001A4A7B">
              <w:rPr>
                <w:b/>
                <w:color w:val="000000" w:themeColor="text1"/>
                <w:sz w:val="20"/>
                <w:szCs w:val="20"/>
                <w:lang w:val="en-US"/>
              </w:rPr>
              <w:t>Min</w:t>
            </w:r>
          </w:p>
        </w:tc>
        <w:tc>
          <w:tcPr>
            <w:tcW w:w="1039" w:type="dxa"/>
            <w:tcBorders>
              <w:bottom w:val="single" w:sz="4" w:space="0" w:color="auto"/>
            </w:tcBorders>
          </w:tcPr>
          <w:p w14:paraId="2BE4010F" w14:textId="149A1710"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3.332</w:t>
            </w:r>
          </w:p>
        </w:tc>
        <w:tc>
          <w:tcPr>
            <w:tcW w:w="1192" w:type="dxa"/>
            <w:tcBorders>
              <w:bottom w:val="single" w:sz="4" w:space="0" w:color="auto"/>
            </w:tcBorders>
            <w:vAlign w:val="center"/>
          </w:tcPr>
          <w:p w14:paraId="4F170110" w14:textId="12C1FA56"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0.499</w:t>
            </w:r>
          </w:p>
        </w:tc>
        <w:tc>
          <w:tcPr>
            <w:tcW w:w="1220" w:type="dxa"/>
            <w:tcBorders>
              <w:bottom w:val="single" w:sz="4" w:space="0" w:color="auto"/>
            </w:tcBorders>
            <w:vAlign w:val="center"/>
          </w:tcPr>
          <w:p w14:paraId="4090A711" w14:textId="6EFF8BE0"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0.369</w:t>
            </w:r>
          </w:p>
        </w:tc>
        <w:tc>
          <w:tcPr>
            <w:tcW w:w="1257" w:type="dxa"/>
            <w:tcBorders>
              <w:bottom w:val="single" w:sz="4" w:space="0" w:color="auto"/>
            </w:tcBorders>
            <w:vAlign w:val="center"/>
          </w:tcPr>
          <w:p w14:paraId="0866125E" w14:textId="245A978F"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0.654</w:t>
            </w:r>
          </w:p>
        </w:tc>
        <w:tc>
          <w:tcPr>
            <w:tcW w:w="1207" w:type="dxa"/>
            <w:tcBorders>
              <w:bottom w:val="single" w:sz="4" w:space="0" w:color="auto"/>
            </w:tcBorders>
            <w:vAlign w:val="center"/>
          </w:tcPr>
          <w:p w14:paraId="4EDB55CC" w14:textId="04DF1C06"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0.692</w:t>
            </w:r>
          </w:p>
        </w:tc>
        <w:tc>
          <w:tcPr>
            <w:tcW w:w="1349" w:type="dxa"/>
            <w:tcBorders>
              <w:bottom w:val="single" w:sz="4" w:space="0" w:color="auto"/>
            </w:tcBorders>
            <w:vAlign w:val="center"/>
          </w:tcPr>
          <w:p w14:paraId="4F774F0C" w14:textId="20745452" w:rsidR="00BF68E5" w:rsidRPr="001A4A7B" w:rsidRDefault="00BF68E5" w:rsidP="00E4230E">
            <w:pPr>
              <w:spacing w:line="288" w:lineRule="auto"/>
              <w:jc w:val="center"/>
              <w:rPr>
                <w:color w:val="000000" w:themeColor="text1"/>
                <w:sz w:val="20"/>
                <w:szCs w:val="20"/>
                <w:lang w:val="en-US"/>
              </w:rPr>
            </w:pPr>
            <w:r w:rsidRPr="001A4A7B">
              <w:rPr>
                <w:color w:val="000000" w:themeColor="text1"/>
                <w:sz w:val="20"/>
                <w:szCs w:val="20"/>
                <w:lang w:val="en-US"/>
              </w:rPr>
              <w:t>0.461</w:t>
            </w:r>
          </w:p>
        </w:tc>
      </w:tr>
    </w:tbl>
    <w:p w14:paraId="58060026" w14:textId="79408F03" w:rsidR="00BF55AF" w:rsidRPr="001A4A7B" w:rsidRDefault="00BF55AF" w:rsidP="000D79F0">
      <w:pPr>
        <w:jc w:val="both"/>
        <w:rPr>
          <w:color w:val="000000" w:themeColor="text1"/>
          <w:shd w:val="clear" w:color="auto" w:fill="FFFFFF"/>
          <w:lang w:val="en-US"/>
        </w:rPr>
      </w:pPr>
    </w:p>
    <w:p w14:paraId="7C169F93" w14:textId="77777777" w:rsidR="00BF55AF" w:rsidRPr="001A4A7B" w:rsidRDefault="00BF55AF" w:rsidP="00BF55AF">
      <w:pPr>
        <w:jc w:val="both"/>
        <w:rPr>
          <w:color w:val="000000" w:themeColor="text1"/>
          <w:sz w:val="18"/>
          <w:szCs w:val="18"/>
          <w:shd w:val="clear" w:color="auto" w:fill="FFFFFF"/>
          <w:lang w:val="en-US"/>
        </w:rPr>
      </w:pPr>
      <w:r w:rsidRPr="001A4A7B">
        <w:rPr>
          <w:b/>
          <w:bCs/>
          <w:color w:val="000000" w:themeColor="text1"/>
          <w:sz w:val="18"/>
          <w:szCs w:val="18"/>
          <w:shd w:val="clear" w:color="auto" w:fill="FFFFFF"/>
          <w:lang w:val="en-US"/>
        </w:rPr>
        <w:t>Table A2</w:t>
      </w:r>
      <w:r w:rsidRPr="001A4A7B">
        <w:rPr>
          <w:color w:val="000000" w:themeColor="text1"/>
          <w:sz w:val="18"/>
          <w:szCs w:val="18"/>
          <w:shd w:val="clear" w:color="auto" w:fill="FFFFFF"/>
          <w:lang w:val="en-US"/>
        </w:rPr>
        <w:t>. Unit root tests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7"/>
        <w:gridCol w:w="1090"/>
        <w:gridCol w:w="1091"/>
        <w:gridCol w:w="1014"/>
        <w:gridCol w:w="1168"/>
        <w:gridCol w:w="1091"/>
        <w:gridCol w:w="1014"/>
        <w:gridCol w:w="1014"/>
      </w:tblGrid>
      <w:tr w:rsidR="001A4A7B" w:rsidRPr="001A4A7B" w14:paraId="111C3B7F" w14:textId="77777777" w:rsidTr="00EF17C0">
        <w:tc>
          <w:tcPr>
            <w:tcW w:w="6996" w:type="dxa"/>
            <w:gridSpan w:val="4"/>
            <w:tcBorders>
              <w:top w:val="single" w:sz="4" w:space="0" w:color="auto"/>
            </w:tcBorders>
          </w:tcPr>
          <w:p w14:paraId="0AF4D6D2" w14:textId="77777777" w:rsidR="00BF55AF" w:rsidRPr="001A4A7B" w:rsidRDefault="00BF55AF" w:rsidP="00BF55AF">
            <w:pPr>
              <w:jc w:val="both"/>
              <w:rPr>
                <w:b/>
                <w:bCs/>
                <w:color w:val="000000" w:themeColor="text1"/>
                <w:sz w:val="18"/>
                <w:szCs w:val="18"/>
                <w:shd w:val="clear" w:color="auto" w:fill="FFFFFF"/>
                <w:lang w:val="en-US"/>
              </w:rPr>
            </w:pPr>
          </w:p>
        </w:tc>
        <w:tc>
          <w:tcPr>
            <w:tcW w:w="6998" w:type="dxa"/>
            <w:gridSpan w:val="4"/>
            <w:tcBorders>
              <w:top w:val="single" w:sz="4" w:space="0" w:color="auto"/>
              <w:bottom w:val="single" w:sz="4" w:space="0" w:color="auto"/>
            </w:tcBorders>
          </w:tcPr>
          <w:p w14:paraId="6DE1F90C" w14:textId="77777777" w:rsidR="00BF55AF" w:rsidRPr="001A4A7B" w:rsidRDefault="00BF55AF" w:rsidP="00BF55AF">
            <w:pPr>
              <w:jc w:val="both"/>
              <w:rPr>
                <w:b/>
                <w:bCs/>
                <w:color w:val="000000" w:themeColor="text1"/>
                <w:sz w:val="18"/>
                <w:szCs w:val="18"/>
                <w:shd w:val="clear" w:color="auto" w:fill="FFFFFF"/>
                <w:lang w:val="en-US"/>
              </w:rPr>
            </w:pPr>
            <w:r w:rsidRPr="001A4A7B">
              <w:rPr>
                <w:b/>
                <w:bCs/>
                <w:color w:val="000000" w:themeColor="text1"/>
                <w:sz w:val="18"/>
                <w:szCs w:val="18"/>
                <w:shd w:val="clear" w:color="auto" w:fill="FFFFFF"/>
                <w:lang w:val="en-US"/>
              </w:rPr>
              <w:t>Ng-Perron</w:t>
            </w:r>
          </w:p>
        </w:tc>
      </w:tr>
      <w:tr w:rsidR="001A4A7B" w:rsidRPr="001A4A7B" w14:paraId="07D82D6F" w14:textId="77777777" w:rsidTr="00EF17C0">
        <w:tc>
          <w:tcPr>
            <w:tcW w:w="1749" w:type="dxa"/>
            <w:tcBorders>
              <w:bottom w:val="single" w:sz="4" w:space="0" w:color="auto"/>
            </w:tcBorders>
          </w:tcPr>
          <w:p w14:paraId="03232D9D" w14:textId="77777777" w:rsidR="00BF55AF" w:rsidRPr="001A4A7B" w:rsidRDefault="00BF55AF" w:rsidP="00BF55AF">
            <w:pPr>
              <w:jc w:val="both"/>
              <w:rPr>
                <w:b/>
                <w:bCs/>
                <w:color w:val="000000" w:themeColor="text1"/>
                <w:sz w:val="18"/>
                <w:szCs w:val="18"/>
                <w:shd w:val="clear" w:color="auto" w:fill="FFFFFF"/>
                <w:lang w:val="en-US"/>
              </w:rPr>
            </w:pPr>
          </w:p>
        </w:tc>
        <w:tc>
          <w:tcPr>
            <w:tcW w:w="1749" w:type="dxa"/>
            <w:tcBorders>
              <w:bottom w:val="single" w:sz="4" w:space="0" w:color="auto"/>
            </w:tcBorders>
          </w:tcPr>
          <w:p w14:paraId="77999588" w14:textId="77777777" w:rsidR="00BF55AF" w:rsidRPr="001A4A7B" w:rsidRDefault="00BF55AF" w:rsidP="00BF55AF">
            <w:pPr>
              <w:jc w:val="both"/>
              <w:rPr>
                <w:b/>
                <w:bCs/>
                <w:color w:val="000000" w:themeColor="text1"/>
                <w:sz w:val="18"/>
                <w:szCs w:val="18"/>
                <w:shd w:val="clear" w:color="auto" w:fill="FFFFFF"/>
                <w:lang w:val="en-US"/>
              </w:rPr>
            </w:pPr>
            <w:r w:rsidRPr="001A4A7B">
              <w:rPr>
                <w:b/>
                <w:bCs/>
                <w:color w:val="000000" w:themeColor="text1"/>
                <w:sz w:val="18"/>
                <w:szCs w:val="18"/>
                <w:shd w:val="clear" w:color="auto" w:fill="FFFFFF"/>
                <w:lang w:val="en-US"/>
              </w:rPr>
              <w:t>ADF</w:t>
            </w:r>
          </w:p>
        </w:tc>
        <w:tc>
          <w:tcPr>
            <w:tcW w:w="1749" w:type="dxa"/>
            <w:tcBorders>
              <w:bottom w:val="single" w:sz="4" w:space="0" w:color="auto"/>
            </w:tcBorders>
          </w:tcPr>
          <w:p w14:paraId="5A0A76C5" w14:textId="77777777" w:rsidR="00BF55AF" w:rsidRPr="001A4A7B" w:rsidRDefault="00BF55AF" w:rsidP="00BF55AF">
            <w:pPr>
              <w:jc w:val="both"/>
              <w:rPr>
                <w:b/>
                <w:bCs/>
                <w:color w:val="000000" w:themeColor="text1"/>
                <w:sz w:val="18"/>
                <w:szCs w:val="18"/>
                <w:shd w:val="clear" w:color="auto" w:fill="FFFFFF"/>
                <w:lang w:val="en-US"/>
              </w:rPr>
            </w:pPr>
            <w:r w:rsidRPr="001A4A7B">
              <w:rPr>
                <w:b/>
                <w:bCs/>
                <w:color w:val="000000" w:themeColor="text1"/>
                <w:sz w:val="18"/>
                <w:szCs w:val="18"/>
                <w:shd w:val="clear" w:color="auto" w:fill="FFFFFF"/>
                <w:lang w:val="en-US"/>
              </w:rPr>
              <w:t>PP</w:t>
            </w:r>
          </w:p>
        </w:tc>
        <w:tc>
          <w:tcPr>
            <w:tcW w:w="1749" w:type="dxa"/>
            <w:tcBorders>
              <w:bottom w:val="single" w:sz="4" w:space="0" w:color="auto"/>
            </w:tcBorders>
          </w:tcPr>
          <w:p w14:paraId="5E7B57C7" w14:textId="77777777" w:rsidR="00BF55AF" w:rsidRPr="001A4A7B" w:rsidRDefault="00BF55AF" w:rsidP="00BF55AF">
            <w:pPr>
              <w:jc w:val="both"/>
              <w:rPr>
                <w:b/>
                <w:bCs/>
                <w:color w:val="000000" w:themeColor="text1"/>
                <w:sz w:val="18"/>
                <w:szCs w:val="18"/>
                <w:shd w:val="clear" w:color="auto" w:fill="FFFFFF"/>
                <w:lang w:val="en-US"/>
              </w:rPr>
            </w:pPr>
            <w:r w:rsidRPr="001A4A7B">
              <w:rPr>
                <w:b/>
                <w:bCs/>
                <w:color w:val="000000" w:themeColor="text1"/>
                <w:sz w:val="18"/>
                <w:szCs w:val="18"/>
                <w:shd w:val="clear" w:color="auto" w:fill="FFFFFF"/>
                <w:lang w:val="en-US"/>
              </w:rPr>
              <w:t>KPSS</w:t>
            </w:r>
          </w:p>
        </w:tc>
        <w:tc>
          <w:tcPr>
            <w:tcW w:w="1749" w:type="dxa"/>
            <w:tcBorders>
              <w:top w:val="single" w:sz="4" w:space="0" w:color="auto"/>
              <w:bottom w:val="single" w:sz="4" w:space="0" w:color="auto"/>
            </w:tcBorders>
          </w:tcPr>
          <w:p w14:paraId="3CE362EE" w14:textId="4220DDCC" w:rsidR="00BF55AF" w:rsidRPr="001A4A7B" w:rsidRDefault="00000000" w:rsidP="00BF55AF">
            <w:pPr>
              <w:jc w:val="both"/>
              <w:rPr>
                <w:b/>
                <w:bCs/>
                <w:color w:val="000000" w:themeColor="text1"/>
                <w:sz w:val="18"/>
                <w:szCs w:val="18"/>
                <w:shd w:val="clear" w:color="auto" w:fill="FFFFFF"/>
                <w:lang w:val="en-US"/>
              </w:rPr>
            </w:pPr>
            <m:oMathPara>
              <m:oMath>
                <m:sSubSup>
                  <m:sSubSupPr>
                    <m:ctrlPr>
                      <w:rPr>
                        <w:rFonts w:ascii="Cambria Math" w:hAnsi="Cambria Math"/>
                        <w:b/>
                        <w:bCs/>
                        <w:color w:val="000000" w:themeColor="text1"/>
                        <w:sz w:val="18"/>
                        <w:szCs w:val="18"/>
                        <w:shd w:val="clear" w:color="auto" w:fill="FFFFFF"/>
                        <w:lang w:val="en-US"/>
                      </w:rPr>
                    </m:ctrlPr>
                  </m:sSubSupPr>
                  <m:e>
                    <m:acc>
                      <m:accPr>
                        <m:chr m:val="̅"/>
                        <m:ctrlPr>
                          <w:rPr>
                            <w:rFonts w:ascii="Cambria Math" w:hAnsi="Cambria Math"/>
                            <w:b/>
                            <w:bCs/>
                            <w:color w:val="000000" w:themeColor="text1"/>
                            <w:sz w:val="18"/>
                            <w:szCs w:val="18"/>
                            <w:shd w:val="clear" w:color="auto" w:fill="FFFFFF"/>
                            <w:lang w:val="en-US"/>
                          </w:rPr>
                        </m:ctrlPr>
                      </m:accPr>
                      <m:e>
                        <m:r>
                          <m:rPr>
                            <m:sty m:val="b"/>
                          </m:rPr>
                          <w:rPr>
                            <w:rFonts w:ascii="Cambria Math" w:hAnsi="Cambria Math"/>
                            <w:color w:val="000000" w:themeColor="text1"/>
                            <w:sz w:val="18"/>
                            <w:szCs w:val="18"/>
                            <w:shd w:val="clear" w:color="auto" w:fill="FFFFFF"/>
                            <w:lang w:val="en-US"/>
                          </w:rPr>
                          <m:t>M</m:t>
                        </m:r>
                      </m:e>
                    </m:acc>
                    <m:r>
                      <m:rPr>
                        <m:sty m:val="b"/>
                      </m:rPr>
                      <w:rPr>
                        <w:rFonts w:ascii="Cambria Math" w:hAnsi="Cambria Math"/>
                        <w:color w:val="000000" w:themeColor="text1"/>
                        <w:sz w:val="18"/>
                        <w:szCs w:val="18"/>
                        <w:shd w:val="clear" w:color="auto" w:fill="FFFFFF"/>
                        <w:lang w:val="en-US"/>
                      </w:rPr>
                      <m:t>Z</m:t>
                    </m:r>
                  </m:e>
                  <m:sub>
                    <m:r>
                      <m:rPr>
                        <m:sty m:val="b"/>
                      </m:rPr>
                      <w:rPr>
                        <w:rFonts w:ascii="Cambria Math" w:hAnsi="Cambria Math"/>
                        <w:color w:val="000000" w:themeColor="text1"/>
                        <w:sz w:val="18"/>
                        <w:szCs w:val="18"/>
                        <w:shd w:val="clear" w:color="auto" w:fill="FFFFFF"/>
                        <w:lang w:val="en-US"/>
                      </w:rPr>
                      <m:t>α</m:t>
                    </m:r>
                  </m:sub>
                  <m:sup>
                    <m:r>
                      <m:rPr>
                        <m:sty m:val="b"/>
                      </m:rPr>
                      <w:rPr>
                        <w:rFonts w:ascii="Cambria Math" w:hAnsi="Cambria Math"/>
                        <w:color w:val="000000" w:themeColor="text1"/>
                        <w:sz w:val="18"/>
                        <w:szCs w:val="18"/>
                        <w:shd w:val="clear" w:color="auto" w:fill="FFFFFF"/>
                        <w:lang w:val="en-US"/>
                      </w:rPr>
                      <m:t>GLS</m:t>
                    </m:r>
                  </m:sup>
                </m:sSubSup>
              </m:oMath>
            </m:oMathPara>
          </w:p>
        </w:tc>
        <w:tc>
          <w:tcPr>
            <w:tcW w:w="1749" w:type="dxa"/>
            <w:tcBorders>
              <w:top w:val="single" w:sz="4" w:space="0" w:color="auto"/>
              <w:bottom w:val="single" w:sz="4" w:space="0" w:color="auto"/>
            </w:tcBorders>
          </w:tcPr>
          <w:p w14:paraId="7A57250A" w14:textId="184DC60D" w:rsidR="00BF55AF" w:rsidRPr="001A4A7B" w:rsidRDefault="00000000" w:rsidP="00BF55AF">
            <w:pPr>
              <w:jc w:val="both"/>
              <w:rPr>
                <w:b/>
                <w:bCs/>
                <w:color w:val="000000" w:themeColor="text1"/>
                <w:sz w:val="18"/>
                <w:szCs w:val="18"/>
                <w:shd w:val="clear" w:color="auto" w:fill="FFFFFF"/>
                <w:lang w:val="en-US"/>
              </w:rPr>
            </w:pPr>
            <m:oMathPara>
              <m:oMath>
                <m:sSubSup>
                  <m:sSubSupPr>
                    <m:ctrlPr>
                      <w:rPr>
                        <w:rFonts w:ascii="Cambria Math" w:hAnsi="Cambria Math"/>
                        <w:b/>
                        <w:bCs/>
                        <w:color w:val="000000" w:themeColor="text1"/>
                        <w:sz w:val="18"/>
                        <w:szCs w:val="18"/>
                        <w:shd w:val="clear" w:color="auto" w:fill="FFFFFF"/>
                        <w:lang w:val="en-US"/>
                      </w:rPr>
                    </m:ctrlPr>
                  </m:sSubSupPr>
                  <m:e>
                    <m:acc>
                      <m:accPr>
                        <m:chr m:val="̅"/>
                        <m:ctrlPr>
                          <w:rPr>
                            <w:rFonts w:ascii="Cambria Math" w:hAnsi="Cambria Math"/>
                            <w:b/>
                            <w:bCs/>
                            <w:color w:val="000000" w:themeColor="text1"/>
                            <w:sz w:val="18"/>
                            <w:szCs w:val="18"/>
                            <w:shd w:val="clear" w:color="auto" w:fill="FFFFFF"/>
                            <w:lang w:val="en-US"/>
                          </w:rPr>
                        </m:ctrlPr>
                      </m:accPr>
                      <m:e>
                        <m:r>
                          <m:rPr>
                            <m:sty m:val="b"/>
                          </m:rPr>
                          <w:rPr>
                            <w:rFonts w:ascii="Cambria Math" w:hAnsi="Cambria Math"/>
                            <w:color w:val="000000" w:themeColor="text1"/>
                            <w:sz w:val="18"/>
                            <w:szCs w:val="18"/>
                            <w:shd w:val="clear" w:color="auto" w:fill="FFFFFF"/>
                            <w:lang w:val="en-US"/>
                          </w:rPr>
                          <m:t>M</m:t>
                        </m:r>
                      </m:e>
                    </m:acc>
                    <m:r>
                      <m:rPr>
                        <m:sty m:val="b"/>
                      </m:rPr>
                      <w:rPr>
                        <w:rFonts w:ascii="Cambria Math" w:hAnsi="Cambria Math"/>
                        <w:color w:val="000000" w:themeColor="text1"/>
                        <w:sz w:val="18"/>
                        <w:szCs w:val="18"/>
                        <w:shd w:val="clear" w:color="auto" w:fill="FFFFFF"/>
                        <w:lang w:val="en-US"/>
                      </w:rPr>
                      <m:t>Z</m:t>
                    </m:r>
                  </m:e>
                  <m:sub>
                    <m:r>
                      <m:rPr>
                        <m:sty m:val="b"/>
                      </m:rPr>
                      <w:rPr>
                        <w:rFonts w:ascii="Cambria Math" w:hAnsi="Cambria Math"/>
                        <w:color w:val="000000" w:themeColor="text1"/>
                        <w:sz w:val="18"/>
                        <w:szCs w:val="18"/>
                        <w:shd w:val="clear" w:color="auto" w:fill="FFFFFF"/>
                        <w:lang w:val="en-US"/>
                      </w:rPr>
                      <m:t>t</m:t>
                    </m:r>
                  </m:sub>
                  <m:sup>
                    <m:r>
                      <m:rPr>
                        <m:sty m:val="b"/>
                      </m:rPr>
                      <w:rPr>
                        <w:rFonts w:ascii="Cambria Math" w:hAnsi="Cambria Math"/>
                        <w:color w:val="000000" w:themeColor="text1"/>
                        <w:sz w:val="18"/>
                        <w:szCs w:val="18"/>
                        <w:shd w:val="clear" w:color="auto" w:fill="FFFFFF"/>
                        <w:lang w:val="en-US"/>
                      </w:rPr>
                      <m:t>GLS</m:t>
                    </m:r>
                  </m:sup>
                </m:sSubSup>
              </m:oMath>
            </m:oMathPara>
          </w:p>
        </w:tc>
        <w:tc>
          <w:tcPr>
            <w:tcW w:w="1750" w:type="dxa"/>
            <w:tcBorders>
              <w:top w:val="single" w:sz="4" w:space="0" w:color="auto"/>
              <w:bottom w:val="single" w:sz="4" w:space="0" w:color="auto"/>
            </w:tcBorders>
          </w:tcPr>
          <w:p w14:paraId="7C34F600" w14:textId="4C60F451" w:rsidR="00BF55AF" w:rsidRPr="001A4A7B" w:rsidRDefault="00000000" w:rsidP="00BF55AF">
            <w:pPr>
              <w:jc w:val="both"/>
              <w:rPr>
                <w:b/>
                <w:bCs/>
                <w:color w:val="000000" w:themeColor="text1"/>
                <w:sz w:val="18"/>
                <w:szCs w:val="18"/>
                <w:shd w:val="clear" w:color="auto" w:fill="FFFFFF"/>
                <w:lang w:val="en-US"/>
              </w:rPr>
            </w:pPr>
            <m:oMathPara>
              <m:oMath>
                <m:sSubSup>
                  <m:sSubSupPr>
                    <m:ctrlPr>
                      <w:rPr>
                        <w:rFonts w:ascii="Cambria Math" w:hAnsi="Cambria Math"/>
                        <w:b/>
                        <w:bCs/>
                        <w:color w:val="000000" w:themeColor="text1"/>
                        <w:sz w:val="18"/>
                        <w:szCs w:val="18"/>
                        <w:shd w:val="clear" w:color="auto" w:fill="FFFFFF"/>
                        <w:lang w:val="en-US"/>
                      </w:rPr>
                    </m:ctrlPr>
                  </m:sSubSupPr>
                  <m:e>
                    <m:acc>
                      <m:accPr>
                        <m:chr m:val="̅"/>
                        <m:ctrlPr>
                          <w:rPr>
                            <w:rFonts w:ascii="Cambria Math" w:hAnsi="Cambria Math"/>
                            <w:b/>
                            <w:bCs/>
                            <w:color w:val="000000" w:themeColor="text1"/>
                            <w:sz w:val="18"/>
                            <w:szCs w:val="18"/>
                            <w:shd w:val="clear" w:color="auto" w:fill="FFFFFF"/>
                            <w:lang w:val="en-US"/>
                          </w:rPr>
                        </m:ctrlPr>
                      </m:accPr>
                      <m:e>
                        <m:r>
                          <m:rPr>
                            <m:sty m:val="b"/>
                          </m:rPr>
                          <w:rPr>
                            <w:rFonts w:ascii="Cambria Math" w:hAnsi="Cambria Math"/>
                            <w:color w:val="000000" w:themeColor="text1"/>
                            <w:sz w:val="18"/>
                            <w:szCs w:val="18"/>
                            <w:shd w:val="clear" w:color="auto" w:fill="FFFFFF"/>
                            <w:lang w:val="en-US"/>
                          </w:rPr>
                          <m:t>M</m:t>
                        </m:r>
                      </m:e>
                    </m:acc>
                    <m:r>
                      <m:rPr>
                        <m:sty m:val="b"/>
                      </m:rPr>
                      <w:rPr>
                        <w:rFonts w:ascii="Cambria Math" w:hAnsi="Cambria Math"/>
                        <w:color w:val="000000" w:themeColor="text1"/>
                        <w:sz w:val="18"/>
                        <w:szCs w:val="18"/>
                        <w:shd w:val="clear" w:color="auto" w:fill="FFFFFF"/>
                        <w:lang w:val="en-US"/>
                      </w:rPr>
                      <m:t>SB</m:t>
                    </m:r>
                  </m:e>
                  <m:sub/>
                  <m:sup>
                    <m:r>
                      <m:rPr>
                        <m:sty m:val="b"/>
                      </m:rPr>
                      <w:rPr>
                        <w:rFonts w:ascii="Cambria Math" w:hAnsi="Cambria Math"/>
                        <w:color w:val="000000" w:themeColor="text1"/>
                        <w:sz w:val="18"/>
                        <w:szCs w:val="18"/>
                        <w:shd w:val="clear" w:color="auto" w:fill="FFFFFF"/>
                        <w:lang w:val="en-US"/>
                      </w:rPr>
                      <m:t>GLS</m:t>
                    </m:r>
                  </m:sup>
                </m:sSubSup>
              </m:oMath>
            </m:oMathPara>
          </w:p>
        </w:tc>
        <w:tc>
          <w:tcPr>
            <w:tcW w:w="1750" w:type="dxa"/>
            <w:tcBorders>
              <w:top w:val="single" w:sz="4" w:space="0" w:color="auto"/>
              <w:bottom w:val="single" w:sz="4" w:space="0" w:color="auto"/>
            </w:tcBorders>
          </w:tcPr>
          <w:p w14:paraId="16CE6A7E" w14:textId="28A3D3F4" w:rsidR="00BF55AF" w:rsidRPr="001A4A7B" w:rsidRDefault="00000000" w:rsidP="00BF55AF">
            <w:pPr>
              <w:jc w:val="both"/>
              <w:rPr>
                <w:b/>
                <w:bCs/>
                <w:color w:val="000000" w:themeColor="text1"/>
                <w:sz w:val="18"/>
                <w:szCs w:val="18"/>
                <w:shd w:val="clear" w:color="auto" w:fill="FFFFFF"/>
                <w:lang w:val="en-US"/>
              </w:rPr>
            </w:pPr>
            <m:oMathPara>
              <m:oMath>
                <m:sSubSup>
                  <m:sSubSupPr>
                    <m:ctrlPr>
                      <w:rPr>
                        <w:rFonts w:ascii="Cambria Math" w:hAnsi="Cambria Math"/>
                        <w:b/>
                        <w:bCs/>
                        <w:color w:val="000000" w:themeColor="text1"/>
                        <w:sz w:val="18"/>
                        <w:szCs w:val="18"/>
                        <w:shd w:val="clear" w:color="auto" w:fill="FFFFFF"/>
                        <w:lang w:val="en-US"/>
                      </w:rPr>
                    </m:ctrlPr>
                  </m:sSubSupPr>
                  <m:e>
                    <m:acc>
                      <m:accPr>
                        <m:chr m:val="̅"/>
                        <m:ctrlPr>
                          <w:rPr>
                            <w:rFonts w:ascii="Cambria Math" w:hAnsi="Cambria Math"/>
                            <w:b/>
                            <w:bCs/>
                            <w:color w:val="000000" w:themeColor="text1"/>
                            <w:sz w:val="18"/>
                            <w:szCs w:val="18"/>
                            <w:shd w:val="clear" w:color="auto" w:fill="FFFFFF"/>
                            <w:lang w:val="en-US"/>
                          </w:rPr>
                        </m:ctrlPr>
                      </m:accPr>
                      <m:e>
                        <m:r>
                          <m:rPr>
                            <m:sty m:val="b"/>
                          </m:rPr>
                          <w:rPr>
                            <w:rFonts w:ascii="Cambria Math" w:hAnsi="Cambria Math"/>
                            <w:color w:val="000000" w:themeColor="text1"/>
                            <w:sz w:val="18"/>
                            <w:szCs w:val="18"/>
                            <w:shd w:val="clear" w:color="auto" w:fill="FFFFFF"/>
                            <w:lang w:val="en-US"/>
                          </w:rPr>
                          <m:t>M</m:t>
                        </m:r>
                      </m:e>
                    </m:acc>
                    <m:r>
                      <m:rPr>
                        <m:sty m:val="b"/>
                      </m:rPr>
                      <w:rPr>
                        <w:rFonts w:ascii="Cambria Math" w:hAnsi="Cambria Math"/>
                        <w:color w:val="000000" w:themeColor="text1"/>
                        <w:sz w:val="18"/>
                        <w:szCs w:val="18"/>
                        <w:shd w:val="clear" w:color="auto" w:fill="FFFFFF"/>
                        <w:lang w:val="en-US"/>
                      </w:rPr>
                      <m:t>PT</m:t>
                    </m:r>
                  </m:e>
                  <m:sub/>
                  <m:sup>
                    <m:r>
                      <m:rPr>
                        <m:sty m:val="b"/>
                      </m:rPr>
                      <w:rPr>
                        <w:rFonts w:ascii="Cambria Math" w:hAnsi="Cambria Math"/>
                        <w:color w:val="000000" w:themeColor="text1"/>
                        <w:sz w:val="18"/>
                        <w:szCs w:val="18"/>
                        <w:shd w:val="clear" w:color="auto" w:fill="FFFFFF"/>
                        <w:lang w:val="en-US"/>
                      </w:rPr>
                      <m:t>GLS</m:t>
                    </m:r>
                  </m:sup>
                </m:sSubSup>
              </m:oMath>
            </m:oMathPara>
          </w:p>
        </w:tc>
      </w:tr>
      <w:tr w:rsidR="001A4A7B" w:rsidRPr="001A4A7B" w14:paraId="21D37DC3" w14:textId="77777777" w:rsidTr="00EF17C0">
        <w:tc>
          <w:tcPr>
            <w:tcW w:w="13994" w:type="dxa"/>
            <w:gridSpan w:val="8"/>
            <w:tcBorders>
              <w:top w:val="single" w:sz="4" w:space="0" w:color="auto"/>
            </w:tcBorders>
          </w:tcPr>
          <w:p w14:paraId="0B539DA5" w14:textId="77777777" w:rsidR="00BF55AF" w:rsidRPr="001A4A7B" w:rsidRDefault="00BF55AF" w:rsidP="00BF55AF">
            <w:pPr>
              <w:jc w:val="both"/>
              <w:rPr>
                <w:b/>
                <w:bCs/>
                <w:color w:val="000000" w:themeColor="text1"/>
                <w:sz w:val="18"/>
                <w:szCs w:val="18"/>
                <w:shd w:val="clear" w:color="auto" w:fill="FFFFFF"/>
                <w:lang w:val="en-US"/>
              </w:rPr>
            </w:pPr>
            <w:r w:rsidRPr="001A4A7B">
              <w:rPr>
                <w:b/>
                <w:bCs/>
                <w:color w:val="000000" w:themeColor="text1"/>
                <w:sz w:val="18"/>
                <w:szCs w:val="18"/>
                <w:shd w:val="clear" w:color="auto" w:fill="FFFFFF"/>
                <w:lang w:val="en-US"/>
              </w:rPr>
              <w:t>Level</w:t>
            </w:r>
          </w:p>
        </w:tc>
      </w:tr>
      <w:tr w:rsidR="001A4A7B" w:rsidRPr="001A4A7B" w14:paraId="34ABF597" w14:textId="77777777" w:rsidTr="00EF17C0">
        <w:tc>
          <w:tcPr>
            <w:tcW w:w="1749" w:type="dxa"/>
          </w:tcPr>
          <w:p w14:paraId="498C6BDE"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WTI</w:t>
            </w:r>
          </w:p>
        </w:tc>
        <w:tc>
          <w:tcPr>
            <w:tcW w:w="1749" w:type="dxa"/>
            <w:vAlign w:val="center"/>
          </w:tcPr>
          <w:p w14:paraId="2B130F2C"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-2.153</w:t>
            </w:r>
          </w:p>
        </w:tc>
        <w:tc>
          <w:tcPr>
            <w:tcW w:w="1749" w:type="dxa"/>
            <w:vAlign w:val="center"/>
          </w:tcPr>
          <w:p w14:paraId="1539D790"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-2.166</w:t>
            </w:r>
          </w:p>
        </w:tc>
        <w:tc>
          <w:tcPr>
            <w:tcW w:w="1749" w:type="dxa"/>
            <w:vAlign w:val="center"/>
          </w:tcPr>
          <w:p w14:paraId="670F7B36" w14:textId="3C6BC933"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0.243</w:t>
            </w:r>
            <w:r w:rsidR="000A2C3C" w:rsidRPr="001A4A7B">
              <w:rPr>
                <w:color w:val="000000" w:themeColor="text1"/>
                <w:sz w:val="18"/>
                <w:szCs w:val="18"/>
                <w:shd w:val="clear" w:color="auto" w:fill="FFFFFF"/>
                <w:lang w:val="en-US"/>
              </w:rPr>
              <w:t>***</w:t>
            </w:r>
          </w:p>
        </w:tc>
        <w:tc>
          <w:tcPr>
            <w:tcW w:w="1749" w:type="dxa"/>
            <w:vAlign w:val="center"/>
          </w:tcPr>
          <w:p w14:paraId="57F6C6E5"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-9.509</w:t>
            </w:r>
          </w:p>
        </w:tc>
        <w:tc>
          <w:tcPr>
            <w:tcW w:w="1749" w:type="dxa"/>
            <w:vAlign w:val="center"/>
          </w:tcPr>
          <w:p w14:paraId="313917D5"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-2.127</w:t>
            </w:r>
          </w:p>
        </w:tc>
        <w:tc>
          <w:tcPr>
            <w:tcW w:w="1750" w:type="dxa"/>
            <w:vAlign w:val="center"/>
          </w:tcPr>
          <w:p w14:paraId="76541BA5"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0.223</w:t>
            </w:r>
          </w:p>
        </w:tc>
        <w:tc>
          <w:tcPr>
            <w:tcW w:w="1750" w:type="dxa"/>
            <w:vAlign w:val="center"/>
          </w:tcPr>
          <w:p w14:paraId="13B57DE8"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9.819</w:t>
            </w:r>
          </w:p>
        </w:tc>
      </w:tr>
      <w:tr w:rsidR="001A4A7B" w:rsidRPr="001A4A7B" w14:paraId="3E4D9954" w14:textId="77777777" w:rsidTr="00EF17C0">
        <w:tc>
          <w:tcPr>
            <w:tcW w:w="1749" w:type="dxa"/>
          </w:tcPr>
          <w:p w14:paraId="43F96032"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Conv. Gasoline</w:t>
            </w:r>
          </w:p>
        </w:tc>
        <w:tc>
          <w:tcPr>
            <w:tcW w:w="1749" w:type="dxa"/>
            <w:vAlign w:val="center"/>
          </w:tcPr>
          <w:p w14:paraId="50EC3CCC"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-2.260</w:t>
            </w:r>
          </w:p>
        </w:tc>
        <w:tc>
          <w:tcPr>
            <w:tcW w:w="1749" w:type="dxa"/>
            <w:vAlign w:val="center"/>
          </w:tcPr>
          <w:p w14:paraId="11E547C3"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-2.268</w:t>
            </w:r>
          </w:p>
        </w:tc>
        <w:tc>
          <w:tcPr>
            <w:tcW w:w="1749" w:type="dxa"/>
            <w:vAlign w:val="center"/>
          </w:tcPr>
          <w:p w14:paraId="23FEBBAA" w14:textId="48DCB4C2"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0.276</w:t>
            </w:r>
            <w:r w:rsidR="000A2C3C" w:rsidRPr="001A4A7B">
              <w:rPr>
                <w:color w:val="000000" w:themeColor="text1"/>
                <w:sz w:val="18"/>
                <w:szCs w:val="18"/>
                <w:shd w:val="clear" w:color="auto" w:fill="FFFFFF"/>
                <w:lang w:val="en-US"/>
              </w:rPr>
              <w:t>***</w:t>
            </w:r>
          </w:p>
        </w:tc>
        <w:tc>
          <w:tcPr>
            <w:tcW w:w="1749" w:type="dxa"/>
            <w:vAlign w:val="center"/>
          </w:tcPr>
          <w:p w14:paraId="7E722898"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-11.597</w:t>
            </w:r>
          </w:p>
        </w:tc>
        <w:tc>
          <w:tcPr>
            <w:tcW w:w="1749" w:type="dxa"/>
            <w:vAlign w:val="center"/>
          </w:tcPr>
          <w:p w14:paraId="7C8C4620"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-2.319</w:t>
            </w:r>
          </w:p>
        </w:tc>
        <w:tc>
          <w:tcPr>
            <w:tcW w:w="1750" w:type="dxa"/>
            <w:vAlign w:val="center"/>
          </w:tcPr>
          <w:p w14:paraId="2C6B4405"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0.200</w:t>
            </w:r>
          </w:p>
        </w:tc>
        <w:tc>
          <w:tcPr>
            <w:tcW w:w="1750" w:type="dxa"/>
            <w:vAlign w:val="center"/>
          </w:tcPr>
          <w:p w14:paraId="2A1D3A2D"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8.334</w:t>
            </w:r>
          </w:p>
        </w:tc>
      </w:tr>
      <w:tr w:rsidR="001A4A7B" w:rsidRPr="001A4A7B" w14:paraId="56F83725" w14:textId="77777777" w:rsidTr="00EF17C0">
        <w:tc>
          <w:tcPr>
            <w:tcW w:w="1749" w:type="dxa"/>
          </w:tcPr>
          <w:p w14:paraId="42000235"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RBOB</w:t>
            </w:r>
          </w:p>
        </w:tc>
        <w:tc>
          <w:tcPr>
            <w:tcW w:w="1749" w:type="dxa"/>
            <w:vAlign w:val="center"/>
          </w:tcPr>
          <w:p w14:paraId="15618B2A"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-3.529*</w:t>
            </w:r>
          </w:p>
        </w:tc>
        <w:tc>
          <w:tcPr>
            <w:tcW w:w="1749" w:type="dxa"/>
            <w:vAlign w:val="center"/>
          </w:tcPr>
          <w:p w14:paraId="5A2490EA"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-3.559*</w:t>
            </w:r>
          </w:p>
        </w:tc>
        <w:tc>
          <w:tcPr>
            <w:tcW w:w="1749" w:type="dxa"/>
            <w:vAlign w:val="center"/>
          </w:tcPr>
          <w:p w14:paraId="47D845DC" w14:textId="3B63319A"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0.251</w:t>
            </w:r>
            <w:r w:rsidR="000A2C3C" w:rsidRPr="001A4A7B">
              <w:rPr>
                <w:color w:val="000000" w:themeColor="text1"/>
                <w:sz w:val="18"/>
                <w:szCs w:val="18"/>
                <w:shd w:val="clear" w:color="auto" w:fill="FFFFFF"/>
                <w:lang w:val="en-US"/>
              </w:rPr>
              <w:t>***</w:t>
            </w:r>
          </w:p>
        </w:tc>
        <w:tc>
          <w:tcPr>
            <w:tcW w:w="1749" w:type="dxa"/>
            <w:vAlign w:val="center"/>
          </w:tcPr>
          <w:p w14:paraId="4EFCF57E"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-25.982***</w:t>
            </w:r>
          </w:p>
        </w:tc>
        <w:tc>
          <w:tcPr>
            <w:tcW w:w="1749" w:type="dxa"/>
            <w:vAlign w:val="center"/>
          </w:tcPr>
          <w:p w14:paraId="5962C42E"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-3.545***</w:t>
            </w:r>
          </w:p>
        </w:tc>
        <w:tc>
          <w:tcPr>
            <w:tcW w:w="1750" w:type="dxa"/>
            <w:vAlign w:val="center"/>
          </w:tcPr>
          <w:p w14:paraId="3D0CF7A5"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0.136***</w:t>
            </w:r>
          </w:p>
        </w:tc>
        <w:tc>
          <w:tcPr>
            <w:tcW w:w="1750" w:type="dxa"/>
            <w:vAlign w:val="center"/>
          </w:tcPr>
          <w:p w14:paraId="3585541A"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3.864***</w:t>
            </w:r>
          </w:p>
        </w:tc>
      </w:tr>
      <w:tr w:rsidR="001A4A7B" w:rsidRPr="001A4A7B" w14:paraId="78162260" w14:textId="77777777" w:rsidTr="00EF17C0">
        <w:tc>
          <w:tcPr>
            <w:tcW w:w="1749" w:type="dxa"/>
          </w:tcPr>
          <w:p w14:paraId="0B686E25"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Heating Oil</w:t>
            </w:r>
          </w:p>
        </w:tc>
        <w:tc>
          <w:tcPr>
            <w:tcW w:w="1749" w:type="dxa"/>
            <w:vAlign w:val="center"/>
          </w:tcPr>
          <w:p w14:paraId="405643E7"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-3.352*</w:t>
            </w:r>
          </w:p>
        </w:tc>
        <w:tc>
          <w:tcPr>
            <w:tcW w:w="1749" w:type="dxa"/>
            <w:vAlign w:val="center"/>
          </w:tcPr>
          <w:p w14:paraId="4877D32D"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-3.521*</w:t>
            </w:r>
          </w:p>
        </w:tc>
        <w:tc>
          <w:tcPr>
            <w:tcW w:w="1749" w:type="dxa"/>
            <w:vAlign w:val="center"/>
          </w:tcPr>
          <w:p w14:paraId="37ED5285" w14:textId="4D559D42"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0.245</w:t>
            </w:r>
            <w:r w:rsidR="000A2C3C" w:rsidRPr="001A4A7B">
              <w:rPr>
                <w:color w:val="000000" w:themeColor="text1"/>
                <w:sz w:val="18"/>
                <w:szCs w:val="18"/>
                <w:shd w:val="clear" w:color="auto" w:fill="FFFFFF"/>
                <w:lang w:val="en-US"/>
              </w:rPr>
              <w:t>***</w:t>
            </w:r>
          </w:p>
        </w:tc>
        <w:tc>
          <w:tcPr>
            <w:tcW w:w="1749" w:type="dxa"/>
            <w:vAlign w:val="center"/>
          </w:tcPr>
          <w:p w14:paraId="268384BF"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-8.655</w:t>
            </w:r>
          </w:p>
        </w:tc>
        <w:tc>
          <w:tcPr>
            <w:tcW w:w="1749" w:type="dxa"/>
            <w:vAlign w:val="center"/>
          </w:tcPr>
          <w:p w14:paraId="1E88515B"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-2.009</w:t>
            </w:r>
          </w:p>
        </w:tc>
        <w:tc>
          <w:tcPr>
            <w:tcW w:w="1750" w:type="dxa"/>
            <w:vAlign w:val="center"/>
          </w:tcPr>
          <w:p w14:paraId="6EA5CBD9"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0.232</w:t>
            </w:r>
          </w:p>
        </w:tc>
        <w:tc>
          <w:tcPr>
            <w:tcW w:w="1750" w:type="dxa"/>
            <w:vAlign w:val="center"/>
          </w:tcPr>
          <w:p w14:paraId="698A4216"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10.795</w:t>
            </w:r>
          </w:p>
        </w:tc>
      </w:tr>
      <w:tr w:rsidR="001A4A7B" w:rsidRPr="001A4A7B" w14:paraId="54CCDD21" w14:textId="77777777" w:rsidTr="00EF17C0">
        <w:tc>
          <w:tcPr>
            <w:tcW w:w="1749" w:type="dxa"/>
          </w:tcPr>
          <w:p w14:paraId="0431BBA8"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Diesel NY</w:t>
            </w:r>
          </w:p>
        </w:tc>
        <w:tc>
          <w:tcPr>
            <w:tcW w:w="1749" w:type="dxa"/>
            <w:vAlign w:val="center"/>
          </w:tcPr>
          <w:p w14:paraId="02F8DC66"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-2.009</w:t>
            </w:r>
          </w:p>
        </w:tc>
        <w:tc>
          <w:tcPr>
            <w:tcW w:w="1749" w:type="dxa"/>
            <w:vAlign w:val="center"/>
          </w:tcPr>
          <w:p w14:paraId="202BE9A8"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-2.013</w:t>
            </w:r>
          </w:p>
        </w:tc>
        <w:tc>
          <w:tcPr>
            <w:tcW w:w="1749" w:type="dxa"/>
            <w:vAlign w:val="center"/>
          </w:tcPr>
          <w:p w14:paraId="4FAF9924" w14:textId="0EBA40D0"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0.242</w:t>
            </w:r>
            <w:r w:rsidR="000A2C3C" w:rsidRPr="001A4A7B">
              <w:rPr>
                <w:color w:val="000000" w:themeColor="text1"/>
                <w:sz w:val="18"/>
                <w:szCs w:val="18"/>
                <w:shd w:val="clear" w:color="auto" w:fill="FFFFFF"/>
                <w:lang w:val="en-US"/>
              </w:rPr>
              <w:t>***</w:t>
            </w:r>
          </w:p>
        </w:tc>
        <w:tc>
          <w:tcPr>
            <w:tcW w:w="1749" w:type="dxa"/>
            <w:vAlign w:val="center"/>
          </w:tcPr>
          <w:p w14:paraId="1E92D305"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-9.338</w:t>
            </w:r>
          </w:p>
        </w:tc>
        <w:tc>
          <w:tcPr>
            <w:tcW w:w="1749" w:type="dxa"/>
            <w:vAlign w:val="center"/>
          </w:tcPr>
          <w:p w14:paraId="01B63199"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-2.072</w:t>
            </w:r>
          </w:p>
        </w:tc>
        <w:tc>
          <w:tcPr>
            <w:tcW w:w="1750" w:type="dxa"/>
            <w:vAlign w:val="center"/>
          </w:tcPr>
          <w:p w14:paraId="459978B3"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0.222</w:t>
            </w:r>
          </w:p>
        </w:tc>
        <w:tc>
          <w:tcPr>
            <w:tcW w:w="1750" w:type="dxa"/>
            <w:vAlign w:val="center"/>
          </w:tcPr>
          <w:p w14:paraId="2BB834C3"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10.137</w:t>
            </w:r>
          </w:p>
        </w:tc>
      </w:tr>
      <w:tr w:rsidR="001A4A7B" w:rsidRPr="001A4A7B" w14:paraId="622909B9" w14:textId="77777777" w:rsidTr="00EF17C0">
        <w:tc>
          <w:tcPr>
            <w:tcW w:w="1749" w:type="dxa"/>
          </w:tcPr>
          <w:p w14:paraId="524C0EFB"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Kerosene</w:t>
            </w:r>
          </w:p>
        </w:tc>
        <w:tc>
          <w:tcPr>
            <w:tcW w:w="1749" w:type="dxa"/>
            <w:vAlign w:val="center"/>
          </w:tcPr>
          <w:p w14:paraId="4AE7A4C6"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-2.016</w:t>
            </w:r>
          </w:p>
        </w:tc>
        <w:tc>
          <w:tcPr>
            <w:tcW w:w="1749" w:type="dxa"/>
            <w:vAlign w:val="center"/>
          </w:tcPr>
          <w:p w14:paraId="33A927DB"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-2.011</w:t>
            </w:r>
          </w:p>
        </w:tc>
        <w:tc>
          <w:tcPr>
            <w:tcW w:w="1749" w:type="dxa"/>
            <w:vAlign w:val="center"/>
          </w:tcPr>
          <w:p w14:paraId="7B6AD3EC" w14:textId="5A4540E6"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0.236</w:t>
            </w:r>
            <w:r w:rsidR="000A2C3C" w:rsidRPr="001A4A7B">
              <w:rPr>
                <w:color w:val="000000" w:themeColor="text1"/>
                <w:sz w:val="18"/>
                <w:szCs w:val="18"/>
                <w:shd w:val="clear" w:color="auto" w:fill="FFFFFF"/>
                <w:lang w:val="en-US"/>
              </w:rPr>
              <w:t>***</w:t>
            </w:r>
          </w:p>
        </w:tc>
        <w:tc>
          <w:tcPr>
            <w:tcW w:w="1749" w:type="dxa"/>
            <w:vAlign w:val="center"/>
          </w:tcPr>
          <w:p w14:paraId="4C50FCFE"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-9.199</w:t>
            </w:r>
          </w:p>
        </w:tc>
        <w:tc>
          <w:tcPr>
            <w:tcW w:w="1749" w:type="dxa"/>
            <w:vAlign w:val="center"/>
          </w:tcPr>
          <w:p w14:paraId="5A068AA4"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-2.062</w:t>
            </w:r>
          </w:p>
        </w:tc>
        <w:tc>
          <w:tcPr>
            <w:tcW w:w="1750" w:type="dxa"/>
            <w:vAlign w:val="center"/>
          </w:tcPr>
          <w:p w14:paraId="4801A4C6"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0.224</w:t>
            </w:r>
          </w:p>
        </w:tc>
        <w:tc>
          <w:tcPr>
            <w:tcW w:w="1750" w:type="dxa"/>
            <w:vAlign w:val="center"/>
          </w:tcPr>
          <w:p w14:paraId="021B08B0"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10.253</w:t>
            </w:r>
          </w:p>
        </w:tc>
      </w:tr>
      <w:tr w:rsidR="001A4A7B" w:rsidRPr="001A4A7B" w14:paraId="163E4D39" w14:textId="77777777" w:rsidTr="00EF17C0">
        <w:tc>
          <w:tcPr>
            <w:tcW w:w="13994" w:type="dxa"/>
            <w:gridSpan w:val="8"/>
            <w:vAlign w:val="center"/>
          </w:tcPr>
          <w:p w14:paraId="5B66EA7B" w14:textId="24975F45" w:rsidR="00BF55AF" w:rsidRPr="001A4A7B" w:rsidRDefault="00BF55AF" w:rsidP="00BF55AF">
            <w:pPr>
              <w:jc w:val="both"/>
              <w:rPr>
                <w:b/>
                <w:bCs/>
                <w:color w:val="000000" w:themeColor="text1"/>
                <w:sz w:val="18"/>
                <w:szCs w:val="18"/>
                <w:shd w:val="clear" w:color="auto" w:fill="FFFFFF"/>
                <w:lang w:val="en-US"/>
              </w:rPr>
            </w:pPr>
            <w:r w:rsidRPr="001A4A7B">
              <w:rPr>
                <w:b/>
                <w:bCs/>
                <w:color w:val="000000" w:themeColor="text1"/>
                <w:sz w:val="18"/>
                <w:szCs w:val="18"/>
                <w:shd w:val="clear" w:color="auto" w:fill="FFFFFF"/>
                <w:lang w:val="en-US"/>
              </w:rPr>
              <w:t>First difference</w:t>
            </w:r>
            <w:r w:rsidR="00D0249D" w:rsidRPr="001A4A7B">
              <w:rPr>
                <w:b/>
                <w:bCs/>
                <w:color w:val="000000" w:themeColor="text1"/>
                <w:sz w:val="18"/>
                <w:szCs w:val="18"/>
                <w:shd w:val="clear" w:color="auto" w:fill="FFFFFF"/>
                <w:lang w:val="en-US"/>
              </w:rPr>
              <w:t>s</w:t>
            </w:r>
          </w:p>
        </w:tc>
      </w:tr>
      <w:tr w:rsidR="001A4A7B" w:rsidRPr="001A4A7B" w14:paraId="6C9A8377" w14:textId="77777777" w:rsidTr="00EF17C0">
        <w:tc>
          <w:tcPr>
            <w:tcW w:w="1749" w:type="dxa"/>
          </w:tcPr>
          <w:p w14:paraId="6F2543B1"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WTI</w:t>
            </w:r>
          </w:p>
        </w:tc>
        <w:tc>
          <w:tcPr>
            <w:tcW w:w="1749" w:type="dxa"/>
            <w:vAlign w:val="center"/>
          </w:tcPr>
          <w:p w14:paraId="03A2E227"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-24.849***</w:t>
            </w:r>
          </w:p>
        </w:tc>
        <w:tc>
          <w:tcPr>
            <w:tcW w:w="1749" w:type="dxa"/>
            <w:vAlign w:val="center"/>
          </w:tcPr>
          <w:p w14:paraId="1ACAA798"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-24.874***</w:t>
            </w:r>
          </w:p>
        </w:tc>
        <w:tc>
          <w:tcPr>
            <w:tcW w:w="1749" w:type="dxa"/>
            <w:vAlign w:val="center"/>
          </w:tcPr>
          <w:p w14:paraId="6B8C3940" w14:textId="634CE900"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0.056</w:t>
            </w:r>
          </w:p>
        </w:tc>
        <w:tc>
          <w:tcPr>
            <w:tcW w:w="1749" w:type="dxa"/>
            <w:vAlign w:val="center"/>
          </w:tcPr>
          <w:p w14:paraId="7D7D2D94"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-409.220***</w:t>
            </w:r>
          </w:p>
        </w:tc>
        <w:tc>
          <w:tcPr>
            <w:tcW w:w="1749" w:type="dxa"/>
            <w:vAlign w:val="center"/>
          </w:tcPr>
          <w:p w14:paraId="464A852B"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-14.304***</w:t>
            </w:r>
          </w:p>
        </w:tc>
        <w:tc>
          <w:tcPr>
            <w:tcW w:w="1750" w:type="dxa"/>
            <w:vAlign w:val="center"/>
          </w:tcPr>
          <w:p w14:paraId="33E3ACF2"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0.035***</w:t>
            </w:r>
          </w:p>
        </w:tc>
        <w:tc>
          <w:tcPr>
            <w:tcW w:w="1750" w:type="dxa"/>
            <w:vAlign w:val="center"/>
          </w:tcPr>
          <w:p w14:paraId="406E9016"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0.059***</w:t>
            </w:r>
          </w:p>
        </w:tc>
      </w:tr>
      <w:tr w:rsidR="001A4A7B" w:rsidRPr="001A4A7B" w14:paraId="41BF745C" w14:textId="77777777" w:rsidTr="00EF17C0">
        <w:tc>
          <w:tcPr>
            <w:tcW w:w="1749" w:type="dxa"/>
          </w:tcPr>
          <w:p w14:paraId="7EB26683"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Conv. Gasoline</w:t>
            </w:r>
          </w:p>
        </w:tc>
        <w:tc>
          <w:tcPr>
            <w:tcW w:w="1749" w:type="dxa"/>
            <w:vAlign w:val="center"/>
          </w:tcPr>
          <w:p w14:paraId="1D139A37"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-22.862***</w:t>
            </w:r>
          </w:p>
        </w:tc>
        <w:tc>
          <w:tcPr>
            <w:tcW w:w="1749" w:type="dxa"/>
            <w:vAlign w:val="center"/>
          </w:tcPr>
          <w:p w14:paraId="140FF5BE"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-22.916***</w:t>
            </w:r>
          </w:p>
        </w:tc>
        <w:tc>
          <w:tcPr>
            <w:tcW w:w="1749" w:type="dxa"/>
            <w:vAlign w:val="center"/>
          </w:tcPr>
          <w:p w14:paraId="4353319F" w14:textId="3C2A97B3"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0.064</w:t>
            </w:r>
          </w:p>
        </w:tc>
        <w:tc>
          <w:tcPr>
            <w:tcW w:w="1749" w:type="dxa"/>
            <w:vAlign w:val="center"/>
          </w:tcPr>
          <w:p w14:paraId="69A3720F"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-393.127***</w:t>
            </w:r>
          </w:p>
        </w:tc>
        <w:tc>
          <w:tcPr>
            <w:tcW w:w="1749" w:type="dxa"/>
            <w:vAlign w:val="center"/>
          </w:tcPr>
          <w:p w14:paraId="3E5B865C"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14.017***</w:t>
            </w:r>
          </w:p>
        </w:tc>
        <w:tc>
          <w:tcPr>
            <w:tcW w:w="1750" w:type="dxa"/>
            <w:vAlign w:val="center"/>
          </w:tcPr>
          <w:p w14:paraId="583E5A40"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0.036***</w:t>
            </w:r>
          </w:p>
        </w:tc>
        <w:tc>
          <w:tcPr>
            <w:tcW w:w="1750" w:type="dxa"/>
            <w:vAlign w:val="center"/>
          </w:tcPr>
          <w:p w14:paraId="6B19397E"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0.065***</w:t>
            </w:r>
          </w:p>
        </w:tc>
      </w:tr>
      <w:tr w:rsidR="001A4A7B" w:rsidRPr="001A4A7B" w14:paraId="1D4684A5" w14:textId="77777777" w:rsidTr="00EF17C0">
        <w:tc>
          <w:tcPr>
            <w:tcW w:w="1749" w:type="dxa"/>
          </w:tcPr>
          <w:p w14:paraId="68DFC250"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RBOB</w:t>
            </w:r>
          </w:p>
        </w:tc>
        <w:tc>
          <w:tcPr>
            <w:tcW w:w="1749" w:type="dxa"/>
            <w:vAlign w:val="center"/>
          </w:tcPr>
          <w:p w14:paraId="6B2E6F8B"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-23.159***</w:t>
            </w:r>
          </w:p>
        </w:tc>
        <w:tc>
          <w:tcPr>
            <w:tcW w:w="1749" w:type="dxa"/>
            <w:vAlign w:val="center"/>
          </w:tcPr>
          <w:p w14:paraId="6F7A2AB1"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-23.303***</w:t>
            </w:r>
          </w:p>
        </w:tc>
        <w:tc>
          <w:tcPr>
            <w:tcW w:w="1749" w:type="dxa"/>
            <w:vAlign w:val="center"/>
          </w:tcPr>
          <w:p w14:paraId="3CC4CA9A" w14:textId="245573FD"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0.042</w:t>
            </w:r>
          </w:p>
        </w:tc>
        <w:tc>
          <w:tcPr>
            <w:tcW w:w="1749" w:type="dxa"/>
            <w:vAlign w:val="center"/>
          </w:tcPr>
          <w:p w14:paraId="649D4AFD"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-386.337***</w:t>
            </w:r>
          </w:p>
        </w:tc>
        <w:tc>
          <w:tcPr>
            <w:tcW w:w="1749" w:type="dxa"/>
            <w:vAlign w:val="center"/>
          </w:tcPr>
          <w:p w14:paraId="0152ABF9"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-13.896***</w:t>
            </w:r>
          </w:p>
        </w:tc>
        <w:tc>
          <w:tcPr>
            <w:tcW w:w="1750" w:type="dxa"/>
            <w:vAlign w:val="center"/>
          </w:tcPr>
          <w:p w14:paraId="5B9C1DB0"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0.036***</w:t>
            </w:r>
          </w:p>
        </w:tc>
        <w:tc>
          <w:tcPr>
            <w:tcW w:w="1750" w:type="dxa"/>
            <w:vAlign w:val="center"/>
          </w:tcPr>
          <w:p w14:paraId="0F2BC58E"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0.066***</w:t>
            </w:r>
          </w:p>
        </w:tc>
      </w:tr>
      <w:tr w:rsidR="001A4A7B" w:rsidRPr="001A4A7B" w14:paraId="1F6A256D" w14:textId="77777777" w:rsidTr="00EF17C0">
        <w:tc>
          <w:tcPr>
            <w:tcW w:w="1749" w:type="dxa"/>
          </w:tcPr>
          <w:p w14:paraId="355B804A"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Heating Oil</w:t>
            </w:r>
          </w:p>
        </w:tc>
        <w:tc>
          <w:tcPr>
            <w:tcW w:w="1749" w:type="dxa"/>
            <w:vAlign w:val="center"/>
          </w:tcPr>
          <w:p w14:paraId="12556244"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-24.294***</w:t>
            </w:r>
          </w:p>
        </w:tc>
        <w:tc>
          <w:tcPr>
            <w:tcW w:w="1749" w:type="dxa"/>
            <w:vAlign w:val="center"/>
          </w:tcPr>
          <w:p w14:paraId="70A773D6"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-41.001***</w:t>
            </w:r>
          </w:p>
        </w:tc>
        <w:tc>
          <w:tcPr>
            <w:tcW w:w="1749" w:type="dxa"/>
            <w:vAlign w:val="center"/>
          </w:tcPr>
          <w:p w14:paraId="6313CE3A" w14:textId="63A28BB5"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0.082</w:t>
            </w:r>
          </w:p>
        </w:tc>
        <w:tc>
          <w:tcPr>
            <w:tcW w:w="1749" w:type="dxa"/>
            <w:vAlign w:val="center"/>
          </w:tcPr>
          <w:p w14:paraId="09DB8015"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-26.118***</w:t>
            </w:r>
          </w:p>
        </w:tc>
        <w:tc>
          <w:tcPr>
            <w:tcW w:w="1749" w:type="dxa"/>
            <w:vAlign w:val="center"/>
          </w:tcPr>
          <w:p w14:paraId="44CD6684"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-3.610***</w:t>
            </w:r>
          </w:p>
        </w:tc>
        <w:tc>
          <w:tcPr>
            <w:tcW w:w="1750" w:type="dxa"/>
            <w:vAlign w:val="center"/>
          </w:tcPr>
          <w:p w14:paraId="16E2BB55"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0.138***</w:t>
            </w:r>
          </w:p>
        </w:tc>
        <w:tc>
          <w:tcPr>
            <w:tcW w:w="1750" w:type="dxa"/>
            <w:vAlign w:val="center"/>
          </w:tcPr>
          <w:p w14:paraId="13397C81"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0.952***</w:t>
            </w:r>
          </w:p>
        </w:tc>
      </w:tr>
      <w:tr w:rsidR="001A4A7B" w:rsidRPr="001A4A7B" w14:paraId="70BD078C" w14:textId="77777777" w:rsidTr="00EF17C0">
        <w:tc>
          <w:tcPr>
            <w:tcW w:w="1749" w:type="dxa"/>
          </w:tcPr>
          <w:p w14:paraId="462A81CA"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Diesel NY</w:t>
            </w:r>
          </w:p>
        </w:tc>
        <w:tc>
          <w:tcPr>
            <w:tcW w:w="1749" w:type="dxa"/>
            <w:vAlign w:val="center"/>
          </w:tcPr>
          <w:p w14:paraId="67C20F40"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-24.361***</w:t>
            </w:r>
          </w:p>
        </w:tc>
        <w:tc>
          <w:tcPr>
            <w:tcW w:w="1749" w:type="dxa"/>
            <w:vAlign w:val="center"/>
          </w:tcPr>
          <w:p w14:paraId="1AD00788"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-33.136***</w:t>
            </w:r>
          </w:p>
        </w:tc>
        <w:tc>
          <w:tcPr>
            <w:tcW w:w="1749" w:type="dxa"/>
            <w:vAlign w:val="center"/>
          </w:tcPr>
          <w:p w14:paraId="39BDBADB" w14:textId="08DD4F1F"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0.088</w:t>
            </w:r>
          </w:p>
        </w:tc>
        <w:tc>
          <w:tcPr>
            <w:tcW w:w="1749" w:type="dxa"/>
            <w:vAlign w:val="center"/>
          </w:tcPr>
          <w:p w14:paraId="3EB64437"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-49.624***</w:t>
            </w:r>
          </w:p>
        </w:tc>
        <w:tc>
          <w:tcPr>
            <w:tcW w:w="1749" w:type="dxa"/>
            <w:vAlign w:val="center"/>
          </w:tcPr>
          <w:p w14:paraId="7163D7F5"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-4.980***</w:t>
            </w:r>
          </w:p>
        </w:tc>
        <w:tc>
          <w:tcPr>
            <w:tcW w:w="1750" w:type="dxa"/>
            <w:vAlign w:val="center"/>
          </w:tcPr>
          <w:p w14:paraId="1E60B403"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0.100***</w:t>
            </w:r>
          </w:p>
        </w:tc>
        <w:tc>
          <w:tcPr>
            <w:tcW w:w="1750" w:type="dxa"/>
            <w:vAlign w:val="center"/>
          </w:tcPr>
          <w:p w14:paraId="7EE6A10A"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0.496***</w:t>
            </w:r>
          </w:p>
        </w:tc>
      </w:tr>
      <w:tr w:rsidR="001A4A7B" w:rsidRPr="001A4A7B" w14:paraId="17CD496A" w14:textId="77777777" w:rsidTr="00EF17C0">
        <w:tc>
          <w:tcPr>
            <w:tcW w:w="1749" w:type="dxa"/>
            <w:tcBorders>
              <w:bottom w:val="single" w:sz="4" w:space="0" w:color="auto"/>
            </w:tcBorders>
          </w:tcPr>
          <w:p w14:paraId="1ED77D13"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WTI</w:t>
            </w:r>
          </w:p>
        </w:tc>
        <w:tc>
          <w:tcPr>
            <w:tcW w:w="1749" w:type="dxa"/>
            <w:tcBorders>
              <w:bottom w:val="single" w:sz="4" w:space="0" w:color="auto"/>
            </w:tcBorders>
            <w:vAlign w:val="center"/>
          </w:tcPr>
          <w:p w14:paraId="4BE5F514"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-24.326***</w:t>
            </w:r>
          </w:p>
        </w:tc>
        <w:tc>
          <w:tcPr>
            <w:tcW w:w="1749" w:type="dxa"/>
            <w:tcBorders>
              <w:bottom w:val="single" w:sz="4" w:space="0" w:color="auto"/>
            </w:tcBorders>
            <w:vAlign w:val="center"/>
          </w:tcPr>
          <w:p w14:paraId="4FF7DC6D"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-43.328***</w:t>
            </w:r>
          </w:p>
        </w:tc>
        <w:tc>
          <w:tcPr>
            <w:tcW w:w="1749" w:type="dxa"/>
            <w:tcBorders>
              <w:bottom w:val="single" w:sz="4" w:space="0" w:color="auto"/>
            </w:tcBorders>
            <w:vAlign w:val="center"/>
          </w:tcPr>
          <w:p w14:paraId="72D02B78" w14:textId="368E65A4"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0.077</w:t>
            </w:r>
          </w:p>
        </w:tc>
        <w:tc>
          <w:tcPr>
            <w:tcW w:w="1749" w:type="dxa"/>
            <w:tcBorders>
              <w:bottom w:val="single" w:sz="4" w:space="0" w:color="auto"/>
            </w:tcBorders>
            <w:vAlign w:val="center"/>
          </w:tcPr>
          <w:p w14:paraId="37208DAF"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-16.821***</w:t>
            </w:r>
          </w:p>
        </w:tc>
        <w:tc>
          <w:tcPr>
            <w:tcW w:w="1749" w:type="dxa"/>
            <w:tcBorders>
              <w:bottom w:val="single" w:sz="4" w:space="0" w:color="auto"/>
            </w:tcBorders>
            <w:vAlign w:val="center"/>
          </w:tcPr>
          <w:p w14:paraId="76E84C69"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-2.875***</w:t>
            </w:r>
          </w:p>
        </w:tc>
        <w:tc>
          <w:tcPr>
            <w:tcW w:w="1750" w:type="dxa"/>
            <w:tcBorders>
              <w:bottom w:val="single" w:sz="4" w:space="0" w:color="auto"/>
            </w:tcBorders>
            <w:vAlign w:val="center"/>
          </w:tcPr>
          <w:p w14:paraId="48C8502E"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0.171***</w:t>
            </w:r>
          </w:p>
        </w:tc>
        <w:tc>
          <w:tcPr>
            <w:tcW w:w="1750" w:type="dxa"/>
            <w:tcBorders>
              <w:bottom w:val="single" w:sz="4" w:space="0" w:color="auto"/>
            </w:tcBorders>
            <w:vAlign w:val="center"/>
          </w:tcPr>
          <w:p w14:paraId="47B8CE40" w14:textId="77777777" w:rsidR="00BF55AF" w:rsidRPr="001A4A7B" w:rsidRDefault="00BF55AF" w:rsidP="00BF55AF">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1.552***</w:t>
            </w:r>
          </w:p>
        </w:tc>
      </w:tr>
      <w:tr w:rsidR="006C4CB3" w:rsidRPr="001A4A7B" w14:paraId="6B2D2B8A" w14:textId="77777777" w:rsidTr="00EF17C0">
        <w:tc>
          <w:tcPr>
            <w:tcW w:w="13994" w:type="dxa"/>
            <w:gridSpan w:val="8"/>
            <w:tcBorders>
              <w:top w:val="single" w:sz="4" w:space="0" w:color="auto"/>
            </w:tcBorders>
          </w:tcPr>
          <w:p w14:paraId="47BF358C" w14:textId="77777777" w:rsidR="00F341A9" w:rsidRPr="001A4A7B" w:rsidRDefault="00BF55AF" w:rsidP="00F341A9">
            <w:pPr>
              <w:jc w:val="both"/>
              <w:rPr>
                <w:color w:val="000000" w:themeColor="text1"/>
                <w:sz w:val="18"/>
                <w:szCs w:val="18"/>
                <w:shd w:val="clear" w:color="auto" w:fill="FFFFFF"/>
                <w:lang w:val="en-US"/>
              </w:rPr>
            </w:pPr>
            <w:r w:rsidRPr="001A4A7B">
              <w:rPr>
                <w:b/>
                <w:bCs/>
                <w:color w:val="000000" w:themeColor="text1"/>
                <w:sz w:val="18"/>
                <w:szCs w:val="18"/>
                <w:shd w:val="clear" w:color="auto" w:fill="FFFFFF"/>
                <w:lang w:val="en-US"/>
              </w:rPr>
              <w:t>Note:</w:t>
            </w:r>
            <w:r w:rsidRPr="001A4A7B">
              <w:rPr>
                <w:color w:val="000000" w:themeColor="text1"/>
                <w:sz w:val="18"/>
                <w:szCs w:val="18"/>
                <w:shd w:val="clear" w:color="auto" w:fill="FFFFFF"/>
                <w:lang w:val="en-US"/>
              </w:rPr>
              <w:t xml:space="preserve"> </w:t>
            </w:r>
            <w:r w:rsidR="00F341A9" w:rsidRPr="001A4A7B">
              <w:rPr>
                <w:color w:val="000000" w:themeColor="text1"/>
                <w:sz w:val="18"/>
                <w:szCs w:val="18"/>
                <w:shd w:val="clear" w:color="auto" w:fill="FFFFFF"/>
                <w:lang w:val="en-US"/>
              </w:rPr>
              <w:t xml:space="preserve">ADF: Augmented Dickey-Fuller, PP: Philips-Perron, KPSS: Kwiatkowski-Philips-Schmidt-Shin; SIC: Schwartz information criterion; MSIC: Modified Schwartz information criterion lag length used in ADF and PP based in SIC, MSIC in Ng-Perron, and Newey-West bandwidth used for KPSS. </w:t>
            </w:r>
          </w:p>
          <w:p w14:paraId="39862B05" w14:textId="5C84A49B" w:rsidR="00BF55AF" w:rsidRPr="001A4A7B" w:rsidRDefault="00F341A9" w:rsidP="00F341A9">
            <w:pPr>
              <w:jc w:val="both"/>
              <w:rPr>
                <w:color w:val="000000" w:themeColor="text1"/>
                <w:sz w:val="18"/>
                <w:szCs w:val="18"/>
                <w:shd w:val="clear" w:color="auto" w:fill="FFFFFF"/>
                <w:lang w:val="en-US"/>
              </w:rPr>
            </w:pPr>
            <w:r w:rsidRPr="001A4A7B">
              <w:rPr>
                <w:color w:val="000000" w:themeColor="text1"/>
                <w:sz w:val="18"/>
                <w:szCs w:val="18"/>
                <w:shd w:val="clear" w:color="auto" w:fill="FFFFFF"/>
                <w:lang w:val="en-US"/>
              </w:rPr>
              <w:t xml:space="preserve">***,**,* </w:t>
            </w:r>
            <w:r w:rsidR="000A2C3C" w:rsidRPr="001A4A7B">
              <w:rPr>
                <w:color w:val="000000" w:themeColor="text1"/>
                <w:sz w:val="18"/>
                <w:szCs w:val="18"/>
                <w:shd w:val="clear" w:color="auto" w:fill="FFFFFF"/>
                <w:lang w:val="en-US"/>
              </w:rPr>
              <w:t>indicate rejection of the null hypotheses (of unit root for ADF, PP, and NG-Perron, and of stationarity for KPSS) at 1%, 5%, and 10% levels.</w:t>
            </w:r>
            <w:r w:rsidRPr="001A4A7B">
              <w:rPr>
                <w:color w:val="000000" w:themeColor="text1"/>
                <w:sz w:val="18"/>
                <w:szCs w:val="18"/>
                <w:shd w:val="clear" w:color="auto" w:fill="FFFFFF"/>
                <w:lang w:val="en-US"/>
              </w:rPr>
              <w:t>.</w:t>
            </w:r>
          </w:p>
        </w:tc>
      </w:tr>
    </w:tbl>
    <w:p w14:paraId="2EB71E13" w14:textId="4023597C" w:rsidR="00494401" w:rsidRPr="001A4A7B" w:rsidRDefault="00494401" w:rsidP="000D79F0">
      <w:pPr>
        <w:jc w:val="both"/>
        <w:rPr>
          <w:color w:val="000000" w:themeColor="text1"/>
          <w:shd w:val="clear" w:color="auto" w:fill="FFFFFF"/>
          <w:lang w:val="en-US"/>
        </w:rPr>
      </w:pPr>
    </w:p>
    <w:p w14:paraId="272CBF3E" w14:textId="77777777" w:rsidR="004B2CEA" w:rsidRPr="001A4A7B" w:rsidRDefault="004B2CEA" w:rsidP="000D79F0">
      <w:pPr>
        <w:jc w:val="both"/>
        <w:rPr>
          <w:color w:val="000000" w:themeColor="text1"/>
          <w:shd w:val="clear" w:color="auto" w:fill="FFFFFF"/>
          <w:lang w:val="en-US"/>
        </w:rPr>
      </w:pPr>
    </w:p>
    <w:tbl>
      <w:tblPr>
        <w:tblStyle w:val="Tablaconcuadrcula"/>
        <w:tblW w:w="10921" w:type="dxa"/>
        <w:tblInd w:w="-1287" w:type="dxa"/>
        <w:tblLook w:val="04A0" w:firstRow="1" w:lastRow="0" w:firstColumn="1" w:lastColumn="0" w:noHBand="0" w:noVBand="1"/>
      </w:tblPr>
      <w:tblGrid>
        <w:gridCol w:w="1697"/>
        <w:gridCol w:w="1697"/>
        <w:gridCol w:w="1698"/>
        <w:gridCol w:w="1698"/>
        <w:gridCol w:w="4131"/>
      </w:tblGrid>
      <w:tr w:rsidR="001A4A7B" w:rsidRPr="001A4A7B" w14:paraId="5C604223" w14:textId="77777777" w:rsidTr="00494401">
        <w:tc>
          <w:tcPr>
            <w:tcW w:w="10921" w:type="dxa"/>
            <w:gridSpan w:val="5"/>
            <w:tcBorders>
              <w:top w:val="nil"/>
              <w:left w:val="nil"/>
              <w:bottom w:val="single" w:sz="4" w:space="0" w:color="auto"/>
              <w:right w:val="nil"/>
            </w:tcBorders>
            <w:vAlign w:val="center"/>
          </w:tcPr>
          <w:p w14:paraId="6EDE2C8E" w14:textId="3CC62D9C" w:rsidR="00494401" w:rsidRPr="001A4A7B" w:rsidRDefault="00494401" w:rsidP="00494401">
            <w:pPr>
              <w:jc w:val="both"/>
              <w:rPr>
                <w:b/>
                <w:bCs/>
                <w:color w:val="000000" w:themeColor="text1"/>
                <w:sz w:val="20"/>
                <w:szCs w:val="20"/>
                <w:shd w:val="clear" w:color="auto" w:fill="FFFFFF"/>
                <w:lang w:val="en-US"/>
              </w:rPr>
            </w:pPr>
            <w:r w:rsidRPr="001A4A7B">
              <w:rPr>
                <w:b/>
                <w:bCs/>
                <w:color w:val="000000" w:themeColor="text1"/>
                <w:sz w:val="20"/>
                <w:szCs w:val="20"/>
                <w:shd w:val="clear" w:color="auto" w:fill="FFFFFF"/>
                <w:lang w:val="en-US"/>
              </w:rPr>
              <w:t xml:space="preserve">Table A3. </w:t>
            </w:r>
            <w:r w:rsidRPr="001A4A7B">
              <w:rPr>
                <w:color w:val="000000" w:themeColor="text1"/>
                <w:sz w:val="20"/>
                <w:szCs w:val="20"/>
                <w:shd w:val="clear" w:color="auto" w:fill="FFFFFF"/>
                <w:lang w:val="en-US"/>
              </w:rPr>
              <w:t>Summary of the literature review.</w:t>
            </w:r>
          </w:p>
        </w:tc>
      </w:tr>
      <w:tr w:rsidR="001A4A7B" w:rsidRPr="001A4A7B" w14:paraId="12A91425" w14:textId="77777777" w:rsidTr="00494401">
        <w:tc>
          <w:tcPr>
            <w:tcW w:w="1697" w:type="dxa"/>
            <w:tcBorders>
              <w:top w:val="single" w:sz="4" w:space="0" w:color="auto"/>
              <w:left w:val="nil"/>
              <w:bottom w:val="single" w:sz="4" w:space="0" w:color="auto"/>
            </w:tcBorders>
            <w:vAlign w:val="center"/>
          </w:tcPr>
          <w:p w14:paraId="034958F8" w14:textId="77777777" w:rsidR="00494401" w:rsidRPr="001A4A7B" w:rsidRDefault="00494401" w:rsidP="00E166BC">
            <w:pPr>
              <w:jc w:val="center"/>
              <w:rPr>
                <w:b/>
                <w:bCs/>
                <w:color w:val="000000" w:themeColor="text1"/>
                <w:sz w:val="20"/>
                <w:szCs w:val="20"/>
                <w:shd w:val="clear" w:color="auto" w:fill="FFFFFF"/>
                <w:lang w:val="en-US"/>
              </w:rPr>
            </w:pPr>
            <w:r w:rsidRPr="001A4A7B">
              <w:rPr>
                <w:b/>
                <w:bCs/>
                <w:color w:val="000000" w:themeColor="text1"/>
                <w:sz w:val="20"/>
                <w:szCs w:val="20"/>
                <w:shd w:val="clear" w:color="auto" w:fill="FFFFFF"/>
                <w:lang w:val="en-US"/>
              </w:rPr>
              <w:t>Author</w:t>
            </w:r>
          </w:p>
        </w:tc>
        <w:tc>
          <w:tcPr>
            <w:tcW w:w="1697" w:type="dxa"/>
            <w:tcBorders>
              <w:top w:val="single" w:sz="4" w:space="0" w:color="auto"/>
              <w:bottom w:val="single" w:sz="4" w:space="0" w:color="auto"/>
            </w:tcBorders>
            <w:vAlign w:val="center"/>
          </w:tcPr>
          <w:p w14:paraId="2FE6D5B8" w14:textId="77777777" w:rsidR="00494401" w:rsidRPr="001A4A7B" w:rsidRDefault="00494401" w:rsidP="00E166BC">
            <w:pPr>
              <w:jc w:val="center"/>
              <w:rPr>
                <w:b/>
                <w:bCs/>
                <w:color w:val="000000" w:themeColor="text1"/>
                <w:sz w:val="20"/>
                <w:szCs w:val="20"/>
                <w:shd w:val="clear" w:color="auto" w:fill="FFFFFF"/>
                <w:lang w:val="en-US"/>
              </w:rPr>
            </w:pPr>
            <w:r w:rsidRPr="001A4A7B">
              <w:rPr>
                <w:b/>
                <w:bCs/>
                <w:color w:val="000000" w:themeColor="text1"/>
                <w:sz w:val="20"/>
                <w:szCs w:val="20"/>
                <w:shd w:val="clear" w:color="auto" w:fill="FFFFFF"/>
                <w:lang w:val="en-US"/>
              </w:rPr>
              <w:t>Country</w:t>
            </w:r>
          </w:p>
        </w:tc>
        <w:tc>
          <w:tcPr>
            <w:tcW w:w="1698" w:type="dxa"/>
            <w:tcBorders>
              <w:top w:val="single" w:sz="4" w:space="0" w:color="auto"/>
              <w:bottom w:val="single" w:sz="4" w:space="0" w:color="auto"/>
            </w:tcBorders>
            <w:vAlign w:val="center"/>
          </w:tcPr>
          <w:p w14:paraId="45A1D374" w14:textId="77777777" w:rsidR="00494401" w:rsidRPr="001A4A7B" w:rsidRDefault="00494401" w:rsidP="00E166BC">
            <w:pPr>
              <w:jc w:val="center"/>
              <w:rPr>
                <w:b/>
                <w:bCs/>
                <w:color w:val="000000" w:themeColor="text1"/>
                <w:sz w:val="20"/>
                <w:szCs w:val="20"/>
                <w:shd w:val="clear" w:color="auto" w:fill="FFFFFF"/>
                <w:lang w:val="en-US"/>
              </w:rPr>
            </w:pPr>
            <w:r w:rsidRPr="001A4A7B">
              <w:rPr>
                <w:b/>
                <w:bCs/>
                <w:color w:val="000000" w:themeColor="text1"/>
                <w:sz w:val="20"/>
                <w:szCs w:val="20"/>
                <w:shd w:val="clear" w:color="auto" w:fill="FFFFFF"/>
                <w:lang w:val="en-US"/>
              </w:rPr>
              <w:t>Data span</w:t>
            </w:r>
          </w:p>
        </w:tc>
        <w:tc>
          <w:tcPr>
            <w:tcW w:w="1698" w:type="dxa"/>
            <w:tcBorders>
              <w:top w:val="single" w:sz="4" w:space="0" w:color="auto"/>
              <w:bottom w:val="single" w:sz="4" w:space="0" w:color="auto"/>
            </w:tcBorders>
            <w:vAlign w:val="center"/>
          </w:tcPr>
          <w:p w14:paraId="6C39F14A" w14:textId="77777777" w:rsidR="00494401" w:rsidRPr="001A4A7B" w:rsidRDefault="00494401" w:rsidP="00E166BC">
            <w:pPr>
              <w:jc w:val="center"/>
              <w:rPr>
                <w:b/>
                <w:bCs/>
                <w:color w:val="000000" w:themeColor="text1"/>
                <w:sz w:val="20"/>
                <w:szCs w:val="20"/>
                <w:shd w:val="clear" w:color="auto" w:fill="FFFFFF"/>
                <w:lang w:val="en-US"/>
              </w:rPr>
            </w:pPr>
            <w:r w:rsidRPr="001A4A7B">
              <w:rPr>
                <w:b/>
                <w:bCs/>
                <w:color w:val="000000" w:themeColor="text1"/>
                <w:sz w:val="20"/>
                <w:szCs w:val="20"/>
                <w:shd w:val="clear" w:color="auto" w:fill="FFFFFF"/>
                <w:lang w:val="en-US"/>
              </w:rPr>
              <w:t>Methodology</w:t>
            </w:r>
          </w:p>
        </w:tc>
        <w:tc>
          <w:tcPr>
            <w:tcW w:w="4131" w:type="dxa"/>
            <w:tcBorders>
              <w:top w:val="single" w:sz="4" w:space="0" w:color="auto"/>
              <w:bottom w:val="single" w:sz="4" w:space="0" w:color="auto"/>
              <w:right w:val="nil"/>
            </w:tcBorders>
            <w:vAlign w:val="center"/>
          </w:tcPr>
          <w:p w14:paraId="05EA9028" w14:textId="77777777" w:rsidR="00494401" w:rsidRPr="001A4A7B" w:rsidRDefault="00494401" w:rsidP="00E166BC">
            <w:pPr>
              <w:jc w:val="center"/>
              <w:rPr>
                <w:b/>
                <w:bCs/>
                <w:color w:val="000000" w:themeColor="text1"/>
                <w:sz w:val="20"/>
                <w:szCs w:val="20"/>
                <w:shd w:val="clear" w:color="auto" w:fill="FFFFFF"/>
                <w:lang w:val="en-US"/>
              </w:rPr>
            </w:pPr>
            <w:r w:rsidRPr="001A4A7B">
              <w:rPr>
                <w:b/>
                <w:bCs/>
                <w:color w:val="000000" w:themeColor="text1"/>
                <w:sz w:val="20"/>
                <w:szCs w:val="20"/>
                <w:shd w:val="clear" w:color="auto" w:fill="FFFFFF"/>
                <w:lang w:val="en-US"/>
              </w:rPr>
              <w:t>Results</w:t>
            </w:r>
          </w:p>
        </w:tc>
      </w:tr>
      <w:tr w:rsidR="001A4A7B" w:rsidRPr="001A4A7B" w14:paraId="4FE9D006" w14:textId="77777777" w:rsidTr="00E166BC">
        <w:tc>
          <w:tcPr>
            <w:tcW w:w="1697" w:type="dxa"/>
            <w:tcBorders>
              <w:left w:val="nil"/>
            </w:tcBorders>
            <w:vAlign w:val="center"/>
          </w:tcPr>
          <w:p w14:paraId="7B767919"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Bacon (1991)</w:t>
            </w:r>
          </w:p>
        </w:tc>
        <w:tc>
          <w:tcPr>
            <w:tcW w:w="1697" w:type="dxa"/>
            <w:vAlign w:val="center"/>
          </w:tcPr>
          <w:p w14:paraId="0B10B3FD"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UK</w:t>
            </w:r>
          </w:p>
        </w:tc>
        <w:tc>
          <w:tcPr>
            <w:tcW w:w="1698" w:type="dxa"/>
            <w:vAlign w:val="center"/>
          </w:tcPr>
          <w:p w14:paraId="1AD5A6C9"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15 June 1982 – 19 January 1990</w:t>
            </w:r>
          </w:p>
        </w:tc>
        <w:tc>
          <w:tcPr>
            <w:tcW w:w="1698" w:type="dxa"/>
            <w:vAlign w:val="center"/>
          </w:tcPr>
          <w:p w14:paraId="116C3780"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The modelling of asymmetric partial adjustment</w:t>
            </w:r>
          </w:p>
        </w:tc>
        <w:tc>
          <w:tcPr>
            <w:tcW w:w="4131" w:type="dxa"/>
            <w:tcBorders>
              <w:right w:val="nil"/>
            </w:tcBorders>
            <w:vAlign w:val="center"/>
          </w:tcPr>
          <w:p w14:paraId="7F99F21A"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When prices of crude oil rise, this causes an increment of gasoline prices (or other refined products) in a faster way. Conversely, the drop in crude oil prices does not provoke a faster response to gasoline prices.</w:t>
            </w:r>
          </w:p>
        </w:tc>
      </w:tr>
      <w:tr w:rsidR="001A4A7B" w:rsidRPr="001A4A7B" w14:paraId="0304F03C" w14:textId="77777777" w:rsidTr="00E166BC">
        <w:tc>
          <w:tcPr>
            <w:tcW w:w="1697" w:type="dxa"/>
            <w:tcBorders>
              <w:left w:val="nil"/>
            </w:tcBorders>
            <w:vAlign w:val="center"/>
          </w:tcPr>
          <w:p w14:paraId="57DE4454"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Borenstein et al. (1997)</w:t>
            </w:r>
          </w:p>
        </w:tc>
        <w:tc>
          <w:tcPr>
            <w:tcW w:w="1697" w:type="dxa"/>
            <w:vAlign w:val="center"/>
          </w:tcPr>
          <w:p w14:paraId="04F035AB"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USA</w:t>
            </w:r>
          </w:p>
        </w:tc>
        <w:tc>
          <w:tcPr>
            <w:tcW w:w="1698" w:type="dxa"/>
            <w:vAlign w:val="center"/>
          </w:tcPr>
          <w:p w14:paraId="0E478ADC"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March 1986 – December 1992</w:t>
            </w:r>
          </w:p>
        </w:tc>
        <w:tc>
          <w:tcPr>
            <w:tcW w:w="1698" w:type="dxa"/>
            <w:vAlign w:val="center"/>
          </w:tcPr>
          <w:p w14:paraId="69A6D410"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Cointegration</w:t>
            </w:r>
          </w:p>
        </w:tc>
        <w:tc>
          <w:tcPr>
            <w:tcW w:w="4131" w:type="dxa"/>
            <w:tcBorders>
              <w:right w:val="nil"/>
            </w:tcBorders>
            <w:vAlign w:val="center"/>
          </w:tcPr>
          <w:p w14:paraId="40226838"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When crude oil prices fluctuate, i.e., increase or decrease, the response of the gasoline prices is asymmetric.</w:t>
            </w:r>
          </w:p>
        </w:tc>
      </w:tr>
      <w:tr w:rsidR="001A4A7B" w:rsidRPr="001A4A7B" w14:paraId="4FD26408" w14:textId="77777777" w:rsidTr="00E166BC">
        <w:tc>
          <w:tcPr>
            <w:tcW w:w="1697" w:type="dxa"/>
            <w:tcBorders>
              <w:left w:val="nil"/>
            </w:tcBorders>
            <w:vAlign w:val="center"/>
          </w:tcPr>
          <w:p w14:paraId="6F80D0A3"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Girma and Paulson (1999)</w:t>
            </w:r>
          </w:p>
        </w:tc>
        <w:tc>
          <w:tcPr>
            <w:tcW w:w="1697" w:type="dxa"/>
            <w:vAlign w:val="center"/>
          </w:tcPr>
          <w:p w14:paraId="3BD0E8D1"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USA</w:t>
            </w:r>
          </w:p>
        </w:tc>
        <w:tc>
          <w:tcPr>
            <w:tcW w:w="1698" w:type="dxa"/>
            <w:vAlign w:val="center"/>
          </w:tcPr>
          <w:p w14:paraId="58805E2F"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April 1984 – December 1994</w:t>
            </w:r>
          </w:p>
        </w:tc>
        <w:tc>
          <w:tcPr>
            <w:tcW w:w="1698" w:type="dxa"/>
            <w:vAlign w:val="center"/>
          </w:tcPr>
          <w:p w14:paraId="4FAA1D1F"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Cointegration</w:t>
            </w:r>
          </w:p>
        </w:tc>
        <w:tc>
          <w:tcPr>
            <w:tcW w:w="4131" w:type="dxa"/>
            <w:tcBorders>
              <w:right w:val="nil"/>
            </w:tcBorders>
            <w:vAlign w:val="center"/>
          </w:tcPr>
          <w:p w14:paraId="4C2C0541"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Cointegration between WTI and unleaded gasoline and heating oil prices.</w:t>
            </w:r>
          </w:p>
        </w:tc>
      </w:tr>
      <w:tr w:rsidR="001A4A7B" w:rsidRPr="001A4A7B" w14:paraId="42B93276" w14:textId="77777777" w:rsidTr="00E166BC">
        <w:tc>
          <w:tcPr>
            <w:tcW w:w="1697" w:type="dxa"/>
            <w:tcBorders>
              <w:left w:val="nil"/>
            </w:tcBorders>
            <w:vAlign w:val="center"/>
          </w:tcPr>
          <w:p w14:paraId="55546371"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Gjolberg and Johnsen (1999)</w:t>
            </w:r>
          </w:p>
        </w:tc>
        <w:tc>
          <w:tcPr>
            <w:tcW w:w="1697" w:type="dxa"/>
            <w:vAlign w:val="center"/>
          </w:tcPr>
          <w:p w14:paraId="2177CC68"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USA</w:t>
            </w:r>
          </w:p>
        </w:tc>
        <w:tc>
          <w:tcPr>
            <w:tcW w:w="1698" w:type="dxa"/>
            <w:vAlign w:val="center"/>
          </w:tcPr>
          <w:p w14:paraId="0BE969E8"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January 1992 – August 1998</w:t>
            </w:r>
          </w:p>
        </w:tc>
        <w:tc>
          <w:tcPr>
            <w:tcW w:w="1698" w:type="dxa"/>
            <w:vAlign w:val="center"/>
          </w:tcPr>
          <w:p w14:paraId="14909EA2"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ECM</w:t>
            </w:r>
          </w:p>
        </w:tc>
        <w:tc>
          <w:tcPr>
            <w:tcW w:w="4131" w:type="dxa"/>
            <w:tcBorders>
              <w:right w:val="nil"/>
            </w:tcBorders>
            <w:vAlign w:val="center"/>
          </w:tcPr>
          <w:p w14:paraId="0B226CEB"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All refined products, possibly excluding heavy fuel oil, prices are co-integrated with the crude price. Having estimated two simple error correction models, we find that the current product–crude margin deviations from a long-run equilibrium may contain significant information about the future changes in product prices and margins</w:t>
            </w:r>
          </w:p>
        </w:tc>
      </w:tr>
      <w:tr w:rsidR="001A4A7B" w:rsidRPr="001A4A7B" w14:paraId="3FCB3B1F" w14:textId="77777777" w:rsidTr="00E166BC">
        <w:tc>
          <w:tcPr>
            <w:tcW w:w="1697" w:type="dxa"/>
            <w:tcBorders>
              <w:left w:val="nil"/>
            </w:tcBorders>
            <w:vAlign w:val="center"/>
          </w:tcPr>
          <w:p w14:paraId="55D1B075"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lastRenderedPageBreak/>
              <w:t>Adrangi et al. (2001)</w:t>
            </w:r>
          </w:p>
        </w:tc>
        <w:tc>
          <w:tcPr>
            <w:tcW w:w="1697" w:type="dxa"/>
            <w:vAlign w:val="center"/>
          </w:tcPr>
          <w:p w14:paraId="686B5F4E"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USA</w:t>
            </w:r>
          </w:p>
        </w:tc>
        <w:tc>
          <w:tcPr>
            <w:tcW w:w="1698" w:type="dxa"/>
            <w:vAlign w:val="center"/>
          </w:tcPr>
          <w:p w14:paraId="7A341544" w14:textId="77777777" w:rsidR="00494401" w:rsidRPr="001A4A7B" w:rsidRDefault="00494401" w:rsidP="00E166BC">
            <w:pPr>
              <w:jc w:val="center"/>
              <w:rPr>
                <w:color w:val="000000" w:themeColor="text1"/>
                <w:sz w:val="20"/>
                <w:szCs w:val="20"/>
                <w:shd w:val="clear" w:color="auto" w:fill="FFFFFF"/>
                <w:lang w:val="en-US"/>
              </w:rPr>
            </w:pPr>
          </w:p>
        </w:tc>
        <w:tc>
          <w:tcPr>
            <w:tcW w:w="1698" w:type="dxa"/>
            <w:vAlign w:val="center"/>
          </w:tcPr>
          <w:p w14:paraId="3B20BB0E"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VAR model and a bivariate GARCH model</w:t>
            </w:r>
          </w:p>
        </w:tc>
        <w:tc>
          <w:tcPr>
            <w:tcW w:w="4131" w:type="dxa"/>
            <w:tcBorders>
              <w:right w:val="nil"/>
            </w:tcBorders>
            <w:vAlign w:val="center"/>
          </w:tcPr>
          <w:p w14:paraId="71B4CA8B"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Movements in crude oil prices cause shifts in the price of the refined product used, i.e., the Los Angeles diesel. This can also happen in the opposite direction due to demand inferences.</w:t>
            </w:r>
          </w:p>
        </w:tc>
      </w:tr>
      <w:tr w:rsidR="001A4A7B" w:rsidRPr="001A4A7B" w14:paraId="074EFEE1" w14:textId="77777777" w:rsidTr="00E166BC">
        <w:tc>
          <w:tcPr>
            <w:tcW w:w="1697" w:type="dxa"/>
            <w:tcBorders>
              <w:left w:val="nil"/>
            </w:tcBorders>
            <w:vAlign w:val="center"/>
          </w:tcPr>
          <w:p w14:paraId="72A7DB37"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Bachmeier and Griffin (2003)</w:t>
            </w:r>
          </w:p>
        </w:tc>
        <w:tc>
          <w:tcPr>
            <w:tcW w:w="1697" w:type="dxa"/>
            <w:vAlign w:val="center"/>
          </w:tcPr>
          <w:p w14:paraId="2C91CDB5"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USA</w:t>
            </w:r>
          </w:p>
        </w:tc>
        <w:tc>
          <w:tcPr>
            <w:tcW w:w="1698" w:type="dxa"/>
            <w:vAlign w:val="center"/>
          </w:tcPr>
          <w:p w14:paraId="708D74FD"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February 1985 – November 1998</w:t>
            </w:r>
          </w:p>
        </w:tc>
        <w:tc>
          <w:tcPr>
            <w:tcW w:w="1698" w:type="dxa"/>
            <w:vAlign w:val="center"/>
          </w:tcPr>
          <w:p w14:paraId="7DCDFEC0"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Asymmetric ECM</w:t>
            </w:r>
          </w:p>
        </w:tc>
        <w:tc>
          <w:tcPr>
            <w:tcW w:w="4131" w:type="dxa"/>
            <w:tcBorders>
              <w:right w:val="nil"/>
            </w:tcBorders>
            <w:vAlign w:val="center"/>
          </w:tcPr>
          <w:p w14:paraId="62B2FADE"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No evidence a pass-through response from crude oil prices to gasoline prices.</w:t>
            </w:r>
          </w:p>
        </w:tc>
      </w:tr>
      <w:tr w:rsidR="001A4A7B" w:rsidRPr="001A4A7B" w14:paraId="5401EC33" w14:textId="77777777" w:rsidTr="00E166BC">
        <w:tc>
          <w:tcPr>
            <w:tcW w:w="1697" w:type="dxa"/>
            <w:tcBorders>
              <w:left w:val="nil"/>
            </w:tcBorders>
            <w:vAlign w:val="center"/>
          </w:tcPr>
          <w:p w14:paraId="7C94A440"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Hammoudeh et al. (2003)</w:t>
            </w:r>
          </w:p>
        </w:tc>
        <w:tc>
          <w:tcPr>
            <w:tcW w:w="1697" w:type="dxa"/>
            <w:vAlign w:val="center"/>
          </w:tcPr>
          <w:p w14:paraId="6D6E1306"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USA</w:t>
            </w:r>
          </w:p>
        </w:tc>
        <w:tc>
          <w:tcPr>
            <w:tcW w:w="1698" w:type="dxa"/>
            <w:vAlign w:val="center"/>
          </w:tcPr>
          <w:p w14:paraId="32DCBD0C" w14:textId="77777777" w:rsidR="00494401" w:rsidRPr="001A4A7B" w:rsidRDefault="00494401" w:rsidP="00E166BC">
            <w:pPr>
              <w:jc w:val="center"/>
              <w:rPr>
                <w:color w:val="000000" w:themeColor="text1"/>
                <w:sz w:val="20"/>
                <w:szCs w:val="20"/>
                <w:shd w:val="clear" w:color="auto" w:fill="FFFFFF"/>
                <w:lang w:val="en-US"/>
              </w:rPr>
            </w:pPr>
          </w:p>
        </w:tc>
        <w:tc>
          <w:tcPr>
            <w:tcW w:w="1698" w:type="dxa"/>
            <w:vAlign w:val="center"/>
          </w:tcPr>
          <w:p w14:paraId="594D568A"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Cointegration, Vector ECM, ARCH/GARCH</w:t>
            </w:r>
          </w:p>
        </w:tc>
        <w:tc>
          <w:tcPr>
            <w:tcW w:w="4131" w:type="dxa"/>
            <w:tcBorders>
              <w:right w:val="nil"/>
            </w:tcBorders>
            <w:vAlign w:val="center"/>
          </w:tcPr>
          <w:p w14:paraId="06FDDC87"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They suggest a bidirectional causal relationship between daily crude oil and gasoline prices. He also evidences a unidirectional causality from crude oil price to heating oil.</w:t>
            </w:r>
          </w:p>
        </w:tc>
      </w:tr>
      <w:tr w:rsidR="001A4A7B" w:rsidRPr="001A4A7B" w14:paraId="5BC793AF" w14:textId="77777777" w:rsidTr="00E166BC">
        <w:tc>
          <w:tcPr>
            <w:tcW w:w="1697" w:type="dxa"/>
            <w:tcBorders>
              <w:left w:val="nil"/>
            </w:tcBorders>
            <w:vAlign w:val="center"/>
          </w:tcPr>
          <w:p w14:paraId="68CF5377"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Grasso and Manera (2007)</w:t>
            </w:r>
          </w:p>
        </w:tc>
        <w:tc>
          <w:tcPr>
            <w:tcW w:w="1697" w:type="dxa"/>
            <w:vAlign w:val="center"/>
          </w:tcPr>
          <w:p w14:paraId="74C1EE7E"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France, Germany, Italy, Spain and the UK</w:t>
            </w:r>
          </w:p>
        </w:tc>
        <w:tc>
          <w:tcPr>
            <w:tcW w:w="1698" w:type="dxa"/>
            <w:vAlign w:val="center"/>
          </w:tcPr>
          <w:p w14:paraId="4EE7580D"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1985 – 2003</w:t>
            </w:r>
          </w:p>
        </w:tc>
        <w:tc>
          <w:tcPr>
            <w:tcW w:w="1698" w:type="dxa"/>
            <w:vAlign w:val="center"/>
          </w:tcPr>
          <w:p w14:paraId="1C29C35E"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Symmetric ECM, threshold ECM, and ECM with threshold cointegration.</w:t>
            </w:r>
          </w:p>
        </w:tc>
        <w:tc>
          <w:tcPr>
            <w:tcW w:w="4131" w:type="dxa"/>
            <w:tcBorders>
              <w:right w:val="nil"/>
            </w:tcBorders>
            <w:vAlign w:val="center"/>
          </w:tcPr>
          <w:p w14:paraId="09389C0F"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The type of stages and the number of countries which are characterized by asymmetric oil–gasoline price relations vary across models.</w:t>
            </w:r>
          </w:p>
        </w:tc>
      </w:tr>
      <w:tr w:rsidR="001A4A7B" w:rsidRPr="001A4A7B" w14:paraId="226A8639" w14:textId="77777777" w:rsidTr="00E166BC">
        <w:tc>
          <w:tcPr>
            <w:tcW w:w="1697" w:type="dxa"/>
            <w:tcBorders>
              <w:left w:val="nil"/>
            </w:tcBorders>
            <w:vAlign w:val="center"/>
          </w:tcPr>
          <w:p w14:paraId="12798F2C"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Asche et al. (2003)</w:t>
            </w:r>
          </w:p>
        </w:tc>
        <w:tc>
          <w:tcPr>
            <w:tcW w:w="1697" w:type="dxa"/>
            <w:vAlign w:val="center"/>
          </w:tcPr>
          <w:p w14:paraId="5C76425B"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USA</w:t>
            </w:r>
          </w:p>
        </w:tc>
        <w:tc>
          <w:tcPr>
            <w:tcW w:w="1698" w:type="dxa"/>
            <w:vAlign w:val="center"/>
          </w:tcPr>
          <w:p w14:paraId="3FDC7FD0"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January 1992 – November 2000</w:t>
            </w:r>
          </w:p>
        </w:tc>
        <w:tc>
          <w:tcPr>
            <w:tcW w:w="1698" w:type="dxa"/>
            <w:vAlign w:val="center"/>
          </w:tcPr>
          <w:p w14:paraId="092037D7"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Cointegration</w:t>
            </w:r>
          </w:p>
        </w:tc>
        <w:tc>
          <w:tcPr>
            <w:tcW w:w="4131" w:type="dxa"/>
            <w:tcBorders>
              <w:right w:val="nil"/>
            </w:tcBorders>
            <w:vAlign w:val="center"/>
          </w:tcPr>
          <w:p w14:paraId="340AEE73"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In the long-run, changes in crude oil prices feed through to these refined product prices, while the reverse is not true. Given that the crude oil price seems to determine these prices, this also provides an example of supply driven market integration.</w:t>
            </w:r>
          </w:p>
        </w:tc>
      </w:tr>
      <w:tr w:rsidR="001A4A7B" w:rsidRPr="001A4A7B" w14:paraId="70374FC1" w14:textId="77777777" w:rsidTr="00E166BC">
        <w:tc>
          <w:tcPr>
            <w:tcW w:w="1697" w:type="dxa"/>
            <w:tcBorders>
              <w:left w:val="nil"/>
            </w:tcBorders>
            <w:vAlign w:val="center"/>
          </w:tcPr>
          <w:p w14:paraId="6BAC0761"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Kaufmann and Laskowski (2005)</w:t>
            </w:r>
          </w:p>
        </w:tc>
        <w:tc>
          <w:tcPr>
            <w:tcW w:w="1697" w:type="dxa"/>
            <w:vAlign w:val="center"/>
          </w:tcPr>
          <w:p w14:paraId="41A409CD"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USA</w:t>
            </w:r>
          </w:p>
        </w:tc>
        <w:tc>
          <w:tcPr>
            <w:tcW w:w="1698" w:type="dxa"/>
            <w:vAlign w:val="center"/>
          </w:tcPr>
          <w:p w14:paraId="4D18D729"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January 1986 – December 2002</w:t>
            </w:r>
          </w:p>
        </w:tc>
        <w:tc>
          <w:tcPr>
            <w:tcW w:w="1698" w:type="dxa"/>
            <w:vAlign w:val="center"/>
          </w:tcPr>
          <w:p w14:paraId="4D0329FE"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ECM</w:t>
            </w:r>
          </w:p>
        </w:tc>
        <w:tc>
          <w:tcPr>
            <w:tcW w:w="4131" w:type="dxa"/>
            <w:tcBorders>
              <w:right w:val="nil"/>
            </w:tcBorders>
            <w:vAlign w:val="center"/>
          </w:tcPr>
          <w:p w14:paraId="0D6ED6E9"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An asymmetric relation between crude oil and motor gasoline is explained by refinery utilization rates and inventory behavior. Additionally, the asymmetric relation between crude oil and heating oil maybe is produced by contractual arrangements between retailers and consumers. Indeed, these results would suggest that price asymmetries might be caused by efficient markets.</w:t>
            </w:r>
          </w:p>
        </w:tc>
      </w:tr>
      <w:tr w:rsidR="001A4A7B" w:rsidRPr="001A4A7B" w14:paraId="5E703528" w14:textId="77777777" w:rsidTr="00E166BC">
        <w:tc>
          <w:tcPr>
            <w:tcW w:w="1697" w:type="dxa"/>
            <w:tcBorders>
              <w:left w:val="nil"/>
            </w:tcBorders>
            <w:vAlign w:val="center"/>
          </w:tcPr>
          <w:p w14:paraId="14FB9846"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Honarvar (2009)</w:t>
            </w:r>
          </w:p>
        </w:tc>
        <w:tc>
          <w:tcPr>
            <w:tcW w:w="1697" w:type="dxa"/>
            <w:vAlign w:val="center"/>
          </w:tcPr>
          <w:p w14:paraId="130D8455"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USA</w:t>
            </w:r>
          </w:p>
        </w:tc>
        <w:tc>
          <w:tcPr>
            <w:tcW w:w="1698" w:type="dxa"/>
            <w:vAlign w:val="center"/>
          </w:tcPr>
          <w:p w14:paraId="089A6EA0"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September 1981 – December 2007</w:t>
            </w:r>
          </w:p>
        </w:tc>
        <w:tc>
          <w:tcPr>
            <w:tcW w:w="1698" w:type="dxa"/>
            <w:vAlign w:val="center"/>
          </w:tcPr>
          <w:p w14:paraId="27929704"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Crouching ECM</w:t>
            </w:r>
          </w:p>
        </w:tc>
        <w:tc>
          <w:tcPr>
            <w:tcW w:w="4131" w:type="dxa"/>
            <w:tcBorders>
              <w:right w:val="nil"/>
            </w:tcBorders>
            <w:vAlign w:val="center"/>
          </w:tcPr>
          <w:p w14:paraId="3DB83258"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The behaviour of the forms depends on the fluctuations of the crude oil price, being conditioned by the origin of the shocks, i.e., if there is a shock in the crude oil price, it could be due to market conditions. In contrast, if the shock occurs in the refined product price, the origin may be induced by "efficiency or consumers' incentives", i.e., the demand side.</w:t>
            </w:r>
          </w:p>
        </w:tc>
      </w:tr>
      <w:tr w:rsidR="001A4A7B" w:rsidRPr="001A4A7B" w14:paraId="14E3AA1D" w14:textId="77777777" w:rsidTr="00E166BC">
        <w:tc>
          <w:tcPr>
            <w:tcW w:w="1697" w:type="dxa"/>
            <w:tcBorders>
              <w:left w:val="nil"/>
            </w:tcBorders>
            <w:vAlign w:val="center"/>
          </w:tcPr>
          <w:p w14:paraId="11B41B8C"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Kaufmann et al. (2009)</w:t>
            </w:r>
          </w:p>
        </w:tc>
        <w:tc>
          <w:tcPr>
            <w:tcW w:w="1697" w:type="dxa"/>
            <w:vAlign w:val="center"/>
          </w:tcPr>
          <w:p w14:paraId="45917F6F"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USA</w:t>
            </w:r>
          </w:p>
        </w:tc>
        <w:tc>
          <w:tcPr>
            <w:tcW w:w="1698" w:type="dxa"/>
            <w:vAlign w:val="center"/>
          </w:tcPr>
          <w:p w14:paraId="79D29A4A"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25 February 1994 – 15 September 2006</w:t>
            </w:r>
          </w:p>
        </w:tc>
        <w:tc>
          <w:tcPr>
            <w:tcW w:w="1698" w:type="dxa"/>
            <w:vAlign w:val="center"/>
          </w:tcPr>
          <w:p w14:paraId="1F760857"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VECM</w:t>
            </w:r>
          </w:p>
        </w:tc>
        <w:tc>
          <w:tcPr>
            <w:tcW w:w="4131" w:type="dxa"/>
            <w:tcBorders>
              <w:right w:val="nil"/>
            </w:tcBorders>
            <w:vAlign w:val="center"/>
          </w:tcPr>
          <w:p w14:paraId="0E2AA409"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They show that shifts in prices of refined products do not affect crude oil prices. Hence, changes in the demand for a given refined product have effects on the product mix of refined products and thus, for the demand for crude oil, arising a situation in which excess demand may result in rising prices</w:t>
            </w:r>
          </w:p>
        </w:tc>
      </w:tr>
      <w:tr w:rsidR="001A4A7B" w:rsidRPr="001A4A7B" w14:paraId="79A06C32" w14:textId="77777777" w:rsidTr="00E166BC">
        <w:tc>
          <w:tcPr>
            <w:tcW w:w="1697" w:type="dxa"/>
            <w:tcBorders>
              <w:left w:val="nil"/>
            </w:tcBorders>
            <w:vAlign w:val="center"/>
          </w:tcPr>
          <w:p w14:paraId="7D01E0E4"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Kilian (2010)</w:t>
            </w:r>
          </w:p>
        </w:tc>
        <w:tc>
          <w:tcPr>
            <w:tcW w:w="1697" w:type="dxa"/>
            <w:vAlign w:val="center"/>
          </w:tcPr>
          <w:p w14:paraId="4C1D7A2C"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USA</w:t>
            </w:r>
          </w:p>
        </w:tc>
        <w:tc>
          <w:tcPr>
            <w:tcW w:w="1698" w:type="dxa"/>
            <w:vAlign w:val="center"/>
          </w:tcPr>
          <w:p w14:paraId="21E4C0D4"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October 1973 – October 2008</w:t>
            </w:r>
          </w:p>
        </w:tc>
        <w:tc>
          <w:tcPr>
            <w:tcW w:w="1698" w:type="dxa"/>
            <w:vAlign w:val="center"/>
          </w:tcPr>
          <w:p w14:paraId="5FC64C7F"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Structural VAR model and VAR model</w:t>
            </w:r>
          </w:p>
        </w:tc>
        <w:tc>
          <w:tcPr>
            <w:tcW w:w="4131" w:type="dxa"/>
            <w:tcBorders>
              <w:right w:val="nil"/>
            </w:tcBorders>
            <w:vAlign w:val="center"/>
          </w:tcPr>
          <w:p w14:paraId="557188EA"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The VAR model also ignores the possibility of asymmetries in</w:t>
            </w:r>
          </w:p>
          <w:p w14:paraId="7F9E5E9B"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the transmission of oil price increases to retail gasoline prices.</w:t>
            </w:r>
          </w:p>
        </w:tc>
      </w:tr>
      <w:tr w:rsidR="001A4A7B" w:rsidRPr="001A4A7B" w14:paraId="0F2EEB32" w14:textId="77777777" w:rsidTr="00E166BC">
        <w:tc>
          <w:tcPr>
            <w:tcW w:w="1697" w:type="dxa"/>
            <w:tcBorders>
              <w:left w:val="nil"/>
            </w:tcBorders>
            <w:vAlign w:val="center"/>
          </w:tcPr>
          <w:p w14:paraId="1A63BF2A"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Douglas (2010)</w:t>
            </w:r>
          </w:p>
        </w:tc>
        <w:tc>
          <w:tcPr>
            <w:tcW w:w="1697" w:type="dxa"/>
            <w:vAlign w:val="center"/>
          </w:tcPr>
          <w:p w14:paraId="7FA9719D"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USA</w:t>
            </w:r>
          </w:p>
        </w:tc>
        <w:tc>
          <w:tcPr>
            <w:tcW w:w="1698" w:type="dxa"/>
            <w:vAlign w:val="center"/>
          </w:tcPr>
          <w:p w14:paraId="22789F8E"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August 1990 – May 2008</w:t>
            </w:r>
          </w:p>
        </w:tc>
        <w:tc>
          <w:tcPr>
            <w:tcW w:w="1698" w:type="dxa"/>
            <w:vAlign w:val="center"/>
          </w:tcPr>
          <w:p w14:paraId="088DC675"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Threshold autoregressive model for the error-correction term</w:t>
            </w:r>
          </w:p>
        </w:tc>
        <w:tc>
          <w:tcPr>
            <w:tcW w:w="4131" w:type="dxa"/>
            <w:tcBorders>
              <w:right w:val="nil"/>
            </w:tcBorders>
            <w:vAlign w:val="center"/>
          </w:tcPr>
          <w:p w14:paraId="42032F00"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He evidences that retail gasoline prices exhibit asymmetric price adjustment</w:t>
            </w:r>
          </w:p>
        </w:tc>
      </w:tr>
      <w:tr w:rsidR="001A4A7B" w:rsidRPr="001A4A7B" w14:paraId="13C155D9" w14:textId="77777777" w:rsidTr="00E166BC">
        <w:tc>
          <w:tcPr>
            <w:tcW w:w="1697" w:type="dxa"/>
            <w:tcBorders>
              <w:left w:val="nil"/>
            </w:tcBorders>
            <w:vAlign w:val="center"/>
          </w:tcPr>
          <w:p w14:paraId="160188A0"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Venditti (2013)</w:t>
            </w:r>
          </w:p>
        </w:tc>
        <w:tc>
          <w:tcPr>
            <w:tcW w:w="1697" w:type="dxa"/>
            <w:vAlign w:val="center"/>
          </w:tcPr>
          <w:p w14:paraId="53E32316"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Germany, France, Italy and Spain and the USA</w:t>
            </w:r>
          </w:p>
        </w:tc>
        <w:tc>
          <w:tcPr>
            <w:tcW w:w="1698" w:type="dxa"/>
            <w:vAlign w:val="center"/>
          </w:tcPr>
          <w:p w14:paraId="4BC5EF57"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January 1999 – September 2009</w:t>
            </w:r>
          </w:p>
        </w:tc>
        <w:tc>
          <w:tcPr>
            <w:tcW w:w="1698" w:type="dxa"/>
            <w:vAlign w:val="center"/>
          </w:tcPr>
          <w:p w14:paraId="037BA91C"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Cointegration and Impulse-Response Functions asymmetry tests</w:t>
            </w:r>
          </w:p>
        </w:tc>
        <w:tc>
          <w:tcPr>
            <w:tcW w:w="4131" w:type="dxa"/>
            <w:tcBorders>
              <w:right w:val="nil"/>
            </w:tcBorders>
            <w:vAlign w:val="center"/>
          </w:tcPr>
          <w:p w14:paraId="3A135C1B"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Evidences on the rockets and feathers issue by using weekly data on gasoline and gasoil prices for the U.S., the euro area, by using nonlinear impulse response functions and forecast accuracy tests and displaying evidence of asymmetries in the U.S.</w:t>
            </w:r>
          </w:p>
        </w:tc>
      </w:tr>
      <w:tr w:rsidR="001A4A7B" w:rsidRPr="001A4A7B" w14:paraId="4F1F3A4F" w14:textId="77777777" w:rsidTr="00E166BC">
        <w:tc>
          <w:tcPr>
            <w:tcW w:w="1697" w:type="dxa"/>
            <w:tcBorders>
              <w:left w:val="nil"/>
            </w:tcBorders>
            <w:vAlign w:val="center"/>
          </w:tcPr>
          <w:p w14:paraId="7B0717BB"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lastRenderedPageBreak/>
              <w:t>Karali and Ramirez (2014)</w:t>
            </w:r>
          </w:p>
        </w:tc>
        <w:tc>
          <w:tcPr>
            <w:tcW w:w="1697" w:type="dxa"/>
            <w:vAlign w:val="center"/>
          </w:tcPr>
          <w:p w14:paraId="5A266016"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USA</w:t>
            </w:r>
          </w:p>
        </w:tc>
        <w:tc>
          <w:tcPr>
            <w:tcW w:w="1698" w:type="dxa"/>
            <w:vAlign w:val="center"/>
          </w:tcPr>
          <w:p w14:paraId="0D410F47"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January 14, 1994 – February 4, 2011.</w:t>
            </w:r>
          </w:p>
        </w:tc>
        <w:tc>
          <w:tcPr>
            <w:tcW w:w="1698" w:type="dxa"/>
            <w:vAlign w:val="center"/>
          </w:tcPr>
          <w:p w14:paraId="13F3BDC2"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GARCH model</w:t>
            </w:r>
          </w:p>
        </w:tc>
        <w:tc>
          <w:tcPr>
            <w:tcW w:w="4131" w:type="dxa"/>
            <w:tcBorders>
              <w:right w:val="nil"/>
            </w:tcBorders>
            <w:vAlign w:val="center"/>
          </w:tcPr>
          <w:p w14:paraId="08C38057"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They obtain the presence of asymmetric effects in crude oil following major political, financial, and natural events. Furthermore, seasonality and day-of-the-week effects in the crude oil and heating oil markets are encountered.</w:t>
            </w:r>
          </w:p>
        </w:tc>
      </w:tr>
      <w:tr w:rsidR="001A4A7B" w:rsidRPr="001A4A7B" w14:paraId="756A49A7" w14:textId="77777777" w:rsidTr="00E166BC">
        <w:tc>
          <w:tcPr>
            <w:tcW w:w="1697" w:type="dxa"/>
            <w:tcBorders>
              <w:left w:val="nil"/>
            </w:tcBorders>
            <w:vAlign w:val="center"/>
          </w:tcPr>
          <w:p w14:paraId="7C0CC515"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Atil et al. (2014)</w:t>
            </w:r>
          </w:p>
        </w:tc>
        <w:tc>
          <w:tcPr>
            <w:tcW w:w="1697" w:type="dxa"/>
            <w:vAlign w:val="center"/>
          </w:tcPr>
          <w:p w14:paraId="10F1B569"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USA</w:t>
            </w:r>
          </w:p>
        </w:tc>
        <w:tc>
          <w:tcPr>
            <w:tcW w:w="1698" w:type="dxa"/>
            <w:vAlign w:val="center"/>
          </w:tcPr>
          <w:p w14:paraId="23C93D83"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January 1997 – September 2012</w:t>
            </w:r>
          </w:p>
        </w:tc>
        <w:tc>
          <w:tcPr>
            <w:tcW w:w="1698" w:type="dxa"/>
            <w:vAlign w:val="center"/>
          </w:tcPr>
          <w:p w14:paraId="7A497F30"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NARDL model</w:t>
            </w:r>
          </w:p>
        </w:tc>
        <w:tc>
          <w:tcPr>
            <w:tcW w:w="4131" w:type="dxa"/>
            <w:tcBorders>
              <w:right w:val="nil"/>
            </w:tcBorders>
            <w:vAlign w:val="center"/>
          </w:tcPr>
          <w:p w14:paraId="70A141E8"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They evidence that a shock in the crude oil price transfers in a non-linear manner to gasoline and natural gas prices and shows that energy products prices dynamics possess a complex relationship.</w:t>
            </w:r>
          </w:p>
        </w:tc>
      </w:tr>
      <w:tr w:rsidR="001A4A7B" w:rsidRPr="001A4A7B" w14:paraId="6FC1A617" w14:textId="77777777" w:rsidTr="00E166BC">
        <w:tc>
          <w:tcPr>
            <w:tcW w:w="1697" w:type="dxa"/>
            <w:tcBorders>
              <w:left w:val="nil"/>
            </w:tcBorders>
            <w:vAlign w:val="center"/>
          </w:tcPr>
          <w:p w14:paraId="09988CEC"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Han et al. (2015)</w:t>
            </w:r>
          </w:p>
        </w:tc>
        <w:tc>
          <w:tcPr>
            <w:tcW w:w="1697" w:type="dxa"/>
            <w:vAlign w:val="center"/>
          </w:tcPr>
          <w:p w14:paraId="3C62F9F3"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USA</w:t>
            </w:r>
          </w:p>
        </w:tc>
        <w:tc>
          <w:tcPr>
            <w:tcW w:w="1698" w:type="dxa"/>
            <w:vAlign w:val="center"/>
          </w:tcPr>
          <w:p w14:paraId="3C1BAC4E"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3</w:t>
            </w:r>
          </w:p>
          <w:p w14:paraId="0CADFBB0"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October 2005 – 30 June 2014</w:t>
            </w:r>
          </w:p>
        </w:tc>
        <w:tc>
          <w:tcPr>
            <w:tcW w:w="1698" w:type="dxa"/>
            <w:vAlign w:val="center"/>
          </w:tcPr>
          <w:p w14:paraId="099D5021"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VAR and ECM, Granger causality, Markov model and Impulse-Response Functions</w:t>
            </w:r>
          </w:p>
        </w:tc>
        <w:tc>
          <w:tcPr>
            <w:tcW w:w="4131" w:type="dxa"/>
            <w:tcBorders>
              <w:right w:val="nil"/>
            </w:tcBorders>
            <w:vAlign w:val="center"/>
          </w:tcPr>
          <w:p w14:paraId="7317B683"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They find bidirectional causality between crude oil and gasoline prices when facing a supply shock. They show that the interaction between crude oil price and gasoline price possess long-live.</w:t>
            </w:r>
          </w:p>
        </w:tc>
      </w:tr>
      <w:tr w:rsidR="001A4A7B" w:rsidRPr="001A4A7B" w14:paraId="77D747FC" w14:textId="77777777" w:rsidTr="00E166BC">
        <w:tc>
          <w:tcPr>
            <w:tcW w:w="1697" w:type="dxa"/>
            <w:tcBorders>
              <w:left w:val="nil"/>
            </w:tcBorders>
            <w:vAlign w:val="center"/>
          </w:tcPr>
          <w:p w14:paraId="730DACC6"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Bremmer and Kesselring (2016)</w:t>
            </w:r>
          </w:p>
        </w:tc>
        <w:tc>
          <w:tcPr>
            <w:tcW w:w="1697" w:type="dxa"/>
            <w:vAlign w:val="center"/>
          </w:tcPr>
          <w:p w14:paraId="6EAA21D6"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USA</w:t>
            </w:r>
          </w:p>
        </w:tc>
        <w:tc>
          <w:tcPr>
            <w:tcW w:w="1698" w:type="dxa"/>
            <w:vAlign w:val="center"/>
          </w:tcPr>
          <w:p w14:paraId="0FE0FCF7"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1/1/2008 – 12/31/2009</w:t>
            </w:r>
          </w:p>
        </w:tc>
        <w:tc>
          <w:tcPr>
            <w:tcW w:w="1698" w:type="dxa"/>
            <w:vAlign w:val="center"/>
          </w:tcPr>
          <w:p w14:paraId="45554AB3"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ECM</w:t>
            </w:r>
          </w:p>
          <w:p w14:paraId="741F8CFE"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Granger causality test</w:t>
            </w:r>
          </w:p>
        </w:tc>
        <w:tc>
          <w:tcPr>
            <w:tcW w:w="4131" w:type="dxa"/>
            <w:tcBorders>
              <w:right w:val="nil"/>
            </w:tcBorders>
            <w:vAlign w:val="center"/>
          </w:tcPr>
          <w:p w14:paraId="7970CF8D"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When the data set is partitioned into three subsets, regression results and their impulse response functions provide evidence in favor of “rockets and feathers” asymmetric pricing behavior during periods of generally rising crude oil prices. However, there is also evidence that during periods of generally falling oil prices “balloons and rocks” asymmetric pricing behavior prevails.</w:t>
            </w:r>
          </w:p>
        </w:tc>
      </w:tr>
      <w:tr w:rsidR="001A4A7B" w:rsidRPr="001A4A7B" w14:paraId="0CA65787" w14:textId="77777777" w:rsidTr="00E166BC">
        <w:tc>
          <w:tcPr>
            <w:tcW w:w="1697" w:type="dxa"/>
            <w:tcBorders>
              <w:left w:val="nil"/>
            </w:tcBorders>
            <w:vAlign w:val="center"/>
          </w:tcPr>
          <w:p w14:paraId="18F180D1"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Kpodar and Abdallah (2017)</w:t>
            </w:r>
          </w:p>
        </w:tc>
        <w:tc>
          <w:tcPr>
            <w:tcW w:w="1697" w:type="dxa"/>
            <w:vAlign w:val="center"/>
          </w:tcPr>
          <w:p w14:paraId="03E7858E"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162 countries</w:t>
            </w:r>
          </w:p>
        </w:tc>
        <w:tc>
          <w:tcPr>
            <w:tcW w:w="1698" w:type="dxa"/>
            <w:vAlign w:val="center"/>
          </w:tcPr>
          <w:p w14:paraId="63FB51D4"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January 2000 – December 2014</w:t>
            </w:r>
          </w:p>
        </w:tc>
        <w:tc>
          <w:tcPr>
            <w:tcW w:w="1698" w:type="dxa"/>
            <w:vAlign w:val="center"/>
          </w:tcPr>
          <w:p w14:paraId="3B7F2987"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VAR model and Impulse-Response Functions</w:t>
            </w:r>
          </w:p>
        </w:tc>
        <w:tc>
          <w:tcPr>
            <w:tcW w:w="4131" w:type="dxa"/>
            <w:tcBorders>
              <w:right w:val="nil"/>
            </w:tcBorders>
            <w:vAlign w:val="center"/>
          </w:tcPr>
          <w:p w14:paraId="1868EF05"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Their results point out that positive shocks on crude oil prices possess a larger impact than negative shocks on gasoline prices response.</w:t>
            </w:r>
          </w:p>
        </w:tc>
      </w:tr>
      <w:tr w:rsidR="001A4A7B" w:rsidRPr="001A4A7B" w14:paraId="0A4B6F4F" w14:textId="77777777" w:rsidTr="00E166BC">
        <w:tc>
          <w:tcPr>
            <w:tcW w:w="1697" w:type="dxa"/>
            <w:tcBorders>
              <w:left w:val="nil"/>
            </w:tcBorders>
            <w:vAlign w:val="center"/>
          </w:tcPr>
          <w:p w14:paraId="64789F2C"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Baumeister et al. (2018)</w:t>
            </w:r>
          </w:p>
        </w:tc>
        <w:tc>
          <w:tcPr>
            <w:tcW w:w="1697" w:type="dxa"/>
            <w:vAlign w:val="center"/>
          </w:tcPr>
          <w:p w14:paraId="027F3F9E"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USA</w:t>
            </w:r>
          </w:p>
        </w:tc>
        <w:tc>
          <w:tcPr>
            <w:tcW w:w="1698" w:type="dxa"/>
            <w:vAlign w:val="center"/>
          </w:tcPr>
          <w:p w14:paraId="66B841B3"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January 1992 – September 2012</w:t>
            </w:r>
          </w:p>
        </w:tc>
        <w:tc>
          <w:tcPr>
            <w:tcW w:w="1698" w:type="dxa"/>
            <w:vAlign w:val="center"/>
          </w:tcPr>
          <w:p w14:paraId="45BD5DCD"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Verleger’s decomposition and mean-squared prediction error</w:t>
            </w:r>
          </w:p>
          <w:p w14:paraId="0CC44FED"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(MSPE)</w:t>
            </w:r>
          </w:p>
        </w:tc>
        <w:tc>
          <w:tcPr>
            <w:tcW w:w="4131" w:type="dxa"/>
            <w:tcBorders>
              <w:right w:val="nil"/>
            </w:tcBorders>
            <w:vAlign w:val="center"/>
          </w:tcPr>
          <w:p w14:paraId="623AF164"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They explored the predictive content of product spreads for the WTI spot price of crude oil, showing that many approaches favored by practitioners do not work well in practice, and they derived alternative forecasting models that do. Although their analysis focused on forecasting the real price of oil, they note that our approach can be easily adapted to forecasting the nominal price of oil. These findings support the conclusion that there is valuable predictive information in product spot price spreads.</w:t>
            </w:r>
          </w:p>
        </w:tc>
      </w:tr>
      <w:tr w:rsidR="001A4A7B" w:rsidRPr="001A4A7B" w14:paraId="1A3B4078" w14:textId="77777777" w:rsidTr="00E166BC">
        <w:tc>
          <w:tcPr>
            <w:tcW w:w="1697" w:type="dxa"/>
            <w:tcBorders>
              <w:left w:val="nil"/>
            </w:tcBorders>
            <w:vAlign w:val="center"/>
          </w:tcPr>
          <w:p w14:paraId="0AF9E559"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Martinez et al. (2018)</w:t>
            </w:r>
          </w:p>
        </w:tc>
        <w:tc>
          <w:tcPr>
            <w:tcW w:w="1697" w:type="dxa"/>
            <w:vAlign w:val="center"/>
          </w:tcPr>
          <w:p w14:paraId="2FE02AED"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USA</w:t>
            </w:r>
          </w:p>
        </w:tc>
        <w:tc>
          <w:tcPr>
            <w:tcW w:w="1698" w:type="dxa"/>
            <w:vAlign w:val="center"/>
          </w:tcPr>
          <w:p w14:paraId="45DB844A"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14 June2006 – 16 February 2017</w:t>
            </w:r>
          </w:p>
        </w:tc>
        <w:tc>
          <w:tcPr>
            <w:tcW w:w="1698" w:type="dxa"/>
            <w:vAlign w:val="center"/>
          </w:tcPr>
          <w:p w14:paraId="116EDB95" w14:textId="19D5CCEC"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Wavelet local multiple correlation</w:t>
            </w:r>
          </w:p>
        </w:tc>
        <w:tc>
          <w:tcPr>
            <w:tcW w:w="4131" w:type="dxa"/>
            <w:tcBorders>
              <w:right w:val="nil"/>
            </w:tcBorders>
            <w:vAlign w:val="center"/>
          </w:tcPr>
          <w:p w14:paraId="64EAAEA8"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They find that the wavelet correlations are strong throughout the period studied and show a strong decline in correlation values from 2013 to 2015 (due to the overproduction of tight oil in the U.S. and a slowdown in global demand for oil) when seven commodities (crude oil -WTI- and six refined products -conventional gasoline, RBOB regular gasoline, heating oil, Ultra-Low-Sulphur diesel fuel, kerosene and propane-) are analyzed.</w:t>
            </w:r>
          </w:p>
        </w:tc>
      </w:tr>
      <w:tr w:rsidR="001A4A7B" w:rsidRPr="001A4A7B" w14:paraId="481C81A4" w14:textId="77777777" w:rsidTr="00E166BC">
        <w:tc>
          <w:tcPr>
            <w:tcW w:w="1697" w:type="dxa"/>
            <w:tcBorders>
              <w:left w:val="nil"/>
            </w:tcBorders>
            <w:vAlign w:val="center"/>
          </w:tcPr>
          <w:p w14:paraId="6E250279"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Bilgin and Ellwander (2019)</w:t>
            </w:r>
          </w:p>
        </w:tc>
        <w:tc>
          <w:tcPr>
            <w:tcW w:w="1697" w:type="dxa"/>
            <w:vAlign w:val="center"/>
          </w:tcPr>
          <w:p w14:paraId="1CDCD5B8"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OECD countries</w:t>
            </w:r>
          </w:p>
        </w:tc>
        <w:tc>
          <w:tcPr>
            <w:tcW w:w="1698" w:type="dxa"/>
            <w:vAlign w:val="center"/>
          </w:tcPr>
          <w:p w14:paraId="5EFFADC3"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988Q1 – 2017Q3</w:t>
            </w:r>
          </w:p>
        </w:tc>
        <w:tc>
          <w:tcPr>
            <w:tcW w:w="1698" w:type="dxa"/>
            <w:vAlign w:val="center"/>
          </w:tcPr>
          <w:p w14:paraId="11B9FB58"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Structural VAR</w:t>
            </w:r>
          </w:p>
        </w:tc>
        <w:tc>
          <w:tcPr>
            <w:tcW w:w="4131" w:type="dxa"/>
            <w:tcBorders>
              <w:right w:val="nil"/>
            </w:tcBorders>
            <w:vAlign w:val="center"/>
          </w:tcPr>
          <w:p w14:paraId="26EC08DB"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They show that despite the parsimony of the identifying assumptions, the information on global fuel consumption helps to provide comparatively sharp insights on elasticities and other quantitative features of the global oil market.</w:t>
            </w:r>
          </w:p>
        </w:tc>
      </w:tr>
      <w:tr w:rsidR="001A4A7B" w:rsidRPr="001A4A7B" w14:paraId="466ED27E" w14:textId="77777777" w:rsidTr="00E166BC">
        <w:tc>
          <w:tcPr>
            <w:tcW w:w="1697" w:type="dxa"/>
            <w:tcBorders>
              <w:left w:val="nil"/>
            </w:tcBorders>
            <w:vAlign w:val="center"/>
          </w:tcPr>
          <w:p w14:paraId="08A64061"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Martin-Moreno et al. (2019a)</w:t>
            </w:r>
          </w:p>
        </w:tc>
        <w:tc>
          <w:tcPr>
            <w:tcW w:w="1697" w:type="dxa"/>
            <w:vAlign w:val="center"/>
          </w:tcPr>
          <w:p w14:paraId="6D008DDF"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Germany, France, Italy and the UK</w:t>
            </w:r>
          </w:p>
        </w:tc>
        <w:tc>
          <w:tcPr>
            <w:tcW w:w="1698" w:type="dxa"/>
            <w:vAlign w:val="center"/>
          </w:tcPr>
          <w:p w14:paraId="494F8C89"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January 2005 – November 2013</w:t>
            </w:r>
          </w:p>
        </w:tc>
        <w:tc>
          <w:tcPr>
            <w:tcW w:w="1698" w:type="dxa"/>
            <w:vAlign w:val="center"/>
          </w:tcPr>
          <w:p w14:paraId="0BCF4C99"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Markov-switching model and TAR-ECM</w:t>
            </w:r>
          </w:p>
        </w:tc>
        <w:tc>
          <w:tcPr>
            <w:tcW w:w="4131" w:type="dxa"/>
            <w:tcBorders>
              <w:right w:val="nil"/>
            </w:tcBorders>
            <w:vAlign w:val="center"/>
          </w:tcPr>
          <w:p w14:paraId="2ABA417B"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 xml:space="preserve">In general, the results show evidence of an asymmetric response of gasoline and diesel prices to changes in the price of crude oil, both in the short-run and with respect to the </w:t>
            </w:r>
            <w:r w:rsidRPr="001A4A7B">
              <w:rPr>
                <w:color w:val="000000" w:themeColor="text1"/>
                <w:sz w:val="20"/>
                <w:szCs w:val="20"/>
                <w:shd w:val="clear" w:color="auto" w:fill="FFFFFF"/>
                <w:lang w:val="en-US"/>
              </w:rPr>
              <w:lastRenderedPageBreak/>
              <w:t>adjustment towards long-run equilibrium. These price asymmetries fall in line with the “rockets and feathers” hypothesis.</w:t>
            </w:r>
          </w:p>
        </w:tc>
      </w:tr>
      <w:tr w:rsidR="001A4A7B" w:rsidRPr="001A4A7B" w14:paraId="6BB87EE1" w14:textId="77777777" w:rsidTr="00E166BC">
        <w:tc>
          <w:tcPr>
            <w:tcW w:w="1697" w:type="dxa"/>
            <w:tcBorders>
              <w:left w:val="nil"/>
            </w:tcBorders>
            <w:vAlign w:val="center"/>
          </w:tcPr>
          <w:p w14:paraId="248DF834"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lastRenderedPageBreak/>
              <w:t>Martin-Moreno et al. (2019b)</w:t>
            </w:r>
          </w:p>
        </w:tc>
        <w:tc>
          <w:tcPr>
            <w:tcW w:w="1697" w:type="dxa"/>
            <w:vAlign w:val="center"/>
          </w:tcPr>
          <w:p w14:paraId="7577A0DA"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Spain</w:t>
            </w:r>
          </w:p>
        </w:tc>
        <w:tc>
          <w:tcPr>
            <w:tcW w:w="1698" w:type="dxa"/>
            <w:vAlign w:val="center"/>
          </w:tcPr>
          <w:p w14:paraId="0962D3B8"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January 2009 – December 2017</w:t>
            </w:r>
          </w:p>
        </w:tc>
        <w:tc>
          <w:tcPr>
            <w:tcW w:w="1698" w:type="dxa"/>
            <w:vAlign w:val="center"/>
          </w:tcPr>
          <w:p w14:paraId="2F60EB86"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Markov-switching model and TAR-ECM</w:t>
            </w:r>
          </w:p>
        </w:tc>
        <w:tc>
          <w:tcPr>
            <w:tcW w:w="4131" w:type="dxa"/>
            <w:tcBorders>
              <w:right w:val="nil"/>
            </w:tcBorders>
            <w:vAlign w:val="center"/>
          </w:tcPr>
          <w:p w14:paraId="34383791"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For small changes in international oil prices there is neither price asymmetry nor rockets and feathers behavior in the retail markets. However, price asymmetries in line with rockets and feathers behavior in retail gasoline and gasoil markets are present when these changes exceed a certain threshold.</w:t>
            </w:r>
          </w:p>
        </w:tc>
      </w:tr>
      <w:tr w:rsidR="001A4A7B" w:rsidRPr="001A4A7B" w14:paraId="2909A9D9" w14:textId="77777777" w:rsidTr="00E166BC">
        <w:tc>
          <w:tcPr>
            <w:tcW w:w="1697" w:type="dxa"/>
            <w:tcBorders>
              <w:left w:val="nil"/>
            </w:tcBorders>
            <w:vAlign w:val="center"/>
          </w:tcPr>
          <w:p w14:paraId="1FE86956"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Kyritsis and Andersson (2019)</w:t>
            </w:r>
          </w:p>
        </w:tc>
        <w:tc>
          <w:tcPr>
            <w:tcW w:w="1697" w:type="dxa"/>
            <w:vAlign w:val="center"/>
          </w:tcPr>
          <w:p w14:paraId="321DDBCA"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USA</w:t>
            </w:r>
          </w:p>
        </w:tc>
        <w:tc>
          <w:tcPr>
            <w:tcW w:w="1698" w:type="dxa"/>
            <w:vAlign w:val="center"/>
          </w:tcPr>
          <w:p w14:paraId="3E859C2A"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2 January  1997 – 29 December 2017</w:t>
            </w:r>
          </w:p>
        </w:tc>
        <w:tc>
          <w:tcPr>
            <w:tcW w:w="1698" w:type="dxa"/>
            <w:vAlign w:val="center"/>
          </w:tcPr>
          <w:p w14:paraId="26C4D18C"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Granger and Quantile causality</w:t>
            </w:r>
          </w:p>
        </w:tc>
        <w:tc>
          <w:tcPr>
            <w:tcW w:w="4131" w:type="dxa"/>
            <w:tcBorders>
              <w:right w:val="nil"/>
            </w:tcBorders>
            <w:vAlign w:val="center"/>
          </w:tcPr>
          <w:p w14:paraId="67A7BCFA"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They show a bidirectional causal relationship between heating and crude oil price returns and between natural gas and crude oil price returns, respectively. It is worth noting that they interpret causality as a predictability way instead of studying structural economic relations.</w:t>
            </w:r>
          </w:p>
        </w:tc>
      </w:tr>
      <w:tr w:rsidR="001A4A7B" w:rsidRPr="001A4A7B" w14:paraId="2E6A1023" w14:textId="77777777" w:rsidTr="00E166BC">
        <w:tc>
          <w:tcPr>
            <w:tcW w:w="1697" w:type="dxa"/>
            <w:tcBorders>
              <w:left w:val="nil"/>
            </w:tcBorders>
            <w:vAlign w:val="center"/>
          </w:tcPr>
          <w:p w14:paraId="72C5BA4D"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Gosinska et al. (2020)</w:t>
            </w:r>
          </w:p>
        </w:tc>
        <w:tc>
          <w:tcPr>
            <w:tcW w:w="1697" w:type="dxa"/>
            <w:vAlign w:val="center"/>
          </w:tcPr>
          <w:p w14:paraId="26891F53"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European countries</w:t>
            </w:r>
          </w:p>
        </w:tc>
        <w:tc>
          <w:tcPr>
            <w:tcW w:w="1698" w:type="dxa"/>
            <w:vAlign w:val="center"/>
          </w:tcPr>
          <w:p w14:paraId="758376A9"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January 2000 – July 2016</w:t>
            </w:r>
          </w:p>
        </w:tc>
        <w:tc>
          <w:tcPr>
            <w:tcW w:w="1698" w:type="dxa"/>
            <w:vAlign w:val="center"/>
          </w:tcPr>
          <w:p w14:paraId="4F6C247C"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Threshold CVAR</w:t>
            </w:r>
          </w:p>
        </w:tc>
        <w:tc>
          <w:tcPr>
            <w:tcW w:w="4131" w:type="dxa"/>
            <w:tcBorders>
              <w:right w:val="nil"/>
            </w:tcBorders>
            <w:vAlign w:val="center"/>
          </w:tcPr>
          <w:p w14:paraId="02C082E4"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It is shown that between the European and domestic wholesale markets fuel prices adjust symmetrically and asymmetrically between the domestic wholesale market and the retail market. This finding confirms that the most probable cause of asymmetric price adjustments (especially in new EU member states) is the behaviour of petrol stations and not of oil companies.</w:t>
            </w:r>
          </w:p>
        </w:tc>
      </w:tr>
      <w:tr w:rsidR="001A4A7B" w:rsidRPr="001A4A7B" w14:paraId="3B841D2E" w14:textId="77777777" w:rsidTr="00E166BC">
        <w:tc>
          <w:tcPr>
            <w:tcW w:w="1697" w:type="dxa"/>
            <w:tcBorders>
              <w:left w:val="nil"/>
            </w:tcBorders>
            <w:vAlign w:val="center"/>
          </w:tcPr>
          <w:p w14:paraId="35F9E81C"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Olayungbo and Ojeyinka (2021)</w:t>
            </w:r>
          </w:p>
        </w:tc>
        <w:tc>
          <w:tcPr>
            <w:tcW w:w="1697" w:type="dxa"/>
            <w:vAlign w:val="center"/>
          </w:tcPr>
          <w:p w14:paraId="4F4A3909"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Nigeria</w:t>
            </w:r>
          </w:p>
        </w:tc>
        <w:tc>
          <w:tcPr>
            <w:tcW w:w="1698" w:type="dxa"/>
            <w:vAlign w:val="center"/>
          </w:tcPr>
          <w:p w14:paraId="6D7AF751"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1973Q1 – 2020Q2</w:t>
            </w:r>
          </w:p>
        </w:tc>
        <w:tc>
          <w:tcPr>
            <w:tcW w:w="1698" w:type="dxa"/>
            <w:vAlign w:val="center"/>
          </w:tcPr>
          <w:p w14:paraId="216ED198"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Hidden cointegration and ECM</w:t>
            </w:r>
          </w:p>
        </w:tc>
        <w:tc>
          <w:tcPr>
            <w:tcW w:w="4131" w:type="dxa"/>
            <w:tcBorders>
              <w:right w:val="nil"/>
            </w:tcBorders>
            <w:vAlign w:val="center"/>
          </w:tcPr>
          <w:p w14:paraId="336B6EBD"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They find that positive and negative components of both the crude oil and petroleum prices move together in the long run. The result suggests evidence of long-run asymmetry in Nigeria. The empirical findings from both the long-run and short-run results show that petroleum prices in Nigeria respond asymmetrically to changes in crude oil prices. Specifically, the outcomes from the study reveal that positive changes (increase) in crude oil prices produce a larger and stronger effect on petroleum prices than the effect of negative changes (decrease) in crude oil prices indicating evidence of an asymmetric relationship between the two prices in Nigeria. Thus, the findings confirm the existence of the rocket and feather hypothesis in the retail energy market in Nigeria.</w:t>
            </w:r>
          </w:p>
        </w:tc>
      </w:tr>
      <w:tr w:rsidR="001A4A7B" w:rsidRPr="001A4A7B" w14:paraId="21811BC8" w14:textId="77777777" w:rsidTr="00E166BC">
        <w:tc>
          <w:tcPr>
            <w:tcW w:w="1697" w:type="dxa"/>
            <w:tcBorders>
              <w:left w:val="nil"/>
            </w:tcBorders>
            <w:vAlign w:val="center"/>
          </w:tcPr>
          <w:p w14:paraId="5660435A"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Bakhat et al. (2022)</w:t>
            </w:r>
          </w:p>
        </w:tc>
        <w:tc>
          <w:tcPr>
            <w:tcW w:w="1697" w:type="dxa"/>
            <w:vAlign w:val="center"/>
          </w:tcPr>
          <w:p w14:paraId="4604C523"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Bulgaria (BG), Cyprus (CY), Germany (DE), France (FR), Greece (GR), Italy (IT), Poland (PL), Romania (RO), Spain (SP), the United Kingdom (UK) and the United States of America (US)</w:t>
            </w:r>
          </w:p>
        </w:tc>
        <w:tc>
          <w:tcPr>
            <w:tcW w:w="1698" w:type="dxa"/>
            <w:vAlign w:val="center"/>
          </w:tcPr>
          <w:p w14:paraId="400BA9B4"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2009–2020</w:t>
            </w:r>
          </w:p>
        </w:tc>
        <w:tc>
          <w:tcPr>
            <w:tcW w:w="1698" w:type="dxa"/>
            <w:vAlign w:val="center"/>
          </w:tcPr>
          <w:p w14:paraId="1A7A3E00"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NARDL model</w:t>
            </w:r>
          </w:p>
        </w:tc>
        <w:tc>
          <w:tcPr>
            <w:tcW w:w="4131" w:type="dxa"/>
            <w:tcBorders>
              <w:right w:val="nil"/>
            </w:tcBorders>
            <w:vAlign w:val="center"/>
          </w:tcPr>
          <w:p w14:paraId="5EA95725"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The results show that both asymmetries, in terms of speed and magnitude, exist for many of the analyzed markets, demonstrating the importance of not only accounting for the impact but also for the mean lag of the response.</w:t>
            </w:r>
          </w:p>
        </w:tc>
      </w:tr>
      <w:tr w:rsidR="001A4A7B" w:rsidRPr="001A4A7B" w14:paraId="39CE07F7" w14:textId="77777777" w:rsidTr="00E166BC">
        <w:tc>
          <w:tcPr>
            <w:tcW w:w="1697" w:type="dxa"/>
            <w:tcBorders>
              <w:left w:val="nil"/>
            </w:tcBorders>
            <w:vAlign w:val="center"/>
          </w:tcPr>
          <w:p w14:paraId="71138C5D"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Ederington et al. (2021)</w:t>
            </w:r>
          </w:p>
        </w:tc>
        <w:tc>
          <w:tcPr>
            <w:tcW w:w="1697" w:type="dxa"/>
            <w:vAlign w:val="center"/>
          </w:tcPr>
          <w:p w14:paraId="15FCBB48"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USA</w:t>
            </w:r>
          </w:p>
        </w:tc>
        <w:tc>
          <w:tcPr>
            <w:tcW w:w="1698" w:type="dxa"/>
            <w:vAlign w:val="center"/>
          </w:tcPr>
          <w:p w14:paraId="1BA9776D"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24 June 1988 – 26 April 2019</w:t>
            </w:r>
          </w:p>
        </w:tc>
        <w:tc>
          <w:tcPr>
            <w:tcW w:w="1698" w:type="dxa"/>
            <w:vAlign w:val="center"/>
          </w:tcPr>
          <w:p w14:paraId="4F5741E6"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Granger causality</w:t>
            </w:r>
          </w:p>
        </w:tc>
        <w:tc>
          <w:tcPr>
            <w:tcW w:w="4131" w:type="dxa"/>
            <w:tcBorders>
              <w:right w:val="nil"/>
            </w:tcBorders>
            <w:vAlign w:val="center"/>
          </w:tcPr>
          <w:p w14:paraId="61880253"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 xml:space="preserve">They cannot evidence Granger causality from product prices to oil prices is found for the full sample period nor the period up to the end of 2005, but evidence that gasoline prices Granger-caused oil prices is found for post-2005. Similar </w:t>
            </w:r>
            <w:r w:rsidRPr="001A4A7B">
              <w:rPr>
                <w:color w:val="000000" w:themeColor="text1"/>
                <w:sz w:val="20"/>
                <w:szCs w:val="20"/>
                <w:shd w:val="clear" w:color="auto" w:fill="FFFFFF"/>
                <w:lang w:val="en-US"/>
              </w:rPr>
              <w:lastRenderedPageBreak/>
              <w:t>results are found for an extended model that also includes potentially endogenous real market variables related to supply and demand in the oil, heating oil and gasoline markets.</w:t>
            </w:r>
          </w:p>
        </w:tc>
      </w:tr>
      <w:tr w:rsidR="001A4A7B" w:rsidRPr="001A4A7B" w14:paraId="2A71943D" w14:textId="77777777" w:rsidTr="00E166BC">
        <w:tc>
          <w:tcPr>
            <w:tcW w:w="1697" w:type="dxa"/>
            <w:tcBorders>
              <w:left w:val="nil"/>
              <w:bottom w:val="single" w:sz="4" w:space="0" w:color="auto"/>
            </w:tcBorders>
            <w:vAlign w:val="center"/>
          </w:tcPr>
          <w:p w14:paraId="30145218"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lastRenderedPageBreak/>
              <w:t>Vides et al. (2021)</w:t>
            </w:r>
          </w:p>
        </w:tc>
        <w:tc>
          <w:tcPr>
            <w:tcW w:w="1697" w:type="dxa"/>
            <w:tcBorders>
              <w:bottom w:val="single" w:sz="4" w:space="0" w:color="auto"/>
            </w:tcBorders>
            <w:vAlign w:val="center"/>
          </w:tcPr>
          <w:p w14:paraId="169E2183"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USA</w:t>
            </w:r>
          </w:p>
        </w:tc>
        <w:tc>
          <w:tcPr>
            <w:tcW w:w="1698" w:type="dxa"/>
            <w:tcBorders>
              <w:bottom w:val="single" w:sz="4" w:space="0" w:color="auto"/>
            </w:tcBorders>
            <w:vAlign w:val="center"/>
          </w:tcPr>
          <w:p w14:paraId="4B785A4F"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16 June 2006 – 29 January 2021</w:t>
            </w:r>
          </w:p>
        </w:tc>
        <w:tc>
          <w:tcPr>
            <w:tcW w:w="1698" w:type="dxa"/>
            <w:tcBorders>
              <w:bottom w:val="single" w:sz="4" w:space="0" w:color="auto"/>
            </w:tcBorders>
            <w:vAlign w:val="center"/>
          </w:tcPr>
          <w:p w14:paraId="632D599F"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FCVAR model</w:t>
            </w:r>
          </w:p>
        </w:tc>
        <w:tc>
          <w:tcPr>
            <w:tcW w:w="4131" w:type="dxa"/>
            <w:tcBorders>
              <w:bottom w:val="single" w:sz="4" w:space="0" w:color="auto"/>
              <w:right w:val="nil"/>
            </w:tcBorders>
            <w:vAlign w:val="center"/>
          </w:tcPr>
          <w:p w14:paraId="5DD40931" w14:textId="77777777" w:rsidR="00494401" w:rsidRPr="001A4A7B" w:rsidRDefault="00494401" w:rsidP="00E166BC">
            <w:pPr>
              <w:jc w:val="center"/>
              <w:rPr>
                <w:color w:val="000000" w:themeColor="text1"/>
                <w:sz w:val="20"/>
                <w:szCs w:val="20"/>
                <w:shd w:val="clear" w:color="auto" w:fill="FFFFFF"/>
                <w:lang w:val="en-US"/>
              </w:rPr>
            </w:pPr>
            <w:r w:rsidRPr="001A4A7B">
              <w:rPr>
                <w:color w:val="000000" w:themeColor="text1"/>
                <w:sz w:val="20"/>
                <w:szCs w:val="20"/>
                <w:shd w:val="clear" w:color="auto" w:fill="FFFFFF"/>
                <w:lang w:val="en-US"/>
              </w:rPr>
              <w:t>They evidence that the order of integration of the crack spread displays a long memory process. Finally, by attending to the coefficient adjustments, supply-driven market integration is given. Additionally, the Verleger hypothesis is rejected for all refined products, corroborated by the component share.</w:t>
            </w:r>
          </w:p>
        </w:tc>
      </w:tr>
      <w:tr w:rsidR="001A4A7B" w:rsidRPr="001A4A7B" w14:paraId="1DA0C8FE" w14:textId="77777777" w:rsidTr="00E166BC">
        <w:tc>
          <w:tcPr>
            <w:tcW w:w="10921" w:type="dxa"/>
            <w:gridSpan w:val="5"/>
            <w:tcBorders>
              <w:left w:val="nil"/>
              <w:bottom w:val="nil"/>
            </w:tcBorders>
            <w:vAlign w:val="center"/>
          </w:tcPr>
          <w:p w14:paraId="74207E78" w14:textId="0FE7F1B3" w:rsidR="00E166BC" w:rsidRPr="001A4A7B" w:rsidRDefault="00E166BC" w:rsidP="00E166BC">
            <w:pPr>
              <w:jc w:val="both"/>
              <w:rPr>
                <w:color w:val="000000" w:themeColor="text1"/>
                <w:sz w:val="20"/>
                <w:szCs w:val="20"/>
                <w:shd w:val="clear" w:color="auto" w:fill="FFFFFF"/>
                <w:lang w:val="en-US"/>
              </w:rPr>
            </w:pPr>
            <w:r w:rsidRPr="001A4A7B">
              <w:rPr>
                <w:b/>
                <w:bCs/>
                <w:i/>
                <w:iCs/>
                <w:color w:val="000000" w:themeColor="text1"/>
                <w:sz w:val="20"/>
                <w:szCs w:val="20"/>
                <w:shd w:val="clear" w:color="auto" w:fill="FFFFFF"/>
                <w:lang w:val="en-US"/>
              </w:rPr>
              <w:t>Notes:</w:t>
            </w:r>
            <w:r w:rsidRPr="001A4A7B">
              <w:rPr>
                <w:color w:val="000000" w:themeColor="text1"/>
                <w:sz w:val="20"/>
                <w:szCs w:val="20"/>
                <w:shd w:val="clear" w:color="auto" w:fill="FFFFFF"/>
                <w:lang w:val="en-US"/>
              </w:rPr>
              <w:t xml:space="preserve"> Own elaboration.</w:t>
            </w:r>
          </w:p>
        </w:tc>
      </w:tr>
    </w:tbl>
    <w:p w14:paraId="033E7955" w14:textId="1371A994" w:rsidR="00494401" w:rsidRPr="001A4A7B" w:rsidRDefault="00494401" w:rsidP="000D79F0">
      <w:pPr>
        <w:jc w:val="both"/>
        <w:rPr>
          <w:color w:val="000000" w:themeColor="text1"/>
          <w:shd w:val="clear" w:color="auto" w:fill="FFFFFF"/>
          <w:lang w:val="en-US"/>
        </w:rPr>
      </w:pPr>
    </w:p>
    <w:tbl>
      <w:tblPr>
        <w:tblStyle w:val="Tablaconcuadrcula2"/>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9"/>
      </w:tblGrid>
      <w:tr w:rsidR="001A4A7B" w:rsidRPr="001A4A7B" w14:paraId="75C84730" w14:textId="77777777" w:rsidTr="00331E91">
        <w:trPr>
          <w:jc w:val="center"/>
        </w:trPr>
        <w:tc>
          <w:tcPr>
            <w:tcW w:w="8488" w:type="dxa"/>
          </w:tcPr>
          <w:p w14:paraId="4E0D782D" w14:textId="77777777" w:rsidR="00331E91" w:rsidRPr="001A4A7B" w:rsidRDefault="00331E91" w:rsidP="00331E91">
            <w:pPr>
              <w:autoSpaceDE w:val="0"/>
              <w:autoSpaceDN w:val="0"/>
              <w:adjustRightInd w:val="0"/>
              <w:jc w:val="both"/>
              <w:rPr>
                <w:color w:val="000000" w:themeColor="text1"/>
                <w:sz w:val="20"/>
                <w:szCs w:val="20"/>
                <w:lang w:val="en-US"/>
              </w:rPr>
            </w:pPr>
            <w:bookmarkStart w:id="0" w:name="OLE_LINK1"/>
            <w:bookmarkStart w:id="1" w:name="OLE_LINK2"/>
            <w:r w:rsidRPr="001A4A7B">
              <w:rPr>
                <w:b/>
                <w:bCs/>
                <w:color w:val="000000" w:themeColor="text1"/>
                <w:sz w:val="20"/>
                <w:szCs w:val="20"/>
                <w:lang w:val="en-US"/>
              </w:rPr>
              <w:t>Figure A1.</w:t>
            </w:r>
            <w:r w:rsidRPr="001A4A7B">
              <w:rPr>
                <w:color w:val="000000" w:themeColor="text1"/>
                <w:sz w:val="20"/>
                <w:szCs w:val="20"/>
                <w:lang w:val="en-US"/>
              </w:rPr>
              <w:t xml:space="preserve"> Positive cumulative sums of the variables.</w:t>
            </w:r>
          </w:p>
        </w:tc>
      </w:tr>
      <w:tr w:rsidR="001A4A7B" w:rsidRPr="001A4A7B" w14:paraId="3DD6CF12" w14:textId="77777777" w:rsidTr="00331E91">
        <w:tblPrEx>
          <w:tblCellMar>
            <w:left w:w="70" w:type="dxa"/>
            <w:right w:w="70" w:type="dxa"/>
          </w:tblCellMar>
        </w:tblPrEx>
        <w:trPr>
          <w:jc w:val="center"/>
        </w:trPr>
        <w:tc>
          <w:tcPr>
            <w:tcW w:w="8488" w:type="dxa"/>
          </w:tcPr>
          <w:p w14:paraId="1F5FEB69" w14:textId="3336AE86" w:rsidR="00331E91" w:rsidRPr="001A4A7B" w:rsidRDefault="00331E91" w:rsidP="00331E91">
            <w:pPr>
              <w:autoSpaceDE w:val="0"/>
              <w:autoSpaceDN w:val="0"/>
              <w:adjustRightInd w:val="0"/>
              <w:jc w:val="center"/>
              <w:rPr>
                <w:color w:val="000000" w:themeColor="text1"/>
                <w:sz w:val="20"/>
                <w:szCs w:val="20"/>
                <w:lang w:val="en-US"/>
              </w:rPr>
            </w:pPr>
            <w:r w:rsidRPr="001A4A7B">
              <w:rPr>
                <w:noProof/>
                <w:color w:val="000000" w:themeColor="text1"/>
              </w:rPr>
              <w:drawing>
                <wp:inline distT="0" distB="0" distL="0" distR="0" wp14:anchorId="53D22C29" wp14:editId="40F506CC">
                  <wp:extent cx="5384800" cy="276860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384800" cy="2768600"/>
                          </a:xfrm>
                          <a:prstGeom prst="rect">
                            <a:avLst/>
                          </a:prstGeom>
                        </pic:spPr>
                      </pic:pic>
                    </a:graphicData>
                  </a:graphic>
                </wp:inline>
              </w:drawing>
            </w:r>
          </w:p>
        </w:tc>
      </w:tr>
      <w:tr w:rsidR="00331E91" w:rsidRPr="001A4A7B" w14:paraId="534FA60F" w14:textId="77777777" w:rsidTr="00331E91">
        <w:trPr>
          <w:jc w:val="center"/>
        </w:trPr>
        <w:tc>
          <w:tcPr>
            <w:tcW w:w="8488" w:type="dxa"/>
          </w:tcPr>
          <w:p w14:paraId="74D2BAA8" w14:textId="77777777" w:rsidR="00331E91" w:rsidRPr="001A4A7B" w:rsidRDefault="00331E91" w:rsidP="00331E91">
            <w:pPr>
              <w:autoSpaceDE w:val="0"/>
              <w:autoSpaceDN w:val="0"/>
              <w:adjustRightInd w:val="0"/>
              <w:jc w:val="both"/>
              <w:rPr>
                <w:color w:val="000000" w:themeColor="text1"/>
                <w:sz w:val="20"/>
                <w:szCs w:val="20"/>
                <w:lang w:val="en-US"/>
              </w:rPr>
            </w:pPr>
            <w:r w:rsidRPr="001A4A7B">
              <w:rPr>
                <w:b/>
                <w:bCs/>
                <w:i/>
                <w:iCs/>
                <w:color w:val="000000" w:themeColor="text1"/>
                <w:sz w:val="20"/>
                <w:szCs w:val="20"/>
                <w:lang w:val="en-US"/>
              </w:rPr>
              <w:t>Notes:</w:t>
            </w:r>
            <w:r w:rsidRPr="001A4A7B">
              <w:rPr>
                <w:color w:val="000000" w:themeColor="text1"/>
                <w:sz w:val="20"/>
                <w:szCs w:val="20"/>
                <w:lang w:val="en-US"/>
              </w:rPr>
              <w:t xml:space="preserve"> Own elaboration.</w:t>
            </w:r>
          </w:p>
        </w:tc>
      </w:tr>
      <w:bookmarkEnd w:id="0"/>
      <w:bookmarkEnd w:id="1"/>
    </w:tbl>
    <w:p w14:paraId="3AC2A0B9" w14:textId="77777777" w:rsidR="00224911" w:rsidRPr="001A4A7B" w:rsidRDefault="00224911" w:rsidP="00224911">
      <w:pPr>
        <w:autoSpaceDE w:val="0"/>
        <w:autoSpaceDN w:val="0"/>
        <w:adjustRightInd w:val="0"/>
        <w:jc w:val="both"/>
        <w:rPr>
          <w:rFonts w:ascii="Garamond" w:hAnsi="Garamond"/>
          <w:color w:val="000000" w:themeColor="text1"/>
          <w:lang w:val="en-US"/>
        </w:rPr>
      </w:pPr>
    </w:p>
    <w:p w14:paraId="7F3A6C34" w14:textId="77777777" w:rsidR="00224911" w:rsidRPr="001A4A7B" w:rsidRDefault="00224911" w:rsidP="00224911">
      <w:pPr>
        <w:autoSpaceDE w:val="0"/>
        <w:autoSpaceDN w:val="0"/>
        <w:adjustRightInd w:val="0"/>
        <w:jc w:val="both"/>
        <w:rPr>
          <w:rFonts w:ascii="Garamond" w:hAnsi="Garamond"/>
          <w:b/>
          <w:bCs/>
          <w:color w:val="000000" w:themeColor="text1"/>
          <w:lang w:val="en-US"/>
        </w:rPr>
      </w:pPr>
    </w:p>
    <w:tbl>
      <w:tblPr>
        <w:tblStyle w:val="Tablaconcuadrcu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9"/>
      </w:tblGrid>
      <w:tr w:rsidR="001A4A7B" w:rsidRPr="001A4A7B" w14:paraId="24A1CA30" w14:textId="77777777" w:rsidTr="00331E91">
        <w:trPr>
          <w:jc w:val="center"/>
        </w:trPr>
        <w:tc>
          <w:tcPr>
            <w:tcW w:w="8488" w:type="dxa"/>
          </w:tcPr>
          <w:p w14:paraId="3EF052B5" w14:textId="77777777" w:rsidR="00331E91" w:rsidRPr="001A4A7B" w:rsidRDefault="00331E91" w:rsidP="00331E91">
            <w:pPr>
              <w:autoSpaceDE w:val="0"/>
              <w:autoSpaceDN w:val="0"/>
              <w:adjustRightInd w:val="0"/>
              <w:jc w:val="both"/>
              <w:rPr>
                <w:color w:val="000000" w:themeColor="text1"/>
                <w:sz w:val="20"/>
                <w:szCs w:val="20"/>
                <w:lang w:val="en-US"/>
              </w:rPr>
            </w:pPr>
            <w:r w:rsidRPr="001A4A7B">
              <w:rPr>
                <w:b/>
                <w:bCs/>
                <w:color w:val="000000" w:themeColor="text1"/>
                <w:sz w:val="20"/>
                <w:szCs w:val="20"/>
                <w:lang w:val="en-US"/>
              </w:rPr>
              <w:t>Figure A2.</w:t>
            </w:r>
            <w:r w:rsidRPr="001A4A7B">
              <w:rPr>
                <w:color w:val="000000" w:themeColor="text1"/>
                <w:sz w:val="20"/>
                <w:szCs w:val="20"/>
                <w:lang w:val="en-US"/>
              </w:rPr>
              <w:t xml:space="preserve"> Positive cumulative sums of the variables.</w:t>
            </w:r>
          </w:p>
        </w:tc>
      </w:tr>
      <w:tr w:rsidR="001A4A7B" w:rsidRPr="001A4A7B" w14:paraId="54DABD98" w14:textId="77777777" w:rsidTr="00331E91">
        <w:tblPrEx>
          <w:tblCellMar>
            <w:left w:w="70" w:type="dxa"/>
            <w:right w:w="70" w:type="dxa"/>
          </w:tblCellMar>
        </w:tblPrEx>
        <w:trPr>
          <w:jc w:val="center"/>
        </w:trPr>
        <w:tc>
          <w:tcPr>
            <w:tcW w:w="8488" w:type="dxa"/>
          </w:tcPr>
          <w:p w14:paraId="6DD66482" w14:textId="496E8FCC" w:rsidR="00331E91" w:rsidRPr="001A4A7B" w:rsidRDefault="00331E91" w:rsidP="00331E91">
            <w:pPr>
              <w:autoSpaceDE w:val="0"/>
              <w:autoSpaceDN w:val="0"/>
              <w:adjustRightInd w:val="0"/>
              <w:jc w:val="center"/>
              <w:rPr>
                <w:color w:val="000000" w:themeColor="text1"/>
                <w:sz w:val="20"/>
                <w:szCs w:val="20"/>
                <w:lang w:val="en-US"/>
              </w:rPr>
            </w:pPr>
            <w:r w:rsidRPr="001A4A7B">
              <w:rPr>
                <w:noProof/>
                <w:color w:val="000000" w:themeColor="text1"/>
              </w:rPr>
              <w:drawing>
                <wp:inline distT="0" distB="0" distL="0" distR="0" wp14:anchorId="318F5F19" wp14:editId="644021B0">
                  <wp:extent cx="5384800" cy="276860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384800" cy="2768600"/>
                          </a:xfrm>
                          <a:prstGeom prst="rect">
                            <a:avLst/>
                          </a:prstGeom>
                        </pic:spPr>
                      </pic:pic>
                    </a:graphicData>
                  </a:graphic>
                </wp:inline>
              </w:drawing>
            </w:r>
          </w:p>
        </w:tc>
      </w:tr>
      <w:tr w:rsidR="00331E91" w:rsidRPr="001A4A7B" w14:paraId="64640E22" w14:textId="77777777" w:rsidTr="00331E91">
        <w:trPr>
          <w:jc w:val="center"/>
        </w:trPr>
        <w:tc>
          <w:tcPr>
            <w:tcW w:w="8488" w:type="dxa"/>
          </w:tcPr>
          <w:p w14:paraId="66A85F7C" w14:textId="77777777" w:rsidR="00331E91" w:rsidRPr="001A4A7B" w:rsidRDefault="00331E91" w:rsidP="00331E91">
            <w:pPr>
              <w:autoSpaceDE w:val="0"/>
              <w:autoSpaceDN w:val="0"/>
              <w:adjustRightInd w:val="0"/>
              <w:jc w:val="both"/>
              <w:rPr>
                <w:color w:val="000000" w:themeColor="text1"/>
                <w:sz w:val="20"/>
                <w:szCs w:val="20"/>
                <w:lang w:val="en-US"/>
              </w:rPr>
            </w:pPr>
            <w:r w:rsidRPr="001A4A7B">
              <w:rPr>
                <w:b/>
                <w:bCs/>
                <w:i/>
                <w:iCs/>
                <w:color w:val="000000" w:themeColor="text1"/>
                <w:sz w:val="20"/>
                <w:szCs w:val="20"/>
                <w:lang w:val="en-US"/>
              </w:rPr>
              <w:t>Notes:</w:t>
            </w:r>
            <w:r w:rsidRPr="001A4A7B">
              <w:rPr>
                <w:color w:val="000000" w:themeColor="text1"/>
                <w:sz w:val="20"/>
                <w:szCs w:val="20"/>
                <w:lang w:val="en-US"/>
              </w:rPr>
              <w:t xml:space="preserve"> Own elaboration.</w:t>
            </w:r>
          </w:p>
        </w:tc>
      </w:tr>
    </w:tbl>
    <w:p w14:paraId="027A9AD2" w14:textId="77777777" w:rsidR="00224911" w:rsidRPr="001A4A7B" w:rsidRDefault="00224911" w:rsidP="00224911">
      <w:pPr>
        <w:autoSpaceDE w:val="0"/>
        <w:autoSpaceDN w:val="0"/>
        <w:adjustRightInd w:val="0"/>
        <w:jc w:val="both"/>
        <w:rPr>
          <w:rFonts w:ascii="Garamond" w:hAnsi="Garamond"/>
          <w:b/>
          <w:bCs/>
          <w:color w:val="000000" w:themeColor="text1"/>
          <w:lang w:val="en-US"/>
        </w:rPr>
      </w:pPr>
    </w:p>
    <w:p w14:paraId="442470AF" w14:textId="77777777" w:rsidR="00224911" w:rsidRPr="001A4A7B" w:rsidRDefault="00224911" w:rsidP="000D79F0">
      <w:pPr>
        <w:jc w:val="both"/>
        <w:rPr>
          <w:color w:val="000000" w:themeColor="text1"/>
          <w:shd w:val="clear" w:color="auto" w:fill="FFFFFF"/>
          <w:lang w:val="en-US"/>
        </w:rPr>
      </w:pPr>
    </w:p>
    <w:sectPr w:rsidR="00224911" w:rsidRPr="001A4A7B" w:rsidSect="000B4367">
      <w:pgSz w:w="11901" w:h="16817"/>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7647EE" w14:textId="77777777" w:rsidR="002836E7" w:rsidRDefault="002836E7" w:rsidP="009B4793">
      <w:r>
        <w:separator/>
      </w:r>
    </w:p>
  </w:endnote>
  <w:endnote w:type="continuationSeparator" w:id="0">
    <w:p w14:paraId="2B6AE535" w14:textId="77777777" w:rsidR="002836E7" w:rsidRDefault="002836E7" w:rsidP="009B47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5B" w:usb2="00000009" w:usb3="00000000" w:csb0="000001FF" w:csb1="00000000"/>
  </w:font>
  <w:font w:name="LM Roman 10">
    <w:altName w:val="Arial"/>
    <w:panose1 w:val="020B0604020202020204"/>
    <w:charset w:val="00"/>
    <w:family w:val="modern"/>
    <w:notTrueType/>
    <w:pitch w:val="variable"/>
    <w:sig w:usb0="20000007" w:usb1="00000000" w:usb2="00000000" w:usb3="00000000" w:csb0="00000193" w:csb1="00000000"/>
  </w:font>
  <w:font w:name="Courier">
    <w:panose1 w:val="00000000000000000000"/>
    <w:charset w:val="00"/>
    <w:family w:val="auto"/>
    <w:pitch w:val="variable"/>
    <w:sig w:usb0="00000003" w:usb1="00000000" w:usb2="00000000" w:usb3="00000000" w:csb0="00000003" w:csb1="00000000"/>
  </w:font>
  <w:font w:name="Cambria Math">
    <w:panose1 w:val="02040503050406030204"/>
    <w:charset w:val="00"/>
    <w:family w:val="roman"/>
    <w:pitch w:val="variable"/>
    <w:sig w:usb0="E00002FF" w:usb1="420024FF" w:usb2="00000000" w:usb3="00000000" w:csb0="0000019F" w:csb1="00000000"/>
  </w:font>
  <w:font w:name="Garamond">
    <w:panose1 w:val="02020404030301010803"/>
    <w:charset w:val="00"/>
    <w:family w:val="roman"/>
    <w:pitch w:val="variable"/>
    <w:sig w:usb0="00000287" w:usb1="00000002"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900B34" w14:textId="77777777" w:rsidR="002836E7" w:rsidRDefault="002836E7" w:rsidP="009B4793">
      <w:r>
        <w:separator/>
      </w:r>
    </w:p>
  </w:footnote>
  <w:footnote w:type="continuationSeparator" w:id="0">
    <w:p w14:paraId="3BF84EEC" w14:textId="77777777" w:rsidR="002836E7" w:rsidRDefault="002836E7" w:rsidP="009B4793">
      <w:r>
        <w:continuationSeparator/>
      </w:r>
    </w:p>
  </w:footnote>
  <w:footnote w:id="1">
    <w:p w14:paraId="6376B5FC" w14:textId="294D8AEE" w:rsidR="00A705C5" w:rsidRPr="00C250F2" w:rsidRDefault="00A705C5" w:rsidP="00C250F2">
      <w:pPr>
        <w:jc w:val="both"/>
        <w:rPr>
          <w:color w:val="000000" w:themeColor="text1"/>
          <w:sz w:val="20"/>
          <w:szCs w:val="20"/>
          <w:lang w:val="en-GB"/>
        </w:rPr>
      </w:pPr>
      <w:r w:rsidRPr="000A7795">
        <w:rPr>
          <w:rStyle w:val="Refdenotaalpie"/>
          <w:color w:val="000000" w:themeColor="text1"/>
          <w:sz w:val="20"/>
          <w:szCs w:val="20"/>
          <w:lang w:val="en-GB"/>
        </w:rPr>
        <w:footnoteRef/>
      </w:r>
      <w:r w:rsidRPr="000A7795">
        <w:rPr>
          <w:color w:val="000000" w:themeColor="text1"/>
          <w:sz w:val="20"/>
          <w:szCs w:val="20"/>
          <w:lang w:val="en-GB"/>
        </w:rPr>
        <w:t xml:space="preserve"> According to </w:t>
      </w:r>
      <w:r w:rsidRPr="00752592">
        <w:rPr>
          <w:color w:val="000000" w:themeColor="text1"/>
          <w:sz w:val="20"/>
          <w:szCs w:val="20"/>
          <w:lang w:val="en-GB"/>
        </w:rPr>
        <w:t>Sovacool et al. (2020),</w:t>
      </w:r>
      <w:r w:rsidRPr="000A7795">
        <w:rPr>
          <w:color w:val="000000" w:themeColor="text1"/>
          <w:sz w:val="20"/>
          <w:szCs w:val="20"/>
          <w:lang w:val="en-GB"/>
        </w:rPr>
        <w:t xml:space="preserve"> by the end of April 2020, more than half of the entire world's population (54%) was under some form of COVID-19 lockdown.</w:t>
      </w:r>
    </w:p>
  </w:footnote>
  <w:footnote w:id="2">
    <w:p w14:paraId="289C7728" w14:textId="782BE19A" w:rsidR="003D6928" w:rsidRPr="003D6928" w:rsidRDefault="003D6928" w:rsidP="003D6928">
      <w:pPr>
        <w:pStyle w:val="Textonotapie"/>
        <w:jc w:val="both"/>
        <w:rPr>
          <w:rFonts w:ascii="Times New Roman" w:hAnsi="Times New Roman" w:cs="Times New Roman"/>
          <w:sz w:val="20"/>
          <w:szCs w:val="20"/>
          <w:lang w:val="en-US"/>
        </w:rPr>
      </w:pPr>
      <w:r w:rsidRPr="000A2C3C">
        <w:rPr>
          <w:rStyle w:val="Refdenotaalpie"/>
          <w:rFonts w:ascii="Times New Roman" w:hAnsi="Times New Roman" w:cs="Times New Roman"/>
          <w:color w:val="000000" w:themeColor="text1"/>
          <w:sz w:val="20"/>
          <w:szCs w:val="20"/>
        </w:rPr>
        <w:footnoteRef/>
      </w:r>
      <w:r w:rsidRPr="000A2C3C">
        <w:rPr>
          <w:rFonts w:ascii="Times New Roman" w:hAnsi="Times New Roman" w:cs="Times New Roman"/>
          <w:color w:val="000000" w:themeColor="text1"/>
          <w:sz w:val="20"/>
          <w:szCs w:val="20"/>
          <w:lang w:val="en-US"/>
        </w:rPr>
        <w:t xml:space="preserve"> </w:t>
      </w:r>
      <w:r w:rsidR="00BE11D0" w:rsidRPr="000A2C3C">
        <w:rPr>
          <w:rFonts w:ascii="Times New Roman" w:hAnsi="Times New Roman" w:cs="Times New Roman"/>
          <w:color w:val="000000" w:themeColor="text1"/>
          <w:sz w:val="20"/>
          <w:szCs w:val="20"/>
          <w:lang w:val="en-US"/>
        </w:rPr>
        <w:t>See Hamilton (2011) for a survey of the nonlinear relationship between macroeconomic effects and oil prices.</w:t>
      </w:r>
    </w:p>
  </w:footnote>
  <w:footnote w:id="3">
    <w:p w14:paraId="4DD00BDE" w14:textId="4CAD0E70" w:rsidR="00A705C5" w:rsidRPr="000E6324" w:rsidRDefault="00A705C5" w:rsidP="000E6324">
      <w:pPr>
        <w:pStyle w:val="Textonotapie"/>
        <w:jc w:val="both"/>
        <w:rPr>
          <w:rFonts w:ascii="Times New Roman" w:hAnsi="Times New Roman" w:cs="Times New Roman"/>
          <w:b/>
          <w:sz w:val="20"/>
          <w:szCs w:val="20"/>
          <w:lang w:val="en-US"/>
        </w:rPr>
      </w:pPr>
      <w:r w:rsidRPr="000E6324">
        <w:rPr>
          <w:rStyle w:val="Refdenotaalpie"/>
          <w:rFonts w:ascii="Times New Roman" w:hAnsi="Times New Roman" w:cs="Times New Roman"/>
          <w:sz w:val="20"/>
          <w:szCs w:val="20"/>
        </w:rPr>
        <w:footnoteRef/>
      </w:r>
      <w:r w:rsidRPr="000E6324">
        <w:rPr>
          <w:rFonts w:ascii="Times New Roman" w:hAnsi="Times New Roman" w:cs="Times New Roman"/>
          <w:sz w:val="20"/>
          <w:szCs w:val="20"/>
          <w:lang w:val="en-GB"/>
        </w:rPr>
        <w:t xml:space="preserve"> </w:t>
      </w:r>
      <w:r w:rsidRPr="000E6324">
        <w:rPr>
          <w:rFonts w:ascii="Times New Roman" w:hAnsi="Times New Roman" w:cs="Times New Roman"/>
          <w:sz w:val="20"/>
          <w:szCs w:val="20"/>
          <w:lang w:val="en-US"/>
        </w:rPr>
        <w:t>Crude Oil are valued in Dollars per barrel and the refined products in Dollars per gallon, which are converted to dollars per barrel by using 1 barrel = 42 US gallons, considering the US production.</w:t>
      </w:r>
    </w:p>
  </w:footnote>
  <w:footnote w:id="4">
    <w:p w14:paraId="0AF78094" w14:textId="4DC922C1" w:rsidR="00A705C5" w:rsidRPr="000E6324" w:rsidRDefault="00A705C5" w:rsidP="000E6324">
      <w:pPr>
        <w:pStyle w:val="Textonotapie"/>
        <w:jc w:val="both"/>
        <w:rPr>
          <w:rFonts w:ascii="Times New Roman" w:hAnsi="Times New Roman" w:cs="Times New Roman"/>
          <w:sz w:val="20"/>
          <w:szCs w:val="20"/>
          <w:lang w:val="en-US"/>
        </w:rPr>
      </w:pPr>
      <w:r w:rsidRPr="000E6324">
        <w:rPr>
          <w:rFonts w:ascii="Times New Roman" w:hAnsi="Times New Roman" w:cs="Times New Roman"/>
          <w:sz w:val="20"/>
          <w:szCs w:val="20"/>
          <w:vertAlign w:val="superscript"/>
          <w:lang w:val="en-US"/>
        </w:rPr>
        <w:footnoteRef/>
      </w:r>
      <w:r w:rsidRPr="000E6324">
        <w:rPr>
          <w:rFonts w:ascii="Times New Roman" w:hAnsi="Times New Roman" w:cs="Times New Roman"/>
          <w:sz w:val="20"/>
          <w:szCs w:val="20"/>
          <w:vertAlign w:val="superscript"/>
          <w:lang w:val="en-US"/>
        </w:rPr>
        <w:t xml:space="preserve"> </w:t>
      </w:r>
      <w:r w:rsidRPr="000E6324">
        <w:rPr>
          <w:rFonts w:ascii="Times New Roman" w:hAnsi="Times New Roman" w:cs="Times New Roman"/>
          <w:sz w:val="20"/>
          <w:szCs w:val="20"/>
          <w:lang w:val="en-US"/>
        </w:rPr>
        <w:t>RBOB is heavily dependent on crude oil, as it is a refined product of the commodity.</w:t>
      </w:r>
    </w:p>
  </w:footnote>
  <w:footnote w:id="5">
    <w:p w14:paraId="5BAF1D8B" w14:textId="5012FBDC" w:rsidR="00A705C5" w:rsidRPr="00373FC2" w:rsidRDefault="00A705C5" w:rsidP="000E6324">
      <w:pPr>
        <w:pStyle w:val="Textonotapie"/>
        <w:jc w:val="both"/>
        <w:rPr>
          <w:rFonts w:ascii="Times New Roman" w:hAnsi="Times New Roman" w:cs="Times New Roman"/>
          <w:sz w:val="18"/>
          <w:szCs w:val="20"/>
          <w:lang w:val="en-US"/>
        </w:rPr>
      </w:pPr>
      <w:r w:rsidRPr="000E6324">
        <w:rPr>
          <w:rStyle w:val="Refdenotaalpie"/>
          <w:rFonts w:ascii="Times New Roman" w:hAnsi="Times New Roman" w:cs="Times New Roman"/>
          <w:sz w:val="20"/>
          <w:szCs w:val="20"/>
        </w:rPr>
        <w:footnoteRef/>
      </w:r>
      <w:r w:rsidRPr="000E6324">
        <w:rPr>
          <w:rFonts w:ascii="Times New Roman" w:hAnsi="Times New Roman" w:cs="Times New Roman"/>
          <w:sz w:val="20"/>
          <w:szCs w:val="20"/>
          <w:lang w:val="en-US"/>
        </w:rPr>
        <w:t xml:space="preserve"> </w:t>
      </w:r>
      <w:hyperlink r:id="rId1" w:history="1">
        <w:r w:rsidRPr="000E6324">
          <w:rPr>
            <w:rStyle w:val="Hipervnculo"/>
            <w:rFonts w:ascii="Times New Roman" w:hAnsi="Times New Roman" w:cs="Times New Roman"/>
            <w:sz w:val="20"/>
            <w:szCs w:val="20"/>
            <w:lang w:val="en-US"/>
          </w:rPr>
          <w:t>http://www.eia.gov/dnav/pet/pet_pri_spt_s1_w.htm</w:t>
        </w:r>
      </w:hyperlink>
    </w:p>
  </w:footnote>
  <w:footnote w:id="6">
    <w:p w14:paraId="360B4308" w14:textId="45C98EAD" w:rsidR="00A705C5" w:rsidRPr="00752592" w:rsidRDefault="00A705C5" w:rsidP="00752592">
      <w:pPr>
        <w:pStyle w:val="Textonotapie"/>
        <w:jc w:val="both"/>
        <w:rPr>
          <w:rFonts w:ascii="Times New Roman" w:hAnsi="Times New Roman" w:cs="Times New Roman"/>
          <w:sz w:val="20"/>
          <w:szCs w:val="20"/>
          <w:lang w:val="en-US"/>
        </w:rPr>
      </w:pPr>
      <w:r w:rsidRPr="00752592">
        <w:rPr>
          <w:rStyle w:val="Refdenotaalpie"/>
          <w:rFonts w:ascii="Times New Roman" w:hAnsi="Times New Roman" w:cs="Times New Roman"/>
          <w:sz w:val="20"/>
          <w:szCs w:val="20"/>
        </w:rPr>
        <w:footnoteRef/>
      </w:r>
      <w:r w:rsidRPr="00752592">
        <w:rPr>
          <w:rFonts w:ascii="Times New Roman" w:hAnsi="Times New Roman" w:cs="Times New Roman"/>
          <w:sz w:val="20"/>
          <w:szCs w:val="20"/>
          <w:lang w:val="en-US"/>
        </w:rPr>
        <w:t xml:space="preserve"> A table with descriptive statistics is included in</w:t>
      </w:r>
      <w:r w:rsidR="00F248B1">
        <w:rPr>
          <w:rFonts w:ascii="Times New Roman" w:hAnsi="Times New Roman" w:cs="Times New Roman"/>
          <w:sz w:val="20"/>
          <w:szCs w:val="20"/>
          <w:lang w:val="en-US"/>
        </w:rPr>
        <w:t xml:space="preserve"> Table A1 in</w:t>
      </w:r>
      <w:r w:rsidRPr="00752592">
        <w:rPr>
          <w:rFonts w:ascii="Times New Roman" w:hAnsi="Times New Roman" w:cs="Times New Roman"/>
          <w:sz w:val="20"/>
          <w:szCs w:val="20"/>
          <w:lang w:val="en-US"/>
        </w:rPr>
        <w:t xml:space="preserve"> the appendix</w:t>
      </w:r>
      <w:r>
        <w:rPr>
          <w:rFonts w:ascii="Times New Roman" w:hAnsi="Times New Roman" w:cs="Times New Roman"/>
          <w:sz w:val="20"/>
          <w:szCs w:val="20"/>
          <w:lang w:val="en-US"/>
        </w:rPr>
        <w:t>.</w:t>
      </w:r>
    </w:p>
  </w:footnote>
  <w:footnote w:id="7">
    <w:p w14:paraId="4F7A3A11" w14:textId="49FB7036" w:rsidR="00CF1A18" w:rsidRPr="00CF1A18" w:rsidRDefault="00CF1A18" w:rsidP="00CF1A18">
      <w:pPr>
        <w:pStyle w:val="Textonotapie"/>
        <w:jc w:val="both"/>
        <w:rPr>
          <w:rFonts w:ascii="Times New Roman" w:hAnsi="Times New Roman" w:cs="Times New Roman"/>
          <w:sz w:val="20"/>
          <w:szCs w:val="20"/>
          <w:lang w:val="en-US"/>
        </w:rPr>
      </w:pPr>
      <w:r w:rsidRPr="00CF1A18">
        <w:rPr>
          <w:rStyle w:val="Refdenotaalpie"/>
          <w:rFonts w:ascii="Times New Roman" w:hAnsi="Times New Roman" w:cs="Times New Roman"/>
          <w:sz w:val="20"/>
          <w:szCs w:val="20"/>
          <w:lang w:val="en-US"/>
        </w:rPr>
        <w:footnoteRef/>
      </w:r>
      <w:r w:rsidRPr="00CF1A18">
        <w:rPr>
          <w:rFonts w:ascii="Times New Roman" w:hAnsi="Times New Roman" w:cs="Times New Roman"/>
          <w:sz w:val="20"/>
          <w:szCs w:val="20"/>
          <w:lang w:val="en-US"/>
        </w:rPr>
        <w:t xml:space="preserve"> The same analysis has been carried out for the sample before COVID-19, and the results are robust with those obtained in the present analysis.</w:t>
      </w:r>
    </w:p>
  </w:footnote>
  <w:footnote w:id="8">
    <w:p w14:paraId="75327B8C" w14:textId="53BA5CE2" w:rsidR="00013D9B" w:rsidRPr="00013D9B" w:rsidRDefault="00013D9B" w:rsidP="00013D9B">
      <w:pPr>
        <w:pStyle w:val="Textonotapie"/>
        <w:jc w:val="both"/>
        <w:rPr>
          <w:rFonts w:ascii="Times New Roman" w:hAnsi="Times New Roman" w:cs="Times New Roman"/>
          <w:lang w:val="en-US"/>
        </w:rPr>
      </w:pPr>
      <w:r w:rsidRPr="000A2C3C">
        <w:rPr>
          <w:rStyle w:val="Refdenotaalpie"/>
          <w:rFonts w:ascii="Times New Roman" w:hAnsi="Times New Roman" w:cs="Times New Roman"/>
          <w:color w:val="000000" w:themeColor="text1"/>
          <w:sz w:val="20"/>
          <w:szCs w:val="20"/>
        </w:rPr>
        <w:footnoteRef/>
      </w:r>
      <w:r w:rsidRPr="000A2C3C">
        <w:rPr>
          <w:rFonts w:ascii="Times New Roman" w:hAnsi="Times New Roman" w:cs="Times New Roman"/>
          <w:color w:val="000000" w:themeColor="text1"/>
          <w:sz w:val="20"/>
          <w:szCs w:val="20"/>
          <w:lang w:val="en-US"/>
        </w:rPr>
        <w:t xml:space="preserve"> We also have included the positive and negative cumulative sums (Figures A1 and A2) in the Appendix section.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B67469"/>
    <w:multiLevelType w:val="multilevel"/>
    <w:tmpl w:val="79BEE98E"/>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1635057"/>
    <w:multiLevelType w:val="hybridMultilevel"/>
    <w:tmpl w:val="54E079B0"/>
    <w:lvl w:ilvl="0" w:tplc="0C0A0001">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3" w15:restartNumberingAfterBreak="0">
    <w:nsid w:val="05372F99"/>
    <w:multiLevelType w:val="hybridMultilevel"/>
    <w:tmpl w:val="9162CF7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15:restartNumberingAfterBreak="0">
    <w:nsid w:val="24517255"/>
    <w:multiLevelType w:val="hybridMultilevel"/>
    <w:tmpl w:val="F69424DC"/>
    <w:lvl w:ilvl="0" w:tplc="0C0A0009">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5" w15:restartNumberingAfterBreak="0">
    <w:nsid w:val="24D41498"/>
    <w:multiLevelType w:val="hybridMultilevel"/>
    <w:tmpl w:val="D18A2052"/>
    <w:lvl w:ilvl="0" w:tplc="DCDC9E6A">
      <w:numFmt w:val="bullet"/>
      <w:lvlText w:val=""/>
      <w:lvlJc w:val="left"/>
      <w:pPr>
        <w:ind w:left="720" w:hanging="360"/>
      </w:pPr>
      <w:rPr>
        <w:rFonts w:ascii="Symbol" w:eastAsia="MS Mincho" w:hAnsi="Symbol"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EFF00AE"/>
    <w:multiLevelType w:val="hybridMultilevel"/>
    <w:tmpl w:val="220EB6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75020D98"/>
    <w:multiLevelType w:val="multilevel"/>
    <w:tmpl w:val="3EBE4B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7535435C"/>
    <w:multiLevelType w:val="hybridMultilevel"/>
    <w:tmpl w:val="3F0C022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7FCA3CDF"/>
    <w:multiLevelType w:val="multilevel"/>
    <w:tmpl w:val="D81C25FA"/>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52461196">
    <w:abstractNumId w:val="5"/>
  </w:num>
  <w:num w:numId="2" w16cid:durableId="1446148089">
    <w:abstractNumId w:val="6"/>
  </w:num>
  <w:num w:numId="3" w16cid:durableId="1132477214">
    <w:abstractNumId w:val="2"/>
  </w:num>
  <w:num w:numId="4" w16cid:durableId="1796173091">
    <w:abstractNumId w:val="4"/>
  </w:num>
  <w:num w:numId="5" w16cid:durableId="251202221">
    <w:abstractNumId w:val="0"/>
  </w:num>
  <w:num w:numId="6" w16cid:durableId="7148598">
    <w:abstractNumId w:val="8"/>
  </w:num>
  <w:num w:numId="7" w16cid:durableId="759528166">
    <w:abstractNumId w:val="9"/>
  </w:num>
  <w:num w:numId="8" w16cid:durableId="62456608">
    <w:abstractNumId w:val="1"/>
  </w:num>
  <w:num w:numId="9" w16cid:durableId="484778384">
    <w:abstractNumId w:val="7"/>
  </w:num>
  <w:num w:numId="10" w16cid:durableId="18753813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0A3D"/>
    <w:rsid w:val="0000620E"/>
    <w:rsid w:val="000068CD"/>
    <w:rsid w:val="00011C58"/>
    <w:rsid w:val="00013D9B"/>
    <w:rsid w:val="000173C8"/>
    <w:rsid w:val="000174D0"/>
    <w:rsid w:val="00017938"/>
    <w:rsid w:val="000233BF"/>
    <w:rsid w:val="0002618B"/>
    <w:rsid w:val="00030D4D"/>
    <w:rsid w:val="0003302D"/>
    <w:rsid w:val="000333D6"/>
    <w:rsid w:val="000353EE"/>
    <w:rsid w:val="00037C2A"/>
    <w:rsid w:val="00041E50"/>
    <w:rsid w:val="00042B24"/>
    <w:rsid w:val="00044DD6"/>
    <w:rsid w:val="00046346"/>
    <w:rsid w:val="00050C5F"/>
    <w:rsid w:val="00054CE4"/>
    <w:rsid w:val="0005576F"/>
    <w:rsid w:val="00060A09"/>
    <w:rsid w:val="00060CC4"/>
    <w:rsid w:val="00063EFF"/>
    <w:rsid w:val="00065F92"/>
    <w:rsid w:val="00066877"/>
    <w:rsid w:val="0006723D"/>
    <w:rsid w:val="00071FF0"/>
    <w:rsid w:val="00076EE7"/>
    <w:rsid w:val="000803AD"/>
    <w:rsid w:val="0008463B"/>
    <w:rsid w:val="00084A2B"/>
    <w:rsid w:val="000877DB"/>
    <w:rsid w:val="00095C4C"/>
    <w:rsid w:val="000A2C3C"/>
    <w:rsid w:val="000A37EF"/>
    <w:rsid w:val="000A4393"/>
    <w:rsid w:val="000A5059"/>
    <w:rsid w:val="000A5083"/>
    <w:rsid w:val="000A7030"/>
    <w:rsid w:val="000A7795"/>
    <w:rsid w:val="000B17F9"/>
    <w:rsid w:val="000B4367"/>
    <w:rsid w:val="000B69F0"/>
    <w:rsid w:val="000C0D78"/>
    <w:rsid w:val="000C48D4"/>
    <w:rsid w:val="000D79F0"/>
    <w:rsid w:val="000E2CED"/>
    <w:rsid w:val="000E46D8"/>
    <w:rsid w:val="000E58E4"/>
    <w:rsid w:val="000E6324"/>
    <w:rsid w:val="000E7779"/>
    <w:rsid w:val="000E77C0"/>
    <w:rsid w:val="000E7C84"/>
    <w:rsid w:val="000F0D08"/>
    <w:rsid w:val="000F368D"/>
    <w:rsid w:val="000F6F3D"/>
    <w:rsid w:val="00100AB5"/>
    <w:rsid w:val="00101B5A"/>
    <w:rsid w:val="00102F18"/>
    <w:rsid w:val="001121DE"/>
    <w:rsid w:val="00112E06"/>
    <w:rsid w:val="00126F96"/>
    <w:rsid w:val="00130BFF"/>
    <w:rsid w:val="00131D25"/>
    <w:rsid w:val="00132660"/>
    <w:rsid w:val="00133030"/>
    <w:rsid w:val="0013303B"/>
    <w:rsid w:val="00136C55"/>
    <w:rsid w:val="001418E7"/>
    <w:rsid w:val="00141D58"/>
    <w:rsid w:val="001433D2"/>
    <w:rsid w:val="0014381E"/>
    <w:rsid w:val="00143FDC"/>
    <w:rsid w:val="0015269F"/>
    <w:rsid w:val="00160D9C"/>
    <w:rsid w:val="0016152D"/>
    <w:rsid w:val="00163988"/>
    <w:rsid w:val="0018281B"/>
    <w:rsid w:val="00183082"/>
    <w:rsid w:val="001846DC"/>
    <w:rsid w:val="00187C35"/>
    <w:rsid w:val="00187DF7"/>
    <w:rsid w:val="001905CB"/>
    <w:rsid w:val="00190CD5"/>
    <w:rsid w:val="001935E2"/>
    <w:rsid w:val="00193A40"/>
    <w:rsid w:val="00194569"/>
    <w:rsid w:val="00197D53"/>
    <w:rsid w:val="00197F4D"/>
    <w:rsid w:val="001A43BC"/>
    <w:rsid w:val="001A49FD"/>
    <w:rsid w:val="001A4A7B"/>
    <w:rsid w:val="001A50E8"/>
    <w:rsid w:val="001B33B3"/>
    <w:rsid w:val="001C131E"/>
    <w:rsid w:val="001C5EEA"/>
    <w:rsid w:val="001C6F06"/>
    <w:rsid w:val="001D0786"/>
    <w:rsid w:val="001D3D5B"/>
    <w:rsid w:val="001D4EC0"/>
    <w:rsid w:val="001D5E7F"/>
    <w:rsid w:val="001D61FC"/>
    <w:rsid w:val="001E087A"/>
    <w:rsid w:val="001E09EF"/>
    <w:rsid w:val="001E2A38"/>
    <w:rsid w:val="001E494D"/>
    <w:rsid w:val="001E5462"/>
    <w:rsid w:val="001E6D15"/>
    <w:rsid w:val="001F4A56"/>
    <w:rsid w:val="001F5135"/>
    <w:rsid w:val="002012D0"/>
    <w:rsid w:val="002019DC"/>
    <w:rsid w:val="00211789"/>
    <w:rsid w:val="00212E82"/>
    <w:rsid w:val="002142B2"/>
    <w:rsid w:val="00217944"/>
    <w:rsid w:val="00221281"/>
    <w:rsid w:val="00222E8B"/>
    <w:rsid w:val="0022462D"/>
    <w:rsid w:val="00224911"/>
    <w:rsid w:val="00226E0E"/>
    <w:rsid w:val="00227AAB"/>
    <w:rsid w:val="00227EB5"/>
    <w:rsid w:val="00231E31"/>
    <w:rsid w:val="002335DD"/>
    <w:rsid w:val="00240989"/>
    <w:rsid w:val="002410D7"/>
    <w:rsid w:val="00243268"/>
    <w:rsid w:val="00243B0D"/>
    <w:rsid w:val="00245B02"/>
    <w:rsid w:val="00250BDA"/>
    <w:rsid w:val="00250EF4"/>
    <w:rsid w:val="00251C55"/>
    <w:rsid w:val="0025204C"/>
    <w:rsid w:val="00253EF9"/>
    <w:rsid w:val="002545F4"/>
    <w:rsid w:val="00263204"/>
    <w:rsid w:val="002640CD"/>
    <w:rsid w:val="0026590B"/>
    <w:rsid w:val="00266052"/>
    <w:rsid w:val="00266F53"/>
    <w:rsid w:val="00270478"/>
    <w:rsid w:val="00271034"/>
    <w:rsid w:val="00275053"/>
    <w:rsid w:val="0028005C"/>
    <w:rsid w:val="002812CF"/>
    <w:rsid w:val="002834E1"/>
    <w:rsid w:val="00283565"/>
    <w:rsid w:val="002836E7"/>
    <w:rsid w:val="00284C32"/>
    <w:rsid w:val="00285A9E"/>
    <w:rsid w:val="0028644D"/>
    <w:rsid w:val="002875B8"/>
    <w:rsid w:val="00291B9C"/>
    <w:rsid w:val="00292D0E"/>
    <w:rsid w:val="002966CE"/>
    <w:rsid w:val="002A5858"/>
    <w:rsid w:val="002A5F79"/>
    <w:rsid w:val="002B018F"/>
    <w:rsid w:val="002B1E64"/>
    <w:rsid w:val="002B2341"/>
    <w:rsid w:val="002B2F1E"/>
    <w:rsid w:val="002B671E"/>
    <w:rsid w:val="002B678A"/>
    <w:rsid w:val="002C31CF"/>
    <w:rsid w:val="002C33DA"/>
    <w:rsid w:val="002C53FE"/>
    <w:rsid w:val="002D1A22"/>
    <w:rsid w:val="002D246D"/>
    <w:rsid w:val="002D3459"/>
    <w:rsid w:val="002D5075"/>
    <w:rsid w:val="002E1DFD"/>
    <w:rsid w:val="002E2EFA"/>
    <w:rsid w:val="002E3E37"/>
    <w:rsid w:val="002E5A9F"/>
    <w:rsid w:val="002F6D78"/>
    <w:rsid w:val="00300C20"/>
    <w:rsid w:val="0030248C"/>
    <w:rsid w:val="0030651A"/>
    <w:rsid w:val="00311077"/>
    <w:rsid w:val="00312A0C"/>
    <w:rsid w:val="00314955"/>
    <w:rsid w:val="00315742"/>
    <w:rsid w:val="00317BBB"/>
    <w:rsid w:val="00324F6C"/>
    <w:rsid w:val="00330710"/>
    <w:rsid w:val="00330F40"/>
    <w:rsid w:val="00331E91"/>
    <w:rsid w:val="00331FC9"/>
    <w:rsid w:val="00335F90"/>
    <w:rsid w:val="00341C01"/>
    <w:rsid w:val="0034319D"/>
    <w:rsid w:val="00343E16"/>
    <w:rsid w:val="00344F21"/>
    <w:rsid w:val="00344FF0"/>
    <w:rsid w:val="00350576"/>
    <w:rsid w:val="0035312E"/>
    <w:rsid w:val="00355090"/>
    <w:rsid w:val="00357080"/>
    <w:rsid w:val="00363E81"/>
    <w:rsid w:val="00370E96"/>
    <w:rsid w:val="00371572"/>
    <w:rsid w:val="00373BF3"/>
    <w:rsid w:val="00373FC2"/>
    <w:rsid w:val="00376145"/>
    <w:rsid w:val="00376598"/>
    <w:rsid w:val="0038318C"/>
    <w:rsid w:val="00385C99"/>
    <w:rsid w:val="0038679A"/>
    <w:rsid w:val="0039042A"/>
    <w:rsid w:val="003921E4"/>
    <w:rsid w:val="00394052"/>
    <w:rsid w:val="003952BB"/>
    <w:rsid w:val="0039734F"/>
    <w:rsid w:val="003A2F85"/>
    <w:rsid w:val="003A33B3"/>
    <w:rsid w:val="003A3685"/>
    <w:rsid w:val="003A55D7"/>
    <w:rsid w:val="003A596F"/>
    <w:rsid w:val="003B23DB"/>
    <w:rsid w:val="003B25B2"/>
    <w:rsid w:val="003B7C91"/>
    <w:rsid w:val="003C26DC"/>
    <w:rsid w:val="003C36BC"/>
    <w:rsid w:val="003C532B"/>
    <w:rsid w:val="003C7DB9"/>
    <w:rsid w:val="003D4048"/>
    <w:rsid w:val="003D48F6"/>
    <w:rsid w:val="003D4E15"/>
    <w:rsid w:val="003D6928"/>
    <w:rsid w:val="003E0083"/>
    <w:rsid w:val="003E1C82"/>
    <w:rsid w:val="003E5976"/>
    <w:rsid w:val="003E5C94"/>
    <w:rsid w:val="003F0865"/>
    <w:rsid w:val="003F3188"/>
    <w:rsid w:val="003F325F"/>
    <w:rsid w:val="0040024E"/>
    <w:rsid w:val="0040606B"/>
    <w:rsid w:val="00410596"/>
    <w:rsid w:val="00424DC8"/>
    <w:rsid w:val="0042574A"/>
    <w:rsid w:val="0042703E"/>
    <w:rsid w:val="00431617"/>
    <w:rsid w:val="00436819"/>
    <w:rsid w:val="004371B6"/>
    <w:rsid w:val="00437408"/>
    <w:rsid w:val="004404B9"/>
    <w:rsid w:val="00440B4E"/>
    <w:rsid w:val="00440F6A"/>
    <w:rsid w:val="004428CD"/>
    <w:rsid w:val="0044528D"/>
    <w:rsid w:val="00445AAA"/>
    <w:rsid w:val="00446D48"/>
    <w:rsid w:val="00452E80"/>
    <w:rsid w:val="004623C6"/>
    <w:rsid w:val="00464157"/>
    <w:rsid w:val="00471D60"/>
    <w:rsid w:val="004725E8"/>
    <w:rsid w:val="00473F97"/>
    <w:rsid w:val="00475BCC"/>
    <w:rsid w:val="004801CD"/>
    <w:rsid w:val="00480E95"/>
    <w:rsid w:val="00482123"/>
    <w:rsid w:val="00485313"/>
    <w:rsid w:val="004925A8"/>
    <w:rsid w:val="00494401"/>
    <w:rsid w:val="00494949"/>
    <w:rsid w:val="004A496B"/>
    <w:rsid w:val="004A51A6"/>
    <w:rsid w:val="004A62F8"/>
    <w:rsid w:val="004A633E"/>
    <w:rsid w:val="004A7A9B"/>
    <w:rsid w:val="004B2CEA"/>
    <w:rsid w:val="004B3AAB"/>
    <w:rsid w:val="004B4836"/>
    <w:rsid w:val="004B6D1E"/>
    <w:rsid w:val="004C7417"/>
    <w:rsid w:val="004D03BB"/>
    <w:rsid w:val="004D0673"/>
    <w:rsid w:val="004D1527"/>
    <w:rsid w:val="004D6C3C"/>
    <w:rsid w:val="004E269A"/>
    <w:rsid w:val="004E58F8"/>
    <w:rsid w:val="004E5B14"/>
    <w:rsid w:val="004E6C66"/>
    <w:rsid w:val="004E77CA"/>
    <w:rsid w:val="004F03B3"/>
    <w:rsid w:val="004F2706"/>
    <w:rsid w:val="004F58D3"/>
    <w:rsid w:val="00501FE0"/>
    <w:rsid w:val="00505AEE"/>
    <w:rsid w:val="00511CB1"/>
    <w:rsid w:val="00512FE7"/>
    <w:rsid w:val="005152EB"/>
    <w:rsid w:val="0051575E"/>
    <w:rsid w:val="00521DD6"/>
    <w:rsid w:val="00522036"/>
    <w:rsid w:val="005224A4"/>
    <w:rsid w:val="0052570F"/>
    <w:rsid w:val="00531C75"/>
    <w:rsid w:val="005337F3"/>
    <w:rsid w:val="005348CE"/>
    <w:rsid w:val="005377E0"/>
    <w:rsid w:val="00540B8F"/>
    <w:rsid w:val="00542E67"/>
    <w:rsid w:val="00545F4D"/>
    <w:rsid w:val="005462ED"/>
    <w:rsid w:val="005509F7"/>
    <w:rsid w:val="0055124C"/>
    <w:rsid w:val="005520E0"/>
    <w:rsid w:val="00574537"/>
    <w:rsid w:val="00575803"/>
    <w:rsid w:val="0057669D"/>
    <w:rsid w:val="00576E12"/>
    <w:rsid w:val="0058086E"/>
    <w:rsid w:val="00590AE7"/>
    <w:rsid w:val="00591933"/>
    <w:rsid w:val="00593864"/>
    <w:rsid w:val="00593F38"/>
    <w:rsid w:val="005960C4"/>
    <w:rsid w:val="005962A1"/>
    <w:rsid w:val="00597E51"/>
    <w:rsid w:val="005A31EB"/>
    <w:rsid w:val="005A579E"/>
    <w:rsid w:val="005A57A3"/>
    <w:rsid w:val="005A66A1"/>
    <w:rsid w:val="005A6C47"/>
    <w:rsid w:val="005A6E04"/>
    <w:rsid w:val="005B4E2C"/>
    <w:rsid w:val="005B5ABE"/>
    <w:rsid w:val="005B6452"/>
    <w:rsid w:val="005B69D9"/>
    <w:rsid w:val="005B6AD4"/>
    <w:rsid w:val="005C093B"/>
    <w:rsid w:val="005C5425"/>
    <w:rsid w:val="005C62A5"/>
    <w:rsid w:val="005D12AB"/>
    <w:rsid w:val="005D44DC"/>
    <w:rsid w:val="005D4810"/>
    <w:rsid w:val="005D48F0"/>
    <w:rsid w:val="005D4AFA"/>
    <w:rsid w:val="005D4C2A"/>
    <w:rsid w:val="005D554E"/>
    <w:rsid w:val="005E0C0F"/>
    <w:rsid w:val="005E3709"/>
    <w:rsid w:val="005E4B98"/>
    <w:rsid w:val="005E4EEB"/>
    <w:rsid w:val="005E7BFD"/>
    <w:rsid w:val="005E7D17"/>
    <w:rsid w:val="005E7D68"/>
    <w:rsid w:val="005F0C2E"/>
    <w:rsid w:val="005F2CDA"/>
    <w:rsid w:val="005F5BF7"/>
    <w:rsid w:val="005F5F07"/>
    <w:rsid w:val="00601D64"/>
    <w:rsid w:val="0060574B"/>
    <w:rsid w:val="00605C72"/>
    <w:rsid w:val="00616DBC"/>
    <w:rsid w:val="00621D13"/>
    <w:rsid w:val="00621FD6"/>
    <w:rsid w:val="00632110"/>
    <w:rsid w:val="006378BF"/>
    <w:rsid w:val="00637D80"/>
    <w:rsid w:val="00637E64"/>
    <w:rsid w:val="00642F1E"/>
    <w:rsid w:val="006506DC"/>
    <w:rsid w:val="00655A04"/>
    <w:rsid w:val="00656B0D"/>
    <w:rsid w:val="00657883"/>
    <w:rsid w:val="00661DE7"/>
    <w:rsid w:val="00664579"/>
    <w:rsid w:val="00664E78"/>
    <w:rsid w:val="00665AC1"/>
    <w:rsid w:val="0067121E"/>
    <w:rsid w:val="00672A77"/>
    <w:rsid w:val="0067349E"/>
    <w:rsid w:val="0067404F"/>
    <w:rsid w:val="006758E8"/>
    <w:rsid w:val="0067699C"/>
    <w:rsid w:val="00681887"/>
    <w:rsid w:val="0068201E"/>
    <w:rsid w:val="006851DE"/>
    <w:rsid w:val="00691EE1"/>
    <w:rsid w:val="006927C6"/>
    <w:rsid w:val="006943E6"/>
    <w:rsid w:val="00695EC4"/>
    <w:rsid w:val="00696BD3"/>
    <w:rsid w:val="006A0656"/>
    <w:rsid w:val="006A17E0"/>
    <w:rsid w:val="006A2FDF"/>
    <w:rsid w:val="006A342D"/>
    <w:rsid w:val="006A7E1F"/>
    <w:rsid w:val="006A7F9C"/>
    <w:rsid w:val="006B14D3"/>
    <w:rsid w:val="006B23A3"/>
    <w:rsid w:val="006B296B"/>
    <w:rsid w:val="006B2EF1"/>
    <w:rsid w:val="006B4DF5"/>
    <w:rsid w:val="006B63C8"/>
    <w:rsid w:val="006B6CA6"/>
    <w:rsid w:val="006B7171"/>
    <w:rsid w:val="006C4CB3"/>
    <w:rsid w:val="006D0729"/>
    <w:rsid w:val="006D3682"/>
    <w:rsid w:val="006D4813"/>
    <w:rsid w:val="006D6A4A"/>
    <w:rsid w:val="006E3A9C"/>
    <w:rsid w:val="006E4ADE"/>
    <w:rsid w:val="006E50E1"/>
    <w:rsid w:val="006E6692"/>
    <w:rsid w:val="006F00DC"/>
    <w:rsid w:val="006F2753"/>
    <w:rsid w:val="006F4B73"/>
    <w:rsid w:val="006F6468"/>
    <w:rsid w:val="006F6E71"/>
    <w:rsid w:val="006F7943"/>
    <w:rsid w:val="00702341"/>
    <w:rsid w:val="007038DB"/>
    <w:rsid w:val="00705CDE"/>
    <w:rsid w:val="007063F8"/>
    <w:rsid w:val="007078C1"/>
    <w:rsid w:val="0071209E"/>
    <w:rsid w:val="00712B55"/>
    <w:rsid w:val="00713534"/>
    <w:rsid w:val="007148D4"/>
    <w:rsid w:val="00715DB9"/>
    <w:rsid w:val="007206C7"/>
    <w:rsid w:val="00721F58"/>
    <w:rsid w:val="00722354"/>
    <w:rsid w:val="00723731"/>
    <w:rsid w:val="00736E4E"/>
    <w:rsid w:val="00737D99"/>
    <w:rsid w:val="00741432"/>
    <w:rsid w:val="007445E2"/>
    <w:rsid w:val="00750E20"/>
    <w:rsid w:val="00751F57"/>
    <w:rsid w:val="00752592"/>
    <w:rsid w:val="00754719"/>
    <w:rsid w:val="00760895"/>
    <w:rsid w:val="00761A78"/>
    <w:rsid w:val="007623E6"/>
    <w:rsid w:val="00766616"/>
    <w:rsid w:val="007717EF"/>
    <w:rsid w:val="0077211F"/>
    <w:rsid w:val="007722D6"/>
    <w:rsid w:val="00773954"/>
    <w:rsid w:val="00774736"/>
    <w:rsid w:val="00775DE3"/>
    <w:rsid w:val="00777D27"/>
    <w:rsid w:val="00780599"/>
    <w:rsid w:val="0078169B"/>
    <w:rsid w:val="00783424"/>
    <w:rsid w:val="00784BCE"/>
    <w:rsid w:val="00790E1F"/>
    <w:rsid w:val="00791C57"/>
    <w:rsid w:val="00794ECC"/>
    <w:rsid w:val="0079651C"/>
    <w:rsid w:val="007A0C2A"/>
    <w:rsid w:val="007A24AF"/>
    <w:rsid w:val="007A5165"/>
    <w:rsid w:val="007B032C"/>
    <w:rsid w:val="007B161D"/>
    <w:rsid w:val="007C111D"/>
    <w:rsid w:val="007C7A41"/>
    <w:rsid w:val="007D0719"/>
    <w:rsid w:val="007D7798"/>
    <w:rsid w:val="007E06D5"/>
    <w:rsid w:val="007E10A9"/>
    <w:rsid w:val="007E472F"/>
    <w:rsid w:val="007F1B78"/>
    <w:rsid w:val="007F3B0A"/>
    <w:rsid w:val="007F4D25"/>
    <w:rsid w:val="007F59C8"/>
    <w:rsid w:val="007F6B14"/>
    <w:rsid w:val="007F790B"/>
    <w:rsid w:val="008034A5"/>
    <w:rsid w:val="008046D2"/>
    <w:rsid w:val="00806C0C"/>
    <w:rsid w:val="00810588"/>
    <w:rsid w:val="00811C49"/>
    <w:rsid w:val="00811F40"/>
    <w:rsid w:val="00827CE8"/>
    <w:rsid w:val="008313BF"/>
    <w:rsid w:val="008317F9"/>
    <w:rsid w:val="00833605"/>
    <w:rsid w:val="0084067F"/>
    <w:rsid w:val="00840726"/>
    <w:rsid w:val="008425E7"/>
    <w:rsid w:val="00852DCE"/>
    <w:rsid w:val="008561E1"/>
    <w:rsid w:val="00857F2E"/>
    <w:rsid w:val="00861088"/>
    <w:rsid w:val="00863266"/>
    <w:rsid w:val="00864115"/>
    <w:rsid w:val="00864924"/>
    <w:rsid w:val="0086624B"/>
    <w:rsid w:val="0086726C"/>
    <w:rsid w:val="0086784A"/>
    <w:rsid w:val="008678C5"/>
    <w:rsid w:val="00871C37"/>
    <w:rsid w:val="008725F5"/>
    <w:rsid w:val="008725FC"/>
    <w:rsid w:val="0087425A"/>
    <w:rsid w:val="00875AFC"/>
    <w:rsid w:val="00877935"/>
    <w:rsid w:val="00880E54"/>
    <w:rsid w:val="00881C45"/>
    <w:rsid w:val="00882B28"/>
    <w:rsid w:val="0089103B"/>
    <w:rsid w:val="0089131E"/>
    <w:rsid w:val="008916E2"/>
    <w:rsid w:val="008923D3"/>
    <w:rsid w:val="008926A8"/>
    <w:rsid w:val="00896329"/>
    <w:rsid w:val="00897466"/>
    <w:rsid w:val="00897571"/>
    <w:rsid w:val="008A2D09"/>
    <w:rsid w:val="008A3160"/>
    <w:rsid w:val="008A746C"/>
    <w:rsid w:val="008B180F"/>
    <w:rsid w:val="008B2295"/>
    <w:rsid w:val="008B2E4B"/>
    <w:rsid w:val="008B6420"/>
    <w:rsid w:val="008C14FC"/>
    <w:rsid w:val="008C1C65"/>
    <w:rsid w:val="008C454D"/>
    <w:rsid w:val="008C4B83"/>
    <w:rsid w:val="008C50E2"/>
    <w:rsid w:val="008C526E"/>
    <w:rsid w:val="008C6E19"/>
    <w:rsid w:val="008D13AB"/>
    <w:rsid w:val="008D189A"/>
    <w:rsid w:val="008D371A"/>
    <w:rsid w:val="008E5C5D"/>
    <w:rsid w:val="008E5F27"/>
    <w:rsid w:val="008F4C27"/>
    <w:rsid w:val="008F5B4A"/>
    <w:rsid w:val="0090254F"/>
    <w:rsid w:val="00904773"/>
    <w:rsid w:val="00916A17"/>
    <w:rsid w:val="0091729C"/>
    <w:rsid w:val="009174B1"/>
    <w:rsid w:val="00917816"/>
    <w:rsid w:val="00921C33"/>
    <w:rsid w:val="00924E46"/>
    <w:rsid w:val="0093098E"/>
    <w:rsid w:val="009320CE"/>
    <w:rsid w:val="009359FF"/>
    <w:rsid w:val="009375DB"/>
    <w:rsid w:val="00937F94"/>
    <w:rsid w:val="0094054A"/>
    <w:rsid w:val="009420D7"/>
    <w:rsid w:val="00943789"/>
    <w:rsid w:val="00944C7A"/>
    <w:rsid w:val="00947433"/>
    <w:rsid w:val="00950362"/>
    <w:rsid w:val="00950B70"/>
    <w:rsid w:val="00951356"/>
    <w:rsid w:val="0095240B"/>
    <w:rsid w:val="009551E7"/>
    <w:rsid w:val="00955377"/>
    <w:rsid w:val="00956BC6"/>
    <w:rsid w:val="00960A3D"/>
    <w:rsid w:val="009622EE"/>
    <w:rsid w:val="00963172"/>
    <w:rsid w:val="00971234"/>
    <w:rsid w:val="00971A55"/>
    <w:rsid w:val="00973C9A"/>
    <w:rsid w:val="00976575"/>
    <w:rsid w:val="0097662A"/>
    <w:rsid w:val="00977C75"/>
    <w:rsid w:val="00977EE0"/>
    <w:rsid w:val="00980F25"/>
    <w:rsid w:val="009A790F"/>
    <w:rsid w:val="009B0B2E"/>
    <w:rsid w:val="009B0E1B"/>
    <w:rsid w:val="009B4793"/>
    <w:rsid w:val="009B58F7"/>
    <w:rsid w:val="009B5DA2"/>
    <w:rsid w:val="009B6148"/>
    <w:rsid w:val="009B65BB"/>
    <w:rsid w:val="009C2416"/>
    <w:rsid w:val="009C36E4"/>
    <w:rsid w:val="009C738C"/>
    <w:rsid w:val="009C7E24"/>
    <w:rsid w:val="009D1976"/>
    <w:rsid w:val="009D3F9E"/>
    <w:rsid w:val="009D4771"/>
    <w:rsid w:val="009D7457"/>
    <w:rsid w:val="009E009F"/>
    <w:rsid w:val="009E2373"/>
    <w:rsid w:val="009E6B86"/>
    <w:rsid w:val="009F0E83"/>
    <w:rsid w:val="009F2290"/>
    <w:rsid w:val="00A01DA0"/>
    <w:rsid w:val="00A020F8"/>
    <w:rsid w:val="00A0267A"/>
    <w:rsid w:val="00A12BEB"/>
    <w:rsid w:val="00A17CD4"/>
    <w:rsid w:val="00A24676"/>
    <w:rsid w:val="00A25927"/>
    <w:rsid w:val="00A27229"/>
    <w:rsid w:val="00A30FA6"/>
    <w:rsid w:val="00A3109F"/>
    <w:rsid w:val="00A318B5"/>
    <w:rsid w:val="00A32229"/>
    <w:rsid w:val="00A323AB"/>
    <w:rsid w:val="00A330C7"/>
    <w:rsid w:val="00A33173"/>
    <w:rsid w:val="00A33E8B"/>
    <w:rsid w:val="00A34753"/>
    <w:rsid w:val="00A34ECB"/>
    <w:rsid w:val="00A35948"/>
    <w:rsid w:val="00A363BC"/>
    <w:rsid w:val="00A416F8"/>
    <w:rsid w:val="00A423BB"/>
    <w:rsid w:val="00A423C9"/>
    <w:rsid w:val="00A433A1"/>
    <w:rsid w:val="00A440A3"/>
    <w:rsid w:val="00A4437B"/>
    <w:rsid w:val="00A45F2B"/>
    <w:rsid w:val="00A50A9B"/>
    <w:rsid w:val="00A51025"/>
    <w:rsid w:val="00A52782"/>
    <w:rsid w:val="00A54E98"/>
    <w:rsid w:val="00A5584E"/>
    <w:rsid w:val="00A55ED0"/>
    <w:rsid w:val="00A56B96"/>
    <w:rsid w:val="00A60E89"/>
    <w:rsid w:val="00A62754"/>
    <w:rsid w:val="00A705C5"/>
    <w:rsid w:val="00A71016"/>
    <w:rsid w:val="00A71068"/>
    <w:rsid w:val="00A71AB2"/>
    <w:rsid w:val="00A747A3"/>
    <w:rsid w:val="00A9634D"/>
    <w:rsid w:val="00AA1A63"/>
    <w:rsid w:val="00AA73EE"/>
    <w:rsid w:val="00AB0125"/>
    <w:rsid w:val="00AB74B0"/>
    <w:rsid w:val="00AB7A35"/>
    <w:rsid w:val="00AC2C29"/>
    <w:rsid w:val="00AC32A3"/>
    <w:rsid w:val="00AC33A5"/>
    <w:rsid w:val="00AC5C53"/>
    <w:rsid w:val="00AC7AE3"/>
    <w:rsid w:val="00AC7B00"/>
    <w:rsid w:val="00AD036C"/>
    <w:rsid w:val="00AD12B3"/>
    <w:rsid w:val="00AE1350"/>
    <w:rsid w:val="00AE4D53"/>
    <w:rsid w:val="00AE61DD"/>
    <w:rsid w:val="00AE6E00"/>
    <w:rsid w:val="00B02B12"/>
    <w:rsid w:val="00B02CF0"/>
    <w:rsid w:val="00B03C94"/>
    <w:rsid w:val="00B03D8D"/>
    <w:rsid w:val="00B129E0"/>
    <w:rsid w:val="00B155D3"/>
    <w:rsid w:val="00B156CC"/>
    <w:rsid w:val="00B16E02"/>
    <w:rsid w:val="00B21ECF"/>
    <w:rsid w:val="00B2460D"/>
    <w:rsid w:val="00B2606D"/>
    <w:rsid w:val="00B27D36"/>
    <w:rsid w:val="00B312D7"/>
    <w:rsid w:val="00B32ED3"/>
    <w:rsid w:val="00B34785"/>
    <w:rsid w:val="00B40AB5"/>
    <w:rsid w:val="00B42BC8"/>
    <w:rsid w:val="00B46115"/>
    <w:rsid w:val="00B4749A"/>
    <w:rsid w:val="00B53466"/>
    <w:rsid w:val="00B53A7C"/>
    <w:rsid w:val="00B66714"/>
    <w:rsid w:val="00B74B19"/>
    <w:rsid w:val="00B76734"/>
    <w:rsid w:val="00B77211"/>
    <w:rsid w:val="00B811BE"/>
    <w:rsid w:val="00B82296"/>
    <w:rsid w:val="00B826C0"/>
    <w:rsid w:val="00B842BE"/>
    <w:rsid w:val="00B84F3A"/>
    <w:rsid w:val="00B865F2"/>
    <w:rsid w:val="00B90302"/>
    <w:rsid w:val="00B9342E"/>
    <w:rsid w:val="00B941C1"/>
    <w:rsid w:val="00BA29F6"/>
    <w:rsid w:val="00BA5BA0"/>
    <w:rsid w:val="00BA7CFF"/>
    <w:rsid w:val="00BA7D50"/>
    <w:rsid w:val="00BB025F"/>
    <w:rsid w:val="00BB047E"/>
    <w:rsid w:val="00BB090A"/>
    <w:rsid w:val="00BB2218"/>
    <w:rsid w:val="00BB26DE"/>
    <w:rsid w:val="00BB3451"/>
    <w:rsid w:val="00BB383E"/>
    <w:rsid w:val="00BB63CE"/>
    <w:rsid w:val="00BC0BBE"/>
    <w:rsid w:val="00BC144E"/>
    <w:rsid w:val="00BC2DB2"/>
    <w:rsid w:val="00BC48E2"/>
    <w:rsid w:val="00BC5DE3"/>
    <w:rsid w:val="00BD299D"/>
    <w:rsid w:val="00BD31A4"/>
    <w:rsid w:val="00BD678E"/>
    <w:rsid w:val="00BD67F6"/>
    <w:rsid w:val="00BE11D0"/>
    <w:rsid w:val="00BE24F3"/>
    <w:rsid w:val="00BE2AA4"/>
    <w:rsid w:val="00BE67D2"/>
    <w:rsid w:val="00BF17D3"/>
    <w:rsid w:val="00BF2ADE"/>
    <w:rsid w:val="00BF55AF"/>
    <w:rsid w:val="00BF5C37"/>
    <w:rsid w:val="00BF68E5"/>
    <w:rsid w:val="00BF6900"/>
    <w:rsid w:val="00C00F62"/>
    <w:rsid w:val="00C01A16"/>
    <w:rsid w:val="00C047F5"/>
    <w:rsid w:val="00C06BB2"/>
    <w:rsid w:val="00C070E5"/>
    <w:rsid w:val="00C0757D"/>
    <w:rsid w:val="00C17722"/>
    <w:rsid w:val="00C202AD"/>
    <w:rsid w:val="00C21E8A"/>
    <w:rsid w:val="00C243AD"/>
    <w:rsid w:val="00C2456D"/>
    <w:rsid w:val="00C250F2"/>
    <w:rsid w:val="00C250F6"/>
    <w:rsid w:val="00C2626A"/>
    <w:rsid w:val="00C3244B"/>
    <w:rsid w:val="00C347F5"/>
    <w:rsid w:val="00C34C4D"/>
    <w:rsid w:val="00C36CEE"/>
    <w:rsid w:val="00C36DE9"/>
    <w:rsid w:val="00C40469"/>
    <w:rsid w:val="00C420E4"/>
    <w:rsid w:val="00C441D0"/>
    <w:rsid w:val="00C443B8"/>
    <w:rsid w:val="00C44F28"/>
    <w:rsid w:val="00C462D5"/>
    <w:rsid w:val="00C47284"/>
    <w:rsid w:val="00C47C33"/>
    <w:rsid w:val="00C52325"/>
    <w:rsid w:val="00C5471C"/>
    <w:rsid w:val="00C55528"/>
    <w:rsid w:val="00C56754"/>
    <w:rsid w:val="00C606FF"/>
    <w:rsid w:val="00C6099D"/>
    <w:rsid w:val="00C60ACC"/>
    <w:rsid w:val="00C61287"/>
    <w:rsid w:val="00C62102"/>
    <w:rsid w:val="00C62937"/>
    <w:rsid w:val="00C64BD9"/>
    <w:rsid w:val="00C660DD"/>
    <w:rsid w:val="00C66817"/>
    <w:rsid w:val="00C713DC"/>
    <w:rsid w:val="00C720FA"/>
    <w:rsid w:val="00C851A7"/>
    <w:rsid w:val="00C90E31"/>
    <w:rsid w:val="00C91B8A"/>
    <w:rsid w:val="00C92D80"/>
    <w:rsid w:val="00C93BEF"/>
    <w:rsid w:val="00C9573B"/>
    <w:rsid w:val="00C9720E"/>
    <w:rsid w:val="00C975C8"/>
    <w:rsid w:val="00CA138F"/>
    <w:rsid w:val="00CA2AB5"/>
    <w:rsid w:val="00CA339C"/>
    <w:rsid w:val="00CA468C"/>
    <w:rsid w:val="00CA590D"/>
    <w:rsid w:val="00CA77CD"/>
    <w:rsid w:val="00CA7982"/>
    <w:rsid w:val="00CB0BF3"/>
    <w:rsid w:val="00CB1596"/>
    <w:rsid w:val="00CB7B2E"/>
    <w:rsid w:val="00CC0A65"/>
    <w:rsid w:val="00CC76B6"/>
    <w:rsid w:val="00CD1133"/>
    <w:rsid w:val="00CD495E"/>
    <w:rsid w:val="00CE3A4B"/>
    <w:rsid w:val="00CE4694"/>
    <w:rsid w:val="00CE624E"/>
    <w:rsid w:val="00CF027B"/>
    <w:rsid w:val="00CF0A75"/>
    <w:rsid w:val="00CF1A18"/>
    <w:rsid w:val="00CF1FE0"/>
    <w:rsid w:val="00CF230A"/>
    <w:rsid w:val="00CF5A7B"/>
    <w:rsid w:val="00CF768A"/>
    <w:rsid w:val="00CF7F1D"/>
    <w:rsid w:val="00D01D8E"/>
    <w:rsid w:val="00D0249D"/>
    <w:rsid w:val="00D06004"/>
    <w:rsid w:val="00D067C7"/>
    <w:rsid w:val="00D07C24"/>
    <w:rsid w:val="00D12187"/>
    <w:rsid w:val="00D15828"/>
    <w:rsid w:val="00D16641"/>
    <w:rsid w:val="00D20BF3"/>
    <w:rsid w:val="00D2203D"/>
    <w:rsid w:val="00D22EC6"/>
    <w:rsid w:val="00D24C3F"/>
    <w:rsid w:val="00D2537B"/>
    <w:rsid w:val="00D30D87"/>
    <w:rsid w:val="00D31674"/>
    <w:rsid w:val="00D37488"/>
    <w:rsid w:val="00D43FA4"/>
    <w:rsid w:val="00D47DDB"/>
    <w:rsid w:val="00D5208B"/>
    <w:rsid w:val="00D52305"/>
    <w:rsid w:val="00D55156"/>
    <w:rsid w:val="00D556BB"/>
    <w:rsid w:val="00D55BDB"/>
    <w:rsid w:val="00D561F1"/>
    <w:rsid w:val="00D608BF"/>
    <w:rsid w:val="00D61F59"/>
    <w:rsid w:val="00D6281E"/>
    <w:rsid w:val="00D63A9C"/>
    <w:rsid w:val="00D6554C"/>
    <w:rsid w:val="00D70D72"/>
    <w:rsid w:val="00D758E6"/>
    <w:rsid w:val="00D76335"/>
    <w:rsid w:val="00D804A8"/>
    <w:rsid w:val="00D82201"/>
    <w:rsid w:val="00D84E15"/>
    <w:rsid w:val="00D903BD"/>
    <w:rsid w:val="00D939E6"/>
    <w:rsid w:val="00D96275"/>
    <w:rsid w:val="00DA0C7E"/>
    <w:rsid w:val="00DA2267"/>
    <w:rsid w:val="00DA22BC"/>
    <w:rsid w:val="00DA30E1"/>
    <w:rsid w:val="00DA4135"/>
    <w:rsid w:val="00DB07A1"/>
    <w:rsid w:val="00DB1C6E"/>
    <w:rsid w:val="00DD7177"/>
    <w:rsid w:val="00DD7FAC"/>
    <w:rsid w:val="00DF2F48"/>
    <w:rsid w:val="00DF312B"/>
    <w:rsid w:val="00DF42A6"/>
    <w:rsid w:val="00DF6ABB"/>
    <w:rsid w:val="00E00464"/>
    <w:rsid w:val="00E0583B"/>
    <w:rsid w:val="00E106DC"/>
    <w:rsid w:val="00E143B5"/>
    <w:rsid w:val="00E1654D"/>
    <w:rsid w:val="00E166BC"/>
    <w:rsid w:val="00E16730"/>
    <w:rsid w:val="00E37712"/>
    <w:rsid w:val="00E4017D"/>
    <w:rsid w:val="00E40969"/>
    <w:rsid w:val="00E4230E"/>
    <w:rsid w:val="00E428E6"/>
    <w:rsid w:val="00E43941"/>
    <w:rsid w:val="00E44A0E"/>
    <w:rsid w:val="00E53AF1"/>
    <w:rsid w:val="00E57059"/>
    <w:rsid w:val="00E60170"/>
    <w:rsid w:val="00E63EB2"/>
    <w:rsid w:val="00E64508"/>
    <w:rsid w:val="00E64810"/>
    <w:rsid w:val="00E70F59"/>
    <w:rsid w:val="00E734EB"/>
    <w:rsid w:val="00E74512"/>
    <w:rsid w:val="00E8195A"/>
    <w:rsid w:val="00E85179"/>
    <w:rsid w:val="00E8739C"/>
    <w:rsid w:val="00E955CB"/>
    <w:rsid w:val="00E959E2"/>
    <w:rsid w:val="00E96E3D"/>
    <w:rsid w:val="00EA5EFA"/>
    <w:rsid w:val="00EA74C5"/>
    <w:rsid w:val="00EB262D"/>
    <w:rsid w:val="00EB2B20"/>
    <w:rsid w:val="00EB4E03"/>
    <w:rsid w:val="00EB575E"/>
    <w:rsid w:val="00EC75E5"/>
    <w:rsid w:val="00ED12A4"/>
    <w:rsid w:val="00ED249A"/>
    <w:rsid w:val="00ED57B4"/>
    <w:rsid w:val="00ED5CF1"/>
    <w:rsid w:val="00EE7049"/>
    <w:rsid w:val="00EF01B0"/>
    <w:rsid w:val="00EF3754"/>
    <w:rsid w:val="00F002A9"/>
    <w:rsid w:val="00F016EC"/>
    <w:rsid w:val="00F02320"/>
    <w:rsid w:val="00F0768E"/>
    <w:rsid w:val="00F129C9"/>
    <w:rsid w:val="00F2091A"/>
    <w:rsid w:val="00F2214C"/>
    <w:rsid w:val="00F248B1"/>
    <w:rsid w:val="00F265DD"/>
    <w:rsid w:val="00F30A17"/>
    <w:rsid w:val="00F32E15"/>
    <w:rsid w:val="00F341A9"/>
    <w:rsid w:val="00F3494B"/>
    <w:rsid w:val="00F356A4"/>
    <w:rsid w:val="00F377B5"/>
    <w:rsid w:val="00F45C5C"/>
    <w:rsid w:val="00F6356E"/>
    <w:rsid w:val="00F6375E"/>
    <w:rsid w:val="00F66737"/>
    <w:rsid w:val="00F67949"/>
    <w:rsid w:val="00F67AA2"/>
    <w:rsid w:val="00F67D76"/>
    <w:rsid w:val="00F67E1F"/>
    <w:rsid w:val="00F713ED"/>
    <w:rsid w:val="00F85473"/>
    <w:rsid w:val="00F85B2A"/>
    <w:rsid w:val="00F861CD"/>
    <w:rsid w:val="00F87329"/>
    <w:rsid w:val="00F8788E"/>
    <w:rsid w:val="00F91F54"/>
    <w:rsid w:val="00F92AE7"/>
    <w:rsid w:val="00F942DB"/>
    <w:rsid w:val="00FA3347"/>
    <w:rsid w:val="00FA7D77"/>
    <w:rsid w:val="00FB0A8E"/>
    <w:rsid w:val="00FB1869"/>
    <w:rsid w:val="00FB3EDE"/>
    <w:rsid w:val="00FB40DA"/>
    <w:rsid w:val="00FB6EA6"/>
    <w:rsid w:val="00FC03FE"/>
    <w:rsid w:val="00FC1145"/>
    <w:rsid w:val="00FC4665"/>
    <w:rsid w:val="00FD26E2"/>
    <w:rsid w:val="00FD2855"/>
    <w:rsid w:val="00FD2D3E"/>
    <w:rsid w:val="00FD3F12"/>
    <w:rsid w:val="00FD4035"/>
    <w:rsid w:val="00FD6D12"/>
    <w:rsid w:val="00FD7661"/>
    <w:rsid w:val="00FE5630"/>
    <w:rsid w:val="00FE5696"/>
    <w:rsid w:val="00FF1673"/>
    <w:rsid w:val="00FF351E"/>
    <w:rsid w:val="00FF55AD"/>
    <w:rsid w:val="00FF762E"/>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6C2D437"/>
  <w14:defaultImageDpi w14:val="330"/>
  <w15:docId w15:val="{C3D18D15-6E5A-7D4C-AF00-E4B919028A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5E4EEB"/>
    <w:rPr>
      <w:rFonts w:ascii="Times New Roman" w:eastAsia="Times New Roman" w:hAnsi="Times New Roman" w:cs="Times New Roman"/>
      <w:lang w:val="es-ES" w:eastAsia="es-ES_tradnl"/>
    </w:rPr>
  </w:style>
  <w:style w:type="paragraph" w:styleId="Ttulo1">
    <w:name w:val="heading 1"/>
    <w:basedOn w:val="Normal"/>
    <w:next w:val="Normal"/>
    <w:link w:val="Ttulo1Car"/>
    <w:autoRedefine/>
    <w:uiPriority w:val="9"/>
    <w:qFormat/>
    <w:rsid w:val="00B156CC"/>
    <w:pPr>
      <w:keepNext/>
      <w:keepLines/>
      <w:spacing w:before="240" w:after="240" w:line="288" w:lineRule="auto"/>
      <w:outlineLvl w:val="0"/>
    </w:pPr>
    <w:rPr>
      <w:rFonts w:asciiTheme="majorHAnsi" w:hAnsiTheme="majorHAnsi"/>
      <w:b/>
      <w:sz w:val="20"/>
      <w:szCs w:val="20"/>
      <w:lang w:val="en-US" w:eastAsia="en-US"/>
    </w:rPr>
  </w:style>
  <w:style w:type="paragraph" w:styleId="Ttulo2">
    <w:name w:val="heading 2"/>
    <w:basedOn w:val="Normal"/>
    <w:next w:val="Normal"/>
    <w:link w:val="Ttulo2Car"/>
    <w:uiPriority w:val="9"/>
    <w:unhideWhenUsed/>
    <w:qFormat/>
    <w:rsid w:val="00B156CC"/>
    <w:pPr>
      <w:keepNext/>
      <w:keepLines/>
      <w:spacing w:before="120" w:after="120"/>
      <w:outlineLvl w:val="1"/>
    </w:pPr>
    <w:rPr>
      <w:rFonts w:asciiTheme="majorHAnsi" w:eastAsiaTheme="majorEastAsia" w:hAnsiTheme="majorHAnsi" w:cstheme="majorBidi"/>
      <w:b/>
      <w:bCs/>
      <w:szCs w:val="26"/>
      <w:u w:val="single"/>
      <w:lang w:val="en-US" w:eastAsia="en-US"/>
    </w:rPr>
  </w:style>
  <w:style w:type="paragraph" w:styleId="Ttulo3">
    <w:name w:val="heading 3"/>
    <w:basedOn w:val="Normal"/>
    <w:next w:val="Normal"/>
    <w:link w:val="Ttulo3Car"/>
    <w:uiPriority w:val="9"/>
    <w:unhideWhenUsed/>
    <w:qFormat/>
    <w:rsid w:val="00B156CC"/>
    <w:pPr>
      <w:keepNext/>
      <w:keepLines/>
      <w:spacing w:before="200"/>
      <w:outlineLvl w:val="2"/>
    </w:pPr>
    <w:rPr>
      <w:rFonts w:asciiTheme="majorHAnsi" w:eastAsiaTheme="majorEastAsia" w:hAnsiTheme="majorHAnsi" w:cstheme="majorBidi"/>
      <w:bCs/>
      <w:u w:val="single"/>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A25927"/>
    <w:rPr>
      <w:rFonts w:ascii="Tahoma" w:eastAsiaTheme="minorEastAsia" w:hAnsi="Tahoma" w:cs="Tahoma"/>
      <w:sz w:val="16"/>
      <w:szCs w:val="18"/>
      <w:lang w:val="en-US" w:eastAsia="es-ES"/>
    </w:rPr>
  </w:style>
  <w:style w:type="character" w:customStyle="1" w:styleId="TextodegloboCar">
    <w:name w:val="Texto de globo Car"/>
    <w:basedOn w:val="Fuentedeprrafopredeter"/>
    <w:link w:val="Textodeglobo"/>
    <w:uiPriority w:val="99"/>
    <w:semiHidden/>
    <w:rsid w:val="00A25927"/>
    <w:rPr>
      <w:rFonts w:ascii="Tahoma" w:hAnsi="Tahoma" w:cs="Tahoma"/>
      <w:sz w:val="16"/>
      <w:szCs w:val="18"/>
      <w:lang w:val="en-US"/>
    </w:rPr>
  </w:style>
  <w:style w:type="paragraph" w:styleId="NormalWeb">
    <w:name w:val="Normal (Web)"/>
    <w:basedOn w:val="Normal"/>
    <w:uiPriority w:val="99"/>
    <w:unhideWhenUsed/>
    <w:rsid w:val="00960A3D"/>
    <w:pPr>
      <w:spacing w:before="100" w:beforeAutospacing="1" w:after="100" w:afterAutospacing="1"/>
    </w:pPr>
    <w:rPr>
      <w:rFonts w:ascii="Times" w:eastAsiaTheme="minorEastAsia" w:hAnsi="Times"/>
      <w:sz w:val="20"/>
      <w:szCs w:val="20"/>
      <w:lang w:val="es-ES_tradnl" w:eastAsia="es-ES"/>
    </w:rPr>
  </w:style>
  <w:style w:type="paragraph" w:styleId="Textonotapie">
    <w:name w:val="footnote text"/>
    <w:basedOn w:val="Normal"/>
    <w:link w:val="TextonotapieCar"/>
    <w:uiPriority w:val="99"/>
    <w:unhideWhenUsed/>
    <w:rsid w:val="009B4793"/>
    <w:rPr>
      <w:rFonts w:asciiTheme="minorHAnsi" w:eastAsiaTheme="minorEastAsia" w:hAnsiTheme="minorHAnsi" w:cstheme="minorBidi"/>
      <w:lang w:val="es-ES_tradnl" w:eastAsia="es-ES"/>
    </w:rPr>
  </w:style>
  <w:style w:type="character" w:customStyle="1" w:styleId="TextonotapieCar">
    <w:name w:val="Texto nota pie Car"/>
    <w:basedOn w:val="Fuentedeprrafopredeter"/>
    <w:link w:val="Textonotapie"/>
    <w:uiPriority w:val="99"/>
    <w:rsid w:val="009B4793"/>
  </w:style>
  <w:style w:type="character" w:styleId="Refdenotaalpie">
    <w:name w:val="footnote reference"/>
    <w:basedOn w:val="Fuentedeprrafopredeter"/>
    <w:uiPriority w:val="99"/>
    <w:unhideWhenUsed/>
    <w:rsid w:val="009B4793"/>
    <w:rPr>
      <w:vertAlign w:val="superscript"/>
    </w:rPr>
  </w:style>
  <w:style w:type="paragraph" w:customStyle="1" w:styleId="authorinfo">
    <w:name w:val="authorinfo"/>
    <w:basedOn w:val="Normal"/>
    <w:next w:val="Normal"/>
    <w:rsid w:val="000068CD"/>
    <w:pPr>
      <w:overflowPunct w:val="0"/>
      <w:autoSpaceDE w:val="0"/>
      <w:autoSpaceDN w:val="0"/>
      <w:adjustRightInd w:val="0"/>
      <w:spacing w:after="720"/>
      <w:textAlignment w:val="baseline"/>
    </w:pPr>
    <w:rPr>
      <w:rFonts w:ascii="Times" w:hAnsi="Times"/>
      <w:sz w:val="22"/>
      <w:szCs w:val="20"/>
      <w:lang w:val="en-US" w:eastAsia="de-DE"/>
    </w:rPr>
  </w:style>
  <w:style w:type="paragraph" w:customStyle="1" w:styleId="FunotentextFootnote">
    <w:name w:val="Fußnotentext.Footnote"/>
    <w:basedOn w:val="Normal"/>
    <w:rsid w:val="000068CD"/>
    <w:pPr>
      <w:tabs>
        <w:tab w:val="left" w:pos="170"/>
      </w:tabs>
      <w:overflowPunct w:val="0"/>
      <w:autoSpaceDE w:val="0"/>
      <w:autoSpaceDN w:val="0"/>
      <w:adjustRightInd w:val="0"/>
      <w:ind w:left="170" w:hanging="170"/>
      <w:jc w:val="both"/>
      <w:textAlignment w:val="baseline"/>
    </w:pPr>
    <w:rPr>
      <w:rFonts w:ascii="Times" w:hAnsi="Times"/>
      <w:sz w:val="20"/>
      <w:szCs w:val="20"/>
      <w:lang w:val="en-US" w:eastAsia="de-DE"/>
    </w:rPr>
  </w:style>
  <w:style w:type="character" w:customStyle="1" w:styleId="Ttulo1Car">
    <w:name w:val="Título 1 Car"/>
    <w:basedOn w:val="Fuentedeprrafopredeter"/>
    <w:link w:val="Ttulo1"/>
    <w:uiPriority w:val="9"/>
    <w:rsid w:val="00B156CC"/>
    <w:rPr>
      <w:rFonts w:asciiTheme="majorHAnsi" w:eastAsia="Times New Roman" w:hAnsiTheme="majorHAnsi" w:cs="Times New Roman"/>
      <w:b/>
      <w:sz w:val="20"/>
      <w:szCs w:val="20"/>
      <w:lang w:val="en-US" w:eastAsia="en-US"/>
    </w:rPr>
  </w:style>
  <w:style w:type="character" w:customStyle="1" w:styleId="Ttulo2Car">
    <w:name w:val="Título 2 Car"/>
    <w:basedOn w:val="Fuentedeprrafopredeter"/>
    <w:link w:val="Ttulo2"/>
    <w:uiPriority w:val="9"/>
    <w:rsid w:val="00B156CC"/>
    <w:rPr>
      <w:rFonts w:asciiTheme="majorHAnsi" w:eastAsiaTheme="majorEastAsia" w:hAnsiTheme="majorHAnsi" w:cstheme="majorBidi"/>
      <w:b/>
      <w:bCs/>
      <w:szCs w:val="26"/>
      <w:u w:val="single"/>
      <w:lang w:val="en-US" w:eastAsia="en-US"/>
    </w:rPr>
  </w:style>
  <w:style w:type="character" w:customStyle="1" w:styleId="Ttulo3Car">
    <w:name w:val="Título 3 Car"/>
    <w:basedOn w:val="Fuentedeprrafopredeter"/>
    <w:link w:val="Ttulo3"/>
    <w:uiPriority w:val="9"/>
    <w:rsid w:val="00B156CC"/>
    <w:rPr>
      <w:rFonts w:asciiTheme="majorHAnsi" w:eastAsiaTheme="majorEastAsia" w:hAnsiTheme="majorHAnsi" w:cstheme="majorBidi"/>
      <w:bCs/>
      <w:u w:val="single"/>
      <w:lang w:val="en-US" w:eastAsia="en-US"/>
    </w:rPr>
  </w:style>
  <w:style w:type="paragraph" w:customStyle="1" w:styleId="Captulo">
    <w:name w:val="Capítulo"/>
    <w:basedOn w:val="Ttulo2"/>
    <w:link w:val="CaptuloCar"/>
    <w:qFormat/>
    <w:rsid w:val="00B156CC"/>
    <w:pPr>
      <w:spacing w:before="0"/>
      <w:jc w:val="center"/>
    </w:pPr>
    <w:rPr>
      <w:rFonts w:cs="Arial"/>
      <w:szCs w:val="20"/>
    </w:rPr>
  </w:style>
  <w:style w:type="character" w:customStyle="1" w:styleId="CaptuloCar">
    <w:name w:val="Capítulo Car"/>
    <w:basedOn w:val="Ttulo2Car"/>
    <w:link w:val="Captulo"/>
    <w:rsid w:val="00B156CC"/>
    <w:rPr>
      <w:rFonts w:asciiTheme="majorHAnsi" w:eastAsiaTheme="majorEastAsia" w:hAnsiTheme="majorHAnsi" w:cs="Arial"/>
      <w:b/>
      <w:bCs/>
      <w:szCs w:val="20"/>
      <w:u w:val="single"/>
      <w:lang w:val="en-US" w:eastAsia="en-US"/>
    </w:rPr>
  </w:style>
  <w:style w:type="paragraph" w:customStyle="1" w:styleId="bodytext">
    <w:name w:val="*bodytext"/>
    <w:basedOn w:val="Normal"/>
    <w:rsid w:val="00B156CC"/>
    <w:pPr>
      <w:keepNext/>
      <w:spacing w:after="120"/>
      <w:ind w:firstLine="567"/>
    </w:pPr>
    <w:rPr>
      <w:rFonts w:eastAsia="MS Mincho"/>
      <w:lang w:val="en-US" w:eastAsia="en-US"/>
    </w:rPr>
  </w:style>
  <w:style w:type="character" w:styleId="Hipervnculo">
    <w:name w:val="Hyperlink"/>
    <w:basedOn w:val="Fuentedeprrafopredeter"/>
    <w:uiPriority w:val="99"/>
    <w:unhideWhenUsed/>
    <w:rsid w:val="00B156CC"/>
    <w:rPr>
      <w:color w:val="0000FF" w:themeColor="hyperlink"/>
      <w:u w:val="single"/>
    </w:rPr>
  </w:style>
  <w:style w:type="paragraph" w:styleId="Mapadeldocumento">
    <w:name w:val="Document Map"/>
    <w:basedOn w:val="Normal"/>
    <w:link w:val="MapadeldocumentoCar"/>
    <w:uiPriority w:val="99"/>
    <w:semiHidden/>
    <w:unhideWhenUsed/>
    <w:rsid w:val="00B156CC"/>
    <w:rPr>
      <w:rFonts w:ascii="Tahoma" w:hAnsi="Tahoma" w:cs="Tahoma"/>
      <w:sz w:val="16"/>
      <w:szCs w:val="16"/>
      <w:lang w:val="en-US" w:eastAsia="en-US"/>
    </w:rPr>
  </w:style>
  <w:style w:type="character" w:customStyle="1" w:styleId="MapadeldocumentoCar">
    <w:name w:val="Mapa del documento Car"/>
    <w:basedOn w:val="Fuentedeprrafopredeter"/>
    <w:link w:val="Mapadeldocumento"/>
    <w:uiPriority w:val="99"/>
    <w:semiHidden/>
    <w:rsid w:val="00B156CC"/>
    <w:rPr>
      <w:rFonts w:ascii="Tahoma" w:eastAsia="Times New Roman" w:hAnsi="Tahoma" w:cs="Tahoma"/>
      <w:sz w:val="16"/>
      <w:szCs w:val="16"/>
      <w:lang w:val="en-US" w:eastAsia="en-US"/>
    </w:rPr>
  </w:style>
  <w:style w:type="table" w:styleId="Tablaconcuadrcula">
    <w:name w:val="Table Grid"/>
    <w:basedOn w:val="Tablanormal"/>
    <w:uiPriority w:val="59"/>
    <w:rsid w:val="00B156CC"/>
    <w:rPr>
      <w:rFonts w:ascii="Cambria" w:eastAsiaTheme="minorHAnsi" w:hAnsi="Cambria"/>
      <w:sz w:val="21"/>
      <w:szCs w:val="21"/>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B156CC"/>
    <w:rPr>
      <w:color w:val="808080"/>
    </w:rPr>
  </w:style>
  <w:style w:type="paragraph" w:styleId="Encabezado">
    <w:name w:val="header"/>
    <w:basedOn w:val="Normal"/>
    <w:link w:val="EncabezadoCar"/>
    <w:uiPriority w:val="99"/>
    <w:unhideWhenUsed/>
    <w:rsid w:val="00B156CC"/>
    <w:pPr>
      <w:tabs>
        <w:tab w:val="center" w:pos="4252"/>
        <w:tab w:val="right" w:pos="8504"/>
      </w:tabs>
    </w:pPr>
    <w:rPr>
      <w:lang w:val="en-US" w:eastAsia="en-US"/>
    </w:rPr>
  </w:style>
  <w:style w:type="character" w:customStyle="1" w:styleId="EncabezadoCar">
    <w:name w:val="Encabezado Car"/>
    <w:basedOn w:val="Fuentedeprrafopredeter"/>
    <w:link w:val="Encabezado"/>
    <w:uiPriority w:val="99"/>
    <w:rsid w:val="00B156CC"/>
    <w:rPr>
      <w:rFonts w:ascii="Times New Roman" w:eastAsia="Times New Roman" w:hAnsi="Times New Roman" w:cs="Times New Roman"/>
      <w:lang w:val="en-US" w:eastAsia="en-US"/>
    </w:rPr>
  </w:style>
  <w:style w:type="paragraph" w:styleId="Piedepgina">
    <w:name w:val="footer"/>
    <w:basedOn w:val="Normal"/>
    <w:link w:val="PiedepginaCar"/>
    <w:uiPriority w:val="99"/>
    <w:unhideWhenUsed/>
    <w:rsid w:val="00B156CC"/>
    <w:pPr>
      <w:tabs>
        <w:tab w:val="center" w:pos="4252"/>
        <w:tab w:val="right" w:pos="8504"/>
      </w:tabs>
    </w:pPr>
    <w:rPr>
      <w:lang w:val="en-US" w:eastAsia="en-US"/>
    </w:rPr>
  </w:style>
  <w:style w:type="character" w:customStyle="1" w:styleId="PiedepginaCar">
    <w:name w:val="Pie de página Car"/>
    <w:basedOn w:val="Fuentedeprrafopredeter"/>
    <w:link w:val="Piedepgina"/>
    <w:uiPriority w:val="99"/>
    <w:rsid w:val="00B156CC"/>
    <w:rPr>
      <w:rFonts w:ascii="Times New Roman" w:eastAsia="Times New Roman" w:hAnsi="Times New Roman" w:cs="Times New Roman"/>
      <w:lang w:val="en-US" w:eastAsia="en-US"/>
    </w:rPr>
  </w:style>
  <w:style w:type="table" w:customStyle="1" w:styleId="Tablaconcuadrcula1">
    <w:name w:val="Tabla con cuadrícula1"/>
    <w:basedOn w:val="Tablanormal"/>
    <w:next w:val="Tablaconcuadrcula"/>
    <w:uiPriority w:val="59"/>
    <w:rsid w:val="00B156CC"/>
    <w:rPr>
      <w:rFonts w:ascii="LM Roman 10" w:eastAsiaTheme="minorHAnsi" w:hAnsi="LM Roman 10"/>
      <w:sz w:val="22"/>
      <w:szCs w:val="22"/>
      <w:lang w:val="es-ES"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Refdecomentario">
    <w:name w:val="annotation reference"/>
    <w:basedOn w:val="Fuentedeprrafopredeter"/>
    <w:uiPriority w:val="99"/>
    <w:semiHidden/>
    <w:unhideWhenUsed/>
    <w:rsid w:val="00591933"/>
    <w:rPr>
      <w:sz w:val="18"/>
      <w:szCs w:val="18"/>
    </w:rPr>
  </w:style>
  <w:style w:type="paragraph" w:styleId="Textocomentario">
    <w:name w:val="annotation text"/>
    <w:basedOn w:val="Normal"/>
    <w:link w:val="TextocomentarioCar"/>
    <w:uiPriority w:val="99"/>
    <w:semiHidden/>
    <w:unhideWhenUsed/>
    <w:rsid w:val="00591933"/>
    <w:rPr>
      <w:rFonts w:ascii="Tahoma" w:eastAsiaTheme="minorEastAsia" w:hAnsi="Tahoma" w:cs="Tahoma"/>
      <w:sz w:val="16"/>
      <w:lang w:val="en-US" w:eastAsia="es-ES"/>
    </w:rPr>
  </w:style>
  <w:style w:type="character" w:customStyle="1" w:styleId="TextocomentarioCar">
    <w:name w:val="Texto comentario Car"/>
    <w:basedOn w:val="Fuentedeprrafopredeter"/>
    <w:link w:val="Textocomentario"/>
    <w:uiPriority w:val="99"/>
    <w:semiHidden/>
    <w:rsid w:val="00591933"/>
    <w:rPr>
      <w:rFonts w:ascii="Tahoma" w:hAnsi="Tahoma" w:cs="Tahoma"/>
      <w:sz w:val="16"/>
      <w:lang w:val="en-US"/>
    </w:rPr>
  </w:style>
  <w:style w:type="paragraph" w:styleId="Asuntodelcomentario">
    <w:name w:val="annotation subject"/>
    <w:basedOn w:val="Textocomentario"/>
    <w:next w:val="Textocomentario"/>
    <w:link w:val="AsuntodelcomentarioCar"/>
    <w:uiPriority w:val="99"/>
    <w:semiHidden/>
    <w:unhideWhenUsed/>
    <w:rsid w:val="00591933"/>
    <w:rPr>
      <w:b/>
      <w:bCs/>
      <w:sz w:val="20"/>
      <w:szCs w:val="20"/>
    </w:rPr>
  </w:style>
  <w:style w:type="character" w:customStyle="1" w:styleId="AsuntodelcomentarioCar">
    <w:name w:val="Asunto del comentario Car"/>
    <w:basedOn w:val="TextocomentarioCar"/>
    <w:link w:val="Asuntodelcomentario"/>
    <w:uiPriority w:val="99"/>
    <w:semiHidden/>
    <w:rsid w:val="00591933"/>
    <w:rPr>
      <w:rFonts w:ascii="Tahoma" w:hAnsi="Tahoma" w:cs="Tahoma"/>
      <w:b/>
      <w:bCs/>
      <w:sz w:val="20"/>
      <w:szCs w:val="20"/>
      <w:lang w:val="en-US"/>
    </w:rPr>
  </w:style>
  <w:style w:type="paragraph" w:styleId="Prrafodelista">
    <w:name w:val="List Paragraph"/>
    <w:basedOn w:val="Normal"/>
    <w:uiPriority w:val="34"/>
    <w:qFormat/>
    <w:rsid w:val="006A7F9C"/>
    <w:pPr>
      <w:ind w:left="720"/>
      <w:contextualSpacing/>
    </w:pPr>
    <w:rPr>
      <w:rFonts w:asciiTheme="minorHAnsi" w:eastAsiaTheme="minorEastAsia" w:hAnsiTheme="minorHAnsi" w:cstheme="minorBidi"/>
      <w:lang w:val="es-ES_tradnl" w:eastAsia="es-ES"/>
    </w:rPr>
  </w:style>
  <w:style w:type="paragraph" w:styleId="Revisin">
    <w:name w:val="Revision"/>
    <w:hidden/>
    <w:uiPriority w:val="99"/>
    <w:semiHidden/>
    <w:rsid w:val="00376598"/>
  </w:style>
  <w:style w:type="character" w:customStyle="1" w:styleId="apple-converted-space">
    <w:name w:val="apple-converted-space"/>
    <w:basedOn w:val="Fuentedeprrafopredeter"/>
    <w:rsid w:val="00EC75E5"/>
  </w:style>
  <w:style w:type="paragraph" w:styleId="HTMLconformatoprevio">
    <w:name w:val="HTML Preformatted"/>
    <w:basedOn w:val="Normal"/>
    <w:link w:val="HTMLconformatoprevioCar"/>
    <w:uiPriority w:val="99"/>
    <w:semiHidden/>
    <w:unhideWhenUsed/>
    <w:rsid w:val="00B40A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rPr>
  </w:style>
  <w:style w:type="character" w:customStyle="1" w:styleId="HTMLconformatoprevioCar">
    <w:name w:val="HTML con formato previo Car"/>
    <w:basedOn w:val="Fuentedeprrafopredeter"/>
    <w:link w:val="HTMLconformatoprevio"/>
    <w:uiPriority w:val="99"/>
    <w:semiHidden/>
    <w:rsid w:val="00B40AB5"/>
    <w:rPr>
      <w:rFonts w:ascii="Courier" w:hAnsi="Courier" w:cs="Courier"/>
      <w:sz w:val="20"/>
      <w:szCs w:val="20"/>
    </w:rPr>
  </w:style>
  <w:style w:type="character" w:customStyle="1" w:styleId="Mencinsinresolver1">
    <w:name w:val="Mención sin resolver1"/>
    <w:basedOn w:val="Fuentedeprrafopredeter"/>
    <w:uiPriority w:val="99"/>
    <w:semiHidden/>
    <w:unhideWhenUsed/>
    <w:rsid w:val="004623C6"/>
    <w:rPr>
      <w:color w:val="605E5C"/>
      <w:shd w:val="clear" w:color="auto" w:fill="E1DFDD"/>
    </w:rPr>
  </w:style>
  <w:style w:type="character" w:customStyle="1" w:styleId="citationref">
    <w:name w:val="citationref"/>
    <w:basedOn w:val="Fuentedeprrafopredeter"/>
    <w:rsid w:val="00601D64"/>
  </w:style>
  <w:style w:type="character" w:styleId="nfasis">
    <w:name w:val="Emphasis"/>
    <w:basedOn w:val="Fuentedeprrafopredeter"/>
    <w:uiPriority w:val="20"/>
    <w:qFormat/>
    <w:rsid w:val="00811C49"/>
    <w:rPr>
      <w:i/>
      <w:iCs/>
    </w:rPr>
  </w:style>
  <w:style w:type="character" w:styleId="Textoennegrita">
    <w:name w:val="Strong"/>
    <w:basedOn w:val="Fuentedeprrafopredeter"/>
    <w:uiPriority w:val="22"/>
    <w:qFormat/>
    <w:rsid w:val="00BE67D2"/>
    <w:rPr>
      <w:b/>
      <w:bCs/>
    </w:rPr>
  </w:style>
  <w:style w:type="character" w:styleId="Mencinsinresolver">
    <w:name w:val="Unresolved Mention"/>
    <w:basedOn w:val="Fuentedeprrafopredeter"/>
    <w:uiPriority w:val="99"/>
    <w:rsid w:val="00250EF4"/>
    <w:rPr>
      <w:color w:val="605E5C"/>
      <w:shd w:val="clear" w:color="auto" w:fill="E1DFDD"/>
    </w:rPr>
  </w:style>
  <w:style w:type="character" w:styleId="Hipervnculovisitado">
    <w:name w:val="FollowedHyperlink"/>
    <w:basedOn w:val="Fuentedeprrafopredeter"/>
    <w:uiPriority w:val="99"/>
    <w:semiHidden/>
    <w:unhideWhenUsed/>
    <w:rsid w:val="0016152D"/>
    <w:rPr>
      <w:color w:val="800080" w:themeColor="followedHyperlink"/>
      <w:u w:val="single"/>
    </w:rPr>
  </w:style>
  <w:style w:type="character" w:customStyle="1" w:styleId="highlight">
    <w:name w:val="highlight"/>
    <w:basedOn w:val="Fuentedeprrafopredeter"/>
    <w:rsid w:val="002C53FE"/>
  </w:style>
  <w:style w:type="table" w:customStyle="1" w:styleId="Tablaconcuadrcula2">
    <w:name w:val="Tabla con cuadrícula2"/>
    <w:basedOn w:val="Tablanormal"/>
    <w:next w:val="Tablaconcuadrcula"/>
    <w:uiPriority w:val="59"/>
    <w:rsid w:val="00331E91"/>
    <w:rPr>
      <w:rFonts w:eastAsia="Calibri"/>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59"/>
    <w:rsid w:val="00331E91"/>
    <w:rPr>
      <w:rFonts w:eastAsia="Calibri"/>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nchor-text">
    <w:name w:val="anchor-text"/>
    <w:basedOn w:val="Fuentedeprrafopredeter"/>
    <w:rsid w:val="009474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11917">
      <w:bodyDiv w:val="1"/>
      <w:marLeft w:val="0"/>
      <w:marRight w:val="0"/>
      <w:marTop w:val="0"/>
      <w:marBottom w:val="0"/>
      <w:divBdr>
        <w:top w:val="none" w:sz="0" w:space="0" w:color="auto"/>
        <w:left w:val="none" w:sz="0" w:space="0" w:color="auto"/>
        <w:bottom w:val="none" w:sz="0" w:space="0" w:color="auto"/>
        <w:right w:val="none" w:sz="0" w:space="0" w:color="auto"/>
      </w:divBdr>
    </w:div>
    <w:div w:id="25062197">
      <w:bodyDiv w:val="1"/>
      <w:marLeft w:val="0"/>
      <w:marRight w:val="0"/>
      <w:marTop w:val="0"/>
      <w:marBottom w:val="0"/>
      <w:divBdr>
        <w:top w:val="none" w:sz="0" w:space="0" w:color="auto"/>
        <w:left w:val="none" w:sz="0" w:space="0" w:color="auto"/>
        <w:bottom w:val="none" w:sz="0" w:space="0" w:color="auto"/>
        <w:right w:val="none" w:sz="0" w:space="0" w:color="auto"/>
      </w:divBdr>
    </w:div>
    <w:div w:id="27072636">
      <w:bodyDiv w:val="1"/>
      <w:marLeft w:val="0"/>
      <w:marRight w:val="0"/>
      <w:marTop w:val="0"/>
      <w:marBottom w:val="0"/>
      <w:divBdr>
        <w:top w:val="none" w:sz="0" w:space="0" w:color="auto"/>
        <w:left w:val="none" w:sz="0" w:space="0" w:color="auto"/>
        <w:bottom w:val="none" w:sz="0" w:space="0" w:color="auto"/>
        <w:right w:val="none" w:sz="0" w:space="0" w:color="auto"/>
      </w:divBdr>
    </w:div>
    <w:div w:id="33580869">
      <w:bodyDiv w:val="1"/>
      <w:marLeft w:val="0"/>
      <w:marRight w:val="0"/>
      <w:marTop w:val="0"/>
      <w:marBottom w:val="0"/>
      <w:divBdr>
        <w:top w:val="none" w:sz="0" w:space="0" w:color="auto"/>
        <w:left w:val="none" w:sz="0" w:space="0" w:color="auto"/>
        <w:bottom w:val="none" w:sz="0" w:space="0" w:color="auto"/>
        <w:right w:val="none" w:sz="0" w:space="0" w:color="auto"/>
      </w:divBdr>
    </w:div>
    <w:div w:id="47531776">
      <w:bodyDiv w:val="1"/>
      <w:marLeft w:val="0"/>
      <w:marRight w:val="0"/>
      <w:marTop w:val="0"/>
      <w:marBottom w:val="0"/>
      <w:divBdr>
        <w:top w:val="none" w:sz="0" w:space="0" w:color="auto"/>
        <w:left w:val="none" w:sz="0" w:space="0" w:color="auto"/>
        <w:bottom w:val="none" w:sz="0" w:space="0" w:color="auto"/>
        <w:right w:val="none" w:sz="0" w:space="0" w:color="auto"/>
      </w:divBdr>
      <w:divsChild>
        <w:div w:id="268859951">
          <w:marLeft w:val="0"/>
          <w:marRight w:val="0"/>
          <w:marTop w:val="0"/>
          <w:marBottom w:val="0"/>
          <w:divBdr>
            <w:top w:val="none" w:sz="0" w:space="0" w:color="auto"/>
            <w:left w:val="none" w:sz="0" w:space="0" w:color="auto"/>
            <w:bottom w:val="none" w:sz="0" w:space="0" w:color="auto"/>
            <w:right w:val="none" w:sz="0" w:space="0" w:color="auto"/>
          </w:divBdr>
          <w:divsChild>
            <w:div w:id="37046841">
              <w:marLeft w:val="0"/>
              <w:marRight w:val="0"/>
              <w:marTop w:val="0"/>
              <w:marBottom w:val="0"/>
              <w:divBdr>
                <w:top w:val="none" w:sz="0" w:space="0" w:color="auto"/>
                <w:left w:val="none" w:sz="0" w:space="0" w:color="auto"/>
                <w:bottom w:val="none" w:sz="0" w:space="0" w:color="auto"/>
                <w:right w:val="none" w:sz="0" w:space="0" w:color="auto"/>
              </w:divBdr>
              <w:divsChild>
                <w:div w:id="1918594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665686">
      <w:bodyDiv w:val="1"/>
      <w:marLeft w:val="0"/>
      <w:marRight w:val="0"/>
      <w:marTop w:val="0"/>
      <w:marBottom w:val="0"/>
      <w:divBdr>
        <w:top w:val="none" w:sz="0" w:space="0" w:color="auto"/>
        <w:left w:val="none" w:sz="0" w:space="0" w:color="auto"/>
        <w:bottom w:val="none" w:sz="0" w:space="0" w:color="auto"/>
        <w:right w:val="none" w:sz="0" w:space="0" w:color="auto"/>
      </w:divBdr>
    </w:div>
    <w:div w:id="61566729">
      <w:bodyDiv w:val="1"/>
      <w:marLeft w:val="0"/>
      <w:marRight w:val="0"/>
      <w:marTop w:val="0"/>
      <w:marBottom w:val="0"/>
      <w:divBdr>
        <w:top w:val="none" w:sz="0" w:space="0" w:color="auto"/>
        <w:left w:val="none" w:sz="0" w:space="0" w:color="auto"/>
        <w:bottom w:val="none" w:sz="0" w:space="0" w:color="auto"/>
        <w:right w:val="none" w:sz="0" w:space="0" w:color="auto"/>
      </w:divBdr>
    </w:div>
    <w:div w:id="70280754">
      <w:bodyDiv w:val="1"/>
      <w:marLeft w:val="0"/>
      <w:marRight w:val="0"/>
      <w:marTop w:val="0"/>
      <w:marBottom w:val="0"/>
      <w:divBdr>
        <w:top w:val="none" w:sz="0" w:space="0" w:color="auto"/>
        <w:left w:val="none" w:sz="0" w:space="0" w:color="auto"/>
        <w:bottom w:val="none" w:sz="0" w:space="0" w:color="auto"/>
        <w:right w:val="none" w:sz="0" w:space="0" w:color="auto"/>
      </w:divBdr>
      <w:divsChild>
        <w:div w:id="1386762476">
          <w:marLeft w:val="0"/>
          <w:marRight w:val="0"/>
          <w:marTop w:val="0"/>
          <w:marBottom w:val="0"/>
          <w:divBdr>
            <w:top w:val="none" w:sz="0" w:space="0" w:color="auto"/>
            <w:left w:val="none" w:sz="0" w:space="0" w:color="auto"/>
            <w:bottom w:val="none" w:sz="0" w:space="0" w:color="auto"/>
            <w:right w:val="none" w:sz="0" w:space="0" w:color="auto"/>
          </w:divBdr>
          <w:divsChild>
            <w:div w:id="56901512">
              <w:marLeft w:val="0"/>
              <w:marRight w:val="0"/>
              <w:marTop w:val="0"/>
              <w:marBottom w:val="0"/>
              <w:divBdr>
                <w:top w:val="none" w:sz="0" w:space="0" w:color="auto"/>
                <w:left w:val="none" w:sz="0" w:space="0" w:color="auto"/>
                <w:bottom w:val="none" w:sz="0" w:space="0" w:color="auto"/>
                <w:right w:val="none" w:sz="0" w:space="0" w:color="auto"/>
              </w:divBdr>
              <w:divsChild>
                <w:div w:id="974258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708912">
      <w:bodyDiv w:val="1"/>
      <w:marLeft w:val="0"/>
      <w:marRight w:val="0"/>
      <w:marTop w:val="0"/>
      <w:marBottom w:val="0"/>
      <w:divBdr>
        <w:top w:val="none" w:sz="0" w:space="0" w:color="auto"/>
        <w:left w:val="none" w:sz="0" w:space="0" w:color="auto"/>
        <w:bottom w:val="none" w:sz="0" w:space="0" w:color="auto"/>
        <w:right w:val="none" w:sz="0" w:space="0" w:color="auto"/>
      </w:divBdr>
    </w:div>
    <w:div w:id="75977957">
      <w:bodyDiv w:val="1"/>
      <w:marLeft w:val="0"/>
      <w:marRight w:val="0"/>
      <w:marTop w:val="0"/>
      <w:marBottom w:val="0"/>
      <w:divBdr>
        <w:top w:val="none" w:sz="0" w:space="0" w:color="auto"/>
        <w:left w:val="none" w:sz="0" w:space="0" w:color="auto"/>
        <w:bottom w:val="none" w:sz="0" w:space="0" w:color="auto"/>
        <w:right w:val="none" w:sz="0" w:space="0" w:color="auto"/>
      </w:divBdr>
    </w:div>
    <w:div w:id="98991751">
      <w:bodyDiv w:val="1"/>
      <w:marLeft w:val="0"/>
      <w:marRight w:val="0"/>
      <w:marTop w:val="0"/>
      <w:marBottom w:val="0"/>
      <w:divBdr>
        <w:top w:val="none" w:sz="0" w:space="0" w:color="auto"/>
        <w:left w:val="none" w:sz="0" w:space="0" w:color="auto"/>
        <w:bottom w:val="none" w:sz="0" w:space="0" w:color="auto"/>
        <w:right w:val="none" w:sz="0" w:space="0" w:color="auto"/>
      </w:divBdr>
    </w:div>
    <w:div w:id="99762353">
      <w:bodyDiv w:val="1"/>
      <w:marLeft w:val="0"/>
      <w:marRight w:val="0"/>
      <w:marTop w:val="0"/>
      <w:marBottom w:val="0"/>
      <w:divBdr>
        <w:top w:val="none" w:sz="0" w:space="0" w:color="auto"/>
        <w:left w:val="none" w:sz="0" w:space="0" w:color="auto"/>
        <w:bottom w:val="none" w:sz="0" w:space="0" w:color="auto"/>
        <w:right w:val="none" w:sz="0" w:space="0" w:color="auto"/>
      </w:divBdr>
    </w:div>
    <w:div w:id="135681111">
      <w:bodyDiv w:val="1"/>
      <w:marLeft w:val="0"/>
      <w:marRight w:val="0"/>
      <w:marTop w:val="0"/>
      <w:marBottom w:val="0"/>
      <w:divBdr>
        <w:top w:val="none" w:sz="0" w:space="0" w:color="auto"/>
        <w:left w:val="none" w:sz="0" w:space="0" w:color="auto"/>
        <w:bottom w:val="none" w:sz="0" w:space="0" w:color="auto"/>
        <w:right w:val="none" w:sz="0" w:space="0" w:color="auto"/>
      </w:divBdr>
    </w:div>
    <w:div w:id="138573634">
      <w:bodyDiv w:val="1"/>
      <w:marLeft w:val="0"/>
      <w:marRight w:val="0"/>
      <w:marTop w:val="0"/>
      <w:marBottom w:val="0"/>
      <w:divBdr>
        <w:top w:val="none" w:sz="0" w:space="0" w:color="auto"/>
        <w:left w:val="none" w:sz="0" w:space="0" w:color="auto"/>
        <w:bottom w:val="none" w:sz="0" w:space="0" w:color="auto"/>
        <w:right w:val="none" w:sz="0" w:space="0" w:color="auto"/>
      </w:divBdr>
    </w:div>
    <w:div w:id="141312539">
      <w:bodyDiv w:val="1"/>
      <w:marLeft w:val="0"/>
      <w:marRight w:val="0"/>
      <w:marTop w:val="0"/>
      <w:marBottom w:val="0"/>
      <w:divBdr>
        <w:top w:val="none" w:sz="0" w:space="0" w:color="auto"/>
        <w:left w:val="none" w:sz="0" w:space="0" w:color="auto"/>
        <w:bottom w:val="none" w:sz="0" w:space="0" w:color="auto"/>
        <w:right w:val="none" w:sz="0" w:space="0" w:color="auto"/>
      </w:divBdr>
    </w:div>
    <w:div w:id="153189017">
      <w:bodyDiv w:val="1"/>
      <w:marLeft w:val="0"/>
      <w:marRight w:val="0"/>
      <w:marTop w:val="0"/>
      <w:marBottom w:val="0"/>
      <w:divBdr>
        <w:top w:val="none" w:sz="0" w:space="0" w:color="auto"/>
        <w:left w:val="none" w:sz="0" w:space="0" w:color="auto"/>
        <w:bottom w:val="none" w:sz="0" w:space="0" w:color="auto"/>
        <w:right w:val="none" w:sz="0" w:space="0" w:color="auto"/>
      </w:divBdr>
    </w:div>
    <w:div w:id="163085228">
      <w:bodyDiv w:val="1"/>
      <w:marLeft w:val="0"/>
      <w:marRight w:val="0"/>
      <w:marTop w:val="0"/>
      <w:marBottom w:val="0"/>
      <w:divBdr>
        <w:top w:val="none" w:sz="0" w:space="0" w:color="auto"/>
        <w:left w:val="none" w:sz="0" w:space="0" w:color="auto"/>
        <w:bottom w:val="none" w:sz="0" w:space="0" w:color="auto"/>
        <w:right w:val="none" w:sz="0" w:space="0" w:color="auto"/>
      </w:divBdr>
    </w:div>
    <w:div w:id="184368227">
      <w:bodyDiv w:val="1"/>
      <w:marLeft w:val="0"/>
      <w:marRight w:val="0"/>
      <w:marTop w:val="0"/>
      <w:marBottom w:val="0"/>
      <w:divBdr>
        <w:top w:val="none" w:sz="0" w:space="0" w:color="auto"/>
        <w:left w:val="none" w:sz="0" w:space="0" w:color="auto"/>
        <w:bottom w:val="none" w:sz="0" w:space="0" w:color="auto"/>
        <w:right w:val="none" w:sz="0" w:space="0" w:color="auto"/>
      </w:divBdr>
    </w:div>
    <w:div w:id="191069274">
      <w:bodyDiv w:val="1"/>
      <w:marLeft w:val="0"/>
      <w:marRight w:val="0"/>
      <w:marTop w:val="0"/>
      <w:marBottom w:val="0"/>
      <w:divBdr>
        <w:top w:val="none" w:sz="0" w:space="0" w:color="auto"/>
        <w:left w:val="none" w:sz="0" w:space="0" w:color="auto"/>
        <w:bottom w:val="none" w:sz="0" w:space="0" w:color="auto"/>
        <w:right w:val="none" w:sz="0" w:space="0" w:color="auto"/>
      </w:divBdr>
    </w:div>
    <w:div w:id="201983370">
      <w:bodyDiv w:val="1"/>
      <w:marLeft w:val="0"/>
      <w:marRight w:val="0"/>
      <w:marTop w:val="0"/>
      <w:marBottom w:val="0"/>
      <w:divBdr>
        <w:top w:val="none" w:sz="0" w:space="0" w:color="auto"/>
        <w:left w:val="none" w:sz="0" w:space="0" w:color="auto"/>
        <w:bottom w:val="none" w:sz="0" w:space="0" w:color="auto"/>
        <w:right w:val="none" w:sz="0" w:space="0" w:color="auto"/>
      </w:divBdr>
    </w:div>
    <w:div w:id="236090474">
      <w:bodyDiv w:val="1"/>
      <w:marLeft w:val="0"/>
      <w:marRight w:val="0"/>
      <w:marTop w:val="0"/>
      <w:marBottom w:val="0"/>
      <w:divBdr>
        <w:top w:val="none" w:sz="0" w:space="0" w:color="auto"/>
        <w:left w:val="none" w:sz="0" w:space="0" w:color="auto"/>
        <w:bottom w:val="none" w:sz="0" w:space="0" w:color="auto"/>
        <w:right w:val="none" w:sz="0" w:space="0" w:color="auto"/>
      </w:divBdr>
    </w:div>
    <w:div w:id="239563994">
      <w:bodyDiv w:val="1"/>
      <w:marLeft w:val="0"/>
      <w:marRight w:val="0"/>
      <w:marTop w:val="0"/>
      <w:marBottom w:val="0"/>
      <w:divBdr>
        <w:top w:val="none" w:sz="0" w:space="0" w:color="auto"/>
        <w:left w:val="none" w:sz="0" w:space="0" w:color="auto"/>
        <w:bottom w:val="none" w:sz="0" w:space="0" w:color="auto"/>
        <w:right w:val="none" w:sz="0" w:space="0" w:color="auto"/>
      </w:divBdr>
    </w:div>
    <w:div w:id="253249271">
      <w:bodyDiv w:val="1"/>
      <w:marLeft w:val="0"/>
      <w:marRight w:val="0"/>
      <w:marTop w:val="0"/>
      <w:marBottom w:val="0"/>
      <w:divBdr>
        <w:top w:val="none" w:sz="0" w:space="0" w:color="auto"/>
        <w:left w:val="none" w:sz="0" w:space="0" w:color="auto"/>
        <w:bottom w:val="none" w:sz="0" w:space="0" w:color="auto"/>
        <w:right w:val="none" w:sz="0" w:space="0" w:color="auto"/>
      </w:divBdr>
    </w:div>
    <w:div w:id="259027363">
      <w:bodyDiv w:val="1"/>
      <w:marLeft w:val="0"/>
      <w:marRight w:val="0"/>
      <w:marTop w:val="0"/>
      <w:marBottom w:val="0"/>
      <w:divBdr>
        <w:top w:val="none" w:sz="0" w:space="0" w:color="auto"/>
        <w:left w:val="none" w:sz="0" w:space="0" w:color="auto"/>
        <w:bottom w:val="none" w:sz="0" w:space="0" w:color="auto"/>
        <w:right w:val="none" w:sz="0" w:space="0" w:color="auto"/>
      </w:divBdr>
    </w:div>
    <w:div w:id="259413065">
      <w:bodyDiv w:val="1"/>
      <w:marLeft w:val="0"/>
      <w:marRight w:val="0"/>
      <w:marTop w:val="0"/>
      <w:marBottom w:val="0"/>
      <w:divBdr>
        <w:top w:val="none" w:sz="0" w:space="0" w:color="auto"/>
        <w:left w:val="none" w:sz="0" w:space="0" w:color="auto"/>
        <w:bottom w:val="none" w:sz="0" w:space="0" w:color="auto"/>
        <w:right w:val="none" w:sz="0" w:space="0" w:color="auto"/>
      </w:divBdr>
    </w:div>
    <w:div w:id="285814536">
      <w:bodyDiv w:val="1"/>
      <w:marLeft w:val="0"/>
      <w:marRight w:val="0"/>
      <w:marTop w:val="0"/>
      <w:marBottom w:val="0"/>
      <w:divBdr>
        <w:top w:val="none" w:sz="0" w:space="0" w:color="auto"/>
        <w:left w:val="none" w:sz="0" w:space="0" w:color="auto"/>
        <w:bottom w:val="none" w:sz="0" w:space="0" w:color="auto"/>
        <w:right w:val="none" w:sz="0" w:space="0" w:color="auto"/>
      </w:divBdr>
    </w:div>
    <w:div w:id="290598064">
      <w:bodyDiv w:val="1"/>
      <w:marLeft w:val="0"/>
      <w:marRight w:val="0"/>
      <w:marTop w:val="0"/>
      <w:marBottom w:val="0"/>
      <w:divBdr>
        <w:top w:val="none" w:sz="0" w:space="0" w:color="auto"/>
        <w:left w:val="none" w:sz="0" w:space="0" w:color="auto"/>
        <w:bottom w:val="none" w:sz="0" w:space="0" w:color="auto"/>
        <w:right w:val="none" w:sz="0" w:space="0" w:color="auto"/>
      </w:divBdr>
      <w:divsChild>
        <w:div w:id="1827545804">
          <w:marLeft w:val="0"/>
          <w:marRight w:val="0"/>
          <w:marTop w:val="0"/>
          <w:marBottom w:val="0"/>
          <w:divBdr>
            <w:top w:val="none" w:sz="0" w:space="0" w:color="auto"/>
            <w:left w:val="none" w:sz="0" w:space="0" w:color="auto"/>
            <w:bottom w:val="none" w:sz="0" w:space="0" w:color="auto"/>
            <w:right w:val="none" w:sz="0" w:space="0" w:color="auto"/>
          </w:divBdr>
          <w:divsChild>
            <w:div w:id="997417039">
              <w:marLeft w:val="0"/>
              <w:marRight w:val="0"/>
              <w:marTop w:val="0"/>
              <w:marBottom w:val="0"/>
              <w:divBdr>
                <w:top w:val="none" w:sz="0" w:space="0" w:color="auto"/>
                <w:left w:val="none" w:sz="0" w:space="0" w:color="auto"/>
                <w:bottom w:val="none" w:sz="0" w:space="0" w:color="auto"/>
                <w:right w:val="none" w:sz="0" w:space="0" w:color="auto"/>
              </w:divBdr>
              <w:divsChild>
                <w:div w:id="689990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2929539">
      <w:bodyDiv w:val="1"/>
      <w:marLeft w:val="0"/>
      <w:marRight w:val="0"/>
      <w:marTop w:val="0"/>
      <w:marBottom w:val="0"/>
      <w:divBdr>
        <w:top w:val="none" w:sz="0" w:space="0" w:color="auto"/>
        <w:left w:val="none" w:sz="0" w:space="0" w:color="auto"/>
        <w:bottom w:val="none" w:sz="0" w:space="0" w:color="auto"/>
        <w:right w:val="none" w:sz="0" w:space="0" w:color="auto"/>
      </w:divBdr>
    </w:div>
    <w:div w:id="309333172">
      <w:bodyDiv w:val="1"/>
      <w:marLeft w:val="0"/>
      <w:marRight w:val="0"/>
      <w:marTop w:val="0"/>
      <w:marBottom w:val="0"/>
      <w:divBdr>
        <w:top w:val="none" w:sz="0" w:space="0" w:color="auto"/>
        <w:left w:val="none" w:sz="0" w:space="0" w:color="auto"/>
        <w:bottom w:val="none" w:sz="0" w:space="0" w:color="auto"/>
        <w:right w:val="none" w:sz="0" w:space="0" w:color="auto"/>
      </w:divBdr>
    </w:div>
    <w:div w:id="319426118">
      <w:bodyDiv w:val="1"/>
      <w:marLeft w:val="0"/>
      <w:marRight w:val="0"/>
      <w:marTop w:val="0"/>
      <w:marBottom w:val="0"/>
      <w:divBdr>
        <w:top w:val="none" w:sz="0" w:space="0" w:color="auto"/>
        <w:left w:val="none" w:sz="0" w:space="0" w:color="auto"/>
        <w:bottom w:val="none" w:sz="0" w:space="0" w:color="auto"/>
        <w:right w:val="none" w:sz="0" w:space="0" w:color="auto"/>
      </w:divBdr>
    </w:div>
    <w:div w:id="320237452">
      <w:bodyDiv w:val="1"/>
      <w:marLeft w:val="0"/>
      <w:marRight w:val="0"/>
      <w:marTop w:val="0"/>
      <w:marBottom w:val="0"/>
      <w:divBdr>
        <w:top w:val="none" w:sz="0" w:space="0" w:color="auto"/>
        <w:left w:val="none" w:sz="0" w:space="0" w:color="auto"/>
        <w:bottom w:val="none" w:sz="0" w:space="0" w:color="auto"/>
        <w:right w:val="none" w:sz="0" w:space="0" w:color="auto"/>
      </w:divBdr>
    </w:div>
    <w:div w:id="334184562">
      <w:bodyDiv w:val="1"/>
      <w:marLeft w:val="0"/>
      <w:marRight w:val="0"/>
      <w:marTop w:val="0"/>
      <w:marBottom w:val="0"/>
      <w:divBdr>
        <w:top w:val="none" w:sz="0" w:space="0" w:color="auto"/>
        <w:left w:val="none" w:sz="0" w:space="0" w:color="auto"/>
        <w:bottom w:val="none" w:sz="0" w:space="0" w:color="auto"/>
        <w:right w:val="none" w:sz="0" w:space="0" w:color="auto"/>
      </w:divBdr>
    </w:div>
    <w:div w:id="334457210">
      <w:bodyDiv w:val="1"/>
      <w:marLeft w:val="0"/>
      <w:marRight w:val="0"/>
      <w:marTop w:val="0"/>
      <w:marBottom w:val="0"/>
      <w:divBdr>
        <w:top w:val="none" w:sz="0" w:space="0" w:color="auto"/>
        <w:left w:val="none" w:sz="0" w:space="0" w:color="auto"/>
        <w:bottom w:val="none" w:sz="0" w:space="0" w:color="auto"/>
        <w:right w:val="none" w:sz="0" w:space="0" w:color="auto"/>
      </w:divBdr>
    </w:div>
    <w:div w:id="334769242">
      <w:bodyDiv w:val="1"/>
      <w:marLeft w:val="0"/>
      <w:marRight w:val="0"/>
      <w:marTop w:val="0"/>
      <w:marBottom w:val="0"/>
      <w:divBdr>
        <w:top w:val="none" w:sz="0" w:space="0" w:color="auto"/>
        <w:left w:val="none" w:sz="0" w:space="0" w:color="auto"/>
        <w:bottom w:val="none" w:sz="0" w:space="0" w:color="auto"/>
        <w:right w:val="none" w:sz="0" w:space="0" w:color="auto"/>
      </w:divBdr>
    </w:div>
    <w:div w:id="340086101">
      <w:bodyDiv w:val="1"/>
      <w:marLeft w:val="0"/>
      <w:marRight w:val="0"/>
      <w:marTop w:val="0"/>
      <w:marBottom w:val="0"/>
      <w:divBdr>
        <w:top w:val="none" w:sz="0" w:space="0" w:color="auto"/>
        <w:left w:val="none" w:sz="0" w:space="0" w:color="auto"/>
        <w:bottom w:val="none" w:sz="0" w:space="0" w:color="auto"/>
        <w:right w:val="none" w:sz="0" w:space="0" w:color="auto"/>
      </w:divBdr>
    </w:div>
    <w:div w:id="340281311">
      <w:bodyDiv w:val="1"/>
      <w:marLeft w:val="0"/>
      <w:marRight w:val="0"/>
      <w:marTop w:val="0"/>
      <w:marBottom w:val="0"/>
      <w:divBdr>
        <w:top w:val="none" w:sz="0" w:space="0" w:color="auto"/>
        <w:left w:val="none" w:sz="0" w:space="0" w:color="auto"/>
        <w:bottom w:val="none" w:sz="0" w:space="0" w:color="auto"/>
        <w:right w:val="none" w:sz="0" w:space="0" w:color="auto"/>
      </w:divBdr>
    </w:div>
    <w:div w:id="349645096">
      <w:bodyDiv w:val="1"/>
      <w:marLeft w:val="0"/>
      <w:marRight w:val="0"/>
      <w:marTop w:val="0"/>
      <w:marBottom w:val="0"/>
      <w:divBdr>
        <w:top w:val="none" w:sz="0" w:space="0" w:color="auto"/>
        <w:left w:val="none" w:sz="0" w:space="0" w:color="auto"/>
        <w:bottom w:val="none" w:sz="0" w:space="0" w:color="auto"/>
        <w:right w:val="none" w:sz="0" w:space="0" w:color="auto"/>
      </w:divBdr>
    </w:div>
    <w:div w:id="349725382">
      <w:bodyDiv w:val="1"/>
      <w:marLeft w:val="0"/>
      <w:marRight w:val="0"/>
      <w:marTop w:val="0"/>
      <w:marBottom w:val="0"/>
      <w:divBdr>
        <w:top w:val="none" w:sz="0" w:space="0" w:color="auto"/>
        <w:left w:val="none" w:sz="0" w:space="0" w:color="auto"/>
        <w:bottom w:val="none" w:sz="0" w:space="0" w:color="auto"/>
        <w:right w:val="none" w:sz="0" w:space="0" w:color="auto"/>
      </w:divBdr>
      <w:divsChild>
        <w:div w:id="1416853509">
          <w:marLeft w:val="0"/>
          <w:marRight w:val="0"/>
          <w:marTop w:val="0"/>
          <w:marBottom w:val="0"/>
          <w:divBdr>
            <w:top w:val="none" w:sz="0" w:space="0" w:color="auto"/>
            <w:left w:val="none" w:sz="0" w:space="0" w:color="auto"/>
            <w:bottom w:val="none" w:sz="0" w:space="0" w:color="auto"/>
            <w:right w:val="none" w:sz="0" w:space="0" w:color="auto"/>
          </w:divBdr>
          <w:divsChild>
            <w:div w:id="31733059">
              <w:marLeft w:val="0"/>
              <w:marRight w:val="0"/>
              <w:marTop w:val="0"/>
              <w:marBottom w:val="0"/>
              <w:divBdr>
                <w:top w:val="none" w:sz="0" w:space="0" w:color="auto"/>
                <w:left w:val="none" w:sz="0" w:space="0" w:color="auto"/>
                <w:bottom w:val="none" w:sz="0" w:space="0" w:color="auto"/>
                <w:right w:val="none" w:sz="0" w:space="0" w:color="auto"/>
              </w:divBdr>
              <w:divsChild>
                <w:div w:id="863639667">
                  <w:marLeft w:val="0"/>
                  <w:marRight w:val="0"/>
                  <w:marTop w:val="0"/>
                  <w:marBottom w:val="0"/>
                  <w:divBdr>
                    <w:top w:val="none" w:sz="0" w:space="0" w:color="auto"/>
                    <w:left w:val="none" w:sz="0" w:space="0" w:color="auto"/>
                    <w:bottom w:val="none" w:sz="0" w:space="0" w:color="auto"/>
                    <w:right w:val="none" w:sz="0" w:space="0" w:color="auto"/>
                  </w:divBdr>
                </w:div>
              </w:divsChild>
            </w:div>
            <w:div w:id="1979528514">
              <w:marLeft w:val="0"/>
              <w:marRight w:val="0"/>
              <w:marTop w:val="0"/>
              <w:marBottom w:val="0"/>
              <w:divBdr>
                <w:top w:val="none" w:sz="0" w:space="0" w:color="auto"/>
                <w:left w:val="none" w:sz="0" w:space="0" w:color="auto"/>
                <w:bottom w:val="none" w:sz="0" w:space="0" w:color="auto"/>
                <w:right w:val="none" w:sz="0" w:space="0" w:color="auto"/>
              </w:divBdr>
              <w:divsChild>
                <w:div w:id="1317684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9251270">
      <w:bodyDiv w:val="1"/>
      <w:marLeft w:val="0"/>
      <w:marRight w:val="0"/>
      <w:marTop w:val="0"/>
      <w:marBottom w:val="0"/>
      <w:divBdr>
        <w:top w:val="none" w:sz="0" w:space="0" w:color="auto"/>
        <w:left w:val="none" w:sz="0" w:space="0" w:color="auto"/>
        <w:bottom w:val="none" w:sz="0" w:space="0" w:color="auto"/>
        <w:right w:val="none" w:sz="0" w:space="0" w:color="auto"/>
      </w:divBdr>
      <w:divsChild>
        <w:div w:id="122816940">
          <w:marLeft w:val="0"/>
          <w:marRight w:val="0"/>
          <w:marTop w:val="0"/>
          <w:marBottom w:val="0"/>
          <w:divBdr>
            <w:top w:val="none" w:sz="0" w:space="0" w:color="auto"/>
            <w:left w:val="none" w:sz="0" w:space="0" w:color="auto"/>
            <w:bottom w:val="none" w:sz="0" w:space="0" w:color="auto"/>
            <w:right w:val="none" w:sz="0" w:space="0" w:color="auto"/>
          </w:divBdr>
          <w:divsChild>
            <w:div w:id="1015692723">
              <w:marLeft w:val="0"/>
              <w:marRight w:val="0"/>
              <w:marTop w:val="0"/>
              <w:marBottom w:val="0"/>
              <w:divBdr>
                <w:top w:val="none" w:sz="0" w:space="0" w:color="auto"/>
                <w:left w:val="none" w:sz="0" w:space="0" w:color="auto"/>
                <w:bottom w:val="none" w:sz="0" w:space="0" w:color="auto"/>
                <w:right w:val="none" w:sz="0" w:space="0" w:color="auto"/>
              </w:divBdr>
              <w:divsChild>
                <w:div w:id="1610626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2340384">
      <w:bodyDiv w:val="1"/>
      <w:marLeft w:val="0"/>
      <w:marRight w:val="0"/>
      <w:marTop w:val="0"/>
      <w:marBottom w:val="0"/>
      <w:divBdr>
        <w:top w:val="none" w:sz="0" w:space="0" w:color="auto"/>
        <w:left w:val="none" w:sz="0" w:space="0" w:color="auto"/>
        <w:bottom w:val="none" w:sz="0" w:space="0" w:color="auto"/>
        <w:right w:val="none" w:sz="0" w:space="0" w:color="auto"/>
      </w:divBdr>
    </w:div>
    <w:div w:id="431169582">
      <w:bodyDiv w:val="1"/>
      <w:marLeft w:val="0"/>
      <w:marRight w:val="0"/>
      <w:marTop w:val="0"/>
      <w:marBottom w:val="0"/>
      <w:divBdr>
        <w:top w:val="none" w:sz="0" w:space="0" w:color="auto"/>
        <w:left w:val="none" w:sz="0" w:space="0" w:color="auto"/>
        <w:bottom w:val="none" w:sz="0" w:space="0" w:color="auto"/>
        <w:right w:val="none" w:sz="0" w:space="0" w:color="auto"/>
      </w:divBdr>
    </w:div>
    <w:div w:id="435516915">
      <w:bodyDiv w:val="1"/>
      <w:marLeft w:val="0"/>
      <w:marRight w:val="0"/>
      <w:marTop w:val="0"/>
      <w:marBottom w:val="0"/>
      <w:divBdr>
        <w:top w:val="none" w:sz="0" w:space="0" w:color="auto"/>
        <w:left w:val="none" w:sz="0" w:space="0" w:color="auto"/>
        <w:bottom w:val="none" w:sz="0" w:space="0" w:color="auto"/>
        <w:right w:val="none" w:sz="0" w:space="0" w:color="auto"/>
      </w:divBdr>
      <w:divsChild>
        <w:div w:id="107050797">
          <w:marLeft w:val="0"/>
          <w:marRight w:val="0"/>
          <w:marTop w:val="0"/>
          <w:marBottom w:val="0"/>
          <w:divBdr>
            <w:top w:val="none" w:sz="0" w:space="0" w:color="auto"/>
            <w:left w:val="none" w:sz="0" w:space="0" w:color="auto"/>
            <w:bottom w:val="none" w:sz="0" w:space="0" w:color="auto"/>
            <w:right w:val="none" w:sz="0" w:space="0" w:color="auto"/>
          </w:divBdr>
        </w:div>
        <w:div w:id="330450075">
          <w:marLeft w:val="0"/>
          <w:marRight w:val="0"/>
          <w:marTop w:val="0"/>
          <w:marBottom w:val="0"/>
          <w:divBdr>
            <w:top w:val="none" w:sz="0" w:space="0" w:color="auto"/>
            <w:left w:val="none" w:sz="0" w:space="0" w:color="auto"/>
            <w:bottom w:val="none" w:sz="0" w:space="0" w:color="auto"/>
            <w:right w:val="none" w:sz="0" w:space="0" w:color="auto"/>
          </w:divBdr>
        </w:div>
      </w:divsChild>
    </w:div>
    <w:div w:id="454637916">
      <w:bodyDiv w:val="1"/>
      <w:marLeft w:val="0"/>
      <w:marRight w:val="0"/>
      <w:marTop w:val="0"/>
      <w:marBottom w:val="0"/>
      <w:divBdr>
        <w:top w:val="none" w:sz="0" w:space="0" w:color="auto"/>
        <w:left w:val="none" w:sz="0" w:space="0" w:color="auto"/>
        <w:bottom w:val="none" w:sz="0" w:space="0" w:color="auto"/>
        <w:right w:val="none" w:sz="0" w:space="0" w:color="auto"/>
      </w:divBdr>
      <w:divsChild>
        <w:div w:id="9377464">
          <w:marLeft w:val="0"/>
          <w:marRight w:val="0"/>
          <w:marTop w:val="0"/>
          <w:marBottom w:val="0"/>
          <w:divBdr>
            <w:top w:val="none" w:sz="0" w:space="0" w:color="auto"/>
            <w:left w:val="none" w:sz="0" w:space="0" w:color="auto"/>
            <w:bottom w:val="none" w:sz="0" w:space="0" w:color="auto"/>
            <w:right w:val="none" w:sz="0" w:space="0" w:color="auto"/>
          </w:divBdr>
          <w:divsChild>
            <w:div w:id="1540122277">
              <w:marLeft w:val="0"/>
              <w:marRight w:val="0"/>
              <w:marTop w:val="0"/>
              <w:marBottom w:val="0"/>
              <w:divBdr>
                <w:top w:val="none" w:sz="0" w:space="0" w:color="auto"/>
                <w:left w:val="none" w:sz="0" w:space="0" w:color="auto"/>
                <w:bottom w:val="none" w:sz="0" w:space="0" w:color="auto"/>
                <w:right w:val="none" w:sz="0" w:space="0" w:color="auto"/>
              </w:divBdr>
              <w:divsChild>
                <w:div w:id="697313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0802348">
      <w:bodyDiv w:val="1"/>
      <w:marLeft w:val="0"/>
      <w:marRight w:val="0"/>
      <w:marTop w:val="0"/>
      <w:marBottom w:val="0"/>
      <w:divBdr>
        <w:top w:val="none" w:sz="0" w:space="0" w:color="auto"/>
        <w:left w:val="none" w:sz="0" w:space="0" w:color="auto"/>
        <w:bottom w:val="none" w:sz="0" w:space="0" w:color="auto"/>
        <w:right w:val="none" w:sz="0" w:space="0" w:color="auto"/>
      </w:divBdr>
    </w:div>
    <w:div w:id="467282553">
      <w:bodyDiv w:val="1"/>
      <w:marLeft w:val="0"/>
      <w:marRight w:val="0"/>
      <w:marTop w:val="0"/>
      <w:marBottom w:val="0"/>
      <w:divBdr>
        <w:top w:val="none" w:sz="0" w:space="0" w:color="auto"/>
        <w:left w:val="none" w:sz="0" w:space="0" w:color="auto"/>
        <w:bottom w:val="none" w:sz="0" w:space="0" w:color="auto"/>
        <w:right w:val="none" w:sz="0" w:space="0" w:color="auto"/>
      </w:divBdr>
    </w:div>
    <w:div w:id="472796375">
      <w:bodyDiv w:val="1"/>
      <w:marLeft w:val="0"/>
      <w:marRight w:val="0"/>
      <w:marTop w:val="0"/>
      <w:marBottom w:val="0"/>
      <w:divBdr>
        <w:top w:val="none" w:sz="0" w:space="0" w:color="auto"/>
        <w:left w:val="none" w:sz="0" w:space="0" w:color="auto"/>
        <w:bottom w:val="none" w:sz="0" w:space="0" w:color="auto"/>
        <w:right w:val="none" w:sz="0" w:space="0" w:color="auto"/>
      </w:divBdr>
    </w:div>
    <w:div w:id="486477743">
      <w:bodyDiv w:val="1"/>
      <w:marLeft w:val="0"/>
      <w:marRight w:val="0"/>
      <w:marTop w:val="0"/>
      <w:marBottom w:val="0"/>
      <w:divBdr>
        <w:top w:val="none" w:sz="0" w:space="0" w:color="auto"/>
        <w:left w:val="none" w:sz="0" w:space="0" w:color="auto"/>
        <w:bottom w:val="none" w:sz="0" w:space="0" w:color="auto"/>
        <w:right w:val="none" w:sz="0" w:space="0" w:color="auto"/>
      </w:divBdr>
    </w:div>
    <w:div w:id="489104020">
      <w:bodyDiv w:val="1"/>
      <w:marLeft w:val="0"/>
      <w:marRight w:val="0"/>
      <w:marTop w:val="0"/>
      <w:marBottom w:val="0"/>
      <w:divBdr>
        <w:top w:val="none" w:sz="0" w:space="0" w:color="auto"/>
        <w:left w:val="none" w:sz="0" w:space="0" w:color="auto"/>
        <w:bottom w:val="none" w:sz="0" w:space="0" w:color="auto"/>
        <w:right w:val="none" w:sz="0" w:space="0" w:color="auto"/>
      </w:divBdr>
    </w:div>
    <w:div w:id="518859873">
      <w:bodyDiv w:val="1"/>
      <w:marLeft w:val="0"/>
      <w:marRight w:val="0"/>
      <w:marTop w:val="0"/>
      <w:marBottom w:val="0"/>
      <w:divBdr>
        <w:top w:val="none" w:sz="0" w:space="0" w:color="auto"/>
        <w:left w:val="none" w:sz="0" w:space="0" w:color="auto"/>
        <w:bottom w:val="none" w:sz="0" w:space="0" w:color="auto"/>
        <w:right w:val="none" w:sz="0" w:space="0" w:color="auto"/>
      </w:divBdr>
    </w:div>
    <w:div w:id="527647724">
      <w:bodyDiv w:val="1"/>
      <w:marLeft w:val="0"/>
      <w:marRight w:val="0"/>
      <w:marTop w:val="0"/>
      <w:marBottom w:val="0"/>
      <w:divBdr>
        <w:top w:val="none" w:sz="0" w:space="0" w:color="auto"/>
        <w:left w:val="none" w:sz="0" w:space="0" w:color="auto"/>
        <w:bottom w:val="none" w:sz="0" w:space="0" w:color="auto"/>
        <w:right w:val="none" w:sz="0" w:space="0" w:color="auto"/>
      </w:divBdr>
      <w:divsChild>
        <w:div w:id="2054840544">
          <w:marLeft w:val="0"/>
          <w:marRight w:val="0"/>
          <w:marTop w:val="0"/>
          <w:marBottom w:val="0"/>
          <w:divBdr>
            <w:top w:val="none" w:sz="0" w:space="0" w:color="auto"/>
            <w:left w:val="none" w:sz="0" w:space="0" w:color="auto"/>
            <w:bottom w:val="none" w:sz="0" w:space="0" w:color="auto"/>
            <w:right w:val="none" w:sz="0" w:space="0" w:color="auto"/>
          </w:divBdr>
          <w:divsChild>
            <w:div w:id="318270685">
              <w:marLeft w:val="0"/>
              <w:marRight w:val="0"/>
              <w:marTop w:val="0"/>
              <w:marBottom w:val="0"/>
              <w:divBdr>
                <w:top w:val="none" w:sz="0" w:space="0" w:color="auto"/>
                <w:left w:val="none" w:sz="0" w:space="0" w:color="auto"/>
                <w:bottom w:val="none" w:sz="0" w:space="0" w:color="auto"/>
                <w:right w:val="none" w:sz="0" w:space="0" w:color="auto"/>
              </w:divBdr>
              <w:divsChild>
                <w:div w:id="38017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0000265">
      <w:bodyDiv w:val="1"/>
      <w:marLeft w:val="0"/>
      <w:marRight w:val="0"/>
      <w:marTop w:val="0"/>
      <w:marBottom w:val="0"/>
      <w:divBdr>
        <w:top w:val="none" w:sz="0" w:space="0" w:color="auto"/>
        <w:left w:val="none" w:sz="0" w:space="0" w:color="auto"/>
        <w:bottom w:val="none" w:sz="0" w:space="0" w:color="auto"/>
        <w:right w:val="none" w:sz="0" w:space="0" w:color="auto"/>
      </w:divBdr>
    </w:div>
    <w:div w:id="535461709">
      <w:bodyDiv w:val="1"/>
      <w:marLeft w:val="0"/>
      <w:marRight w:val="0"/>
      <w:marTop w:val="0"/>
      <w:marBottom w:val="0"/>
      <w:divBdr>
        <w:top w:val="none" w:sz="0" w:space="0" w:color="auto"/>
        <w:left w:val="none" w:sz="0" w:space="0" w:color="auto"/>
        <w:bottom w:val="none" w:sz="0" w:space="0" w:color="auto"/>
        <w:right w:val="none" w:sz="0" w:space="0" w:color="auto"/>
      </w:divBdr>
    </w:div>
    <w:div w:id="576477540">
      <w:bodyDiv w:val="1"/>
      <w:marLeft w:val="0"/>
      <w:marRight w:val="0"/>
      <w:marTop w:val="0"/>
      <w:marBottom w:val="0"/>
      <w:divBdr>
        <w:top w:val="none" w:sz="0" w:space="0" w:color="auto"/>
        <w:left w:val="none" w:sz="0" w:space="0" w:color="auto"/>
        <w:bottom w:val="none" w:sz="0" w:space="0" w:color="auto"/>
        <w:right w:val="none" w:sz="0" w:space="0" w:color="auto"/>
      </w:divBdr>
    </w:div>
    <w:div w:id="581065843">
      <w:bodyDiv w:val="1"/>
      <w:marLeft w:val="0"/>
      <w:marRight w:val="0"/>
      <w:marTop w:val="0"/>
      <w:marBottom w:val="0"/>
      <w:divBdr>
        <w:top w:val="none" w:sz="0" w:space="0" w:color="auto"/>
        <w:left w:val="none" w:sz="0" w:space="0" w:color="auto"/>
        <w:bottom w:val="none" w:sz="0" w:space="0" w:color="auto"/>
        <w:right w:val="none" w:sz="0" w:space="0" w:color="auto"/>
      </w:divBdr>
    </w:div>
    <w:div w:id="583270435">
      <w:bodyDiv w:val="1"/>
      <w:marLeft w:val="0"/>
      <w:marRight w:val="0"/>
      <w:marTop w:val="0"/>
      <w:marBottom w:val="0"/>
      <w:divBdr>
        <w:top w:val="none" w:sz="0" w:space="0" w:color="auto"/>
        <w:left w:val="none" w:sz="0" w:space="0" w:color="auto"/>
        <w:bottom w:val="none" w:sz="0" w:space="0" w:color="auto"/>
        <w:right w:val="none" w:sz="0" w:space="0" w:color="auto"/>
      </w:divBdr>
    </w:div>
    <w:div w:id="600114855">
      <w:bodyDiv w:val="1"/>
      <w:marLeft w:val="0"/>
      <w:marRight w:val="0"/>
      <w:marTop w:val="0"/>
      <w:marBottom w:val="0"/>
      <w:divBdr>
        <w:top w:val="none" w:sz="0" w:space="0" w:color="auto"/>
        <w:left w:val="none" w:sz="0" w:space="0" w:color="auto"/>
        <w:bottom w:val="none" w:sz="0" w:space="0" w:color="auto"/>
        <w:right w:val="none" w:sz="0" w:space="0" w:color="auto"/>
      </w:divBdr>
      <w:divsChild>
        <w:div w:id="522016568">
          <w:marLeft w:val="0"/>
          <w:marRight w:val="0"/>
          <w:marTop w:val="0"/>
          <w:marBottom w:val="0"/>
          <w:divBdr>
            <w:top w:val="none" w:sz="0" w:space="0" w:color="auto"/>
            <w:left w:val="none" w:sz="0" w:space="0" w:color="auto"/>
            <w:bottom w:val="none" w:sz="0" w:space="0" w:color="auto"/>
            <w:right w:val="none" w:sz="0" w:space="0" w:color="auto"/>
          </w:divBdr>
          <w:divsChild>
            <w:div w:id="1106465415">
              <w:marLeft w:val="0"/>
              <w:marRight w:val="0"/>
              <w:marTop w:val="0"/>
              <w:marBottom w:val="0"/>
              <w:divBdr>
                <w:top w:val="none" w:sz="0" w:space="0" w:color="auto"/>
                <w:left w:val="none" w:sz="0" w:space="0" w:color="auto"/>
                <w:bottom w:val="none" w:sz="0" w:space="0" w:color="auto"/>
                <w:right w:val="none" w:sz="0" w:space="0" w:color="auto"/>
              </w:divBdr>
              <w:divsChild>
                <w:div w:id="831028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3223225">
      <w:bodyDiv w:val="1"/>
      <w:marLeft w:val="0"/>
      <w:marRight w:val="0"/>
      <w:marTop w:val="0"/>
      <w:marBottom w:val="0"/>
      <w:divBdr>
        <w:top w:val="none" w:sz="0" w:space="0" w:color="auto"/>
        <w:left w:val="none" w:sz="0" w:space="0" w:color="auto"/>
        <w:bottom w:val="none" w:sz="0" w:space="0" w:color="auto"/>
        <w:right w:val="none" w:sz="0" w:space="0" w:color="auto"/>
      </w:divBdr>
    </w:div>
    <w:div w:id="609749346">
      <w:bodyDiv w:val="1"/>
      <w:marLeft w:val="0"/>
      <w:marRight w:val="0"/>
      <w:marTop w:val="0"/>
      <w:marBottom w:val="0"/>
      <w:divBdr>
        <w:top w:val="none" w:sz="0" w:space="0" w:color="auto"/>
        <w:left w:val="none" w:sz="0" w:space="0" w:color="auto"/>
        <w:bottom w:val="none" w:sz="0" w:space="0" w:color="auto"/>
        <w:right w:val="none" w:sz="0" w:space="0" w:color="auto"/>
      </w:divBdr>
    </w:div>
    <w:div w:id="610935779">
      <w:bodyDiv w:val="1"/>
      <w:marLeft w:val="0"/>
      <w:marRight w:val="0"/>
      <w:marTop w:val="0"/>
      <w:marBottom w:val="0"/>
      <w:divBdr>
        <w:top w:val="none" w:sz="0" w:space="0" w:color="auto"/>
        <w:left w:val="none" w:sz="0" w:space="0" w:color="auto"/>
        <w:bottom w:val="none" w:sz="0" w:space="0" w:color="auto"/>
        <w:right w:val="none" w:sz="0" w:space="0" w:color="auto"/>
      </w:divBdr>
    </w:div>
    <w:div w:id="626937645">
      <w:bodyDiv w:val="1"/>
      <w:marLeft w:val="0"/>
      <w:marRight w:val="0"/>
      <w:marTop w:val="0"/>
      <w:marBottom w:val="0"/>
      <w:divBdr>
        <w:top w:val="none" w:sz="0" w:space="0" w:color="auto"/>
        <w:left w:val="none" w:sz="0" w:space="0" w:color="auto"/>
        <w:bottom w:val="none" w:sz="0" w:space="0" w:color="auto"/>
        <w:right w:val="none" w:sz="0" w:space="0" w:color="auto"/>
      </w:divBdr>
    </w:div>
    <w:div w:id="645621070">
      <w:bodyDiv w:val="1"/>
      <w:marLeft w:val="0"/>
      <w:marRight w:val="0"/>
      <w:marTop w:val="0"/>
      <w:marBottom w:val="0"/>
      <w:divBdr>
        <w:top w:val="none" w:sz="0" w:space="0" w:color="auto"/>
        <w:left w:val="none" w:sz="0" w:space="0" w:color="auto"/>
        <w:bottom w:val="none" w:sz="0" w:space="0" w:color="auto"/>
        <w:right w:val="none" w:sz="0" w:space="0" w:color="auto"/>
      </w:divBdr>
    </w:div>
    <w:div w:id="650326657">
      <w:bodyDiv w:val="1"/>
      <w:marLeft w:val="0"/>
      <w:marRight w:val="0"/>
      <w:marTop w:val="0"/>
      <w:marBottom w:val="0"/>
      <w:divBdr>
        <w:top w:val="none" w:sz="0" w:space="0" w:color="auto"/>
        <w:left w:val="none" w:sz="0" w:space="0" w:color="auto"/>
        <w:bottom w:val="none" w:sz="0" w:space="0" w:color="auto"/>
        <w:right w:val="none" w:sz="0" w:space="0" w:color="auto"/>
      </w:divBdr>
    </w:div>
    <w:div w:id="671638172">
      <w:bodyDiv w:val="1"/>
      <w:marLeft w:val="0"/>
      <w:marRight w:val="0"/>
      <w:marTop w:val="0"/>
      <w:marBottom w:val="0"/>
      <w:divBdr>
        <w:top w:val="none" w:sz="0" w:space="0" w:color="auto"/>
        <w:left w:val="none" w:sz="0" w:space="0" w:color="auto"/>
        <w:bottom w:val="none" w:sz="0" w:space="0" w:color="auto"/>
        <w:right w:val="none" w:sz="0" w:space="0" w:color="auto"/>
      </w:divBdr>
    </w:div>
    <w:div w:id="678969092">
      <w:bodyDiv w:val="1"/>
      <w:marLeft w:val="0"/>
      <w:marRight w:val="0"/>
      <w:marTop w:val="0"/>
      <w:marBottom w:val="0"/>
      <w:divBdr>
        <w:top w:val="none" w:sz="0" w:space="0" w:color="auto"/>
        <w:left w:val="none" w:sz="0" w:space="0" w:color="auto"/>
        <w:bottom w:val="none" w:sz="0" w:space="0" w:color="auto"/>
        <w:right w:val="none" w:sz="0" w:space="0" w:color="auto"/>
      </w:divBdr>
      <w:divsChild>
        <w:div w:id="289290612">
          <w:marLeft w:val="0"/>
          <w:marRight w:val="0"/>
          <w:marTop w:val="0"/>
          <w:marBottom w:val="0"/>
          <w:divBdr>
            <w:top w:val="none" w:sz="0" w:space="0" w:color="auto"/>
            <w:left w:val="none" w:sz="0" w:space="0" w:color="auto"/>
            <w:bottom w:val="none" w:sz="0" w:space="0" w:color="auto"/>
            <w:right w:val="none" w:sz="0" w:space="0" w:color="auto"/>
          </w:divBdr>
          <w:divsChild>
            <w:div w:id="2075352201">
              <w:marLeft w:val="0"/>
              <w:marRight w:val="0"/>
              <w:marTop w:val="0"/>
              <w:marBottom w:val="0"/>
              <w:divBdr>
                <w:top w:val="none" w:sz="0" w:space="0" w:color="auto"/>
                <w:left w:val="none" w:sz="0" w:space="0" w:color="auto"/>
                <w:bottom w:val="none" w:sz="0" w:space="0" w:color="auto"/>
                <w:right w:val="none" w:sz="0" w:space="0" w:color="auto"/>
              </w:divBdr>
              <w:divsChild>
                <w:div w:id="1755054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6902679">
      <w:bodyDiv w:val="1"/>
      <w:marLeft w:val="0"/>
      <w:marRight w:val="0"/>
      <w:marTop w:val="0"/>
      <w:marBottom w:val="0"/>
      <w:divBdr>
        <w:top w:val="none" w:sz="0" w:space="0" w:color="auto"/>
        <w:left w:val="none" w:sz="0" w:space="0" w:color="auto"/>
        <w:bottom w:val="none" w:sz="0" w:space="0" w:color="auto"/>
        <w:right w:val="none" w:sz="0" w:space="0" w:color="auto"/>
      </w:divBdr>
    </w:div>
    <w:div w:id="690960604">
      <w:bodyDiv w:val="1"/>
      <w:marLeft w:val="0"/>
      <w:marRight w:val="0"/>
      <w:marTop w:val="0"/>
      <w:marBottom w:val="0"/>
      <w:divBdr>
        <w:top w:val="none" w:sz="0" w:space="0" w:color="auto"/>
        <w:left w:val="none" w:sz="0" w:space="0" w:color="auto"/>
        <w:bottom w:val="none" w:sz="0" w:space="0" w:color="auto"/>
        <w:right w:val="none" w:sz="0" w:space="0" w:color="auto"/>
      </w:divBdr>
    </w:div>
    <w:div w:id="696083418">
      <w:bodyDiv w:val="1"/>
      <w:marLeft w:val="0"/>
      <w:marRight w:val="0"/>
      <w:marTop w:val="0"/>
      <w:marBottom w:val="0"/>
      <w:divBdr>
        <w:top w:val="none" w:sz="0" w:space="0" w:color="auto"/>
        <w:left w:val="none" w:sz="0" w:space="0" w:color="auto"/>
        <w:bottom w:val="none" w:sz="0" w:space="0" w:color="auto"/>
        <w:right w:val="none" w:sz="0" w:space="0" w:color="auto"/>
      </w:divBdr>
    </w:div>
    <w:div w:id="710618895">
      <w:bodyDiv w:val="1"/>
      <w:marLeft w:val="0"/>
      <w:marRight w:val="0"/>
      <w:marTop w:val="0"/>
      <w:marBottom w:val="0"/>
      <w:divBdr>
        <w:top w:val="none" w:sz="0" w:space="0" w:color="auto"/>
        <w:left w:val="none" w:sz="0" w:space="0" w:color="auto"/>
        <w:bottom w:val="none" w:sz="0" w:space="0" w:color="auto"/>
        <w:right w:val="none" w:sz="0" w:space="0" w:color="auto"/>
      </w:divBdr>
    </w:div>
    <w:div w:id="715590639">
      <w:bodyDiv w:val="1"/>
      <w:marLeft w:val="0"/>
      <w:marRight w:val="0"/>
      <w:marTop w:val="0"/>
      <w:marBottom w:val="0"/>
      <w:divBdr>
        <w:top w:val="none" w:sz="0" w:space="0" w:color="auto"/>
        <w:left w:val="none" w:sz="0" w:space="0" w:color="auto"/>
        <w:bottom w:val="none" w:sz="0" w:space="0" w:color="auto"/>
        <w:right w:val="none" w:sz="0" w:space="0" w:color="auto"/>
      </w:divBdr>
    </w:div>
    <w:div w:id="727995989">
      <w:bodyDiv w:val="1"/>
      <w:marLeft w:val="0"/>
      <w:marRight w:val="0"/>
      <w:marTop w:val="0"/>
      <w:marBottom w:val="0"/>
      <w:divBdr>
        <w:top w:val="none" w:sz="0" w:space="0" w:color="auto"/>
        <w:left w:val="none" w:sz="0" w:space="0" w:color="auto"/>
        <w:bottom w:val="none" w:sz="0" w:space="0" w:color="auto"/>
        <w:right w:val="none" w:sz="0" w:space="0" w:color="auto"/>
      </w:divBdr>
    </w:div>
    <w:div w:id="731393527">
      <w:bodyDiv w:val="1"/>
      <w:marLeft w:val="0"/>
      <w:marRight w:val="0"/>
      <w:marTop w:val="0"/>
      <w:marBottom w:val="0"/>
      <w:divBdr>
        <w:top w:val="none" w:sz="0" w:space="0" w:color="auto"/>
        <w:left w:val="none" w:sz="0" w:space="0" w:color="auto"/>
        <w:bottom w:val="none" w:sz="0" w:space="0" w:color="auto"/>
        <w:right w:val="none" w:sz="0" w:space="0" w:color="auto"/>
      </w:divBdr>
    </w:div>
    <w:div w:id="734157492">
      <w:bodyDiv w:val="1"/>
      <w:marLeft w:val="0"/>
      <w:marRight w:val="0"/>
      <w:marTop w:val="0"/>
      <w:marBottom w:val="0"/>
      <w:divBdr>
        <w:top w:val="none" w:sz="0" w:space="0" w:color="auto"/>
        <w:left w:val="none" w:sz="0" w:space="0" w:color="auto"/>
        <w:bottom w:val="none" w:sz="0" w:space="0" w:color="auto"/>
        <w:right w:val="none" w:sz="0" w:space="0" w:color="auto"/>
      </w:divBdr>
    </w:div>
    <w:div w:id="734820931">
      <w:bodyDiv w:val="1"/>
      <w:marLeft w:val="0"/>
      <w:marRight w:val="0"/>
      <w:marTop w:val="0"/>
      <w:marBottom w:val="0"/>
      <w:divBdr>
        <w:top w:val="none" w:sz="0" w:space="0" w:color="auto"/>
        <w:left w:val="none" w:sz="0" w:space="0" w:color="auto"/>
        <w:bottom w:val="none" w:sz="0" w:space="0" w:color="auto"/>
        <w:right w:val="none" w:sz="0" w:space="0" w:color="auto"/>
      </w:divBdr>
      <w:divsChild>
        <w:div w:id="1590580681">
          <w:marLeft w:val="0"/>
          <w:marRight w:val="0"/>
          <w:marTop w:val="0"/>
          <w:marBottom w:val="0"/>
          <w:divBdr>
            <w:top w:val="none" w:sz="0" w:space="0" w:color="auto"/>
            <w:left w:val="none" w:sz="0" w:space="0" w:color="auto"/>
            <w:bottom w:val="none" w:sz="0" w:space="0" w:color="auto"/>
            <w:right w:val="none" w:sz="0" w:space="0" w:color="auto"/>
          </w:divBdr>
          <w:divsChild>
            <w:div w:id="569928210">
              <w:marLeft w:val="0"/>
              <w:marRight w:val="0"/>
              <w:marTop w:val="0"/>
              <w:marBottom w:val="0"/>
              <w:divBdr>
                <w:top w:val="none" w:sz="0" w:space="0" w:color="auto"/>
                <w:left w:val="none" w:sz="0" w:space="0" w:color="auto"/>
                <w:bottom w:val="none" w:sz="0" w:space="0" w:color="auto"/>
                <w:right w:val="none" w:sz="0" w:space="0" w:color="auto"/>
              </w:divBdr>
              <w:divsChild>
                <w:div w:id="426075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244678">
      <w:bodyDiv w:val="1"/>
      <w:marLeft w:val="0"/>
      <w:marRight w:val="0"/>
      <w:marTop w:val="0"/>
      <w:marBottom w:val="0"/>
      <w:divBdr>
        <w:top w:val="none" w:sz="0" w:space="0" w:color="auto"/>
        <w:left w:val="none" w:sz="0" w:space="0" w:color="auto"/>
        <w:bottom w:val="none" w:sz="0" w:space="0" w:color="auto"/>
        <w:right w:val="none" w:sz="0" w:space="0" w:color="auto"/>
      </w:divBdr>
      <w:divsChild>
        <w:div w:id="244385880">
          <w:marLeft w:val="0"/>
          <w:marRight w:val="0"/>
          <w:marTop w:val="0"/>
          <w:marBottom w:val="0"/>
          <w:divBdr>
            <w:top w:val="none" w:sz="0" w:space="0" w:color="auto"/>
            <w:left w:val="none" w:sz="0" w:space="0" w:color="auto"/>
            <w:bottom w:val="none" w:sz="0" w:space="0" w:color="auto"/>
            <w:right w:val="none" w:sz="0" w:space="0" w:color="auto"/>
          </w:divBdr>
          <w:divsChild>
            <w:div w:id="1274897535">
              <w:marLeft w:val="0"/>
              <w:marRight w:val="0"/>
              <w:marTop w:val="0"/>
              <w:marBottom w:val="0"/>
              <w:divBdr>
                <w:top w:val="none" w:sz="0" w:space="0" w:color="auto"/>
                <w:left w:val="none" w:sz="0" w:space="0" w:color="auto"/>
                <w:bottom w:val="none" w:sz="0" w:space="0" w:color="auto"/>
                <w:right w:val="none" w:sz="0" w:space="0" w:color="auto"/>
              </w:divBdr>
              <w:divsChild>
                <w:div w:id="1556967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960998">
      <w:bodyDiv w:val="1"/>
      <w:marLeft w:val="0"/>
      <w:marRight w:val="0"/>
      <w:marTop w:val="0"/>
      <w:marBottom w:val="0"/>
      <w:divBdr>
        <w:top w:val="none" w:sz="0" w:space="0" w:color="auto"/>
        <w:left w:val="none" w:sz="0" w:space="0" w:color="auto"/>
        <w:bottom w:val="none" w:sz="0" w:space="0" w:color="auto"/>
        <w:right w:val="none" w:sz="0" w:space="0" w:color="auto"/>
      </w:divBdr>
    </w:div>
    <w:div w:id="787891312">
      <w:bodyDiv w:val="1"/>
      <w:marLeft w:val="0"/>
      <w:marRight w:val="0"/>
      <w:marTop w:val="0"/>
      <w:marBottom w:val="0"/>
      <w:divBdr>
        <w:top w:val="none" w:sz="0" w:space="0" w:color="auto"/>
        <w:left w:val="none" w:sz="0" w:space="0" w:color="auto"/>
        <w:bottom w:val="none" w:sz="0" w:space="0" w:color="auto"/>
        <w:right w:val="none" w:sz="0" w:space="0" w:color="auto"/>
      </w:divBdr>
      <w:divsChild>
        <w:div w:id="2106533451">
          <w:marLeft w:val="0"/>
          <w:marRight w:val="0"/>
          <w:marTop w:val="0"/>
          <w:marBottom w:val="0"/>
          <w:divBdr>
            <w:top w:val="none" w:sz="0" w:space="0" w:color="auto"/>
            <w:left w:val="none" w:sz="0" w:space="0" w:color="auto"/>
            <w:bottom w:val="none" w:sz="0" w:space="0" w:color="auto"/>
            <w:right w:val="none" w:sz="0" w:space="0" w:color="auto"/>
          </w:divBdr>
          <w:divsChild>
            <w:div w:id="422145145">
              <w:marLeft w:val="0"/>
              <w:marRight w:val="0"/>
              <w:marTop w:val="0"/>
              <w:marBottom w:val="0"/>
              <w:divBdr>
                <w:top w:val="none" w:sz="0" w:space="0" w:color="auto"/>
                <w:left w:val="none" w:sz="0" w:space="0" w:color="auto"/>
                <w:bottom w:val="none" w:sz="0" w:space="0" w:color="auto"/>
                <w:right w:val="none" w:sz="0" w:space="0" w:color="auto"/>
              </w:divBdr>
              <w:divsChild>
                <w:div w:id="1119880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655404">
      <w:bodyDiv w:val="1"/>
      <w:marLeft w:val="0"/>
      <w:marRight w:val="0"/>
      <w:marTop w:val="0"/>
      <w:marBottom w:val="0"/>
      <w:divBdr>
        <w:top w:val="none" w:sz="0" w:space="0" w:color="auto"/>
        <w:left w:val="none" w:sz="0" w:space="0" w:color="auto"/>
        <w:bottom w:val="none" w:sz="0" w:space="0" w:color="auto"/>
        <w:right w:val="none" w:sz="0" w:space="0" w:color="auto"/>
      </w:divBdr>
    </w:div>
    <w:div w:id="818032112">
      <w:bodyDiv w:val="1"/>
      <w:marLeft w:val="0"/>
      <w:marRight w:val="0"/>
      <w:marTop w:val="0"/>
      <w:marBottom w:val="0"/>
      <w:divBdr>
        <w:top w:val="none" w:sz="0" w:space="0" w:color="auto"/>
        <w:left w:val="none" w:sz="0" w:space="0" w:color="auto"/>
        <w:bottom w:val="none" w:sz="0" w:space="0" w:color="auto"/>
        <w:right w:val="none" w:sz="0" w:space="0" w:color="auto"/>
      </w:divBdr>
    </w:div>
    <w:div w:id="823929853">
      <w:bodyDiv w:val="1"/>
      <w:marLeft w:val="0"/>
      <w:marRight w:val="0"/>
      <w:marTop w:val="0"/>
      <w:marBottom w:val="0"/>
      <w:divBdr>
        <w:top w:val="none" w:sz="0" w:space="0" w:color="auto"/>
        <w:left w:val="none" w:sz="0" w:space="0" w:color="auto"/>
        <w:bottom w:val="none" w:sz="0" w:space="0" w:color="auto"/>
        <w:right w:val="none" w:sz="0" w:space="0" w:color="auto"/>
      </w:divBdr>
    </w:div>
    <w:div w:id="833184796">
      <w:bodyDiv w:val="1"/>
      <w:marLeft w:val="0"/>
      <w:marRight w:val="0"/>
      <w:marTop w:val="0"/>
      <w:marBottom w:val="0"/>
      <w:divBdr>
        <w:top w:val="none" w:sz="0" w:space="0" w:color="auto"/>
        <w:left w:val="none" w:sz="0" w:space="0" w:color="auto"/>
        <w:bottom w:val="none" w:sz="0" w:space="0" w:color="auto"/>
        <w:right w:val="none" w:sz="0" w:space="0" w:color="auto"/>
      </w:divBdr>
      <w:divsChild>
        <w:div w:id="1116607464">
          <w:marLeft w:val="0"/>
          <w:marRight w:val="0"/>
          <w:marTop w:val="0"/>
          <w:marBottom w:val="0"/>
          <w:divBdr>
            <w:top w:val="none" w:sz="0" w:space="0" w:color="auto"/>
            <w:left w:val="none" w:sz="0" w:space="0" w:color="auto"/>
            <w:bottom w:val="none" w:sz="0" w:space="0" w:color="auto"/>
            <w:right w:val="none" w:sz="0" w:space="0" w:color="auto"/>
          </w:divBdr>
          <w:divsChild>
            <w:div w:id="679698324">
              <w:marLeft w:val="0"/>
              <w:marRight w:val="0"/>
              <w:marTop w:val="0"/>
              <w:marBottom w:val="0"/>
              <w:divBdr>
                <w:top w:val="none" w:sz="0" w:space="0" w:color="auto"/>
                <w:left w:val="none" w:sz="0" w:space="0" w:color="auto"/>
                <w:bottom w:val="none" w:sz="0" w:space="0" w:color="auto"/>
                <w:right w:val="none" w:sz="0" w:space="0" w:color="auto"/>
              </w:divBdr>
              <w:divsChild>
                <w:div w:id="186988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4132237">
      <w:bodyDiv w:val="1"/>
      <w:marLeft w:val="0"/>
      <w:marRight w:val="0"/>
      <w:marTop w:val="0"/>
      <w:marBottom w:val="0"/>
      <w:divBdr>
        <w:top w:val="none" w:sz="0" w:space="0" w:color="auto"/>
        <w:left w:val="none" w:sz="0" w:space="0" w:color="auto"/>
        <w:bottom w:val="none" w:sz="0" w:space="0" w:color="auto"/>
        <w:right w:val="none" w:sz="0" w:space="0" w:color="auto"/>
      </w:divBdr>
    </w:div>
    <w:div w:id="848177861">
      <w:bodyDiv w:val="1"/>
      <w:marLeft w:val="0"/>
      <w:marRight w:val="0"/>
      <w:marTop w:val="0"/>
      <w:marBottom w:val="0"/>
      <w:divBdr>
        <w:top w:val="none" w:sz="0" w:space="0" w:color="auto"/>
        <w:left w:val="none" w:sz="0" w:space="0" w:color="auto"/>
        <w:bottom w:val="none" w:sz="0" w:space="0" w:color="auto"/>
        <w:right w:val="none" w:sz="0" w:space="0" w:color="auto"/>
      </w:divBdr>
    </w:div>
    <w:div w:id="850529816">
      <w:bodyDiv w:val="1"/>
      <w:marLeft w:val="0"/>
      <w:marRight w:val="0"/>
      <w:marTop w:val="0"/>
      <w:marBottom w:val="0"/>
      <w:divBdr>
        <w:top w:val="none" w:sz="0" w:space="0" w:color="auto"/>
        <w:left w:val="none" w:sz="0" w:space="0" w:color="auto"/>
        <w:bottom w:val="none" w:sz="0" w:space="0" w:color="auto"/>
        <w:right w:val="none" w:sz="0" w:space="0" w:color="auto"/>
      </w:divBdr>
    </w:div>
    <w:div w:id="861088789">
      <w:bodyDiv w:val="1"/>
      <w:marLeft w:val="0"/>
      <w:marRight w:val="0"/>
      <w:marTop w:val="0"/>
      <w:marBottom w:val="0"/>
      <w:divBdr>
        <w:top w:val="none" w:sz="0" w:space="0" w:color="auto"/>
        <w:left w:val="none" w:sz="0" w:space="0" w:color="auto"/>
        <w:bottom w:val="none" w:sz="0" w:space="0" w:color="auto"/>
        <w:right w:val="none" w:sz="0" w:space="0" w:color="auto"/>
      </w:divBdr>
    </w:div>
    <w:div w:id="865169189">
      <w:bodyDiv w:val="1"/>
      <w:marLeft w:val="0"/>
      <w:marRight w:val="0"/>
      <w:marTop w:val="0"/>
      <w:marBottom w:val="0"/>
      <w:divBdr>
        <w:top w:val="none" w:sz="0" w:space="0" w:color="auto"/>
        <w:left w:val="none" w:sz="0" w:space="0" w:color="auto"/>
        <w:bottom w:val="none" w:sz="0" w:space="0" w:color="auto"/>
        <w:right w:val="none" w:sz="0" w:space="0" w:color="auto"/>
      </w:divBdr>
    </w:div>
    <w:div w:id="867177491">
      <w:bodyDiv w:val="1"/>
      <w:marLeft w:val="0"/>
      <w:marRight w:val="0"/>
      <w:marTop w:val="0"/>
      <w:marBottom w:val="0"/>
      <w:divBdr>
        <w:top w:val="none" w:sz="0" w:space="0" w:color="auto"/>
        <w:left w:val="none" w:sz="0" w:space="0" w:color="auto"/>
        <w:bottom w:val="none" w:sz="0" w:space="0" w:color="auto"/>
        <w:right w:val="none" w:sz="0" w:space="0" w:color="auto"/>
      </w:divBdr>
      <w:divsChild>
        <w:div w:id="225650805">
          <w:marLeft w:val="0"/>
          <w:marRight w:val="0"/>
          <w:marTop w:val="0"/>
          <w:marBottom w:val="0"/>
          <w:divBdr>
            <w:top w:val="none" w:sz="0" w:space="0" w:color="auto"/>
            <w:left w:val="none" w:sz="0" w:space="0" w:color="auto"/>
            <w:bottom w:val="none" w:sz="0" w:space="0" w:color="auto"/>
            <w:right w:val="none" w:sz="0" w:space="0" w:color="auto"/>
          </w:divBdr>
          <w:divsChild>
            <w:div w:id="1101530836">
              <w:marLeft w:val="0"/>
              <w:marRight w:val="0"/>
              <w:marTop w:val="0"/>
              <w:marBottom w:val="0"/>
              <w:divBdr>
                <w:top w:val="none" w:sz="0" w:space="0" w:color="auto"/>
                <w:left w:val="none" w:sz="0" w:space="0" w:color="auto"/>
                <w:bottom w:val="none" w:sz="0" w:space="0" w:color="auto"/>
                <w:right w:val="none" w:sz="0" w:space="0" w:color="auto"/>
              </w:divBdr>
              <w:divsChild>
                <w:div w:id="1567298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5506315">
      <w:bodyDiv w:val="1"/>
      <w:marLeft w:val="0"/>
      <w:marRight w:val="0"/>
      <w:marTop w:val="0"/>
      <w:marBottom w:val="0"/>
      <w:divBdr>
        <w:top w:val="none" w:sz="0" w:space="0" w:color="auto"/>
        <w:left w:val="none" w:sz="0" w:space="0" w:color="auto"/>
        <w:bottom w:val="none" w:sz="0" w:space="0" w:color="auto"/>
        <w:right w:val="none" w:sz="0" w:space="0" w:color="auto"/>
      </w:divBdr>
      <w:divsChild>
        <w:div w:id="477847573">
          <w:marLeft w:val="0"/>
          <w:marRight w:val="0"/>
          <w:marTop w:val="0"/>
          <w:marBottom w:val="0"/>
          <w:divBdr>
            <w:top w:val="none" w:sz="0" w:space="0" w:color="auto"/>
            <w:left w:val="none" w:sz="0" w:space="0" w:color="auto"/>
            <w:bottom w:val="none" w:sz="0" w:space="0" w:color="auto"/>
            <w:right w:val="none" w:sz="0" w:space="0" w:color="auto"/>
          </w:divBdr>
          <w:divsChild>
            <w:div w:id="1434588115">
              <w:marLeft w:val="0"/>
              <w:marRight w:val="0"/>
              <w:marTop w:val="0"/>
              <w:marBottom w:val="0"/>
              <w:divBdr>
                <w:top w:val="none" w:sz="0" w:space="0" w:color="auto"/>
                <w:left w:val="none" w:sz="0" w:space="0" w:color="auto"/>
                <w:bottom w:val="none" w:sz="0" w:space="0" w:color="auto"/>
                <w:right w:val="none" w:sz="0" w:space="0" w:color="auto"/>
              </w:divBdr>
              <w:divsChild>
                <w:div w:id="421335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4147594">
      <w:bodyDiv w:val="1"/>
      <w:marLeft w:val="0"/>
      <w:marRight w:val="0"/>
      <w:marTop w:val="0"/>
      <w:marBottom w:val="0"/>
      <w:divBdr>
        <w:top w:val="none" w:sz="0" w:space="0" w:color="auto"/>
        <w:left w:val="none" w:sz="0" w:space="0" w:color="auto"/>
        <w:bottom w:val="none" w:sz="0" w:space="0" w:color="auto"/>
        <w:right w:val="none" w:sz="0" w:space="0" w:color="auto"/>
      </w:divBdr>
    </w:div>
    <w:div w:id="885068757">
      <w:bodyDiv w:val="1"/>
      <w:marLeft w:val="0"/>
      <w:marRight w:val="0"/>
      <w:marTop w:val="0"/>
      <w:marBottom w:val="0"/>
      <w:divBdr>
        <w:top w:val="none" w:sz="0" w:space="0" w:color="auto"/>
        <w:left w:val="none" w:sz="0" w:space="0" w:color="auto"/>
        <w:bottom w:val="none" w:sz="0" w:space="0" w:color="auto"/>
        <w:right w:val="none" w:sz="0" w:space="0" w:color="auto"/>
      </w:divBdr>
    </w:div>
    <w:div w:id="888222300">
      <w:bodyDiv w:val="1"/>
      <w:marLeft w:val="0"/>
      <w:marRight w:val="0"/>
      <w:marTop w:val="0"/>
      <w:marBottom w:val="0"/>
      <w:divBdr>
        <w:top w:val="none" w:sz="0" w:space="0" w:color="auto"/>
        <w:left w:val="none" w:sz="0" w:space="0" w:color="auto"/>
        <w:bottom w:val="none" w:sz="0" w:space="0" w:color="auto"/>
        <w:right w:val="none" w:sz="0" w:space="0" w:color="auto"/>
      </w:divBdr>
    </w:div>
    <w:div w:id="903951350">
      <w:bodyDiv w:val="1"/>
      <w:marLeft w:val="0"/>
      <w:marRight w:val="0"/>
      <w:marTop w:val="0"/>
      <w:marBottom w:val="0"/>
      <w:divBdr>
        <w:top w:val="none" w:sz="0" w:space="0" w:color="auto"/>
        <w:left w:val="none" w:sz="0" w:space="0" w:color="auto"/>
        <w:bottom w:val="none" w:sz="0" w:space="0" w:color="auto"/>
        <w:right w:val="none" w:sz="0" w:space="0" w:color="auto"/>
      </w:divBdr>
    </w:div>
    <w:div w:id="909583057">
      <w:bodyDiv w:val="1"/>
      <w:marLeft w:val="0"/>
      <w:marRight w:val="0"/>
      <w:marTop w:val="0"/>
      <w:marBottom w:val="0"/>
      <w:divBdr>
        <w:top w:val="none" w:sz="0" w:space="0" w:color="auto"/>
        <w:left w:val="none" w:sz="0" w:space="0" w:color="auto"/>
        <w:bottom w:val="none" w:sz="0" w:space="0" w:color="auto"/>
        <w:right w:val="none" w:sz="0" w:space="0" w:color="auto"/>
      </w:divBdr>
      <w:divsChild>
        <w:div w:id="24799000">
          <w:marLeft w:val="0"/>
          <w:marRight w:val="0"/>
          <w:marTop w:val="0"/>
          <w:marBottom w:val="0"/>
          <w:divBdr>
            <w:top w:val="none" w:sz="0" w:space="0" w:color="auto"/>
            <w:left w:val="none" w:sz="0" w:space="0" w:color="auto"/>
            <w:bottom w:val="none" w:sz="0" w:space="0" w:color="auto"/>
            <w:right w:val="none" w:sz="0" w:space="0" w:color="auto"/>
          </w:divBdr>
          <w:divsChild>
            <w:div w:id="1796756966">
              <w:marLeft w:val="0"/>
              <w:marRight w:val="0"/>
              <w:marTop w:val="0"/>
              <w:marBottom w:val="0"/>
              <w:divBdr>
                <w:top w:val="none" w:sz="0" w:space="0" w:color="auto"/>
                <w:left w:val="none" w:sz="0" w:space="0" w:color="auto"/>
                <w:bottom w:val="none" w:sz="0" w:space="0" w:color="auto"/>
                <w:right w:val="none" w:sz="0" w:space="0" w:color="auto"/>
              </w:divBdr>
              <w:divsChild>
                <w:div w:id="1339767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1834335">
      <w:bodyDiv w:val="1"/>
      <w:marLeft w:val="0"/>
      <w:marRight w:val="0"/>
      <w:marTop w:val="0"/>
      <w:marBottom w:val="0"/>
      <w:divBdr>
        <w:top w:val="none" w:sz="0" w:space="0" w:color="auto"/>
        <w:left w:val="none" w:sz="0" w:space="0" w:color="auto"/>
        <w:bottom w:val="none" w:sz="0" w:space="0" w:color="auto"/>
        <w:right w:val="none" w:sz="0" w:space="0" w:color="auto"/>
      </w:divBdr>
    </w:div>
    <w:div w:id="923105943">
      <w:bodyDiv w:val="1"/>
      <w:marLeft w:val="0"/>
      <w:marRight w:val="0"/>
      <w:marTop w:val="0"/>
      <w:marBottom w:val="0"/>
      <w:divBdr>
        <w:top w:val="none" w:sz="0" w:space="0" w:color="auto"/>
        <w:left w:val="none" w:sz="0" w:space="0" w:color="auto"/>
        <w:bottom w:val="none" w:sz="0" w:space="0" w:color="auto"/>
        <w:right w:val="none" w:sz="0" w:space="0" w:color="auto"/>
      </w:divBdr>
    </w:div>
    <w:div w:id="923605895">
      <w:bodyDiv w:val="1"/>
      <w:marLeft w:val="0"/>
      <w:marRight w:val="0"/>
      <w:marTop w:val="0"/>
      <w:marBottom w:val="0"/>
      <w:divBdr>
        <w:top w:val="none" w:sz="0" w:space="0" w:color="auto"/>
        <w:left w:val="none" w:sz="0" w:space="0" w:color="auto"/>
        <w:bottom w:val="none" w:sz="0" w:space="0" w:color="auto"/>
        <w:right w:val="none" w:sz="0" w:space="0" w:color="auto"/>
      </w:divBdr>
    </w:div>
    <w:div w:id="933781879">
      <w:bodyDiv w:val="1"/>
      <w:marLeft w:val="0"/>
      <w:marRight w:val="0"/>
      <w:marTop w:val="0"/>
      <w:marBottom w:val="0"/>
      <w:divBdr>
        <w:top w:val="none" w:sz="0" w:space="0" w:color="auto"/>
        <w:left w:val="none" w:sz="0" w:space="0" w:color="auto"/>
        <w:bottom w:val="none" w:sz="0" w:space="0" w:color="auto"/>
        <w:right w:val="none" w:sz="0" w:space="0" w:color="auto"/>
      </w:divBdr>
    </w:div>
    <w:div w:id="949820119">
      <w:bodyDiv w:val="1"/>
      <w:marLeft w:val="0"/>
      <w:marRight w:val="0"/>
      <w:marTop w:val="0"/>
      <w:marBottom w:val="0"/>
      <w:divBdr>
        <w:top w:val="none" w:sz="0" w:space="0" w:color="auto"/>
        <w:left w:val="none" w:sz="0" w:space="0" w:color="auto"/>
        <w:bottom w:val="none" w:sz="0" w:space="0" w:color="auto"/>
        <w:right w:val="none" w:sz="0" w:space="0" w:color="auto"/>
      </w:divBdr>
      <w:divsChild>
        <w:div w:id="555241923">
          <w:marLeft w:val="0"/>
          <w:marRight w:val="0"/>
          <w:marTop w:val="0"/>
          <w:marBottom w:val="0"/>
          <w:divBdr>
            <w:top w:val="none" w:sz="0" w:space="0" w:color="auto"/>
            <w:left w:val="none" w:sz="0" w:space="0" w:color="auto"/>
            <w:bottom w:val="none" w:sz="0" w:space="0" w:color="auto"/>
            <w:right w:val="none" w:sz="0" w:space="0" w:color="auto"/>
          </w:divBdr>
          <w:divsChild>
            <w:div w:id="1961297718">
              <w:marLeft w:val="0"/>
              <w:marRight w:val="0"/>
              <w:marTop w:val="0"/>
              <w:marBottom w:val="0"/>
              <w:divBdr>
                <w:top w:val="none" w:sz="0" w:space="0" w:color="auto"/>
                <w:left w:val="none" w:sz="0" w:space="0" w:color="auto"/>
                <w:bottom w:val="none" w:sz="0" w:space="0" w:color="auto"/>
                <w:right w:val="none" w:sz="0" w:space="0" w:color="auto"/>
              </w:divBdr>
              <w:divsChild>
                <w:div w:id="1580872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3631146">
      <w:bodyDiv w:val="1"/>
      <w:marLeft w:val="0"/>
      <w:marRight w:val="0"/>
      <w:marTop w:val="0"/>
      <w:marBottom w:val="0"/>
      <w:divBdr>
        <w:top w:val="none" w:sz="0" w:space="0" w:color="auto"/>
        <w:left w:val="none" w:sz="0" w:space="0" w:color="auto"/>
        <w:bottom w:val="none" w:sz="0" w:space="0" w:color="auto"/>
        <w:right w:val="none" w:sz="0" w:space="0" w:color="auto"/>
      </w:divBdr>
    </w:div>
    <w:div w:id="965084736">
      <w:bodyDiv w:val="1"/>
      <w:marLeft w:val="0"/>
      <w:marRight w:val="0"/>
      <w:marTop w:val="0"/>
      <w:marBottom w:val="0"/>
      <w:divBdr>
        <w:top w:val="none" w:sz="0" w:space="0" w:color="auto"/>
        <w:left w:val="none" w:sz="0" w:space="0" w:color="auto"/>
        <w:bottom w:val="none" w:sz="0" w:space="0" w:color="auto"/>
        <w:right w:val="none" w:sz="0" w:space="0" w:color="auto"/>
      </w:divBdr>
    </w:div>
    <w:div w:id="967054997">
      <w:bodyDiv w:val="1"/>
      <w:marLeft w:val="0"/>
      <w:marRight w:val="0"/>
      <w:marTop w:val="0"/>
      <w:marBottom w:val="0"/>
      <w:divBdr>
        <w:top w:val="none" w:sz="0" w:space="0" w:color="auto"/>
        <w:left w:val="none" w:sz="0" w:space="0" w:color="auto"/>
        <w:bottom w:val="none" w:sz="0" w:space="0" w:color="auto"/>
        <w:right w:val="none" w:sz="0" w:space="0" w:color="auto"/>
      </w:divBdr>
      <w:divsChild>
        <w:div w:id="1529178925">
          <w:marLeft w:val="0"/>
          <w:marRight w:val="0"/>
          <w:marTop w:val="0"/>
          <w:marBottom w:val="0"/>
          <w:divBdr>
            <w:top w:val="none" w:sz="0" w:space="0" w:color="auto"/>
            <w:left w:val="none" w:sz="0" w:space="0" w:color="auto"/>
            <w:bottom w:val="none" w:sz="0" w:space="0" w:color="auto"/>
            <w:right w:val="none" w:sz="0" w:space="0" w:color="auto"/>
          </w:divBdr>
        </w:div>
        <w:div w:id="1874533410">
          <w:marLeft w:val="0"/>
          <w:marRight w:val="0"/>
          <w:marTop w:val="0"/>
          <w:marBottom w:val="0"/>
          <w:divBdr>
            <w:top w:val="none" w:sz="0" w:space="0" w:color="auto"/>
            <w:left w:val="none" w:sz="0" w:space="0" w:color="auto"/>
            <w:bottom w:val="none" w:sz="0" w:space="0" w:color="auto"/>
            <w:right w:val="none" w:sz="0" w:space="0" w:color="auto"/>
          </w:divBdr>
        </w:div>
      </w:divsChild>
    </w:div>
    <w:div w:id="987368197">
      <w:bodyDiv w:val="1"/>
      <w:marLeft w:val="0"/>
      <w:marRight w:val="0"/>
      <w:marTop w:val="0"/>
      <w:marBottom w:val="0"/>
      <w:divBdr>
        <w:top w:val="none" w:sz="0" w:space="0" w:color="auto"/>
        <w:left w:val="none" w:sz="0" w:space="0" w:color="auto"/>
        <w:bottom w:val="none" w:sz="0" w:space="0" w:color="auto"/>
        <w:right w:val="none" w:sz="0" w:space="0" w:color="auto"/>
      </w:divBdr>
      <w:divsChild>
        <w:div w:id="1892886782">
          <w:marLeft w:val="0"/>
          <w:marRight w:val="0"/>
          <w:marTop w:val="0"/>
          <w:marBottom w:val="0"/>
          <w:divBdr>
            <w:top w:val="none" w:sz="0" w:space="0" w:color="auto"/>
            <w:left w:val="none" w:sz="0" w:space="0" w:color="auto"/>
            <w:bottom w:val="none" w:sz="0" w:space="0" w:color="auto"/>
            <w:right w:val="none" w:sz="0" w:space="0" w:color="auto"/>
          </w:divBdr>
          <w:divsChild>
            <w:div w:id="1109937130">
              <w:marLeft w:val="0"/>
              <w:marRight w:val="0"/>
              <w:marTop w:val="0"/>
              <w:marBottom w:val="0"/>
              <w:divBdr>
                <w:top w:val="none" w:sz="0" w:space="0" w:color="auto"/>
                <w:left w:val="none" w:sz="0" w:space="0" w:color="auto"/>
                <w:bottom w:val="none" w:sz="0" w:space="0" w:color="auto"/>
                <w:right w:val="none" w:sz="0" w:space="0" w:color="auto"/>
              </w:divBdr>
              <w:divsChild>
                <w:div w:id="3724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703314">
      <w:bodyDiv w:val="1"/>
      <w:marLeft w:val="0"/>
      <w:marRight w:val="0"/>
      <w:marTop w:val="0"/>
      <w:marBottom w:val="0"/>
      <w:divBdr>
        <w:top w:val="none" w:sz="0" w:space="0" w:color="auto"/>
        <w:left w:val="none" w:sz="0" w:space="0" w:color="auto"/>
        <w:bottom w:val="none" w:sz="0" w:space="0" w:color="auto"/>
        <w:right w:val="none" w:sz="0" w:space="0" w:color="auto"/>
      </w:divBdr>
      <w:divsChild>
        <w:div w:id="281303808">
          <w:marLeft w:val="0"/>
          <w:marRight w:val="0"/>
          <w:marTop w:val="0"/>
          <w:marBottom w:val="0"/>
          <w:divBdr>
            <w:top w:val="none" w:sz="0" w:space="0" w:color="auto"/>
            <w:left w:val="none" w:sz="0" w:space="0" w:color="auto"/>
            <w:bottom w:val="none" w:sz="0" w:space="0" w:color="auto"/>
            <w:right w:val="none" w:sz="0" w:space="0" w:color="auto"/>
          </w:divBdr>
          <w:divsChild>
            <w:div w:id="1389379996">
              <w:marLeft w:val="0"/>
              <w:marRight w:val="0"/>
              <w:marTop w:val="0"/>
              <w:marBottom w:val="0"/>
              <w:divBdr>
                <w:top w:val="none" w:sz="0" w:space="0" w:color="auto"/>
                <w:left w:val="none" w:sz="0" w:space="0" w:color="auto"/>
                <w:bottom w:val="none" w:sz="0" w:space="0" w:color="auto"/>
                <w:right w:val="none" w:sz="0" w:space="0" w:color="auto"/>
              </w:divBdr>
              <w:divsChild>
                <w:div w:id="11595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6979135">
      <w:bodyDiv w:val="1"/>
      <w:marLeft w:val="0"/>
      <w:marRight w:val="0"/>
      <w:marTop w:val="0"/>
      <w:marBottom w:val="0"/>
      <w:divBdr>
        <w:top w:val="none" w:sz="0" w:space="0" w:color="auto"/>
        <w:left w:val="none" w:sz="0" w:space="0" w:color="auto"/>
        <w:bottom w:val="none" w:sz="0" w:space="0" w:color="auto"/>
        <w:right w:val="none" w:sz="0" w:space="0" w:color="auto"/>
      </w:divBdr>
      <w:divsChild>
        <w:div w:id="759253395">
          <w:marLeft w:val="0"/>
          <w:marRight w:val="0"/>
          <w:marTop w:val="0"/>
          <w:marBottom w:val="0"/>
          <w:divBdr>
            <w:top w:val="none" w:sz="0" w:space="0" w:color="auto"/>
            <w:left w:val="none" w:sz="0" w:space="0" w:color="auto"/>
            <w:bottom w:val="none" w:sz="0" w:space="0" w:color="auto"/>
            <w:right w:val="none" w:sz="0" w:space="0" w:color="auto"/>
          </w:divBdr>
          <w:divsChild>
            <w:div w:id="1665089361">
              <w:marLeft w:val="0"/>
              <w:marRight w:val="0"/>
              <w:marTop w:val="0"/>
              <w:marBottom w:val="0"/>
              <w:divBdr>
                <w:top w:val="none" w:sz="0" w:space="0" w:color="auto"/>
                <w:left w:val="none" w:sz="0" w:space="0" w:color="auto"/>
                <w:bottom w:val="none" w:sz="0" w:space="0" w:color="auto"/>
                <w:right w:val="none" w:sz="0" w:space="0" w:color="auto"/>
              </w:divBdr>
              <w:divsChild>
                <w:div w:id="91921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3532953">
      <w:bodyDiv w:val="1"/>
      <w:marLeft w:val="0"/>
      <w:marRight w:val="0"/>
      <w:marTop w:val="0"/>
      <w:marBottom w:val="0"/>
      <w:divBdr>
        <w:top w:val="none" w:sz="0" w:space="0" w:color="auto"/>
        <w:left w:val="none" w:sz="0" w:space="0" w:color="auto"/>
        <w:bottom w:val="none" w:sz="0" w:space="0" w:color="auto"/>
        <w:right w:val="none" w:sz="0" w:space="0" w:color="auto"/>
      </w:divBdr>
    </w:div>
    <w:div w:id="1020089083">
      <w:bodyDiv w:val="1"/>
      <w:marLeft w:val="0"/>
      <w:marRight w:val="0"/>
      <w:marTop w:val="0"/>
      <w:marBottom w:val="0"/>
      <w:divBdr>
        <w:top w:val="none" w:sz="0" w:space="0" w:color="auto"/>
        <w:left w:val="none" w:sz="0" w:space="0" w:color="auto"/>
        <w:bottom w:val="none" w:sz="0" w:space="0" w:color="auto"/>
        <w:right w:val="none" w:sz="0" w:space="0" w:color="auto"/>
      </w:divBdr>
      <w:divsChild>
        <w:div w:id="1950772920">
          <w:marLeft w:val="0"/>
          <w:marRight w:val="0"/>
          <w:marTop w:val="0"/>
          <w:marBottom w:val="0"/>
          <w:divBdr>
            <w:top w:val="none" w:sz="0" w:space="0" w:color="auto"/>
            <w:left w:val="none" w:sz="0" w:space="0" w:color="auto"/>
            <w:bottom w:val="none" w:sz="0" w:space="0" w:color="auto"/>
            <w:right w:val="none" w:sz="0" w:space="0" w:color="auto"/>
          </w:divBdr>
          <w:divsChild>
            <w:div w:id="1826892039">
              <w:marLeft w:val="0"/>
              <w:marRight w:val="0"/>
              <w:marTop w:val="0"/>
              <w:marBottom w:val="0"/>
              <w:divBdr>
                <w:top w:val="none" w:sz="0" w:space="0" w:color="auto"/>
                <w:left w:val="none" w:sz="0" w:space="0" w:color="auto"/>
                <w:bottom w:val="none" w:sz="0" w:space="0" w:color="auto"/>
                <w:right w:val="none" w:sz="0" w:space="0" w:color="auto"/>
              </w:divBdr>
              <w:divsChild>
                <w:div w:id="151454393">
                  <w:marLeft w:val="0"/>
                  <w:marRight w:val="0"/>
                  <w:marTop w:val="0"/>
                  <w:marBottom w:val="0"/>
                  <w:divBdr>
                    <w:top w:val="none" w:sz="0" w:space="0" w:color="auto"/>
                    <w:left w:val="none" w:sz="0" w:space="0" w:color="auto"/>
                    <w:bottom w:val="none" w:sz="0" w:space="0" w:color="auto"/>
                    <w:right w:val="none" w:sz="0" w:space="0" w:color="auto"/>
                  </w:divBdr>
                  <w:divsChild>
                    <w:div w:id="1692991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1778601">
      <w:bodyDiv w:val="1"/>
      <w:marLeft w:val="0"/>
      <w:marRight w:val="0"/>
      <w:marTop w:val="0"/>
      <w:marBottom w:val="0"/>
      <w:divBdr>
        <w:top w:val="none" w:sz="0" w:space="0" w:color="auto"/>
        <w:left w:val="none" w:sz="0" w:space="0" w:color="auto"/>
        <w:bottom w:val="none" w:sz="0" w:space="0" w:color="auto"/>
        <w:right w:val="none" w:sz="0" w:space="0" w:color="auto"/>
      </w:divBdr>
      <w:divsChild>
        <w:div w:id="45684135">
          <w:marLeft w:val="0"/>
          <w:marRight w:val="0"/>
          <w:marTop w:val="0"/>
          <w:marBottom w:val="0"/>
          <w:divBdr>
            <w:top w:val="none" w:sz="0" w:space="0" w:color="auto"/>
            <w:left w:val="none" w:sz="0" w:space="0" w:color="auto"/>
            <w:bottom w:val="none" w:sz="0" w:space="0" w:color="auto"/>
            <w:right w:val="none" w:sz="0" w:space="0" w:color="auto"/>
          </w:divBdr>
          <w:divsChild>
            <w:div w:id="1843426762">
              <w:marLeft w:val="0"/>
              <w:marRight w:val="0"/>
              <w:marTop w:val="0"/>
              <w:marBottom w:val="0"/>
              <w:divBdr>
                <w:top w:val="none" w:sz="0" w:space="0" w:color="auto"/>
                <w:left w:val="none" w:sz="0" w:space="0" w:color="auto"/>
                <w:bottom w:val="none" w:sz="0" w:space="0" w:color="auto"/>
                <w:right w:val="none" w:sz="0" w:space="0" w:color="auto"/>
              </w:divBdr>
              <w:divsChild>
                <w:div w:id="51203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7482336">
      <w:bodyDiv w:val="1"/>
      <w:marLeft w:val="0"/>
      <w:marRight w:val="0"/>
      <w:marTop w:val="0"/>
      <w:marBottom w:val="0"/>
      <w:divBdr>
        <w:top w:val="none" w:sz="0" w:space="0" w:color="auto"/>
        <w:left w:val="none" w:sz="0" w:space="0" w:color="auto"/>
        <w:bottom w:val="none" w:sz="0" w:space="0" w:color="auto"/>
        <w:right w:val="none" w:sz="0" w:space="0" w:color="auto"/>
      </w:divBdr>
    </w:div>
    <w:div w:id="1029448990">
      <w:bodyDiv w:val="1"/>
      <w:marLeft w:val="0"/>
      <w:marRight w:val="0"/>
      <w:marTop w:val="0"/>
      <w:marBottom w:val="0"/>
      <w:divBdr>
        <w:top w:val="none" w:sz="0" w:space="0" w:color="auto"/>
        <w:left w:val="none" w:sz="0" w:space="0" w:color="auto"/>
        <w:bottom w:val="none" w:sz="0" w:space="0" w:color="auto"/>
        <w:right w:val="none" w:sz="0" w:space="0" w:color="auto"/>
      </w:divBdr>
    </w:div>
    <w:div w:id="1035084717">
      <w:bodyDiv w:val="1"/>
      <w:marLeft w:val="0"/>
      <w:marRight w:val="0"/>
      <w:marTop w:val="0"/>
      <w:marBottom w:val="0"/>
      <w:divBdr>
        <w:top w:val="none" w:sz="0" w:space="0" w:color="auto"/>
        <w:left w:val="none" w:sz="0" w:space="0" w:color="auto"/>
        <w:bottom w:val="none" w:sz="0" w:space="0" w:color="auto"/>
        <w:right w:val="none" w:sz="0" w:space="0" w:color="auto"/>
      </w:divBdr>
      <w:divsChild>
        <w:div w:id="399794745">
          <w:marLeft w:val="0"/>
          <w:marRight w:val="0"/>
          <w:marTop w:val="0"/>
          <w:marBottom w:val="0"/>
          <w:divBdr>
            <w:top w:val="none" w:sz="0" w:space="0" w:color="auto"/>
            <w:left w:val="none" w:sz="0" w:space="0" w:color="auto"/>
            <w:bottom w:val="none" w:sz="0" w:space="0" w:color="auto"/>
            <w:right w:val="none" w:sz="0" w:space="0" w:color="auto"/>
          </w:divBdr>
          <w:divsChild>
            <w:div w:id="1111633196">
              <w:marLeft w:val="0"/>
              <w:marRight w:val="0"/>
              <w:marTop w:val="0"/>
              <w:marBottom w:val="0"/>
              <w:divBdr>
                <w:top w:val="none" w:sz="0" w:space="0" w:color="auto"/>
                <w:left w:val="none" w:sz="0" w:space="0" w:color="auto"/>
                <w:bottom w:val="none" w:sz="0" w:space="0" w:color="auto"/>
                <w:right w:val="none" w:sz="0" w:space="0" w:color="auto"/>
              </w:divBdr>
              <w:divsChild>
                <w:div w:id="1649556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407944">
      <w:bodyDiv w:val="1"/>
      <w:marLeft w:val="0"/>
      <w:marRight w:val="0"/>
      <w:marTop w:val="0"/>
      <w:marBottom w:val="0"/>
      <w:divBdr>
        <w:top w:val="none" w:sz="0" w:space="0" w:color="auto"/>
        <w:left w:val="none" w:sz="0" w:space="0" w:color="auto"/>
        <w:bottom w:val="none" w:sz="0" w:space="0" w:color="auto"/>
        <w:right w:val="none" w:sz="0" w:space="0" w:color="auto"/>
      </w:divBdr>
    </w:div>
    <w:div w:id="1048577281">
      <w:bodyDiv w:val="1"/>
      <w:marLeft w:val="0"/>
      <w:marRight w:val="0"/>
      <w:marTop w:val="0"/>
      <w:marBottom w:val="0"/>
      <w:divBdr>
        <w:top w:val="none" w:sz="0" w:space="0" w:color="auto"/>
        <w:left w:val="none" w:sz="0" w:space="0" w:color="auto"/>
        <w:bottom w:val="none" w:sz="0" w:space="0" w:color="auto"/>
        <w:right w:val="none" w:sz="0" w:space="0" w:color="auto"/>
      </w:divBdr>
    </w:div>
    <w:div w:id="1048994142">
      <w:bodyDiv w:val="1"/>
      <w:marLeft w:val="0"/>
      <w:marRight w:val="0"/>
      <w:marTop w:val="0"/>
      <w:marBottom w:val="0"/>
      <w:divBdr>
        <w:top w:val="none" w:sz="0" w:space="0" w:color="auto"/>
        <w:left w:val="none" w:sz="0" w:space="0" w:color="auto"/>
        <w:bottom w:val="none" w:sz="0" w:space="0" w:color="auto"/>
        <w:right w:val="none" w:sz="0" w:space="0" w:color="auto"/>
      </w:divBdr>
    </w:div>
    <w:div w:id="1053699963">
      <w:bodyDiv w:val="1"/>
      <w:marLeft w:val="0"/>
      <w:marRight w:val="0"/>
      <w:marTop w:val="0"/>
      <w:marBottom w:val="0"/>
      <w:divBdr>
        <w:top w:val="none" w:sz="0" w:space="0" w:color="auto"/>
        <w:left w:val="none" w:sz="0" w:space="0" w:color="auto"/>
        <w:bottom w:val="none" w:sz="0" w:space="0" w:color="auto"/>
        <w:right w:val="none" w:sz="0" w:space="0" w:color="auto"/>
      </w:divBdr>
    </w:div>
    <w:div w:id="1062799963">
      <w:bodyDiv w:val="1"/>
      <w:marLeft w:val="0"/>
      <w:marRight w:val="0"/>
      <w:marTop w:val="0"/>
      <w:marBottom w:val="0"/>
      <w:divBdr>
        <w:top w:val="none" w:sz="0" w:space="0" w:color="auto"/>
        <w:left w:val="none" w:sz="0" w:space="0" w:color="auto"/>
        <w:bottom w:val="none" w:sz="0" w:space="0" w:color="auto"/>
        <w:right w:val="none" w:sz="0" w:space="0" w:color="auto"/>
      </w:divBdr>
    </w:div>
    <w:div w:id="1083381756">
      <w:bodyDiv w:val="1"/>
      <w:marLeft w:val="0"/>
      <w:marRight w:val="0"/>
      <w:marTop w:val="0"/>
      <w:marBottom w:val="0"/>
      <w:divBdr>
        <w:top w:val="none" w:sz="0" w:space="0" w:color="auto"/>
        <w:left w:val="none" w:sz="0" w:space="0" w:color="auto"/>
        <w:bottom w:val="none" w:sz="0" w:space="0" w:color="auto"/>
        <w:right w:val="none" w:sz="0" w:space="0" w:color="auto"/>
      </w:divBdr>
    </w:div>
    <w:div w:id="1089159350">
      <w:bodyDiv w:val="1"/>
      <w:marLeft w:val="0"/>
      <w:marRight w:val="0"/>
      <w:marTop w:val="0"/>
      <w:marBottom w:val="0"/>
      <w:divBdr>
        <w:top w:val="none" w:sz="0" w:space="0" w:color="auto"/>
        <w:left w:val="none" w:sz="0" w:space="0" w:color="auto"/>
        <w:bottom w:val="none" w:sz="0" w:space="0" w:color="auto"/>
        <w:right w:val="none" w:sz="0" w:space="0" w:color="auto"/>
      </w:divBdr>
      <w:divsChild>
        <w:div w:id="651835344">
          <w:marLeft w:val="0"/>
          <w:marRight w:val="0"/>
          <w:marTop w:val="0"/>
          <w:marBottom w:val="0"/>
          <w:divBdr>
            <w:top w:val="none" w:sz="0" w:space="0" w:color="auto"/>
            <w:left w:val="none" w:sz="0" w:space="0" w:color="auto"/>
            <w:bottom w:val="none" w:sz="0" w:space="0" w:color="auto"/>
            <w:right w:val="none" w:sz="0" w:space="0" w:color="auto"/>
          </w:divBdr>
          <w:divsChild>
            <w:div w:id="1759208222">
              <w:marLeft w:val="0"/>
              <w:marRight w:val="0"/>
              <w:marTop w:val="0"/>
              <w:marBottom w:val="0"/>
              <w:divBdr>
                <w:top w:val="none" w:sz="0" w:space="0" w:color="auto"/>
                <w:left w:val="none" w:sz="0" w:space="0" w:color="auto"/>
                <w:bottom w:val="none" w:sz="0" w:space="0" w:color="auto"/>
                <w:right w:val="none" w:sz="0" w:space="0" w:color="auto"/>
              </w:divBdr>
              <w:divsChild>
                <w:div w:id="137102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892161">
      <w:bodyDiv w:val="1"/>
      <w:marLeft w:val="0"/>
      <w:marRight w:val="0"/>
      <w:marTop w:val="0"/>
      <w:marBottom w:val="0"/>
      <w:divBdr>
        <w:top w:val="none" w:sz="0" w:space="0" w:color="auto"/>
        <w:left w:val="none" w:sz="0" w:space="0" w:color="auto"/>
        <w:bottom w:val="none" w:sz="0" w:space="0" w:color="auto"/>
        <w:right w:val="none" w:sz="0" w:space="0" w:color="auto"/>
      </w:divBdr>
    </w:div>
    <w:div w:id="1127820445">
      <w:bodyDiv w:val="1"/>
      <w:marLeft w:val="0"/>
      <w:marRight w:val="0"/>
      <w:marTop w:val="0"/>
      <w:marBottom w:val="0"/>
      <w:divBdr>
        <w:top w:val="none" w:sz="0" w:space="0" w:color="auto"/>
        <w:left w:val="none" w:sz="0" w:space="0" w:color="auto"/>
        <w:bottom w:val="none" w:sz="0" w:space="0" w:color="auto"/>
        <w:right w:val="none" w:sz="0" w:space="0" w:color="auto"/>
      </w:divBdr>
    </w:div>
    <w:div w:id="1132673097">
      <w:bodyDiv w:val="1"/>
      <w:marLeft w:val="0"/>
      <w:marRight w:val="0"/>
      <w:marTop w:val="0"/>
      <w:marBottom w:val="0"/>
      <w:divBdr>
        <w:top w:val="none" w:sz="0" w:space="0" w:color="auto"/>
        <w:left w:val="none" w:sz="0" w:space="0" w:color="auto"/>
        <w:bottom w:val="none" w:sz="0" w:space="0" w:color="auto"/>
        <w:right w:val="none" w:sz="0" w:space="0" w:color="auto"/>
      </w:divBdr>
    </w:div>
    <w:div w:id="1144465465">
      <w:bodyDiv w:val="1"/>
      <w:marLeft w:val="0"/>
      <w:marRight w:val="0"/>
      <w:marTop w:val="0"/>
      <w:marBottom w:val="0"/>
      <w:divBdr>
        <w:top w:val="none" w:sz="0" w:space="0" w:color="auto"/>
        <w:left w:val="none" w:sz="0" w:space="0" w:color="auto"/>
        <w:bottom w:val="none" w:sz="0" w:space="0" w:color="auto"/>
        <w:right w:val="none" w:sz="0" w:space="0" w:color="auto"/>
      </w:divBdr>
    </w:div>
    <w:div w:id="1147429954">
      <w:bodyDiv w:val="1"/>
      <w:marLeft w:val="0"/>
      <w:marRight w:val="0"/>
      <w:marTop w:val="0"/>
      <w:marBottom w:val="0"/>
      <w:divBdr>
        <w:top w:val="none" w:sz="0" w:space="0" w:color="auto"/>
        <w:left w:val="none" w:sz="0" w:space="0" w:color="auto"/>
        <w:bottom w:val="none" w:sz="0" w:space="0" w:color="auto"/>
        <w:right w:val="none" w:sz="0" w:space="0" w:color="auto"/>
      </w:divBdr>
    </w:div>
    <w:div w:id="1168445846">
      <w:bodyDiv w:val="1"/>
      <w:marLeft w:val="0"/>
      <w:marRight w:val="0"/>
      <w:marTop w:val="0"/>
      <w:marBottom w:val="0"/>
      <w:divBdr>
        <w:top w:val="none" w:sz="0" w:space="0" w:color="auto"/>
        <w:left w:val="none" w:sz="0" w:space="0" w:color="auto"/>
        <w:bottom w:val="none" w:sz="0" w:space="0" w:color="auto"/>
        <w:right w:val="none" w:sz="0" w:space="0" w:color="auto"/>
      </w:divBdr>
    </w:div>
    <w:div w:id="1168906790">
      <w:bodyDiv w:val="1"/>
      <w:marLeft w:val="0"/>
      <w:marRight w:val="0"/>
      <w:marTop w:val="0"/>
      <w:marBottom w:val="0"/>
      <w:divBdr>
        <w:top w:val="none" w:sz="0" w:space="0" w:color="auto"/>
        <w:left w:val="none" w:sz="0" w:space="0" w:color="auto"/>
        <w:bottom w:val="none" w:sz="0" w:space="0" w:color="auto"/>
        <w:right w:val="none" w:sz="0" w:space="0" w:color="auto"/>
      </w:divBdr>
      <w:divsChild>
        <w:div w:id="1535922764">
          <w:marLeft w:val="0"/>
          <w:marRight w:val="0"/>
          <w:marTop w:val="0"/>
          <w:marBottom w:val="0"/>
          <w:divBdr>
            <w:top w:val="none" w:sz="0" w:space="0" w:color="auto"/>
            <w:left w:val="none" w:sz="0" w:space="0" w:color="auto"/>
            <w:bottom w:val="none" w:sz="0" w:space="0" w:color="auto"/>
            <w:right w:val="none" w:sz="0" w:space="0" w:color="auto"/>
          </w:divBdr>
          <w:divsChild>
            <w:div w:id="1929462230">
              <w:marLeft w:val="0"/>
              <w:marRight w:val="0"/>
              <w:marTop w:val="0"/>
              <w:marBottom w:val="0"/>
              <w:divBdr>
                <w:top w:val="none" w:sz="0" w:space="0" w:color="auto"/>
                <w:left w:val="none" w:sz="0" w:space="0" w:color="auto"/>
                <w:bottom w:val="none" w:sz="0" w:space="0" w:color="auto"/>
                <w:right w:val="none" w:sz="0" w:space="0" w:color="auto"/>
              </w:divBdr>
              <w:divsChild>
                <w:div w:id="224415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0829231">
      <w:bodyDiv w:val="1"/>
      <w:marLeft w:val="0"/>
      <w:marRight w:val="0"/>
      <w:marTop w:val="0"/>
      <w:marBottom w:val="0"/>
      <w:divBdr>
        <w:top w:val="none" w:sz="0" w:space="0" w:color="auto"/>
        <w:left w:val="none" w:sz="0" w:space="0" w:color="auto"/>
        <w:bottom w:val="none" w:sz="0" w:space="0" w:color="auto"/>
        <w:right w:val="none" w:sz="0" w:space="0" w:color="auto"/>
      </w:divBdr>
    </w:div>
    <w:div w:id="1182401510">
      <w:bodyDiv w:val="1"/>
      <w:marLeft w:val="0"/>
      <w:marRight w:val="0"/>
      <w:marTop w:val="0"/>
      <w:marBottom w:val="0"/>
      <w:divBdr>
        <w:top w:val="none" w:sz="0" w:space="0" w:color="auto"/>
        <w:left w:val="none" w:sz="0" w:space="0" w:color="auto"/>
        <w:bottom w:val="none" w:sz="0" w:space="0" w:color="auto"/>
        <w:right w:val="none" w:sz="0" w:space="0" w:color="auto"/>
      </w:divBdr>
      <w:divsChild>
        <w:div w:id="749622750">
          <w:marLeft w:val="0"/>
          <w:marRight w:val="0"/>
          <w:marTop w:val="0"/>
          <w:marBottom w:val="0"/>
          <w:divBdr>
            <w:top w:val="none" w:sz="0" w:space="0" w:color="auto"/>
            <w:left w:val="none" w:sz="0" w:space="0" w:color="auto"/>
            <w:bottom w:val="none" w:sz="0" w:space="0" w:color="auto"/>
            <w:right w:val="none" w:sz="0" w:space="0" w:color="auto"/>
          </w:divBdr>
          <w:divsChild>
            <w:div w:id="1540244492">
              <w:marLeft w:val="0"/>
              <w:marRight w:val="0"/>
              <w:marTop w:val="0"/>
              <w:marBottom w:val="0"/>
              <w:divBdr>
                <w:top w:val="none" w:sz="0" w:space="0" w:color="auto"/>
                <w:left w:val="none" w:sz="0" w:space="0" w:color="auto"/>
                <w:bottom w:val="none" w:sz="0" w:space="0" w:color="auto"/>
                <w:right w:val="none" w:sz="0" w:space="0" w:color="auto"/>
              </w:divBdr>
              <w:divsChild>
                <w:div w:id="1858958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7569579">
      <w:bodyDiv w:val="1"/>
      <w:marLeft w:val="0"/>
      <w:marRight w:val="0"/>
      <w:marTop w:val="0"/>
      <w:marBottom w:val="0"/>
      <w:divBdr>
        <w:top w:val="none" w:sz="0" w:space="0" w:color="auto"/>
        <w:left w:val="none" w:sz="0" w:space="0" w:color="auto"/>
        <w:bottom w:val="none" w:sz="0" w:space="0" w:color="auto"/>
        <w:right w:val="none" w:sz="0" w:space="0" w:color="auto"/>
      </w:divBdr>
    </w:div>
    <w:div w:id="1228881660">
      <w:bodyDiv w:val="1"/>
      <w:marLeft w:val="0"/>
      <w:marRight w:val="0"/>
      <w:marTop w:val="0"/>
      <w:marBottom w:val="0"/>
      <w:divBdr>
        <w:top w:val="none" w:sz="0" w:space="0" w:color="auto"/>
        <w:left w:val="none" w:sz="0" w:space="0" w:color="auto"/>
        <w:bottom w:val="none" w:sz="0" w:space="0" w:color="auto"/>
        <w:right w:val="none" w:sz="0" w:space="0" w:color="auto"/>
      </w:divBdr>
    </w:div>
    <w:div w:id="1235701005">
      <w:bodyDiv w:val="1"/>
      <w:marLeft w:val="0"/>
      <w:marRight w:val="0"/>
      <w:marTop w:val="0"/>
      <w:marBottom w:val="0"/>
      <w:divBdr>
        <w:top w:val="none" w:sz="0" w:space="0" w:color="auto"/>
        <w:left w:val="none" w:sz="0" w:space="0" w:color="auto"/>
        <w:bottom w:val="none" w:sz="0" w:space="0" w:color="auto"/>
        <w:right w:val="none" w:sz="0" w:space="0" w:color="auto"/>
      </w:divBdr>
    </w:div>
    <w:div w:id="1240671910">
      <w:bodyDiv w:val="1"/>
      <w:marLeft w:val="0"/>
      <w:marRight w:val="0"/>
      <w:marTop w:val="0"/>
      <w:marBottom w:val="0"/>
      <w:divBdr>
        <w:top w:val="none" w:sz="0" w:space="0" w:color="auto"/>
        <w:left w:val="none" w:sz="0" w:space="0" w:color="auto"/>
        <w:bottom w:val="none" w:sz="0" w:space="0" w:color="auto"/>
        <w:right w:val="none" w:sz="0" w:space="0" w:color="auto"/>
      </w:divBdr>
      <w:divsChild>
        <w:div w:id="1056708291">
          <w:marLeft w:val="0"/>
          <w:marRight w:val="0"/>
          <w:marTop w:val="0"/>
          <w:marBottom w:val="0"/>
          <w:divBdr>
            <w:top w:val="none" w:sz="0" w:space="0" w:color="auto"/>
            <w:left w:val="none" w:sz="0" w:space="0" w:color="auto"/>
            <w:bottom w:val="none" w:sz="0" w:space="0" w:color="auto"/>
            <w:right w:val="none" w:sz="0" w:space="0" w:color="auto"/>
          </w:divBdr>
          <w:divsChild>
            <w:div w:id="240874319">
              <w:marLeft w:val="0"/>
              <w:marRight w:val="0"/>
              <w:marTop w:val="0"/>
              <w:marBottom w:val="0"/>
              <w:divBdr>
                <w:top w:val="none" w:sz="0" w:space="0" w:color="auto"/>
                <w:left w:val="none" w:sz="0" w:space="0" w:color="auto"/>
                <w:bottom w:val="none" w:sz="0" w:space="0" w:color="auto"/>
                <w:right w:val="none" w:sz="0" w:space="0" w:color="auto"/>
              </w:divBdr>
              <w:divsChild>
                <w:div w:id="92696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5914575">
      <w:bodyDiv w:val="1"/>
      <w:marLeft w:val="0"/>
      <w:marRight w:val="0"/>
      <w:marTop w:val="0"/>
      <w:marBottom w:val="0"/>
      <w:divBdr>
        <w:top w:val="none" w:sz="0" w:space="0" w:color="auto"/>
        <w:left w:val="none" w:sz="0" w:space="0" w:color="auto"/>
        <w:bottom w:val="none" w:sz="0" w:space="0" w:color="auto"/>
        <w:right w:val="none" w:sz="0" w:space="0" w:color="auto"/>
      </w:divBdr>
      <w:divsChild>
        <w:div w:id="189534301">
          <w:marLeft w:val="0"/>
          <w:marRight w:val="0"/>
          <w:marTop w:val="0"/>
          <w:marBottom w:val="0"/>
          <w:divBdr>
            <w:top w:val="none" w:sz="0" w:space="0" w:color="auto"/>
            <w:left w:val="none" w:sz="0" w:space="0" w:color="auto"/>
            <w:bottom w:val="none" w:sz="0" w:space="0" w:color="auto"/>
            <w:right w:val="none" w:sz="0" w:space="0" w:color="auto"/>
          </w:divBdr>
          <w:divsChild>
            <w:div w:id="1364406649">
              <w:marLeft w:val="0"/>
              <w:marRight w:val="0"/>
              <w:marTop w:val="0"/>
              <w:marBottom w:val="0"/>
              <w:divBdr>
                <w:top w:val="none" w:sz="0" w:space="0" w:color="auto"/>
                <w:left w:val="none" w:sz="0" w:space="0" w:color="auto"/>
                <w:bottom w:val="none" w:sz="0" w:space="0" w:color="auto"/>
                <w:right w:val="none" w:sz="0" w:space="0" w:color="auto"/>
              </w:divBdr>
              <w:divsChild>
                <w:div w:id="65294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381690">
      <w:bodyDiv w:val="1"/>
      <w:marLeft w:val="0"/>
      <w:marRight w:val="0"/>
      <w:marTop w:val="0"/>
      <w:marBottom w:val="0"/>
      <w:divBdr>
        <w:top w:val="none" w:sz="0" w:space="0" w:color="auto"/>
        <w:left w:val="none" w:sz="0" w:space="0" w:color="auto"/>
        <w:bottom w:val="none" w:sz="0" w:space="0" w:color="auto"/>
        <w:right w:val="none" w:sz="0" w:space="0" w:color="auto"/>
      </w:divBdr>
    </w:div>
    <w:div w:id="1268349471">
      <w:bodyDiv w:val="1"/>
      <w:marLeft w:val="0"/>
      <w:marRight w:val="0"/>
      <w:marTop w:val="0"/>
      <w:marBottom w:val="0"/>
      <w:divBdr>
        <w:top w:val="none" w:sz="0" w:space="0" w:color="auto"/>
        <w:left w:val="none" w:sz="0" w:space="0" w:color="auto"/>
        <w:bottom w:val="none" w:sz="0" w:space="0" w:color="auto"/>
        <w:right w:val="none" w:sz="0" w:space="0" w:color="auto"/>
      </w:divBdr>
    </w:div>
    <w:div w:id="1300645318">
      <w:bodyDiv w:val="1"/>
      <w:marLeft w:val="0"/>
      <w:marRight w:val="0"/>
      <w:marTop w:val="0"/>
      <w:marBottom w:val="0"/>
      <w:divBdr>
        <w:top w:val="none" w:sz="0" w:space="0" w:color="auto"/>
        <w:left w:val="none" w:sz="0" w:space="0" w:color="auto"/>
        <w:bottom w:val="none" w:sz="0" w:space="0" w:color="auto"/>
        <w:right w:val="none" w:sz="0" w:space="0" w:color="auto"/>
      </w:divBdr>
      <w:divsChild>
        <w:div w:id="1050111149">
          <w:marLeft w:val="0"/>
          <w:marRight w:val="0"/>
          <w:marTop w:val="0"/>
          <w:marBottom w:val="0"/>
          <w:divBdr>
            <w:top w:val="none" w:sz="0" w:space="0" w:color="auto"/>
            <w:left w:val="none" w:sz="0" w:space="0" w:color="auto"/>
            <w:bottom w:val="none" w:sz="0" w:space="0" w:color="auto"/>
            <w:right w:val="none" w:sz="0" w:space="0" w:color="auto"/>
          </w:divBdr>
          <w:divsChild>
            <w:div w:id="193424520">
              <w:marLeft w:val="0"/>
              <w:marRight w:val="0"/>
              <w:marTop w:val="0"/>
              <w:marBottom w:val="0"/>
              <w:divBdr>
                <w:top w:val="none" w:sz="0" w:space="0" w:color="auto"/>
                <w:left w:val="none" w:sz="0" w:space="0" w:color="auto"/>
                <w:bottom w:val="none" w:sz="0" w:space="0" w:color="auto"/>
                <w:right w:val="none" w:sz="0" w:space="0" w:color="auto"/>
              </w:divBdr>
              <w:divsChild>
                <w:div w:id="1556966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2930261">
      <w:bodyDiv w:val="1"/>
      <w:marLeft w:val="0"/>
      <w:marRight w:val="0"/>
      <w:marTop w:val="0"/>
      <w:marBottom w:val="0"/>
      <w:divBdr>
        <w:top w:val="none" w:sz="0" w:space="0" w:color="auto"/>
        <w:left w:val="none" w:sz="0" w:space="0" w:color="auto"/>
        <w:bottom w:val="none" w:sz="0" w:space="0" w:color="auto"/>
        <w:right w:val="none" w:sz="0" w:space="0" w:color="auto"/>
      </w:divBdr>
    </w:div>
    <w:div w:id="1306086552">
      <w:bodyDiv w:val="1"/>
      <w:marLeft w:val="0"/>
      <w:marRight w:val="0"/>
      <w:marTop w:val="0"/>
      <w:marBottom w:val="0"/>
      <w:divBdr>
        <w:top w:val="none" w:sz="0" w:space="0" w:color="auto"/>
        <w:left w:val="none" w:sz="0" w:space="0" w:color="auto"/>
        <w:bottom w:val="none" w:sz="0" w:space="0" w:color="auto"/>
        <w:right w:val="none" w:sz="0" w:space="0" w:color="auto"/>
      </w:divBdr>
    </w:div>
    <w:div w:id="1306854608">
      <w:bodyDiv w:val="1"/>
      <w:marLeft w:val="0"/>
      <w:marRight w:val="0"/>
      <w:marTop w:val="0"/>
      <w:marBottom w:val="0"/>
      <w:divBdr>
        <w:top w:val="none" w:sz="0" w:space="0" w:color="auto"/>
        <w:left w:val="none" w:sz="0" w:space="0" w:color="auto"/>
        <w:bottom w:val="none" w:sz="0" w:space="0" w:color="auto"/>
        <w:right w:val="none" w:sz="0" w:space="0" w:color="auto"/>
      </w:divBdr>
      <w:divsChild>
        <w:div w:id="2005355994">
          <w:marLeft w:val="0"/>
          <w:marRight w:val="0"/>
          <w:marTop w:val="0"/>
          <w:marBottom w:val="0"/>
          <w:divBdr>
            <w:top w:val="none" w:sz="0" w:space="0" w:color="auto"/>
            <w:left w:val="none" w:sz="0" w:space="0" w:color="auto"/>
            <w:bottom w:val="none" w:sz="0" w:space="0" w:color="auto"/>
            <w:right w:val="none" w:sz="0" w:space="0" w:color="auto"/>
          </w:divBdr>
          <w:divsChild>
            <w:div w:id="775054006">
              <w:marLeft w:val="0"/>
              <w:marRight w:val="0"/>
              <w:marTop w:val="0"/>
              <w:marBottom w:val="0"/>
              <w:divBdr>
                <w:top w:val="none" w:sz="0" w:space="0" w:color="auto"/>
                <w:left w:val="none" w:sz="0" w:space="0" w:color="auto"/>
                <w:bottom w:val="none" w:sz="0" w:space="0" w:color="auto"/>
                <w:right w:val="none" w:sz="0" w:space="0" w:color="auto"/>
              </w:divBdr>
              <w:divsChild>
                <w:div w:id="1504003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0308915">
      <w:bodyDiv w:val="1"/>
      <w:marLeft w:val="0"/>
      <w:marRight w:val="0"/>
      <w:marTop w:val="0"/>
      <w:marBottom w:val="0"/>
      <w:divBdr>
        <w:top w:val="none" w:sz="0" w:space="0" w:color="auto"/>
        <w:left w:val="none" w:sz="0" w:space="0" w:color="auto"/>
        <w:bottom w:val="none" w:sz="0" w:space="0" w:color="auto"/>
        <w:right w:val="none" w:sz="0" w:space="0" w:color="auto"/>
      </w:divBdr>
    </w:div>
    <w:div w:id="1327710289">
      <w:bodyDiv w:val="1"/>
      <w:marLeft w:val="0"/>
      <w:marRight w:val="0"/>
      <w:marTop w:val="0"/>
      <w:marBottom w:val="0"/>
      <w:divBdr>
        <w:top w:val="none" w:sz="0" w:space="0" w:color="auto"/>
        <w:left w:val="none" w:sz="0" w:space="0" w:color="auto"/>
        <w:bottom w:val="none" w:sz="0" w:space="0" w:color="auto"/>
        <w:right w:val="none" w:sz="0" w:space="0" w:color="auto"/>
      </w:divBdr>
    </w:div>
    <w:div w:id="1340276966">
      <w:bodyDiv w:val="1"/>
      <w:marLeft w:val="0"/>
      <w:marRight w:val="0"/>
      <w:marTop w:val="0"/>
      <w:marBottom w:val="0"/>
      <w:divBdr>
        <w:top w:val="none" w:sz="0" w:space="0" w:color="auto"/>
        <w:left w:val="none" w:sz="0" w:space="0" w:color="auto"/>
        <w:bottom w:val="none" w:sz="0" w:space="0" w:color="auto"/>
        <w:right w:val="none" w:sz="0" w:space="0" w:color="auto"/>
      </w:divBdr>
    </w:div>
    <w:div w:id="1382434778">
      <w:bodyDiv w:val="1"/>
      <w:marLeft w:val="0"/>
      <w:marRight w:val="0"/>
      <w:marTop w:val="0"/>
      <w:marBottom w:val="0"/>
      <w:divBdr>
        <w:top w:val="none" w:sz="0" w:space="0" w:color="auto"/>
        <w:left w:val="none" w:sz="0" w:space="0" w:color="auto"/>
        <w:bottom w:val="none" w:sz="0" w:space="0" w:color="auto"/>
        <w:right w:val="none" w:sz="0" w:space="0" w:color="auto"/>
      </w:divBdr>
      <w:divsChild>
        <w:div w:id="2066443741">
          <w:marLeft w:val="0"/>
          <w:marRight w:val="0"/>
          <w:marTop w:val="0"/>
          <w:marBottom w:val="0"/>
          <w:divBdr>
            <w:top w:val="none" w:sz="0" w:space="0" w:color="auto"/>
            <w:left w:val="none" w:sz="0" w:space="0" w:color="auto"/>
            <w:bottom w:val="none" w:sz="0" w:space="0" w:color="auto"/>
            <w:right w:val="none" w:sz="0" w:space="0" w:color="auto"/>
          </w:divBdr>
          <w:divsChild>
            <w:div w:id="1728145318">
              <w:marLeft w:val="0"/>
              <w:marRight w:val="0"/>
              <w:marTop w:val="0"/>
              <w:marBottom w:val="0"/>
              <w:divBdr>
                <w:top w:val="none" w:sz="0" w:space="0" w:color="auto"/>
                <w:left w:val="none" w:sz="0" w:space="0" w:color="auto"/>
                <w:bottom w:val="none" w:sz="0" w:space="0" w:color="auto"/>
                <w:right w:val="none" w:sz="0" w:space="0" w:color="auto"/>
              </w:divBdr>
              <w:divsChild>
                <w:div w:id="2018533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1492021">
      <w:bodyDiv w:val="1"/>
      <w:marLeft w:val="0"/>
      <w:marRight w:val="0"/>
      <w:marTop w:val="0"/>
      <w:marBottom w:val="0"/>
      <w:divBdr>
        <w:top w:val="none" w:sz="0" w:space="0" w:color="auto"/>
        <w:left w:val="none" w:sz="0" w:space="0" w:color="auto"/>
        <w:bottom w:val="none" w:sz="0" w:space="0" w:color="auto"/>
        <w:right w:val="none" w:sz="0" w:space="0" w:color="auto"/>
      </w:divBdr>
    </w:div>
    <w:div w:id="1394545349">
      <w:bodyDiv w:val="1"/>
      <w:marLeft w:val="0"/>
      <w:marRight w:val="0"/>
      <w:marTop w:val="0"/>
      <w:marBottom w:val="0"/>
      <w:divBdr>
        <w:top w:val="none" w:sz="0" w:space="0" w:color="auto"/>
        <w:left w:val="none" w:sz="0" w:space="0" w:color="auto"/>
        <w:bottom w:val="none" w:sz="0" w:space="0" w:color="auto"/>
        <w:right w:val="none" w:sz="0" w:space="0" w:color="auto"/>
      </w:divBdr>
    </w:div>
    <w:div w:id="1404139483">
      <w:bodyDiv w:val="1"/>
      <w:marLeft w:val="0"/>
      <w:marRight w:val="0"/>
      <w:marTop w:val="0"/>
      <w:marBottom w:val="0"/>
      <w:divBdr>
        <w:top w:val="none" w:sz="0" w:space="0" w:color="auto"/>
        <w:left w:val="none" w:sz="0" w:space="0" w:color="auto"/>
        <w:bottom w:val="none" w:sz="0" w:space="0" w:color="auto"/>
        <w:right w:val="none" w:sz="0" w:space="0" w:color="auto"/>
      </w:divBdr>
    </w:div>
    <w:div w:id="1455295784">
      <w:bodyDiv w:val="1"/>
      <w:marLeft w:val="0"/>
      <w:marRight w:val="0"/>
      <w:marTop w:val="0"/>
      <w:marBottom w:val="0"/>
      <w:divBdr>
        <w:top w:val="none" w:sz="0" w:space="0" w:color="auto"/>
        <w:left w:val="none" w:sz="0" w:space="0" w:color="auto"/>
        <w:bottom w:val="none" w:sz="0" w:space="0" w:color="auto"/>
        <w:right w:val="none" w:sz="0" w:space="0" w:color="auto"/>
      </w:divBdr>
    </w:div>
    <w:div w:id="1476723236">
      <w:bodyDiv w:val="1"/>
      <w:marLeft w:val="0"/>
      <w:marRight w:val="0"/>
      <w:marTop w:val="0"/>
      <w:marBottom w:val="0"/>
      <w:divBdr>
        <w:top w:val="none" w:sz="0" w:space="0" w:color="auto"/>
        <w:left w:val="none" w:sz="0" w:space="0" w:color="auto"/>
        <w:bottom w:val="none" w:sz="0" w:space="0" w:color="auto"/>
        <w:right w:val="none" w:sz="0" w:space="0" w:color="auto"/>
      </w:divBdr>
      <w:divsChild>
        <w:div w:id="1263880423">
          <w:marLeft w:val="0"/>
          <w:marRight w:val="0"/>
          <w:marTop w:val="0"/>
          <w:marBottom w:val="0"/>
          <w:divBdr>
            <w:top w:val="none" w:sz="0" w:space="0" w:color="auto"/>
            <w:left w:val="none" w:sz="0" w:space="0" w:color="auto"/>
            <w:bottom w:val="none" w:sz="0" w:space="0" w:color="auto"/>
            <w:right w:val="none" w:sz="0" w:space="0" w:color="auto"/>
          </w:divBdr>
        </w:div>
      </w:divsChild>
    </w:div>
    <w:div w:id="1479956979">
      <w:bodyDiv w:val="1"/>
      <w:marLeft w:val="0"/>
      <w:marRight w:val="0"/>
      <w:marTop w:val="0"/>
      <w:marBottom w:val="0"/>
      <w:divBdr>
        <w:top w:val="none" w:sz="0" w:space="0" w:color="auto"/>
        <w:left w:val="none" w:sz="0" w:space="0" w:color="auto"/>
        <w:bottom w:val="none" w:sz="0" w:space="0" w:color="auto"/>
        <w:right w:val="none" w:sz="0" w:space="0" w:color="auto"/>
      </w:divBdr>
    </w:div>
    <w:div w:id="1498303185">
      <w:bodyDiv w:val="1"/>
      <w:marLeft w:val="0"/>
      <w:marRight w:val="0"/>
      <w:marTop w:val="0"/>
      <w:marBottom w:val="0"/>
      <w:divBdr>
        <w:top w:val="none" w:sz="0" w:space="0" w:color="auto"/>
        <w:left w:val="none" w:sz="0" w:space="0" w:color="auto"/>
        <w:bottom w:val="none" w:sz="0" w:space="0" w:color="auto"/>
        <w:right w:val="none" w:sz="0" w:space="0" w:color="auto"/>
      </w:divBdr>
    </w:div>
    <w:div w:id="1500920778">
      <w:bodyDiv w:val="1"/>
      <w:marLeft w:val="0"/>
      <w:marRight w:val="0"/>
      <w:marTop w:val="0"/>
      <w:marBottom w:val="0"/>
      <w:divBdr>
        <w:top w:val="none" w:sz="0" w:space="0" w:color="auto"/>
        <w:left w:val="none" w:sz="0" w:space="0" w:color="auto"/>
        <w:bottom w:val="none" w:sz="0" w:space="0" w:color="auto"/>
        <w:right w:val="none" w:sz="0" w:space="0" w:color="auto"/>
      </w:divBdr>
      <w:divsChild>
        <w:div w:id="1271085549">
          <w:marLeft w:val="0"/>
          <w:marRight w:val="0"/>
          <w:marTop w:val="0"/>
          <w:marBottom w:val="0"/>
          <w:divBdr>
            <w:top w:val="none" w:sz="0" w:space="0" w:color="auto"/>
            <w:left w:val="none" w:sz="0" w:space="0" w:color="auto"/>
            <w:bottom w:val="none" w:sz="0" w:space="0" w:color="auto"/>
            <w:right w:val="none" w:sz="0" w:space="0" w:color="auto"/>
          </w:divBdr>
          <w:divsChild>
            <w:div w:id="1304893750">
              <w:marLeft w:val="0"/>
              <w:marRight w:val="0"/>
              <w:marTop w:val="0"/>
              <w:marBottom w:val="0"/>
              <w:divBdr>
                <w:top w:val="none" w:sz="0" w:space="0" w:color="auto"/>
                <w:left w:val="none" w:sz="0" w:space="0" w:color="auto"/>
                <w:bottom w:val="none" w:sz="0" w:space="0" w:color="auto"/>
                <w:right w:val="none" w:sz="0" w:space="0" w:color="auto"/>
              </w:divBdr>
              <w:divsChild>
                <w:div w:id="1423136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3277102">
      <w:bodyDiv w:val="1"/>
      <w:marLeft w:val="0"/>
      <w:marRight w:val="0"/>
      <w:marTop w:val="0"/>
      <w:marBottom w:val="0"/>
      <w:divBdr>
        <w:top w:val="none" w:sz="0" w:space="0" w:color="auto"/>
        <w:left w:val="none" w:sz="0" w:space="0" w:color="auto"/>
        <w:bottom w:val="none" w:sz="0" w:space="0" w:color="auto"/>
        <w:right w:val="none" w:sz="0" w:space="0" w:color="auto"/>
      </w:divBdr>
    </w:div>
    <w:div w:id="1515266105">
      <w:bodyDiv w:val="1"/>
      <w:marLeft w:val="0"/>
      <w:marRight w:val="0"/>
      <w:marTop w:val="0"/>
      <w:marBottom w:val="0"/>
      <w:divBdr>
        <w:top w:val="none" w:sz="0" w:space="0" w:color="auto"/>
        <w:left w:val="none" w:sz="0" w:space="0" w:color="auto"/>
        <w:bottom w:val="none" w:sz="0" w:space="0" w:color="auto"/>
        <w:right w:val="none" w:sz="0" w:space="0" w:color="auto"/>
      </w:divBdr>
    </w:div>
    <w:div w:id="1524975528">
      <w:bodyDiv w:val="1"/>
      <w:marLeft w:val="0"/>
      <w:marRight w:val="0"/>
      <w:marTop w:val="0"/>
      <w:marBottom w:val="0"/>
      <w:divBdr>
        <w:top w:val="none" w:sz="0" w:space="0" w:color="auto"/>
        <w:left w:val="none" w:sz="0" w:space="0" w:color="auto"/>
        <w:bottom w:val="none" w:sz="0" w:space="0" w:color="auto"/>
        <w:right w:val="none" w:sz="0" w:space="0" w:color="auto"/>
      </w:divBdr>
    </w:div>
    <w:div w:id="1572352487">
      <w:bodyDiv w:val="1"/>
      <w:marLeft w:val="0"/>
      <w:marRight w:val="0"/>
      <w:marTop w:val="0"/>
      <w:marBottom w:val="0"/>
      <w:divBdr>
        <w:top w:val="none" w:sz="0" w:space="0" w:color="auto"/>
        <w:left w:val="none" w:sz="0" w:space="0" w:color="auto"/>
        <w:bottom w:val="none" w:sz="0" w:space="0" w:color="auto"/>
        <w:right w:val="none" w:sz="0" w:space="0" w:color="auto"/>
      </w:divBdr>
    </w:div>
    <w:div w:id="1587151665">
      <w:bodyDiv w:val="1"/>
      <w:marLeft w:val="0"/>
      <w:marRight w:val="0"/>
      <w:marTop w:val="0"/>
      <w:marBottom w:val="0"/>
      <w:divBdr>
        <w:top w:val="none" w:sz="0" w:space="0" w:color="auto"/>
        <w:left w:val="none" w:sz="0" w:space="0" w:color="auto"/>
        <w:bottom w:val="none" w:sz="0" w:space="0" w:color="auto"/>
        <w:right w:val="none" w:sz="0" w:space="0" w:color="auto"/>
      </w:divBdr>
    </w:div>
    <w:div w:id="1591044164">
      <w:bodyDiv w:val="1"/>
      <w:marLeft w:val="0"/>
      <w:marRight w:val="0"/>
      <w:marTop w:val="0"/>
      <w:marBottom w:val="0"/>
      <w:divBdr>
        <w:top w:val="none" w:sz="0" w:space="0" w:color="auto"/>
        <w:left w:val="none" w:sz="0" w:space="0" w:color="auto"/>
        <w:bottom w:val="none" w:sz="0" w:space="0" w:color="auto"/>
        <w:right w:val="none" w:sz="0" w:space="0" w:color="auto"/>
      </w:divBdr>
    </w:div>
    <w:div w:id="1607693047">
      <w:bodyDiv w:val="1"/>
      <w:marLeft w:val="0"/>
      <w:marRight w:val="0"/>
      <w:marTop w:val="0"/>
      <w:marBottom w:val="0"/>
      <w:divBdr>
        <w:top w:val="none" w:sz="0" w:space="0" w:color="auto"/>
        <w:left w:val="none" w:sz="0" w:space="0" w:color="auto"/>
        <w:bottom w:val="none" w:sz="0" w:space="0" w:color="auto"/>
        <w:right w:val="none" w:sz="0" w:space="0" w:color="auto"/>
      </w:divBdr>
    </w:div>
    <w:div w:id="1642004610">
      <w:bodyDiv w:val="1"/>
      <w:marLeft w:val="0"/>
      <w:marRight w:val="0"/>
      <w:marTop w:val="0"/>
      <w:marBottom w:val="0"/>
      <w:divBdr>
        <w:top w:val="none" w:sz="0" w:space="0" w:color="auto"/>
        <w:left w:val="none" w:sz="0" w:space="0" w:color="auto"/>
        <w:bottom w:val="none" w:sz="0" w:space="0" w:color="auto"/>
        <w:right w:val="none" w:sz="0" w:space="0" w:color="auto"/>
      </w:divBdr>
    </w:div>
    <w:div w:id="1643347426">
      <w:bodyDiv w:val="1"/>
      <w:marLeft w:val="0"/>
      <w:marRight w:val="0"/>
      <w:marTop w:val="0"/>
      <w:marBottom w:val="0"/>
      <w:divBdr>
        <w:top w:val="none" w:sz="0" w:space="0" w:color="auto"/>
        <w:left w:val="none" w:sz="0" w:space="0" w:color="auto"/>
        <w:bottom w:val="none" w:sz="0" w:space="0" w:color="auto"/>
        <w:right w:val="none" w:sz="0" w:space="0" w:color="auto"/>
      </w:divBdr>
      <w:divsChild>
        <w:div w:id="111752425">
          <w:marLeft w:val="0"/>
          <w:marRight w:val="0"/>
          <w:marTop w:val="0"/>
          <w:marBottom w:val="0"/>
          <w:divBdr>
            <w:top w:val="none" w:sz="0" w:space="0" w:color="auto"/>
            <w:left w:val="none" w:sz="0" w:space="0" w:color="auto"/>
            <w:bottom w:val="none" w:sz="0" w:space="0" w:color="auto"/>
            <w:right w:val="none" w:sz="0" w:space="0" w:color="auto"/>
          </w:divBdr>
          <w:divsChild>
            <w:div w:id="1268079452">
              <w:marLeft w:val="0"/>
              <w:marRight w:val="0"/>
              <w:marTop w:val="0"/>
              <w:marBottom w:val="0"/>
              <w:divBdr>
                <w:top w:val="none" w:sz="0" w:space="0" w:color="auto"/>
                <w:left w:val="none" w:sz="0" w:space="0" w:color="auto"/>
                <w:bottom w:val="none" w:sz="0" w:space="0" w:color="auto"/>
                <w:right w:val="none" w:sz="0" w:space="0" w:color="auto"/>
              </w:divBdr>
              <w:divsChild>
                <w:div w:id="1895922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0573957">
      <w:bodyDiv w:val="1"/>
      <w:marLeft w:val="0"/>
      <w:marRight w:val="0"/>
      <w:marTop w:val="0"/>
      <w:marBottom w:val="0"/>
      <w:divBdr>
        <w:top w:val="none" w:sz="0" w:space="0" w:color="auto"/>
        <w:left w:val="none" w:sz="0" w:space="0" w:color="auto"/>
        <w:bottom w:val="none" w:sz="0" w:space="0" w:color="auto"/>
        <w:right w:val="none" w:sz="0" w:space="0" w:color="auto"/>
      </w:divBdr>
    </w:div>
    <w:div w:id="1661880730">
      <w:bodyDiv w:val="1"/>
      <w:marLeft w:val="0"/>
      <w:marRight w:val="0"/>
      <w:marTop w:val="0"/>
      <w:marBottom w:val="0"/>
      <w:divBdr>
        <w:top w:val="none" w:sz="0" w:space="0" w:color="auto"/>
        <w:left w:val="none" w:sz="0" w:space="0" w:color="auto"/>
        <w:bottom w:val="none" w:sz="0" w:space="0" w:color="auto"/>
        <w:right w:val="none" w:sz="0" w:space="0" w:color="auto"/>
      </w:divBdr>
    </w:div>
    <w:div w:id="1687829447">
      <w:bodyDiv w:val="1"/>
      <w:marLeft w:val="0"/>
      <w:marRight w:val="0"/>
      <w:marTop w:val="0"/>
      <w:marBottom w:val="0"/>
      <w:divBdr>
        <w:top w:val="none" w:sz="0" w:space="0" w:color="auto"/>
        <w:left w:val="none" w:sz="0" w:space="0" w:color="auto"/>
        <w:bottom w:val="none" w:sz="0" w:space="0" w:color="auto"/>
        <w:right w:val="none" w:sz="0" w:space="0" w:color="auto"/>
      </w:divBdr>
    </w:div>
    <w:div w:id="1691879835">
      <w:bodyDiv w:val="1"/>
      <w:marLeft w:val="0"/>
      <w:marRight w:val="0"/>
      <w:marTop w:val="0"/>
      <w:marBottom w:val="0"/>
      <w:divBdr>
        <w:top w:val="none" w:sz="0" w:space="0" w:color="auto"/>
        <w:left w:val="none" w:sz="0" w:space="0" w:color="auto"/>
        <w:bottom w:val="none" w:sz="0" w:space="0" w:color="auto"/>
        <w:right w:val="none" w:sz="0" w:space="0" w:color="auto"/>
      </w:divBdr>
      <w:divsChild>
        <w:div w:id="1210455438">
          <w:marLeft w:val="0"/>
          <w:marRight w:val="0"/>
          <w:marTop w:val="0"/>
          <w:marBottom w:val="0"/>
          <w:divBdr>
            <w:top w:val="none" w:sz="0" w:space="0" w:color="auto"/>
            <w:left w:val="none" w:sz="0" w:space="0" w:color="auto"/>
            <w:bottom w:val="none" w:sz="0" w:space="0" w:color="auto"/>
            <w:right w:val="none" w:sz="0" w:space="0" w:color="auto"/>
          </w:divBdr>
          <w:divsChild>
            <w:div w:id="1942755798">
              <w:marLeft w:val="0"/>
              <w:marRight w:val="0"/>
              <w:marTop w:val="0"/>
              <w:marBottom w:val="0"/>
              <w:divBdr>
                <w:top w:val="none" w:sz="0" w:space="0" w:color="auto"/>
                <w:left w:val="none" w:sz="0" w:space="0" w:color="auto"/>
                <w:bottom w:val="none" w:sz="0" w:space="0" w:color="auto"/>
                <w:right w:val="none" w:sz="0" w:space="0" w:color="auto"/>
              </w:divBdr>
              <w:divsChild>
                <w:div w:id="329872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3938050">
      <w:bodyDiv w:val="1"/>
      <w:marLeft w:val="0"/>
      <w:marRight w:val="0"/>
      <w:marTop w:val="0"/>
      <w:marBottom w:val="0"/>
      <w:divBdr>
        <w:top w:val="none" w:sz="0" w:space="0" w:color="auto"/>
        <w:left w:val="none" w:sz="0" w:space="0" w:color="auto"/>
        <w:bottom w:val="none" w:sz="0" w:space="0" w:color="auto"/>
        <w:right w:val="none" w:sz="0" w:space="0" w:color="auto"/>
      </w:divBdr>
    </w:div>
    <w:div w:id="1707412757">
      <w:bodyDiv w:val="1"/>
      <w:marLeft w:val="0"/>
      <w:marRight w:val="0"/>
      <w:marTop w:val="0"/>
      <w:marBottom w:val="0"/>
      <w:divBdr>
        <w:top w:val="none" w:sz="0" w:space="0" w:color="auto"/>
        <w:left w:val="none" w:sz="0" w:space="0" w:color="auto"/>
        <w:bottom w:val="none" w:sz="0" w:space="0" w:color="auto"/>
        <w:right w:val="none" w:sz="0" w:space="0" w:color="auto"/>
      </w:divBdr>
    </w:div>
    <w:div w:id="1708523916">
      <w:bodyDiv w:val="1"/>
      <w:marLeft w:val="0"/>
      <w:marRight w:val="0"/>
      <w:marTop w:val="0"/>
      <w:marBottom w:val="0"/>
      <w:divBdr>
        <w:top w:val="none" w:sz="0" w:space="0" w:color="auto"/>
        <w:left w:val="none" w:sz="0" w:space="0" w:color="auto"/>
        <w:bottom w:val="none" w:sz="0" w:space="0" w:color="auto"/>
        <w:right w:val="none" w:sz="0" w:space="0" w:color="auto"/>
      </w:divBdr>
    </w:div>
    <w:div w:id="1711419681">
      <w:bodyDiv w:val="1"/>
      <w:marLeft w:val="0"/>
      <w:marRight w:val="0"/>
      <w:marTop w:val="0"/>
      <w:marBottom w:val="0"/>
      <w:divBdr>
        <w:top w:val="none" w:sz="0" w:space="0" w:color="auto"/>
        <w:left w:val="none" w:sz="0" w:space="0" w:color="auto"/>
        <w:bottom w:val="none" w:sz="0" w:space="0" w:color="auto"/>
        <w:right w:val="none" w:sz="0" w:space="0" w:color="auto"/>
      </w:divBdr>
    </w:div>
    <w:div w:id="1721124363">
      <w:bodyDiv w:val="1"/>
      <w:marLeft w:val="0"/>
      <w:marRight w:val="0"/>
      <w:marTop w:val="0"/>
      <w:marBottom w:val="0"/>
      <w:divBdr>
        <w:top w:val="none" w:sz="0" w:space="0" w:color="auto"/>
        <w:left w:val="none" w:sz="0" w:space="0" w:color="auto"/>
        <w:bottom w:val="none" w:sz="0" w:space="0" w:color="auto"/>
        <w:right w:val="none" w:sz="0" w:space="0" w:color="auto"/>
      </w:divBdr>
    </w:div>
    <w:div w:id="1731882725">
      <w:bodyDiv w:val="1"/>
      <w:marLeft w:val="0"/>
      <w:marRight w:val="0"/>
      <w:marTop w:val="0"/>
      <w:marBottom w:val="0"/>
      <w:divBdr>
        <w:top w:val="none" w:sz="0" w:space="0" w:color="auto"/>
        <w:left w:val="none" w:sz="0" w:space="0" w:color="auto"/>
        <w:bottom w:val="none" w:sz="0" w:space="0" w:color="auto"/>
        <w:right w:val="none" w:sz="0" w:space="0" w:color="auto"/>
      </w:divBdr>
    </w:div>
    <w:div w:id="1732338876">
      <w:bodyDiv w:val="1"/>
      <w:marLeft w:val="0"/>
      <w:marRight w:val="0"/>
      <w:marTop w:val="0"/>
      <w:marBottom w:val="0"/>
      <w:divBdr>
        <w:top w:val="none" w:sz="0" w:space="0" w:color="auto"/>
        <w:left w:val="none" w:sz="0" w:space="0" w:color="auto"/>
        <w:bottom w:val="none" w:sz="0" w:space="0" w:color="auto"/>
        <w:right w:val="none" w:sz="0" w:space="0" w:color="auto"/>
      </w:divBdr>
    </w:div>
    <w:div w:id="1740666498">
      <w:bodyDiv w:val="1"/>
      <w:marLeft w:val="0"/>
      <w:marRight w:val="0"/>
      <w:marTop w:val="0"/>
      <w:marBottom w:val="0"/>
      <w:divBdr>
        <w:top w:val="none" w:sz="0" w:space="0" w:color="auto"/>
        <w:left w:val="none" w:sz="0" w:space="0" w:color="auto"/>
        <w:bottom w:val="none" w:sz="0" w:space="0" w:color="auto"/>
        <w:right w:val="none" w:sz="0" w:space="0" w:color="auto"/>
      </w:divBdr>
    </w:div>
    <w:div w:id="1740708594">
      <w:bodyDiv w:val="1"/>
      <w:marLeft w:val="0"/>
      <w:marRight w:val="0"/>
      <w:marTop w:val="0"/>
      <w:marBottom w:val="0"/>
      <w:divBdr>
        <w:top w:val="none" w:sz="0" w:space="0" w:color="auto"/>
        <w:left w:val="none" w:sz="0" w:space="0" w:color="auto"/>
        <w:bottom w:val="none" w:sz="0" w:space="0" w:color="auto"/>
        <w:right w:val="none" w:sz="0" w:space="0" w:color="auto"/>
      </w:divBdr>
      <w:divsChild>
        <w:div w:id="704334799">
          <w:marLeft w:val="0"/>
          <w:marRight w:val="0"/>
          <w:marTop w:val="0"/>
          <w:marBottom w:val="0"/>
          <w:divBdr>
            <w:top w:val="none" w:sz="0" w:space="0" w:color="auto"/>
            <w:left w:val="none" w:sz="0" w:space="0" w:color="auto"/>
            <w:bottom w:val="none" w:sz="0" w:space="0" w:color="auto"/>
            <w:right w:val="none" w:sz="0" w:space="0" w:color="auto"/>
          </w:divBdr>
        </w:div>
      </w:divsChild>
    </w:div>
    <w:div w:id="1747024338">
      <w:bodyDiv w:val="1"/>
      <w:marLeft w:val="0"/>
      <w:marRight w:val="0"/>
      <w:marTop w:val="0"/>
      <w:marBottom w:val="0"/>
      <w:divBdr>
        <w:top w:val="none" w:sz="0" w:space="0" w:color="auto"/>
        <w:left w:val="none" w:sz="0" w:space="0" w:color="auto"/>
        <w:bottom w:val="none" w:sz="0" w:space="0" w:color="auto"/>
        <w:right w:val="none" w:sz="0" w:space="0" w:color="auto"/>
      </w:divBdr>
    </w:div>
    <w:div w:id="1794859324">
      <w:bodyDiv w:val="1"/>
      <w:marLeft w:val="0"/>
      <w:marRight w:val="0"/>
      <w:marTop w:val="0"/>
      <w:marBottom w:val="0"/>
      <w:divBdr>
        <w:top w:val="none" w:sz="0" w:space="0" w:color="auto"/>
        <w:left w:val="none" w:sz="0" w:space="0" w:color="auto"/>
        <w:bottom w:val="none" w:sz="0" w:space="0" w:color="auto"/>
        <w:right w:val="none" w:sz="0" w:space="0" w:color="auto"/>
      </w:divBdr>
    </w:div>
    <w:div w:id="1796171755">
      <w:bodyDiv w:val="1"/>
      <w:marLeft w:val="0"/>
      <w:marRight w:val="0"/>
      <w:marTop w:val="0"/>
      <w:marBottom w:val="0"/>
      <w:divBdr>
        <w:top w:val="none" w:sz="0" w:space="0" w:color="auto"/>
        <w:left w:val="none" w:sz="0" w:space="0" w:color="auto"/>
        <w:bottom w:val="none" w:sz="0" w:space="0" w:color="auto"/>
        <w:right w:val="none" w:sz="0" w:space="0" w:color="auto"/>
      </w:divBdr>
    </w:div>
    <w:div w:id="1796174499">
      <w:bodyDiv w:val="1"/>
      <w:marLeft w:val="0"/>
      <w:marRight w:val="0"/>
      <w:marTop w:val="0"/>
      <w:marBottom w:val="0"/>
      <w:divBdr>
        <w:top w:val="none" w:sz="0" w:space="0" w:color="auto"/>
        <w:left w:val="none" w:sz="0" w:space="0" w:color="auto"/>
        <w:bottom w:val="none" w:sz="0" w:space="0" w:color="auto"/>
        <w:right w:val="none" w:sz="0" w:space="0" w:color="auto"/>
      </w:divBdr>
      <w:divsChild>
        <w:div w:id="1319185250">
          <w:marLeft w:val="0"/>
          <w:marRight w:val="0"/>
          <w:marTop w:val="0"/>
          <w:marBottom w:val="0"/>
          <w:divBdr>
            <w:top w:val="none" w:sz="0" w:space="0" w:color="auto"/>
            <w:left w:val="none" w:sz="0" w:space="0" w:color="auto"/>
            <w:bottom w:val="none" w:sz="0" w:space="0" w:color="auto"/>
            <w:right w:val="none" w:sz="0" w:space="0" w:color="auto"/>
          </w:divBdr>
          <w:divsChild>
            <w:div w:id="2143232558">
              <w:marLeft w:val="0"/>
              <w:marRight w:val="0"/>
              <w:marTop w:val="0"/>
              <w:marBottom w:val="0"/>
              <w:divBdr>
                <w:top w:val="none" w:sz="0" w:space="0" w:color="auto"/>
                <w:left w:val="none" w:sz="0" w:space="0" w:color="auto"/>
                <w:bottom w:val="none" w:sz="0" w:space="0" w:color="auto"/>
                <w:right w:val="none" w:sz="0" w:space="0" w:color="auto"/>
              </w:divBdr>
              <w:divsChild>
                <w:div w:id="1415781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5732190">
      <w:bodyDiv w:val="1"/>
      <w:marLeft w:val="0"/>
      <w:marRight w:val="0"/>
      <w:marTop w:val="0"/>
      <w:marBottom w:val="0"/>
      <w:divBdr>
        <w:top w:val="none" w:sz="0" w:space="0" w:color="auto"/>
        <w:left w:val="none" w:sz="0" w:space="0" w:color="auto"/>
        <w:bottom w:val="none" w:sz="0" w:space="0" w:color="auto"/>
        <w:right w:val="none" w:sz="0" w:space="0" w:color="auto"/>
      </w:divBdr>
    </w:div>
    <w:div w:id="1808476270">
      <w:bodyDiv w:val="1"/>
      <w:marLeft w:val="0"/>
      <w:marRight w:val="0"/>
      <w:marTop w:val="0"/>
      <w:marBottom w:val="0"/>
      <w:divBdr>
        <w:top w:val="none" w:sz="0" w:space="0" w:color="auto"/>
        <w:left w:val="none" w:sz="0" w:space="0" w:color="auto"/>
        <w:bottom w:val="none" w:sz="0" w:space="0" w:color="auto"/>
        <w:right w:val="none" w:sz="0" w:space="0" w:color="auto"/>
      </w:divBdr>
    </w:div>
    <w:div w:id="1811894755">
      <w:bodyDiv w:val="1"/>
      <w:marLeft w:val="0"/>
      <w:marRight w:val="0"/>
      <w:marTop w:val="0"/>
      <w:marBottom w:val="0"/>
      <w:divBdr>
        <w:top w:val="none" w:sz="0" w:space="0" w:color="auto"/>
        <w:left w:val="none" w:sz="0" w:space="0" w:color="auto"/>
        <w:bottom w:val="none" w:sz="0" w:space="0" w:color="auto"/>
        <w:right w:val="none" w:sz="0" w:space="0" w:color="auto"/>
      </w:divBdr>
    </w:div>
    <w:div w:id="1816331932">
      <w:bodyDiv w:val="1"/>
      <w:marLeft w:val="0"/>
      <w:marRight w:val="0"/>
      <w:marTop w:val="0"/>
      <w:marBottom w:val="0"/>
      <w:divBdr>
        <w:top w:val="none" w:sz="0" w:space="0" w:color="auto"/>
        <w:left w:val="none" w:sz="0" w:space="0" w:color="auto"/>
        <w:bottom w:val="none" w:sz="0" w:space="0" w:color="auto"/>
        <w:right w:val="none" w:sz="0" w:space="0" w:color="auto"/>
      </w:divBdr>
      <w:divsChild>
        <w:div w:id="471099475">
          <w:marLeft w:val="0"/>
          <w:marRight w:val="0"/>
          <w:marTop w:val="0"/>
          <w:marBottom w:val="0"/>
          <w:divBdr>
            <w:top w:val="none" w:sz="0" w:space="0" w:color="auto"/>
            <w:left w:val="none" w:sz="0" w:space="0" w:color="auto"/>
            <w:bottom w:val="none" w:sz="0" w:space="0" w:color="auto"/>
            <w:right w:val="none" w:sz="0" w:space="0" w:color="auto"/>
          </w:divBdr>
        </w:div>
      </w:divsChild>
    </w:div>
    <w:div w:id="1818182591">
      <w:bodyDiv w:val="1"/>
      <w:marLeft w:val="0"/>
      <w:marRight w:val="0"/>
      <w:marTop w:val="0"/>
      <w:marBottom w:val="0"/>
      <w:divBdr>
        <w:top w:val="none" w:sz="0" w:space="0" w:color="auto"/>
        <w:left w:val="none" w:sz="0" w:space="0" w:color="auto"/>
        <w:bottom w:val="none" w:sz="0" w:space="0" w:color="auto"/>
        <w:right w:val="none" w:sz="0" w:space="0" w:color="auto"/>
      </w:divBdr>
    </w:div>
    <w:div w:id="1826123569">
      <w:bodyDiv w:val="1"/>
      <w:marLeft w:val="0"/>
      <w:marRight w:val="0"/>
      <w:marTop w:val="0"/>
      <w:marBottom w:val="0"/>
      <w:divBdr>
        <w:top w:val="none" w:sz="0" w:space="0" w:color="auto"/>
        <w:left w:val="none" w:sz="0" w:space="0" w:color="auto"/>
        <w:bottom w:val="none" w:sz="0" w:space="0" w:color="auto"/>
        <w:right w:val="none" w:sz="0" w:space="0" w:color="auto"/>
      </w:divBdr>
    </w:div>
    <w:div w:id="1830320748">
      <w:bodyDiv w:val="1"/>
      <w:marLeft w:val="0"/>
      <w:marRight w:val="0"/>
      <w:marTop w:val="0"/>
      <w:marBottom w:val="0"/>
      <w:divBdr>
        <w:top w:val="none" w:sz="0" w:space="0" w:color="auto"/>
        <w:left w:val="none" w:sz="0" w:space="0" w:color="auto"/>
        <w:bottom w:val="none" w:sz="0" w:space="0" w:color="auto"/>
        <w:right w:val="none" w:sz="0" w:space="0" w:color="auto"/>
      </w:divBdr>
    </w:div>
    <w:div w:id="1830706979">
      <w:bodyDiv w:val="1"/>
      <w:marLeft w:val="0"/>
      <w:marRight w:val="0"/>
      <w:marTop w:val="0"/>
      <w:marBottom w:val="0"/>
      <w:divBdr>
        <w:top w:val="none" w:sz="0" w:space="0" w:color="auto"/>
        <w:left w:val="none" w:sz="0" w:space="0" w:color="auto"/>
        <w:bottom w:val="none" w:sz="0" w:space="0" w:color="auto"/>
        <w:right w:val="none" w:sz="0" w:space="0" w:color="auto"/>
      </w:divBdr>
    </w:div>
    <w:div w:id="1840776750">
      <w:bodyDiv w:val="1"/>
      <w:marLeft w:val="0"/>
      <w:marRight w:val="0"/>
      <w:marTop w:val="0"/>
      <w:marBottom w:val="0"/>
      <w:divBdr>
        <w:top w:val="none" w:sz="0" w:space="0" w:color="auto"/>
        <w:left w:val="none" w:sz="0" w:space="0" w:color="auto"/>
        <w:bottom w:val="none" w:sz="0" w:space="0" w:color="auto"/>
        <w:right w:val="none" w:sz="0" w:space="0" w:color="auto"/>
      </w:divBdr>
    </w:div>
    <w:div w:id="1852141051">
      <w:bodyDiv w:val="1"/>
      <w:marLeft w:val="0"/>
      <w:marRight w:val="0"/>
      <w:marTop w:val="0"/>
      <w:marBottom w:val="0"/>
      <w:divBdr>
        <w:top w:val="none" w:sz="0" w:space="0" w:color="auto"/>
        <w:left w:val="none" w:sz="0" w:space="0" w:color="auto"/>
        <w:bottom w:val="none" w:sz="0" w:space="0" w:color="auto"/>
        <w:right w:val="none" w:sz="0" w:space="0" w:color="auto"/>
      </w:divBdr>
      <w:divsChild>
        <w:div w:id="1499927683">
          <w:marLeft w:val="0"/>
          <w:marRight w:val="0"/>
          <w:marTop w:val="0"/>
          <w:marBottom w:val="0"/>
          <w:divBdr>
            <w:top w:val="none" w:sz="0" w:space="0" w:color="auto"/>
            <w:left w:val="none" w:sz="0" w:space="0" w:color="auto"/>
            <w:bottom w:val="none" w:sz="0" w:space="0" w:color="auto"/>
            <w:right w:val="none" w:sz="0" w:space="0" w:color="auto"/>
          </w:divBdr>
          <w:divsChild>
            <w:div w:id="961960415">
              <w:marLeft w:val="0"/>
              <w:marRight w:val="0"/>
              <w:marTop w:val="0"/>
              <w:marBottom w:val="0"/>
              <w:divBdr>
                <w:top w:val="none" w:sz="0" w:space="0" w:color="auto"/>
                <w:left w:val="none" w:sz="0" w:space="0" w:color="auto"/>
                <w:bottom w:val="none" w:sz="0" w:space="0" w:color="auto"/>
                <w:right w:val="none" w:sz="0" w:space="0" w:color="auto"/>
              </w:divBdr>
              <w:divsChild>
                <w:div w:id="1747846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9005302">
      <w:bodyDiv w:val="1"/>
      <w:marLeft w:val="0"/>
      <w:marRight w:val="0"/>
      <w:marTop w:val="0"/>
      <w:marBottom w:val="0"/>
      <w:divBdr>
        <w:top w:val="none" w:sz="0" w:space="0" w:color="auto"/>
        <w:left w:val="none" w:sz="0" w:space="0" w:color="auto"/>
        <w:bottom w:val="none" w:sz="0" w:space="0" w:color="auto"/>
        <w:right w:val="none" w:sz="0" w:space="0" w:color="auto"/>
      </w:divBdr>
      <w:divsChild>
        <w:div w:id="2115322534">
          <w:marLeft w:val="0"/>
          <w:marRight w:val="0"/>
          <w:marTop w:val="0"/>
          <w:marBottom w:val="0"/>
          <w:divBdr>
            <w:top w:val="none" w:sz="0" w:space="0" w:color="auto"/>
            <w:left w:val="none" w:sz="0" w:space="0" w:color="auto"/>
            <w:bottom w:val="none" w:sz="0" w:space="0" w:color="auto"/>
            <w:right w:val="none" w:sz="0" w:space="0" w:color="auto"/>
          </w:divBdr>
          <w:divsChild>
            <w:div w:id="1964925115">
              <w:marLeft w:val="0"/>
              <w:marRight w:val="0"/>
              <w:marTop w:val="0"/>
              <w:marBottom w:val="0"/>
              <w:divBdr>
                <w:top w:val="none" w:sz="0" w:space="0" w:color="auto"/>
                <w:left w:val="none" w:sz="0" w:space="0" w:color="auto"/>
                <w:bottom w:val="none" w:sz="0" w:space="0" w:color="auto"/>
                <w:right w:val="none" w:sz="0" w:space="0" w:color="auto"/>
              </w:divBdr>
              <w:divsChild>
                <w:div w:id="31081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1551105">
      <w:bodyDiv w:val="1"/>
      <w:marLeft w:val="0"/>
      <w:marRight w:val="0"/>
      <w:marTop w:val="0"/>
      <w:marBottom w:val="0"/>
      <w:divBdr>
        <w:top w:val="none" w:sz="0" w:space="0" w:color="auto"/>
        <w:left w:val="none" w:sz="0" w:space="0" w:color="auto"/>
        <w:bottom w:val="none" w:sz="0" w:space="0" w:color="auto"/>
        <w:right w:val="none" w:sz="0" w:space="0" w:color="auto"/>
      </w:divBdr>
    </w:div>
    <w:div w:id="1887912956">
      <w:bodyDiv w:val="1"/>
      <w:marLeft w:val="0"/>
      <w:marRight w:val="0"/>
      <w:marTop w:val="0"/>
      <w:marBottom w:val="0"/>
      <w:divBdr>
        <w:top w:val="none" w:sz="0" w:space="0" w:color="auto"/>
        <w:left w:val="none" w:sz="0" w:space="0" w:color="auto"/>
        <w:bottom w:val="none" w:sz="0" w:space="0" w:color="auto"/>
        <w:right w:val="none" w:sz="0" w:space="0" w:color="auto"/>
      </w:divBdr>
      <w:divsChild>
        <w:div w:id="1063143342">
          <w:marLeft w:val="0"/>
          <w:marRight w:val="0"/>
          <w:marTop w:val="0"/>
          <w:marBottom w:val="0"/>
          <w:divBdr>
            <w:top w:val="none" w:sz="0" w:space="0" w:color="auto"/>
            <w:left w:val="none" w:sz="0" w:space="0" w:color="auto"/>
            <w:bottom w:val="none" w:sz="0" w:space="0" w:color="auto"/>
            <w:right w:val="none" w:sz="0" w:space="0" w:color="auto"/>
          </w:divBdr>
          <w:divsChild>
            <w:div w:id="1920823979">
              <w:marLeft w:val="0"/>
              <w:marRight w:val="0"/>
              <w:marTop w:val="0"/>
              <w:marBottom w:val="0"/>
              <w:divBdr>
                <w:top w:val="none" w:sz="0" w:space="0" w:color="auto"/>
                <w:left w:val="none" w:sz="0" w:space="0" w:color="auto"/>
                <w:bottom w:val="none" w:sz="0" w:space="0" w:color="auto"/>
                <w:right w:val="none" w:sz="0" w:space="0" w:color="auto"/>
              </w:divBdr>
              <w:divsChild>
                <w:div w:id="544755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9411310">
      <w:bodyDiv w:val="1"/>
      <w:marLeft w:val="0"/>
      <w:marRight w:val="0"/>
      <w:marTop w:val="0"/>
      <w:marBottom w:val="0"/>
      <w:divBdr>
        <w:top w:val="none" w:sz="0" w:space="0" w:color="auto"/>
        <w:left w:val="none" w:sz="0" w:space="0" w:color="auto"/>
        <w:bottom w:val="none" w:sz="0" w:space="0" w:color="auto"/>
        <w:right w:val="none" w:sz="0" w:space="0" w:color="auto"/>
      </w:divBdr>
    </w:div>
    <w:div w:id="1889877618">
      <w:bodyDiv w:val="1"/>
      <w:marLeft w:val="0"/>
      <w:marRight w:val="0"/>
      <w:marTop w:val="0"/>
      <w:marBottom w:val="0"/>
      <w:divBdr>
        <w:top w:val="none" w:sz="0" w:space="0" w:color="auto"/>
        <w:left w:val="none" w:sz="0" w:space="0" w:color="auto"/>
        <w:bottom w:val="none" w:sz="0" w:space="0" w:color="auto"/>
        <w:right w:val="none" w:sz="0" w:space="0" w:color="auto"/>
      </w:divBdr>
    </w:div>
    <w:div w:id="1903635928">
      <w:bodyDiv w:val="1"/>
      <w:marLeft w:val="0"/>
      <w:marRight w:val="0"/>
      <w:marTop w:val="0"/>
      <w:marBottom w:val="0"/>
      <w:divBdr>
        <w:top w:val="none" w:sz="0" w:space="0" w:color="auto"/>
        <w:left w:val="none" w:sz="0" w:space="0" w:color="auto"/>
        <w:bottom w:val="none" w:sz="0" w:space="0" w:color="auto"/>
        <w:right w:val="none" w:sz="0" w:space="0" w:color="auto"/>
      </w:divBdr>
    </w:div>
    <w:div w:id="1908030937">
      <w:bodyDiv w:val="1"/>
      <w:marLeft w:val="0"/>
      <w:marRight w:val="0"/>
      <w:marTop w:val="0"/>
      <w:marBottom w:val="0"/>
      <w:divBdr>
        <w:top w:val="none" w:sz="0" w:space="0" w:color="auto"/>
        <w:left w:val="none" w:sz="0" w:space="0" w:color="auto"/>
        <w:bottom w:val="none" w:sz="0" w:space="0" w:color="auto"/>
        <w:right w:val="none" w:sz="0" w:space="0" w:color="auto"/>
      </w:divBdr>
      <w:divsChild>
        <w:div w:id="1675645237">
          <w:marLeft w:val="0"/>
          <w:marRight w:val="0"/>
          <w:marTop w:val="0"/>
          <w:marBottom w:val="0"/>
          <w:divBdr>
            <w:top w:val="none" w:sz="0" w:space="0" w:color="auto"/>
            <w:left w:val="none" w:sz="0" w:space="0" w:color="auto"/>
            <w:bottom w:val="none" w:sz="0" w:space="0" w:color="auto"/>
            <w:right w:val="none" w:sz="0" w:space="0" w:color="auto"/>
          </w:divBdr>
          <w:divsChild>
            <w:div w:id="661546517">
              <w:marLeft w:val="0"/>
              <w:marRight w:val="0"/>
              <w:marTop w:val="0"/>
              <w:marBottom w:val="0"/>
              <w:divBdr>
                <w:top w:val="none" w:sz="0" w:space="0" w:color="auto"/>
                <w:left w:val="none" w:sz="0" w:space="0" w:color="auto"/>
                <w:bottom w:val="none" w:sz="0" w:space="0" w:color="auto"/>
                <w:right w:val="none" w:sz="0" w:space="0" w:color="auto"/>
              </w:divBdr>
              <w:divsChild>
                <w:div w:id="1598631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9800687">
      <w:bodyDiv w:val="1"/>
      <w:marLeft w:val="0"/>
      <w:marRight w:val="0"/>
      <w:marTop w:val="0"/>
      <w:marBottom w:val="0"/>
      <w:divBdr>
        <w:top w:val="none" w:sz="0" w:space="0" w:color="auto"/>
        <w:left w:val="none" w:sz="0" w:space="0" w:color="auto"/>
        <w:bottom w:val="none" w:sz="0" w:space="0" w:color="auto"/>
        <w:right w:val="none" w:sz="0" w:space="0" w:color="auto"/>
      </w:divBdr>
    </w:div>
    <w:div w:id="1917126144">
      <w:bodyDiv w:val="1"/>
      <w:marLeft w:val="0"/>
      <w:marRight w:val="0"/>
      <w:marTop w:val="0"/>
      <w:marBottom w:val="0"/>
      <w:divBdr>
        <w:top w:val="none" w:sz="0" w:space="0" w:color="auto"/>
        <w:left w:val="none" w:sz="0" w:space="0" w:color="auto"/>
        <w:bottom w:val="none" w:sz="0" w:space="0" w:color="auto"/>
        <w:right w:val="none" w:sz="0" w:space="0" w:color="auto"/>
      </w:divBdr>
    </w:div>
    <w:div w:id="1928266063">
      <w:bodyDiv w:val="1"/>
      <w:marLeft w:val="0"/>
      <w:marRight w:val="0"/>
      <w:marTop w:val="0"/>
      <w:marBottom w:val="0"/>
      <w:divBdr>
        <w:top w:val="none" w:sz="0" w:space="0" w:color="auto"/>
        <w:left w:val="none" w:sz="0" w:space="0" w:color="auto"/>
        <w:bottom w:val="none" w:sz="0" w:space="0" w:color="auto"/>
        <w:right w:val="none" w:sz="0" w:space="0" w:color="auto"/>
      </w:divBdr>
    </w:div>
    <w:div w:id="1938097194">
      <w:bodyDiv w:val="1"/>
      <w:marLeft w:val="0"/>
      <w:marRight w:val="0"/>
      <w:marTop w:val="0"/>
      <w:marBottom w:val="0"/>
      <w:divBdr>
        <w:top w:val="none" w:sz="0" w:space="0" w:color="auto"/>
        <w:left w:val="none" w:sz="0" w:space="0" w:color="auto"/>
        <w:bottom w:val="none" w:sz="0" w:space="0" w:color="auto"/>
        <w:right w:val="none" w:sz="0" w:space="0" w:color="auto"/>
      </w:divBdr>
    </w:div>
    <w:div w:id="1939291015">
      <w:bodyDiv w:val="1"/>
      <w:marLeft w:val="0"/>
      <w:marRight w:val="0"/>
      <w:marTop w:val="0"/>
      <w:marBottom w:val="0"/>
      <w:divBdr>
        <w:top w:val="none" w:sz="0" w:space="0" w:color="auto"/>
        <w:left w:val="none" w:sz="0" w:space="0" w:color="auto"/>
        <w:bottom w:val="none" w:sz="0" w:space="0" w:color="auto"/>
        <w:right w:val="none" w:sz="0" w:space="0" w:color="auto"/>
      </w:divBdr>
    </w:div>
    <w:div w:id="1941721176">
      <w:bodyDiv w:val="1"/>
      <w:marLeft w:val="0"/>
      <w:marRight w:val="0"/>
      <w:marTop w:val="0"/>
      <w:marBottom w:val="0"/>
      <w:divBdr>
        <w:top w:val="none" w:sz="0" w:space="0" w:color="auto"/>
        <w:left w:val="none" w:sz="0" w:space="0" w:color="auto"/>
        <w:bottom w:val="none" w:sz="0" w:space="0" w:color="auto"/>
        <w:right w:val="none" w:sz="0" w:space="0" w:color="auto"/>
      </w:divBdr>
    </w:div>
    <w:div w:id="1946496391">
      <w:bodyDiv w:val="1"/>
      <w:marLeft w:val="0"/>
      <w:marRight w:val="0"/>
      <w:marTop w:val="0"/>
      <w:marBottom w:val="0"/>
      <w:divBdr>
        <w:top w:val="none" w:sz="0" w:space="0" w:color="auto"/>
        <w:left w:val="none" w:sz="0" w:space="0" w:color="auto"/>
        <w:bottom w:val="none" w:sz="0" w:space="0" w:color="auto"/>
        <w:right w:val="none" w:sz="0" w:space="0" w:color="auto"/>
      </w:divBdr>
    </w:div>
    <w:div w:id="1956672680">
      <w:bodyDiv w:val="1"/>
      <w:marLeft w:val="0"/>
      <w:marRight w:val="0"/>
      <w:marTop w:val="0"/>
      <w:marBottom w:val="0"/>
      <w:divBdr>
        <w:top w:val="none" w:sz="0" w:space="0" w:color="auto"/>
        <w:left w:val="none" w:sz="0" w:space="0" w:color="auto"/>
        <w:bottom w:val="none" w:sz="0" w:space="0" w:color="auto"/>
        <w:right w:val="none" w:sz="0" w:space="0" w:color="auto"/>
      </w:divBdr>
      <w:divsChild>
        <w:div w:id="1792047366">
          <w:marLeft w:val="0"/>
          <w:marRight w:val="0"/>
          <w:marTop w:val="0"/>
          <w:marBottom w:val="0"/>
          <w:divBdr>
            <w:top w:val="none" w:sz="0" w:space="0" w:color="auto"/>
            <w:left w:val="none" w:sz="0" w:space="0" w:color="auto"/>
            <w:bottom w:val="none" w:sz="0" w:space="0" w:color="auto"/>
            <w:right w:val="none" w:sz="0" w:space="0" w:color="auto"/>
          </w:divBdr>
          <w:divsChild>
            <w:div w:id="149372696">
              <w:marLeft w:val="0"/>
              <w:marRight w:val="0"/>
              <w:marTop w:val="0"/>
              <w:marBottom w:val="0"/>
              <w:divBdr>
                <w:top w:val="none" w:sz="0" w:space="0" w:color="auto"/>
                <w:left w:val="none" w:sz="0" w:space="0" w:color="auto"/>
                <w:bottom w:val="none" w:sz="0" w:space="0" w:color="auto"/>
                <w:right w:val="none" w:sz="0" w:space="0" w:color="auto"/>
              </w:divBdr>
              <w:divsChild>
                <w:div w:id="1452742454">
                  <w:marLeft w:val="0"/>
                  <w:marRight w:val="0"/>
                  <w:marTop w:val="0"/>
                  <w:marBottom w:val="0"/>
                  <w:divBdr>
                    <w:top w:val="none" w:sz="0" w:space="0" w:color="auto"/>
                    <w:left w:val="none" w:sz="0" w:space="0" w:color="auto"/>
                    <w:bottom w:val="none" w:sz="0" w:space="0" w:color="auto"/>
                    <w:right w:val="none" w:sz="0" w:space="0" w:color="auto"/>
                  </w:divBdr>
                </w:div>
              </w:divsChild>
            </w:div>
            <w:div w:id="1531648265">
              <w:marLeft w:val="0"/>
              <w:marRight w:val="0"/>
              <w:marTop w:val="0"/>
              <w:marBottom w:val="0"/>
              <w:divBdr>
                <w:top w:val="none" w:sz="0" w:space="0" w:color="auto"/>
                <w:left w:val="none" w:sz="0" w:space="0" w:color="auto"/>
                <w:bottom w:val="none" w:sz="0" w:space="0" w:color="auto"/>
                <w:right w:val="none" w:sz="0" w:space="0" w:color="auto"/>
              </w:divBdr>
              <w:divsChild>
                <w:div w:id="1768770868">
                  <w:marLeft w:val="0"/>
                  <w:marRight w:val="0"/>
                  <w:marTop w:val="0"/>
                  <w:marBottom w:val="0"/>
                  <w:divBdr>
                    <w:top w:val="none" w:sz="0" w:space="0" w:color="auto"/>
                    <w:left w:val="none" w:sz="0" w:space="0" w:color="auto"/>
                    <w:bottom w:val="none" w:sz="0" w:space="0" w:color="auto"/>
                    <w:right w:val="none" w:sz="0" w:space="0" w:color="auto"/>
                  </w:divBdr>
                </w:div>
              </w:divsChild>
            </w:div>
            <w:div w:id="2109160495">
              <w:marLeft w:val="0"/>
              <w:marRight w:val="0"/>
              <w:marTop w:val="0"/>
              <w:marBottom w:val="0"/>
              <w:divBdr>
                <w:top w:val="none" w:sz="0" w:space="0" w:color="auto"/>
                <w:left w:val="none" w:sz="0" w:space="0" w:color="auto"/>
                <w:bottom w:val="none" w:sz="0" w:space="0" w:color="auto"/>
                <w:right w:val="none" w:sz="0" w:space="0" w:color="auto"/>
              </w:divBdr>
              <w:divsChild>
                <w:div w:id="337117387">
                  <w:marLeft w:val="0"/>
                  <w:marRight w:val="0"/>
                  <w:marTop w:val="0"/>
                  <w:marBottom w:val="0"/>
                  <w:divBdr>
                    <w:top w:val="none" w:sz="0" w:space="0" w:color="auto"/>
                    <w:left w:val="none" w:sz="0" w:space="0" w:color="auto"/>
                    <w:bottom w:val="none" w:sz="0" w:space="0" w:color="auto"/>
                    <w:right w:val="none" w:sz="0" w:space="0" w:color="auto"/>
                  </w:divBdr>
                </w:div>
                <w:div w:id="685599112">
                  <w:marLeft w:val="0"/>
                  <w:marRight w:val="0"/>
                  <w:marTop w:val="0"/>
                  <w:marBottom w:val="0"/>
                  <w:divBdr>
                    <w:top w:val="none" w:sz="0" w:space="0" w:color="auto"/>
                    <w:left w:val="none" w:sz="0" w:space="0" w:color="auto"/>
                    <w:bottom w:val="none" w:sz="0" w:space="0" w:color="auto"/>
                    <w:right w:val="none" w:sz="0" w:space="0" w:color="auto"/>
                  </w:divBdr>
                </w:div>
                <w:div w:id="718433123">
                  <w:marLeft w:val="0"/>
                  <w:marRight w:val="0"/>
                  <w:marTop w:val="0"/>
                  <w:marBottom w:val="0"/>
                  <w:divBdr>
                    <w:top w:val="none" w:sz="0" w:space="0" w:color="auto"/>
                    <w:left w:val="none" w:sz="0" w:space="0" w:color="auto"/>
                    <w:bottom w:val="none" w:sz="0" w:space="0" w:color="auto"/>
                    <w:right w:val="none" w:sz="0" w:space="0" w:color="auto"/>
                  </w:divBdr>
                </w:div>
                <w:div w:id="1606378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6331758">
      <w:bodyDiv w:val="1"/>
      <w:marLeft w:val="0"/>
      <w:marRight w:val="0"/>
      <w:marTop w:val="0"/>
      <w:marBottom w:val="0"/>
      <w:divBdr>
        <w:top w:val="none" w:sz="0" w:space="0" w:color="auto"/>
        <w:left w:val="none" w:sz="0" w:space="0" w:color="auto"/>
        <w:bottom w:val="none" w:sz="0" w:space="0" w:color="auto"/>
        <w:right w:val="none" w:sz="0" w:space="0" w:color="auto"/>
      </w:divBdr>
    </w:div>
    <w:div w:id="1986662123">
      <w:bodyDiv w:val="1"/>
      <w:marLeft w:val="0"/>
      <w:marRight w:val="0"/>
      <w:marTop w:val="0"/>
      <w:marBottom w:val="0"/>
      <w:divBdr>
        <w:top w:val="none" w:sz="0" w:space="0" w:color="auto"/>
        <w:left w:val="none" w:sz="0" w:space="0" w:color="auto"/>
        <w:bottom w:val="none" w:sz="0" w:space="0" w:color="auto"/>
        <w:right w:val="none" w:sz="0" w:space="0" w:color="auto"/>
      </w:divBdr>
    </w:div>
    <w:div w:id="1990403229">
      <w:bodyDiv w:val="1"/>
      <w:marLeft w:val="0"/>
      <w:marRight w:val="0"/>
      <w:marTop w:val="0"/>
      <w:marBottom w:val="0"/>
      <w:divBdr>
        <w:top w:val="none" w:sz="0" w:space="0" w:color="auto"/>
        <w:left w:val="none" w:sz="0" w:space="0" w:color="auto"/>
        <w:bottom w:val="none" w:sz="0" w:space="0" w:color="auto"/>
        <w:right w:val="none" w:sz="0" w:space="0" w:color="auto"/>
      </w:divBdr>
    </w:div>
    <w:div w:id="2000887544">
      <w:bodyDiv w:val="1"/>
      <w:marLeft w:val="0"/>
      <w:marRight w:val="0"/>
      <w:marTop w:val="0"/>
      <w:marBottom w:val="0"/>
      <w:divBdr>
        <w:top w:val="none" w:sz="0" w:space="0" w:color="auto"/>
        <w:left w:val="none" w:sz="0" w:space="0" w:color="auto"/>
        <w:bottom w:val="none" w:sz="0" w:space="0" w:color="auto"/>
        <w:right w:val="none" w:sz="0" w:space="0" w:color="auto"/>
      </w:divBdr>
    </w:div>
    <w:div w:id="2003462982">
      <w:bodyDiv w:val="1"/>
      <w:marLeft w:val="0"/>
      <w:marRight w:val="0"/>
      <w:marTop w:val="0"/>
      <w:marBottom w:val="0"/>
      <w:divBdr>
        <w:top w:val="none" w:sz="0" w:space="0" w:color="auto"/>
        <w:left w:val="none" w:sz="0" w:space="0" w:color="auto"/>
        <w:bottom w:val="none" w:sz="0" w:space="0" w:color="auto"/>
        <w:right w:val="none" w:sz="0" w:space="0" w:color="auto"/>
      </w:divBdr>
    </w:div>
    <w:div w:id="2013799933">
      <w:bodyDiv w:val="1"/>
      <w:marLeft w:val="0"/>
      <w:marRight w:val="0"/>
      <w:marTop w:val="0"/>
      <w:marBottom w:val="0"/>
      <w:divBdr>
        <w:top w:val="none" w:sz="0" w:space="0" w:color="auto"/>
        <w:left w:val="none" w:sz="0" w:space="0" w:color="auto"/>
        <w:bottom w:val="none" w:sz="0" w:space="0" w:color="auto"/>
        <w:right w:val="none" w:sz="0" w:space="0" w:color="auto"/>
      </w:divBdr>
    </w:div>
    <w:div w:id="2026007126">
      <w:bodyDiv w:val="1"/>
      <w:marLeft w:val="0"/>
      <w:marRight w:val="0"/>
      <w:marTop w:val="0"/>
      <w:marBottom w:val="0"/>
      <w:divBdr>
        <w:top w:val="none" w:sz="0" w:space="0" w:color="auto"/>
        <w:left w:val="none" w:sz="0" w:space="0" w:color="auto"/>
        <w:bottom w:val="none" w:sz="0" w:space="0" w:color="auto"/>
        <w:right w:val="none" w:sz="0" w:space="0" w:color="auto"/>
      </w:divBdr>
    </w:div>
    <w:div w:id="2030139549">
      <w:bodyDiv w:val="1"/>
      <w:marLeft w:val="0"/>
      <w:marRight w:val="0"/>
      <w:marTop w:val="0"/>
      <w:marBottom w:val="0"/>
      <w:divBdr>
        <w:top w:val="none" w:sz="0" w:space="0" w:color="auto"/>
        <w:left w:val="none" w:sz="0" w:space="0" w:color="auto"/>
        <w:bottom w:val="none" w:sz="0" w:space="0" w:color="auto"/>
        <w:right w:val="none" w:sz="0" w:space="0" w:color="auto"/>
      </w:divBdr>
    </w:div>
    <w:div w:id="2031832994">
      <w:bodyDiv w:val="1"/>
      <w:marLeft w:val="0"/>
      <w:marRight w:val="0"/>
      <w:marTop w:val="0"/>
      <w:marBottom w:val="0"/>
      <w:divBdr>
        <w:top w:val="none" w:sz="0" w:space="0" w:color="auto"/>
        <w:left w:val="none" w:sz="0" w:space="0" w:color="auto"/>
        <w:bottom w:val="none" w:sz="0" w:space="0" w:color="auto"/>
        <w:right w:val="none" w:sz="0" w:space="0" w:color="auto"/>
      </w:divBdr>
    </w:div>
    <w:div w:id="2058973111">
      <w:bodyDiv w:val="1"/>
      <w:marLeft w:val="0"/>
      <w:marRight w:val="0"/>
      <w:marTop w:val="0"/>
      <w:marBottom w:val="0"/>
      <w:divBdr>
        <w:top w:val="none" w:sz="0" w:space="0" w:color="auto"/>
        <w:left w:val="none" w:sz="0" w:space="0" w:color="auto"/>
        <w:bottom w:val="none" w:sz="0" w:space="0" w:color="auto"/>
        <w:right w:val="none" w:sz="0" w:space="0" w:color="auto"/>
      </w:divBdr>
    </w:div>
    <w:div w:id="2083867572">
      <w:bodyDiv w:val="1"/>
      <w:marLeft w:val="0"/>
      <w:marRight w:val="0"/>
      <w:marTop w:val="0"/>
      <w:marBottom w:val="0"/>
      <w:divBdr>
        <w:top w:val="none" w:sz="0" w:space="0" w:color="auto"/>
        <w:left w:val="none" w:sz="0" w:space="0" w:color="auto"/>
        <w:bottom w:val="none" w:sz="0" w:space="0" w:color="auto"/>
        <w:right w:val="none" w:sz="0" w:space="0" w:color="auto"/>
      </w:divBdr>
    </w:div>
    <w:div w:id="2086291808">
      <w:bodyDiv w:val="1"/>
      <w:marLeft w:val="0"/>
      <w:marRight w:val="0"/>
      <w:marTop w:val="0"/>
      <w:marBottom w:val="0"/>
      <w:divBdr>
        <w:top w:val="none" w:sz="0" w:space="0" w:color="auto"/>
        <w:left w:val="none" w:sz="0" w:space="0" w:color="auto"/>
        <w:bottom w:val="none" w:sz="0" w:space="0" w:color="auto"/>
        <w:right w:val="none" w:sz="0" w:space="0" w:color="auto"/>
      </w:divBdr>
    </w:div>
    <w:div w:id="2113620739">
      <w:bodyDiv w:val="1"/>
      <w:marLeft w:val="0"/>
      <w:marRight w:val="0"/>
      <w:marTop w:val="0"/>
      <w:marBottom w:val="0"/>
      <w:divBdr>
        <w:top w:val="none" w:sz="0" w:space="0" w:color="auto"/>
        <w:left w:val="none" w:sz="0" w:space="0" w:color="auto"/>
        <w:bottom w:val="none" w:sz="0" w:space="0" w:color="auto"/>
        <w:right w:val="none" w:sz="0" w:space="0" w:color="auto"/>
      </w:divBdr>
    </w:div>
    <w:div w:id="2120182155">
      <w:bodyDiv w:val="1"/>
      <w:marLeft w:val="0"/>
      <w:marRight w:val="0"/>
      <w:marTop w:val="0"/>
      <w:marBottom w:val="0"/>
      <w:divBdr>
        <w:top w:val="none" w:sz="0" w:space="0" w:color="auto"/>
        <w:left w:val="none" w:sz="0" w:space="0" w:color="auto"/>
        <w:bottom w:val="none" w:sz="0" w:space="0" w:color="auto"/>
        <w:right w:val="none" w:sz="0" w:space="0" w:color="auto"/>
      </w:divBdr>
    </w:div>
    <w:div w:id="2137289049">
      <w:bodyDiv w:val="1"/>
      <w:marLeft w:val="0"/>
      <w:marRight w:val="0"/>
      <w:marTop w:val="0"/>
      <w:marBottom w:val="0"/>
      <w:divBdr>
        <w:top w:val="none" w:sz="0" w:space="0" w:color="auto"/>
        <w:left w:val="none" w:sz="0" w:space="0" w:color="auto"/>
        <w:bottom w:val="none" w:sz="0" w:space="0" w:color="auto"/>
        <w:right w:val="none" w:sz="0" w:space="0" w:color="auto"/>
      </w:divBdr>
    </w:div>
    <w:div w:id="2139368809">
      <w:bodyDiv w:val="1"/>
      <w:marLeft w:val="0"/>
      <w:marRight w:val="0"/>
      <w:marTop w:val="0"/>
      <w:marBottom w:val="0"/>
      <w:divBdr>
        <w:top w:val="none" w:sz="0" w:space="0" w:color="auto"/>
        <w:left w:val="none" w:sz="0" w:space="0" w:color="auto"/>
        <w:bottom w:val="none" w:sz="0" w:space="0" w:color="auto"/>
        <w:right w:val="none" w:sz="0" w:space="0" w:color="auto"/>
      </w:divBdr>
      <w:divsChild>
        <w:div w:id="293219868">
          <w:marLeft w:val="0"/>
          <w:marRight w:val="0"/>
          <w:marTop w:val="0"/>
          <w:marBottom w:val="0"/>
          <w:divBdr>
            <w:top w:val="none" w:sz="0" w:space="0" w:color="auto"/>
            <w:left w:val="none" w:sz="0" w:space="0" w:color="auto"/>
            <w:bottom w:val="none" w:sz="0" w:space="0" w:color="auto"/>
            <w:right w:val="none" w:sz="0" w:space="0" w:color="auto"/>
          </w:divBdr>
          <w:divsChild>
            <w:div w:id="1306088064">
              <w:marLeft w:val="0"/>
              <w:marRight w:val="0"/>
              <w:marTop w:val="0"/>
              <w:marBottom w:val="0"/>
              <w:divBdr>
                <w:top w:val="none" w:sz="0" w:space="0" w:color="auto"/>
                <w:left w:val="none" w:sz="0" w:space="0" w:color="auto"/>
                <w:bottom w:val="none" w:sz="0" w:space="0" w:color="auto"/>
                <w:right w:val="none" w:sz="0" w:space="0" w:color="auto"/>
              </w:divBdr>
              <w:divsChild>
                <w:div w:id="372997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9191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image" Target="media/image1.emf"/></Relationships>
</file>

<file path=word/_rels/footnotes.xml.rels><?xml version="1.0" encoding="UTF-8" standalone="yes"?>
<Relationships xmlns="http://schemas.openxmlformats.org/package/2006/relationships"><Relationship Id="rId1" Type="http://schemas.openxmlformats.org/officeDocument/2006/relationships/hyperlink" Target="http://www.eia.gov/dnav/pet/pet_pri_spt_s1_w.ht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Users/antoniogolpe/Dropbox/PET_PRI_SPT_S1_W-16.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1"/>
          <c:order val="1"/>
          <c:tx>
            <c:strRef>
              <c:f>Hoja1!$N$1</c:f>
              <c:strCache>
                <c:ptCount val="1"/>
                <c:pt idx="0">
                  <c:v>Conventional Gasoline</c:v>
                </c:pt>
              </c:strCache>
            </c:strRef>
          </c:tx>
          <c:spPr>
            <a:ln w="28575" cap="rnd">
              <a:solidFill>
                <a:schemeClr val="accent2"/>
              </a:solidFill>
              <a:round/>
            </a:ln>
            <a:effectLst/>
          </c:spPr>
          <c:marker>
            <c:symbol val="none"/>
          </c:marker>
          <c:cat>
            <c:numRef>
              <c:f>Hoja1!$L$2:$L$845</c:f>
              <c:numCache>
                <c:formatCode>m/d/yy</c:formatCode>
                <c:ptCount val="844"/>
                <c:pt idx="0">
                  <c:v>38884</c:v>
                </c:pt>
                <c:pt idx="1">
                  <c:v>38891</c:v>
                </c:pt>
                <c:pt idx="2">
                  <c:v>38898</c:v>
                </c:pt>
                <c:pt idx="3">
                  <c:v>38905</c:v>
                </c:pt>
                <c:pt idx="4">
                  <c:v>38912</c:v>
                </c:pt>
                <c:pt idx="5">
                  <c:v>38919</c:v>
                </c:pt>
                <c:pt idx="6">
                  <c:v>38926</c:v>
                </c:pt>
                <c:pt idx="7">
                  <c:v>38933</c:v>
                </c:pt>
                <c:pt idx="8">
                  <c:v>38940</c:v>
                </c:pt>
                <c:pt idx="9">
                  <c:v>38947</c:v>
                </c:pt>
                <c:pt idx="10">
                  <c:v>38954</c:v>
                </c:pt>
                <c:pt idx="11">
                  <c:v>38961</c:v>
                </c:pt>
                <c:pt idx="12">
                  <c:v>38968</c:v>
                </c:pt>
                <c:pt idx="13">
                  <c:v>38975</c:v>
                </c:pt>
                <c:pt idx="14">
                  <c:v>38982</c:v>
                </c:pt>
                <c:pt idx="15">
                  <c:v>38989</c:v>
                </c:pt>
                <c:pt idx="16">
                  <c:v>38996</c:v>
                </c:pt>
                <c:pt idx="17">
                  <c:v>39003</c:v>
                </c:pt>
                <c:pt idx="18">
                  <c:v>39010</c:v>
                </c:pt>
                <c:pt idx="19">
                  <c:v>39017</c:v>
                </c:pt>
                <c:pt idx="20">
                  <c:v>39024</c:v>
                </c:pt>
                <c:pt idx="21">
                  <c:v>39031</c:v>
                </c:pt>
                <c:pt idx="22">
                  <c:v>39038</c:v>
                </c:pt>
                <c:pt idx="23">
                  <c:v>39045</c:v>
                </c:pt>
                <c:pt idx="24">
                  <c:v>39052</c:v>
                </c:pt>
                <c:pt idx="25">
                  <c:v>39059</c:v>
                </c:pt>
                <c:pt idx="26">
                  <c:v>39066</c:v>
                </c:pt>
                <c:pt idx="27">
                  <c:v>39073</c:v>
                </c:pt>
                <c:pt idx="28">
                  <c:v>39080</c:v>
                </c:pt>
                <c:pt idx="29">
                  <c:v>39087</c:v>
                </c:pt>
                <c:pt idx="30">
                  <c:v>39094</c:v>
                </c:pt>
                <c:pt idx="31">
                  <c:v>39101</c:v>
                </c:pt>
                <c:pt idx="32">
                  <c:v>39108</c:v>
                </c:pt>
                <c:pt idx="33">
                  <c:v>39115</c:v>
                </c:pt>
                <c:pt idx="34">
                  <c:v>39122</c:v>
                </c:pt>
                <c:pt idx="35">
                  <c:v>39129</c:v>
                </c:pt>
                <c:pt idx="36">
                  <c:v>39136</c:v>
                </c:pt>
                <c:pt idx="37">
                  <c:v>39143</c:v>
                </c:pt>
                <c:pt idx="38">
                  <c:v>39150</c:v>
                </c:pt>
                <c:pt idx="39">
                  <c:v>39157</c:v>
                </c:pt>
                <c:pt idx="40">
                  <c:v>39164</c:v>
                </c:pt>
                <c:pt idx="41">
                  <c:v>39171</c:v>
                </c:pt>
                <c:pt idx="42">
                  <c:v>39178</c:v>
                </c:pt>
                <c:pt idx="43">
                  <c:v>39185</c:v>
                </c:pt>
                <c:pt idx="44">
                  <c:v>39192</c:v>
                </c:pt>
                <c:pt idx="45">
                  <c:v>39199</c:v>
                </c:pt>
                <c:pt idx="46">
                  <c:v>39206</c:v>
                </c:pt>
                <c:pt idx="47">
                  <c:v>39213</c:v>
                </c:pt>
                <c:pt idx="48">
                  <c:v>39220</c:v>
                </c:pt>
                <c:pt idx="49">
                  <c:v>39227</c:v>
                </c:pt>
                <c:pt idx="50">
                  <c:v>39234</c:v>
                </c:pt>
                <c:pt idx="51">
                  <c:v>39241</c:v>
                </c:pt>
                <c:pt idx="52">
                  <c:v>39248</c:v>
                </c:pt>
                <c:pt idx="53">
                  <c:v>39255</c:v>
                </c:pt>
                <c:pt idx="54">
                  <c:v>39262</c:v>
                </c:pt>
                <c:pt idx="55">
                  <c:v>39269</c:v>
                </c:pt>
                <c:pt idx="56">
                  <c:v>39276</c:v>
                </c:pt>
                <c:pt idx="57">
                  <c:v>39283</c:v>
                </c:pt>
                <c:pt idx="58">
                  <c:v>39290</c:v>
                </c:pt>
                <c:pt idx="59">
                  <c:v>39297</c:v>
                </c:pt>
                <c:pt idx="60">
                  <c:v>39304</c:v>
                </c:pt>
                <c:pt idx="61">
                  <c:v>39311</c:v>
                </c:pt>
                <c:pt idx="62">
                  <c:v>39318</c:v>
                </c:pt>
                <c:pt idx="63">
                  <c:v>39325</c:v>
                </c:pt>
                <c:pt idx="64">
                  <c:v>39332</c:v>
                </c:pt>
                <c:pt idx="65">
                  <c:v>39339</c:v>
                </c:pt>
                <c:pt idx="66">
                  <c:v>39346</c:v>
                </c:pt>
                <c:pt idx="67">
                  <c:v>39353</c:v>
                </c:pt>
                <c:pt idx="68">
                  <c:v>39360</c:v>
                </c:pt>
                <c:pt idx="69">
                  <c:v>39367</c:v>
                </c:pt>
                <c:pt idx="70">
                  <c:v>39374</c:v>
                </c:pt>
                <c:pt idx="71">
                  <c:v>39381</c:v>
                </c:pt>
                <c:pt idx="72">
                  <c:v>39388</c:v>
                </c:pt>
                <c:pt idx="73">
                  <c:v>39395</c:v>
                </c:pt>
                <c:pt idx="74">
                  <c:v>39402</c:v>
                </c:pt>
                <c:pt idx="75">
                  <c:v>39409</c:v>
                </c:pt>
                <c:pt idx="76">
                  <c:v>39416</c:v>
                </c:pt>
                <c:pt idx="77">
                  <c:v>39423</c:v>
                </c:pt>
                <c:pt idx="78">
                  <c:v>39430</c:v>
                </c:pt>
                <c:pt idx="79">
                  <c:v>39437</c:v>
                </c:pt>
                <c:pt idx="80">
                  <c:v>39444</c:v>
                </c:pt>
                <c:pt idx="81">
                  <c:v>39451</c:v>
                </c:pt>
                <c:pt idx="82">
                  <c:v>39458</c:v>
                </c:pt>
                <c:pt idx="83">
                  <c:v>39465</c:v>
                </c:pt>
                <c:pt idx="84">
                  <c:v>39472</c:v>
                </c:pt>
                <c:pt idx="85">
                  <c:v>39479</c:v>
                </c:pt>
                <c:pt idx="86">
                  <c:v>39486</c:v>
                </c:pt>
                <c:pt idx="87">
                  <c:v>39493</c:v>
                </c:pt>
                <c:pt idx="88">
                  <c:v>39500</c:v>
                </c:pt>
                <c:pt idx="89">
                  <c:v>39507</c:v>
                </c:pt>
                <c:pt idx="90">
                  <c:v>39514</c:v>
                </c:pt>
                <c:pt idx="91">
                  <c:v>39521</c:v>
                </c:pt>
                <c:pt idx="92">
                  <c:v>39528</c:v>
                </c:pt>
                <c:pt idx="93">
                  <c:v>39535</c:v>
                </c:pt>
                <c:pt idx="94">
                  <c:v>39542</c:v>
                </c:pt>
                <c:pt idx="95">
                  <c:v>39549</c:v>
                </c:pt>
                <c:pt idx="96">
                  <c:v>39556</c:v>
                </c:pt>
                <c:pt idx="97">
                  <c:v>39563</c:v>
                </c:pt>
                <c:pt idx="98">
                  <c:v>39570</c:v>
                </c:pt>
                <c:pt idx="99">
                  <c:v>39577</c:v>
                </c:pt>
                <c:pt idx="100">
                  <c:v>39584</c:v>
                </c:pt>
                <c:pt idx="101">
                  <c:v>39591</c:v>
                </c:pt>
                <c:pt idx="102">
                  <c:v>39598</c:v>
                </c:pt>
                <c:pt idx="103">
                  <c:v>39605</c:v>
                </c:pt>
                <c:pt idx="104">
                  <c:v>39612</c:v>
                </c:pt>
                <c:pt idx="105">
                  <c:v>39619</c:v>
                </c:pt>
                <c:pt idx="106">
                  <c:v>39626</c:v>
                </c:pt>
                <c:pt idx="107">
                  <c:v>39633</c:v>
                </c:pt>
                <c:pt idx="108">
                  <c:v>39640</c:v>
                </c:pt>
                <c:pt idx="109">
                  <c:v>39647</c:v>
                </c:pt>
                <c:pt idx="110">
                  <c:v>39654</c:v>
                </c:pt>
                <c:pt idx="111">
                  <c:v>39661</c:v>
                </c:pt>
                <c:pt idx="112">
                  <c:v>39668</c:v>
                </c:pt>
                <c:pt idx="113">
                  <c:v>39675</c:v>
                </c:pt>
                <c:pt idx="114">
                  <c:v>39682</c:v>
                </c:pt>
                <c:pt idx="115">
                  <c:v>39689</c:v>
                </c:pt>
                <c:pt idx="116">
                  <c:v>39696</c:v>
                </c:pt>
                <c:pt idx="117">
                  <c:v>39703</c:v>
                </c:pt>
                <c:pt idx="118">
                  <c:v>39710</c:v>
                </c:pt>
                <c:pt idx="119">
                  <c:v>39717</c:v>
                </c:pt>
                <c:pt idx="120">
                  <c:v>39724</c:v>
                </c:pt>
                <c:pt idx="121">
                  <c:v>39731</c:v>
                </c:pt>
                <c:pt idx="122">
                  <c:v>39738</c:v>
                </c:pt>
                <c:pt idx="123">
                  <c:v>39745</c:v>
                </c:pt>
                <c:pt idx="124">
                  <c:v>39752</c:v>
                </c:pt>
                <c:pt idx="125">
                  <c:v>39759</c:v>
                </c:pt>
                <c:pt idx="126">
                  <c:v>39766</c:v>
                </c:pt>
                <c:pt idx="127">
                  <c:v>39773</c:v>
                </c:pt>
                <c:pt idx="128">
                  <c:v>39780</c:v>
                </c:pt>
                <c:pt idx="129">
                  <c:v>39787</c:v>
                </c:pt>
                <c:pt idx="130">
                  <c:v>39794</c:v>
                </c:pt>
                <c:pt idx="131">
                  <c:v>39801</c:v>
                </c:pt>
                <c:pt idx="132">
                  <c:v>39808</c:v>
                </c:pt>
                <c:pt idx="133">
                  <c:v>39815</c:v>
                </c:pt>
                <c:pt idx="134">
                  <c:v>39822</c:v>
                </c:pt>
                <c:pt idx="135">
                  <c:v>39829</c:v>
                </c:pt>
                <c:pt idx="136">
                  <c:v>39836</c:v>
                </c:pt>
                <c:pt idx="137">
                  <c:v>39843</c:v>
                </c:pt>
                <c:pt idx="138">
                  <c:v>39850</c:v>
                </c:pt>
                <c:pt idx="139">
                  <c:v>39857</c:v>
                </c:pt>
                <c:pt idx="140">
                  <c:v>39864</c:v>
                </c:pt>
                <c:pt idx="141">
                  <c:v>39871</c:v>
                </c:pt>
                <c:pt idx="142">
                  <c:v>39878</c:v>
                </c:pt>
                <c:pt idx="143">
                  <c:v>39885</c:v>
                </c:pt>
                <c:pt idx="144">
                  <c:v>39892</c:v>
                </c:pt>
                <c:pt idx="145">
                  <c:v>39899</c:v>
                </c:pt>
                <c:pt idx="146">
                  <c:v>39906</c:v>
                </c:pt>
                <c:pt idx="147">
                  <c:v>39913</c:v>
                </c:pt>
                <c:pt idx="148">
                  <c:v>39920</c:v>
                </c:pt>
                <c:pt idx="149">
                  <c:v>39927</c:v>
                </c:pt>
                <c:pt idx="150">
                  <c:v>39934</c:v>
                </c:pt>
                <c:pt idx="151">
                  <c:v>39941</c:v>
                </c:pt>
                <c:pt idx="152">
                  <c:v>39948</c:v>
                </c:pt>
                <c:pt idx="153">
                  <c:v>39955</c:v>
                </c:pt>
                <c:pt idx="154">
                  <c:v>39962</c:v>
                </c:pt>
                <c:pt idx="155">
                  <c:v>39969</c:v>
                </c:pt>
                <c:pt idx="156">
                  <c:v>39976</c:v>
                </c:pt>
                <c:pt idx="157">
                  <c:v>39983</c:v>
                </c:pt>
                <c:pt idx="158">
                  <c:v>39990</c:v>
                </c:pt>
                <c:pt idx="159">
                  <c:v>39997</c:v>
                </c:pt>
                <c:pt idx="160">
                  <c:v>40004</c:v>
                </c:pt>
                <c:pt idx="161">
                  <c:v>40011</c:v>
                </c:pt>
                <c:pt idx="162">
                  <c:v>40018</c:v>
                </c:pt>
                <c:pt idx="163">
                  <c:v>40025</c:v>
                </c:pt>
                <c:pt idx="164">
                  <c:v>40032</c:v>
                </c:pt>
                <c:pt idx="165">
                  <c:v>40039</c:v>
                </c:pt>
                <c:pt idx="166">
                  <c:v>40046</c:v>
                </c:pt>
                <c:pt idx="167">
                  <c:v>40053</c:v>
                </c:pt>
                <c:pt idx="168">
                  <c:v>40060</c:v>
                </c:pt>
                <c:pt idx="169">
                  <c:v>40067</c:v>
                </c:pt>
                <c:pt idx="170">
                  <c:v>40074</c:v>
                </c:pt>
                <c:pt idx="171">
                  <c:v>40081</c:v>
                </c:pt>
                <c:pt idx="172">
                  <c:v>40088</c:v>
                </c:pt>
                <c:pt idx="173">
                  <c:v>40095</c:v>
                </c:pt>
                <c:pt idx="174">
                  <c:v>40102</c:v>
                </c:pt>
                <c:pt idx="175">
                  <c:v>40109</c:v>
                </c:pt>
                <c:pt idx="176">
                  <c:v>40116</c:v>
                </c:pt>
                <c:pt idx="177">
                  <c:v>40123</c:v>
                </c:pt>
                <c:pt idx="178">
                  <c:v>40130</c:v>
                </c:pt>
                <c:pt idx="179">
                  <c:v>40137</c:v>
                </c:pt>
                <c:pt idx="180">
                  <c:v>40144</c:v>
                </c:pt>
                <c:pt idx="181">
                  <c:v>40151</c:v>
                </c:pt>
                <c:pt idx="182">
                  <c:v>40158</c:v>
                </c:pt>
                <c:pt idx="183">
                  <c:v>40165</c:v>
                </c:pt>
                <c:pt idx="184">
                  <c:v>40172</c:v>
                </c:pt>
                <c:pt idx="185">
                  <c:v>40179</c:v>
                </c:pt>
                <c:pt idx="186">
                  <c:v>40186</c:v>
                </c:pt>
                <c:pt idx="187">
                  <c:v>40193</c:v>
                </c:pt>
                <c:pt idx="188">
                  <c:v>40200</c:v>
                </c:pt>
                <c:pt idx="189">
                  <c:v>40207</c:v>
                </c:pt>
                <c:pt idx="190">
                  <c:v>40214</c:v>
                </c:pt>
                <c:pt idx="191">
                  <c:v>40221</c:v>
                </c:pt>
                <c:pt idx="192">
                  <c:v>40228</c:v>
                </c:pt>
                <c:pt idx="193">
                  <c:v>40235</c:v>
                </c:pt>
                <c:pt idx="194">
                  <c:v>40242</c:v>
                </c:pt>
                <c:pt idx="195">
                  <c:v>40249</c:v>
                </c:pt>
                <c:pt idx="196">
                  <c:v>40256</c:v>
                </c:pt>
                <c:pt idx="197">
                  <c:v>40263</c:v>
                </c:pt>
                <c:pt idx="198">
                  <c:v>40270</c:v>
                </c:pt>
                <c:pt idx="199">
                  <c:v>40277</c:v>
                </c:pt>
                <c:pt idx="200">
                  <c:v>40284</c:v>
                </c:pt>
                <c:pt idx="201">
                  <c:v>40291</c:v>
                </c:pt>
                <c:pt idx="202">
                  <c:v>40298</c:v>
                </c:pt>
                <c:pt idx="203">
                  <c:v>40305</c:v>
                </c:pt>
                <c:pt idx="204">
                  <c:v>40312</c:v>
                </c:pt>
                <c:pt idx="205">
                  <c:v>40319</c:v>
                </c:pt>
                <c:pt idx="206">
                  <c:v>40326</c:v>
                </c:pt>
                <c:pt idx="207">
                  <c:v>40333</c:v>
                </c:pt>
                <c:pt idx="208">
                  <c:v>40340</c:v>
                </c:pt>
                <c:pt idx="209">
                  <c:v>40347</c:v>
                </c:pt>
                <c:pt idx="210">
                  <c:v>40354</c:v>
                </c:pt>
                <c:pt idx="211">
                  <c:v>40361</c:v>
                </c:pt>
                <c:pt idx="212">
                  <c:v>40368</c:v>
                </c:pt>
                <c:pt idx="213">
                  <c:v>40375</c:v>
                </c:pt>
                <c:pt idx="214">
                  <c:v>40382</c:v>
                </c:pt>
                <c:pt idx="215">
                  <c:v>40389</c:v>
                </c:pt>
                <c:pt idx="216">
                  <c:v>40396</c:v>
                </c:pt>
                <c:pt idx="217">
                  <c:v>40403</c:v>
                </c:pt>
                <c:pt idx="218">
                  <c:v>40410</c:v>
                </c:pt>
                <c:pt idx="219">
                  <c:v>40417</c:v>
                </c:pt>
                <c:pt idx="220">
                  <c:v>40424</c:v>
                </c:pt>
                <c:pt idx="221">
                  <c:v>40431</c:v>
                </c:pt>
                <c:pt idx="222">
                  <c:v>40438</c:v>
                </c:pt>
                <c:pt idx="223">
                  <c:v>40445</c:v>
                </c:pt>
                <c:pt idx="224">
                  <c:v>40452</c:v>
                </c:pt>
                <c:pt idx="225">
                  <c:v>40459</c:v>
                </c:pt>
                <c:pt idx="226">
                  <c:v>40466</c:v>
                </c:pt>
                <c:pt idx="227">
                  <c:v>40473</c:v>
                </c:pt>
                <c:pt idx="228">
                  <c:v>40480</c:v>
                </c:pt>
                <c:pt idx="229">
                  <c:v>40487</c:v>
                </c:pt>
                <c:pt idx="230">
                  <c:v>40494</c:v>
                </c:pt>
                <c:pt idx="231">
                  <c:v>40501</c:v>
                </c:pt>
                <c:pt idx="232">
                  <c:v>40508</c:v>
                </c:pt>
                <c:pt idx="233">
                  <c:v>40515</c:v>
                </c:pt>
                <c:pt idx="234">
                  <c:v>40522</c:v>
                </c:pt>
                <c:pt idx="235">
                  <c:v>40529</c:v>
                </c:pt>
                <c:pt idx="236">
                  <c:v>40536</c:v>
                </c:pt>
                <c:pt idx="237">
                  <c:v>40543</c:v>
                </c:pt>
                <c:pt idx="238">
                  <c:v>40550</c:v>
                </c:pt>
                <c:pt idx="239">
                  <c:v>40557</c:v>
                </c:pt>
                <c:pt idx="240">
                  <c:v>40564</c:v>
                </c:pt>
                <c:pt idx="241">
                  <c:v>40571</c:v>
                </c:pt>
                <c:pt idx="242">
                  <c:v>40578</c:v>
                </c:pt>
                <c:pt idx="243">
                  <c:v>40585</c:v>
                </c:pt>
                <c:pt idx="244">
                  <c:v>40592</c:v>
                </c:pt>
                <c:pt idx="245">
                  <c:v>40599</c:v>
                </c:pt>
                <c:pt idx="246">
                  <c:v>40606</c:v>
                </c:pt>
                <c:pt idx="247">
                  <c:v>40613</c:v>
                </c:pt>
                <c:pt idx="248">
                  <c:v>40620</c:v>
                </c:pt>
                <c:pt idx="249">
                  <c:v>40627</c:v>
                </c:pt>
                <c:pt idx="250">
                  <c:v>40634</c:v>
                </c:pt>
                <c:pt idx="251">
                  <c:v>40641</c:v>
                </c:pt>
                <c:pt idx="252">
                  <c:v>40648</c:v>
                </c:pt>
                <c:pt idx="253">
                  <c:v>40655</c:v>
                </c:pt>
                <c:pt idx="254">
                  <c:v>40662</c:v>
                </c:pt>
                <c:pt idx="255">
                  <c:v>40669</c:v>
                </c:pt>
                <c:pt idx="256">
                  <c:v>40676</c:v>
                </c:pt>
                <c:pt idx="257">
                  <c:v>40683</c:v>
                </c:pt>
                <c:pt idx="258">
                  <c:v>40690</c:v>
                </c:pt>
                <c:pt idx="259">
                  <c:v>40697</c:v>
                </c:pt>
                <c:pt idx="260">
                  <c:v>40704</c:v>
                </c:pt>
                <c:pt idx="261">
                  <c:v>40711</c:v>
                </c:pt>
                <c:pt idx="262">
                  <c:v>40718</c:v>
                </c:pt>
                <c:pt idx="263">
                  <c:v>40725</c:v>
                </c:pt>
                <c:pt idx="264">
                  <c:v>40732</c:v>
                </c:pt>
                <c:pt idx="265">
                  <c:v>40739</c:v>
                </c:pt>
                <c:pt idx="266">
                  <c:v>40746</c:v>
                </c:pt>
                <c:pt idx="267">
                  <c:v>40753</c:v>
                </c:pt>
                <c:pt idx="268">
                  <c:v>40760</c:v>
                </c:pt>
                <c:pt idx="269">
                  <c:v>40767</c:v>
                </c:pt>
                <c:pt idx="270">
                  <c:v>40774</c:v>
                </c:pt>
                <c:pt idx="271">
                  <c:v>40781</c:v>
                </c:pt>
                <c:pt idx="272">
                  <c:v>40788</c:v>
                </c:pt>
                <c:pt idx="273">
                  <c:v>40795</c:v>
                </c:pt>
                <c:pt idx="274">
                  <c:v>40802</c:v>
                </c:pt>
                <c:pt idx="275">
                  <c:v>40809</c:v>
                </c:pt>
                <c:pt idx="276">
                  <c:v>40816</c:v>
                </c:pt>
                <c:pt idx="277">
                  <c:v>40823</c:v>
                </c:pt>
                <c:pt idx="278">
                  <c:v>40830</c:v>
                </c:pt>
                <c:pt idx="279">
                  <c:v>40837</c:v>
                </c:pt>
                <c:pt idx="280">
                  <c:v>40844</c:v>
                </c:pt>
                <c:pt idx="281">
                  <c:v>40851</c:v>
                </c:pt>
                <c:pt idx="282">
                  <c:v>40858</c:v>
                </c:pt>
                <c:pt idx="283">
                  <c:v>40865</c:v>
                </c:pt>
                <c:pt idx="284">
                  <c:v>40872</c:v>
                </c:pt>
                <c:pt idx="285">
                  <c:v>40879</c:v>
                </c:pt>
                <c:pt idx="286">
                  <c:v>40886</c:v>
                </c:pt>
                <c:pt idx="287">
                  <c:v>40893</c:v>
                </c:pt>
                <c:pt idx="288">
                  <c:v>40900</c:v>
                </c:pt>
                <c:pt idx="289">
                  <c:v>40907</c:v>
                </c:pt>
                <c:pt idx="290">
                  <c:v>40914</c:v>
                </c:pt>
                <c:pt idx="291">
                  <c:v>40921</c:v>
                </c:pt>
                <c:pt idx="292">
                  <c:v>40928</c:v>
                </c:pt>
                <c:pt idx="293">
                  <c:v>40935</c:v>
                </c:pt>
                <c:pt idx="294">
                  <c:v>40942</c:v>
                </c:pt>
                <c:pt idx="295">
                  <c:v>40949</c:v>
                </c:pt>
                <c:pt idx="296">
                  <c:v>40956</c:v>
                </c:pt>
                <c:pt idx="297">
                  <c:v>40963</c:v>
                </c:pt>
                <c:pt idx="298">
                  <c:v>40970</c:v>
                </c:pt>
                <c:pt idx="299">
                  <c:v>40977</c:v>
                </c:pt>
                <c:pt idx="300">
                  <c:v>40984</c:v>
                </c:pt>
                <c:pt idx="301">
                  <c:v>40991</c:v>
                </c:pt>
                <c:pt idx="302">
                  <c:v>40998</c:v>
                </c:pt>
                <c:pt idx="303">
                  <c:v>41005</c:v>
                </c:pt>
                <c:pt idx="304">
                  <c:v>41012</c:v>
                </c:pt>
                <c:pt idx="305">
                  <c:v>41019</c:v>
                </c:pt>
                <c:pt idx="306">
                  <c:v>41026</c:v>
                </c:pt>
                <c:pt idx="307">
                  <c:v>41033</c:v>
                </c:pt>
                <c:pt idx="308">
                  <c:v>41040</c:v>
                </c:pt>
                <c:pt idx="309">
                  <c:v>41047</c:v>
                </c:pt>
                <c:pt idx="310">
                  <c:v>41054</c:v>
                </c:pt>
                <c:pt idx="311">
                  <c:v>41061</c:v>
                </c:pt>
                <c:pt idx="312">
                  <c:v>41068</c:v>
                </c:pt>
                <c:pt idx="313">
                  <c:v>41075</c:v>
                </c:pt>
                <c:pt idx="314">
                  <c:v>41082</c:v>
                </c:pt>
                <c:pt idx="315">
                  <c:v>41089</c:v>
                </c:pt>
                <c:pt idx="316">
                  <c:v>41096</c:v>
                </c:pt>
                <c:pt idx="317">
                  <c:v>41103</c:v>
                </c:pt>
                <c:pt idx="318">
                  <c:v>41110</c:v>
                </c:pt>
                <c:pt idx="319">
                  <c:v>41117</c:v>
                </c:pt>
                <c:pt idx="320">
                  <c:v>41124</c:v>
                </c:pt>
                <c:pt idx="321">
                  <c:v>41131</c:v>
                </c:pt>
                <c:pt idx="322">
                  <c:v>41138</c:v>
                </c:pt>
                <c:pt idx="323">
                  <c:v>41145</c:v>
                </c:pt>
                <c:pt idx="324">
                  <c:v>41152</c:v>
                </c:pt>
                <c:pt idx="325">
                  <c:v>41159</c:v>
                </c:pt>
                <c:pt idx="326">
                  <c:v>41166</c:v>
                </c:pt>
                <c:pt idx="327">
                  <c:v>41173</c:v>
                </c:pt>
                <c:pt idx="328">
                  <c:v>41180</c:v>
                </c:pt>
                <c:pt idx="329">
                  <c:v>41187</c:v>
                </c:pt>
                <c:pt idx="330">
                  <c:v>41194</c:v>
                </c:pt>
                <c:pt idx="331">
                  <c:v>41201</c:v>
                </c:pt>
                <c:pt idx="332">
                  <c:v>41208</c:v>
                </c:pt>
                <c:pt idx="333">
                  <c:v>41215</c:v>
                </c:pt>
                <c:pt idx="334">
                  <c:v>41222</c:v>
                </c:pt>
                <c:pt idx="335">
                  <c:v>41229</c:v>
                </c:pt>
                <c:pt idx="336">
                  <c:v>41236</c:v>
                </c:pt>
                <c:pt idx="337">
                  <c:v>41243</c:v>
                </c:pt>
                <c:pt idx="338">
                  <c:v>41250</c:v>
                </c:pt>
                <c:pt idx="339">
                  <c:v>41257</c:v>
                </c:pt>
                <c:pt idx="340">
                  <c:v>41264</c:v>
                </c:pt>
                <c:pt idx="341">
                  <c:v>41271</c:v>
                </c:pt>
                <c:pt idx="342">
                  <c:v>41278</c:v>
                </c:pt>
                <c:pt idx="343">
                  <c:v>41285</c:v>
                </c:pt>
                <c:pt idx="344">
                  <c:v>41292</c:v>
                </c:pt>
                <c:pt idx="345">
                  <c:v>41299</c:v>
                </c:pt>
                <c:pt idx="346">
                  <c:v>41306</c:v>
                </c:pt>
                <c:pt idx="347">
                  <c:v>41313</c:v>
                </c:pt>
                <c:pt idx="348">
                  <c:v>41320</c:v>
                </c:pt>
                <c:pt idx="349">
                  <c:v>41327</c:v>
                </c:pt>
                <c:pt idx="350">
                  <c:v>41334</c:v>
                </c:pt>
                <c:pt idx="351">
                  <c:v>41341</c:v>
                </c:pt>
                <c:pt idx="352">
                  <c:v>41348</c:v>
                </c:pt>
                <c:pt idx="353">
                  <c:v>41355</c:v>
                </c:pt>
                <c:pt idx="354">
                  <c:v>41362</c:v>
                </c:pt>
                <c:pt idx="355">
                  <c:v>41369</c:v>
                </c:pt>
                <c:pt idx="356">
                  <c:v>41376</c:v>
                </c:pt>
                <c:pt idx="357">
                  <c:v>41383</c:v>
                </c:pt>
                <c:pt idx="358">
                  <c:v>41390</c:v>
                </c:pt>
                <c:pt idx="359">
                  <c:v>41397</c:v>
                </c:pt>
                <c:pt idx="360">
                  <c:v>41404</c:v>
                </c:pt>
                <c:pt idx="361">
                  <c:v>41411</c:v>
                </c:pt>
                <c:pt idx="362">
                  <c:v>41418</c:v>
                </c:pt>
                <c:pt idx="363">
                  <c:v>41425</c:v>
                </c:pt>
                <c:pt idx="364">
                  <c:v>41432</c:v>
                </c:pt>
                <c:pt idx="365">
                  <c:v>41439</c:v>
                </c:pt>
                <c:pt idx="366">
                  <c:v>41446</c:v>
                </c:pt>
                <c:pt idx="367">
                  <c:v>41453</c:v>
                </c:pt>
                <c:pt idx="368">
                  <c:v>41460</c:v>
                </c:pt>
                <c:pt idx="369">
                  <c:v>41467</c:v>
                </c:pt>
                <c:pt idx="370">
                  <c:v>41474</c:v>
                </c:pt>
                <c:pt idx="371">
                  <c:v>41481</c:v>
                </c:pt>
                <c:pt idx="372">
                  <c:v>41488</c:v>
                </c:pt>
                <c:pt idx="373">
                  <c:v>41495</c:v>
                </c:pt>
                <c:pt idx="374">
                  <c:v>41502</c:v>
                </c:pt>
                <c:pt idx="375">
                  <c:v>41509</c:v>
                </c:pt>
                <c:pt idx="376">
                  <c:v>41516</c:v>
                </c:pt>
                <c:pt idx="377">
                  <c:v>41523</c:v>
                </c:pt>
                <c:pt idx="378">
                  <c:v>41530</c:v>
                </c:pt>
                <c:pt idx="379">
                  <c:v>41537</c:v>
                </c:pt>
                <c:pt idx="380">
                  <c:v>41544</c:v>
                </c:pt>
                <c:pt idx="381">
                  <c:v>41551</c:v>
                </c:pt>
                <c:pt idx="382">
                  <c:v>41558</c:v>
                </c:pt>
                <c:pt idx="383">
                  <c:v>41565</c:v>
                </c:pt>
                <c:pt idx="384">
                  <c:v>41572</c:v>
                </c:pt>
                <c:pt idx="385">
                  <c:v>41579</c:v>
                </c:pt>
                <c:pt idx="386">
                  <c:v>41586</c:v>
                </c:pt>
                <c:pt idx="387">
                  <c:v>41593</c:v>
                </c:pt>
                <c:pt idx="388">
                  <c:v>41600</c:v>
                </c:pt>
                <c:pt idx="389">
                  <c:v>41607</c:v>
                </c:pt>
                <c:pt idx="390">
                  <c:v>41614</c:v>
                </c:pt>
                <c:pt idx="391">
                  <c:v>41621</c:v>
                </c:pt>
                <c:pt idx="392">
                  <c:v>41628</c:v>
                </c:pt>
                <c:pt idx="393">
                  <c:v>41635</c:v>
                </c:pt>
                <c:pt idx="394">
                  <c:v>41642</c:v>
                </c:pt>
                <c:pt idx="395">
                  <c:v>41649</c:v>
                </c:pt>
                <c:pt idx="396">
                  <c:v>41656</c:v>
                </c:pt>
                <c:pt idx="397">
                  <c:v>41663</c:v>
                </c:pt>
                <c:pt idx="398">
                  <c:v>41670</c:v>
                </c:pt>
                <c:pt idx="399">
                  <c:v>41677</c:v>
                </c:pt>
                <c:pt idx="400">
                  <c:v>41684</c:v>
                </c:pt>
                <c:pt idx="401">
                  <c:v>41691</c:v>
                </c:pt>
                <c:pt idx="402">
                  <c:v>41698</c:v>
                </c:pt>
                <c:pt idx="403">
                  <c:v>41705</c:v>
                </c:pt>
                <c:pt idx="404">
                  <c:v>41712</c:v>
                </c:pt>
                <c:pt idx="405">
                  <c:v>41719</c:v>
                </c:pt>
                <c:pt idx="406">
                  <c:v>41726</c:v>
                </c:pt>
                <c:pt idx="407">
                  <c:v>41733</c:v>
                </c:pt>
                <c:pt idx="408">
                  <c:v>41740</c:v>
                </c:pt>
                <c:pt idx="409">
                  <c:v>41747</c:v>
                </c:pt>
                <c:pt idx="410">
                  <c:v>41754</c:v>
                </c:pt>
                <c:pt idx="411">
                  <c:v>41761</c:v>
                </c:pt>
                <c:pt idx="412">
                  <c:v>41768</c:v>
                </c:pt>
                <c:pt idx="413">
                  <c:v>41775</c:v>
                </c:pt>
                <c:pt idx="414">
                  <c:v>41782</c:v>
                </c:pt>
                <c:pt idx="415">
                  <c:v>41789</c:v>
                </c:pt>
                <c:pt idx="416">
                  <c:v>41796</c:v>
                </c:pt>
                <c:pt idx="417">
                  <c:v>41803</c:v>
                </c:pt>
                <c:pt idx="418">
                  <c:v>41810</c:v>
                </c:pt>
                <c:pt idx="419">
                  <c:v>41817</c:v>
                </c:pt>
                <c:pt idx="420">
                  <c:v>41824</c:v>
                </c:pt>
                <c:pt idx="421">
                  <c:v>41831</c:v>
                </c:pt>
                <c:pt idx="422">
                  <c:v>41838</c:v>
                </c:pt>
                <c:pt idx="423">
                  <c:v>41845</c:v>
                </c:pt>
                <c:pt idx="424">
                  <c:v>41852</c:v>
                </c:pt>
                <c:pt idx="425">
                  <c:v>41859</c:v>
                </c:pt>
                <c:pt idx="426">
                  <c:v>41866</c:v>
                </c:pt>
                <c:pt idx="427">
                  <c:v>41873</c:v>
                </c:pt>
                <c:pt idx="428">
                  <c:v>41880</c:v>
                </c:pt>
                <c:pt idx="429">
                  <c:v>41887</c:v>
                </c:pt>
                <c:pt idx="430">
                  <c:v>41894</c:v>
                </c:pt>
                <c:pt idx="431">
                  <c:v>41901</c:v>
                </c:pt>
                <c:pt idx="432">
                  <c:v>41908</c:v>
                </c:pt>
                <c:pt idx="433">
                  <c:v>41915</c:v>
                </c:pt>
                <c:pt idx="434">
                  <c:v>41922</c:v>
                </c:pt>
                <c:pt idx="435">
                  <c:v>41929</c:v>
                </c:pt>
                <c:pt idx="436">
                  <c:v>41936</c:v>
                </c:pt>
                <c:pt idx="437">
                  <c:v>41943</c:v>
                </c:pt>
                <c:pt idx="438">
                  <c:v>41950</c:v>
                </c:pt>
                <c:pt idx="439">
                  <c:v>41957</c:v>
                </c:pt>
                <c:pt idx="440">
                  <c:v>41964</c:v>
                </c:pt>
                <c:pt idx="441">
                  <c:v>41971</c:v>
                </c:pt>
                <c:pt idx="442">
                  <c:v>41978</c:v>
                </c:pt>
                <c:pt idx="443">
                  <c:v>41985</c:v>
                </c:pt>
                <c:pt idx="444">
                  <c:v>41992</c:v>
                </c:pt>
                <c:pt idx="445">
                  <c:v>41999</c:v>
                </c:pt>
                <c:pt idx="446">
                  <c:v>42006</c:v>
                </c:pt>
                <c:pt idx="447">
                  <c:v>42013</c:v>
                </c:pt>
                <c:pt idx="448">
                  <c:v>42020</c:v>
                </c:pt>
                <c:pt idx="449">
                  <c:v>42027</c:v>
                </c:pt>
                <c:pt idx="450">
                  <c:v>42034</c:v>
                </c:pt>
                <c:pt idx="451">
                  <c:v>42041</c:v>
                </c:pt>
                <c:pt idx="452">
                  <c:v>42048</c:v>
                </c:pt>
                <c:pt idx="453">
                  <c:v>42055</c:v>
                </c:pt>
                <c:pt idx="454">
                  <c:v>42062</c:v>
                </c:pt>
                <c:pt idx="455">
                  <c:v>42069</c:v>
                </c:pt>
                <c:pt idx="456">
                  <c:v>42076</c:v>
                </c:pt>
                <c:pt idx="457">
                  <c:v>42083</c:v>
                </c:pt>
                <c:pt idx="458">
                  <c:v>42090</c:v>
                </c:pt>
                <c:pt idx="459">
                  <c:v>42097</c:v>
                </c:pt>
                <c:pt idx="460">
                  <c:v>42104</c:v>
                </c:pt>
                <c:pt idx="461">
                  <c:v>42111</c:v>
                </c:pt>
                <c:pt idx="462">
                  <c:v>42118</c:v>
                </c:pt>
                <c:pt idx="463">
                  <c:v>42125</c:v>
                </c:pt>
                <c:pt idx="464">
                  <c:v>42132</c:v>
                </c:pt>
                <c:pt idx="465">
                  <c:v>42139</c:v>
                </c:pt>
                <c:pt idx="466">
                  <c:v>42146</c:v>
                </c:pt>
                <c:pt idx="467">
                  <c:v>42153</c:v>
                </c:pt>
                <c:pt idx="468">
                  <c:v>42160</c:v>
                </c:pt>
                <c:pt idx="469">
                  <c:v>42167</c:v>
                </c:pt>
                <c:pt idx="470">
                  <c:v>42174</c:v>
                </c:pt>
                <c:pt idx="471">
                  <c:v>42181</c:v>
                </c:pt>
                <c:pt idx="472">
                  <c:v>42188</c:v>
                </c:pt>
                <c:pt idx="473">
                  <c:v>42195</c:v>
                </c:pt>
                <c:pt idx="474">
                  <c:v>42202</c:v>
                </c:pt>
                <c:pt idx="475">
                  <c:v>42209</c:v>
                </c:pt>
                <c:pt idx="476">
                  <c:v>42216</c:v>
                </c:pt>
                <c:pt idx="477">
                  <c:v>42223</c:v>
                </c:pt>
                <c:pt idx="478">
                  <c:v>42230</c:v>
                </c:pt>
                <c:pt idx="479">
                  <c:v>42237</c:v>
                </c:pt>
                <c:pt idx="480">
                  <c:v>42244</c:v>
                </c:pt>
                <c:pt idx="481">
                  <c:v>42251</c:v>
                </c:pt>
                <c:pt idx="482">
                  <c:v>42258</c:v>
                </c:pt>
                <c:pt idx="483">
                  <c:v>42265</c:v>
                </c:pt>
                <c:pt idx="484">
                  <c:v>42272</c:v>
                </c:pt>
                <c:pt idx="485">
                  <c:v>42279</c:v>
                </c:pt>
                <c:pt idx="486">
                  <c:v>42286</c:v>
                </c:pt>
                <c:pt idx="487">
                  <c:v>42293</c:v>
                </c:pt>
                <c:pt idx="488">
                  <c:v>42300</c:v>
                </c:pt>
                <c:pt idx="489">
                  <c:v>42307</c:v>
                </c:pt>
                <c:pt idx="490">
                  <c:v>42314</c:v>
                </c:pt>
                <c:pt idx="491">
                  <c:v>42321</c:v>
                </c:pt>
                <c:pt idx="492">
                  <c:v>42328</c:v>
                </c:pt>
                <c:pt idx="493">
                  <c:v>42335</c:v>
                </c:pt>
                <c:pt idx="494">
                  <c:v>42342</c:v>
                </c:pt>
                <c:pt idx="495">
                  <c:v>42349</c:v>
                </c:pt>
                <c:pt idx="496">
                  <c:v>42356</c:v>
                </c:pt>
                <c:pt idx="497">
                  <c:v>42363</c:v>
                </c:pt>
                <c:pt idx="498">
                  <c:v>42370</c:v>
                </c:pt>
                <c:pt idx="499">
                  <c:v>42377</c:v>
                </c:pt>
                <c:pt idx="500">
                  <c:v>42384</c:v>
                </c:pt>
                <c:pt idx="501">
                  <c:v>42391</c:v>
                </c:pt>
                <c:pt idx="502">
                  <c:v>42398</c:v>
                </c:pt>
                <c:pt idx="503">
                  <c:v>42405</c:v>
                </c:pt>
                <c:pt idx="504">
                  <c:v>42412</c:v>
                </c:pt>
                <c:pt idx="505">
                  <c:v>42419</c:v>
                </c:pt>
                <c:pt idx="506">
                  <c:v>42426</c:v>
                </c:pt>
                <c:pt idx="507">
                  <c:v>42433</c:v>
                </c:pt>
                <c:pt idx="508">
                  <c:v>42440</c:v>
                </c:pt>
                <c:pt idx="509">
                  <c:v>42447</c:v>
                </c:pt>
                <c:pt idx="510">
                  <c:v>42454</c:v>
                </c:pt>
                <c:pt idx="511">
                  <c:v>42461</c:v>
                </c:pt>
                <c:pt idx="512">
                  <c:v>42468</c:v>
                </c:pt>
                <c:pt idx="513">
                  <c:v>42475</c:v>
                </c:pt>
                <c:pt idx="514">
                  <c:v>42482</c:v>
                </c:pt>
                <c:pt idx="515">
                  <c:v>42489</c:v>
                </c:pt>
                <c:pt idx="516">
                  <c:v>42496</c:v>
                </c:pt>
                <c:pt idx="517">
                  <c:v>42503</c:v>
                </c:pt>
                <c:pt idx="518">
                  <c:v>42510</c:v>
                </c:pt>
                <c:pt idx="519">
                  <c:v>42517</c:v>
                </c:pt>
                <c:pt idx="520">
                  <c:v>42524</c:v>
                </c:pt>
                <c:pt idx="521">
                  <c:v>42531</c:v>
                </c:pt>
                <c:pt idx="522">
                  <c:v>42538</c:v>
                </c:pt>
                <c:pt idx="523">
                  <c:v>42545</c:v>
                </c:pt>
                <c:pt idx="524">
                  <c:v>42552</c:v>
                </c:pt>
                <c:pt idx="525">
                  <c:v>42559</c:v>
                </c:pt>
                <c:pt idx="526">
                  <c:v>42566</c:v>
                </c:pt>
                <c:pt idx="527">
                  <c:v>42573</c:v>
                </c:pt>
                <c:pt idx="528">
                  <c:v>42580</c:v>
                </c:pt>
                <c:pt idx="529">
                  <c:v>42587</c:v>
                </c:pt>
                <c:pt idx="530">
                  <c:v>42594</c:v>
                </c:pt>
                <c:pt idx="531">
                  <c:v>42601</c:v>
                </c:pt>
                <c:pt idx="532">
                  <c:v>42608</c:v>
                </c:pt>
                <c:pt idx="533">
                  <c:v>42615</c:v>
                </c:pt>
                <c:pt idx="534">
                  <c:v>42622</c:v>
                </c:pt>
                <c:pt idx="535">
                  <c:v>42629</c:v>
                </c:pt>
                <c:pt idx="536">
                  <c:v>42636</c:v>
                </c:pt>
                <c:pt idx="537">
                  <c:v>42643</c:v>
                </c:pt>
                <c:pt idx="538">
                  <c:v>42650</c:v>
                </c:pt>
                <c:pt idx="539">
                  <c:v>42657</c:v>
                </c:pt>
                <c:pt idx="540">
                  <c:v>42664</c:v>
                </c:pt>
                <c:pt idx="541">
                  <c:v>42671</c:v>
                </c:pt>
                <c:pt idx="542">
                  <c:v>42678</c:v>
                </c:pt>
                <c:pt idx="543">
                  <c:v>42685</c:v>
                </c:pt>
                <c:pt idx="544">
                  <c:v>42692</c:v>
                </c:pt>
                <c:pt idx="545">
                  <c:v>42699</c:v>
                </c:pt>
                <c:pt idx="546">
                  <c:v>42706</c:v>
                </c:pt>
                <c:pt idx="547">
                  <c:v>42713</c:v>
                </c:pt>
                <c:pt idx="548">
                  <c:v>42720</c:v>
                </c:pt>
                <c:pt idx="549">
                  <c:v>42727</c:v>
                </c:pt>
                <c:pt idx="550">
                  <c:v>42734</c:v>
                </c:pt>
                <c:pt idx="551">
                  <c:v>42741</c:v>
                </c:pt>
                <c:pt idx="552">
                  <c:v>42748</c:v>
                </c:pt>
                <c:pt idx="553">
                  <c:v>42755</c:v>
                </c:pt>
                <c:pt idx="554">
                  <c:v>42762</c:v>
                </c:pt>
                <c:pt idx="555">
                  <c:v>42769</c:v>
                </c:pt>
                <c:pt idx="556">
                  <c:v>42776</c:v>
                </c:pt>
                <c:pt idx="557">
                  <c:v>42783</c:v>
                </c:pt>
                <c:pt idx="558">
                  <c:v>42790</c:v>
                </c:pt>
                <c:pt idx="559">
                  <c:v>42797</c:v>
                </c:pt>
                <c:pt idx="560">
                  <c:v>42804</c:v>
                </c:pt>
                <c:pt idx="561">
                  <c:v>42811</c:v>
                </c:pt>
                <c:pt idx="562">
                  <c:v>42818</c:v>
                </c:pt>
                <c:pt idx="563">
                  <c:v>42825</c:v>
                </c:pt>
                <c:pt idx="564">
                  <c:v>42832</c:v>
                </c:pt>
                <c:pt idx="565">
                  <c:v>42839</c:v>
                </c:pt>
                <c:pt idx="566">
                  <c:v>42846</c:v>
                </c:pt>
                <c:pt idx="567">
                  <c:v>42853</c:v>
                </c:pt>
                <c:pt idx="568">
                  <c:v>42860</c:v>
                </c:pt>
                <c:pt idx="569">
                  <c:v>42867</c:v>
                </c:pt>
                <c:pt idx="570">
                  <c:v>42874</c:v>
                </c:pt>
                <c:pt idx="571">
                  <c:v>42881</c:v>
                </c:pt>
                <c:pt idx="572">
                  <c:v>42888</c:v>
                </c:pt>
                <c:pt idx="573">
                  <c:v>42895</c:v>
                </c:pt>
                <c:pt idx="574">
                  <c:v>42902</c:v>
                </c:pt>
                <c:pt idx="575">
                  <c:v>42909</c:v>
                </c:pt>
                <c:pt idx="576">
                  <c:v>42916</c:v>
                </c:pt>
                <c:pt idx="577">
                  <c:v>42923</c:v>
                </c:pt>
                <c:pt idx="578">
                  <c:v>42930</c:v>
                </c:pt>
                <c:pt idx="579">
                  <c:v>42937</c:v>
                </c:pt>
                <c:pt idx="580">
                  <c:v>42944</c:v>
                </c:pt>
                <c:pt idx="581">
                  <c:v>42951</c:v>
                </c:pt>
                <c:pt idx="582">
                  <c:v>42958</c:v>
                </c:pt>
                <c:pt idx="583">
                  <c:v>42965</c:v>
                </c:pt>
                <c:pt idx="584">
                  <c:v>42972</c:v>
                </c:pt>
                <c:pt idx="585">
                  <c:v>42979</c:v>
                </c:pt>
                <c:pt idx="586">
                  <c:v>42986</c:v>
                </c:pt>
                <c:pt idx="587">
                  <c:v>42993</c:v>
                </c:pt>
                <c:pt idx="588">
                  <c:v>43000</c:v>
                </c:pt>
                <c:pt idx="589">
                  <c:v>43007</c:v>
                </c:pt>
                <c:pt idx="590">
                  <c:v>43014</c:v>
                </c:pt>
                <c:pt idx="591">
                  <c:v>43021</c:v>
                </c:pt>
                <c:pt idx="592">
                  <c:v>43028</c:v>
                </c:pt>
                <c:pt idx="593">
                  <c:v>43035</c:v>
                </c:pt>
                <c:pt idx="594">
                  <c:v>43042</c:v>
                </c:pt>
                <c:pt idx="595">
                  <c:v>43049</c:v>
                </c:pt>
                <c:pt idx="596">
                  <c:v>43056</c:v>
                </c:pt>
                <c:pt idx="597">
                  <c:v>43063</c:v>
                </c:pt>
                <c:pt idx="598">
                  <c:v>43070</c:v>
                </c:pt>
                <c:pt idx="599">
                  <c:v>43077</c:v>
                </c:pt>
                <c:pt idx="600">
                  <c:v>43084</c:v>
                </c:pt>
                <c:pt idx="601">
                  <c:v>43091</c:v>
                </c:pt>
                <c:pt idx="602">
                  <c:v>43098</c:v>
                </c:pt>
                <c:pt idx="603">
                  <c:v>43105</c:v>
                </c:pt>
                <c:pt idx="604">
                  <c:v>43112</c:v>
                </c:pt>
                <c:pt idx="605">
                  <c:v>43119</c:v>
                </c:pt>
                <c:pt idx="606">
                  <c:v>43126</c:v>
                </c:pt>
                <c:pt idx="607">
                  <c:v>43133</c:v>
                </c:pt>
                <c:pt idx="608">
                  <c:v>43140</c:v>
                </c:pt>
                <c:pt idx="609">
                  <c:v>43147</c:v>
                </c:pt>
                <c:pt idx="610">
                  <c:v>43154</c:v>
                </c:pt>
                <c:pt idx="611">
                  <c:v>43161</c:v>
                </c:pt>
                <c:pt idx="612">
                  <c:v>43168</c:v>
                </c:pt>
                <c:pt idx="613">
                  <c:v>43175</c:v>
                </c:pt>
                <c:pt idx="614">
                  <c:v>43182</c:v>
                </c:pt>
                <c:pt idx="615">
                  <c:v>43189</c:v>
                </c:pt>
                <c:pt idx="616">
                  <c:v>43196</c:v>
                </c:pt>
                <c:pt idx="617">
                  <c:v>43203</c:v>
                </c:pt>
                <c:pt idx="618">
                  <c:v>43210</c:v>
                </c:pt>
                <c:pt idx="619">
                  <c:v>43217</c:v>
                </c:pt>
                <c:pt idx="620">
                  <c:v>43224</c:v>
                </c:pt>
                <c:pt idx="621">
                  <c:v>43231</c:v>
                </c:pt>
                <c:pt idx="622">
                  <c:v>43238</c:v>
                </c:pt>
                <c:pt idx="623">
                  <c:v>43245</c:v>
                </c:pt>
                <c:pt idx="624">
                  <c:v>43252</c:v>
                </c:pt>
                <c:pt idx="625">
                  <c:v>43259</c:v>
                </c:pt>
                <c:pt idx="626">
                  <c:v>43266</c:v>
                </c:pt>
                <c:pt idx="627">
                  <c:v>43273</c:v>
                </c:pt>
                <c:pt idx="628">
                  <c:v>43280</c:v>
                </c:pt>
                <c:pt idx="629">
                  <c:v>43287</c:v>
                </c:pt>
                <c:pt idx="630">
                  <c:v>43294</c:v>
                </c:pt>
                <c:pt idx="631">
                  <c:v>43301</c:v>
                </c:pt>
                <c:pt idx="632">
                  <c:v>43308</c:v>
                </c:pt>
                <c:pt idx="633">
                  <c:v>43315</c:v>
                </c:pt>
                <c:pt idx="634">
                  <c:v>43322</c:v>
                </c:pt>
                <c:pt idx="635">
                  <c:v>43329</c:v>
                </c:pt>
                <c:pt idx="636">
                  <c:v>43336</c:v>
                </c:pt>
                <c:pt idx="637">
                  <c:v>43343</c:v>
                </c:pt>
                <c:pt idx="638">
                  <c:v>43350</c:v>
                </c:pt>
                <c:pt idx="639">
                  <c:v>43357</c:v>
                </c:pt>
                <c:pt idx="640">
                  <c:v>43364</c:v>
                </c:pt>
                <c:pt idx="641">
                  <c:v>43371</c:v>
                </c:pt>
                <c:pt idx="642">
                  <c:v>43378</c:v>
                </c:pt>
                <c:pt idx="643">
                  <c:v>43385</c:v>
                </c:pt>
                <c:pt idx="644">
                  <c:v>43392</c:v>
                </c:pt>
                <c:pt idx="645">
                  <c:v>43399</c:v>
                </c:pt>
                <c:pt idx="646">
                  <c:v>43406</c:v>
                </c:pt>
                <c:pt idx="647">
                  <c:v>43413</c:v>
                </c:pt>
                <c:pt idx="648">
                  <c:v>43420</c:v>
                </c:pt>
                <c:pt idx="649">
                  <c:v>43427</c:v>
                </c:pt>
                <c:pt idx="650">
                  <c:v>43434</c:v>
                </c:pt>
                <c:pt idx="651">
                  <c:v>43441</c:v>
                </c:pt>
                <c:pt idx="652">
                  <c:v>43448</c:v>
                </c:pt>
                <c:pt idx="653">
                  <c:v>43455</c:v>
                </c:pt>
                <c:pt idx="654">
                  <c:v>43462</c:v>
                </c:pt>
                <c:pt idx="655">
                  <c:v>43469</c:v>
                </c:pt>
                <c:pt idx="656">
                  <c:v>43476</c:v>
                </c:pt>
                <c:pt idx="657">
                  <c:v>43483</c:v>
                </c:pt>
                <c:pt idx="658">
                  <c:v>43490</c:v>
                </c:pt>
                <c:pt idx="659">
                  <c:v>43497</c:v>
                </c:pt>
                <c:pt idx="660">
                  <c:v>43504</c:v>
                </c:pt>
                <c:pt idx="661">
                  <c:v>43511</c:v>
                </c:pt>
                <c:pt idx="662">
                  <c:v>43518</c:v>
                </c:pt>
                <c:pt idx="663">
                  <c:v>43525</c:v>
                </c:pt>
                <c:pt idx="664">
                  <c:v>43532</c:v>
                </c:pt>
                <c:pt idx="665">
                  <c:v>43539</c:v>
                </c:pt>
                <c:pt idx="666">
                  <c:v>43546</c:v>
                </c:pt>
                <c:pt idx="667">
                  <c:v>43553</c:v>
                </c:pt>
                <c:pt idx="668">
                  <c:v>43560</c:v>
                </c:pt>
                <c:pt idx="669">
                  <c:v>43567</c:v>
                </c:pt>
                <c:pt idx="670">
                  <c:v>43574</c:v>
                </c:pt>
                <c:pt idx="671">
                  <c:v>43581</c:v>
                </c:pt>
                <c:pt idx="672">
                  <c:v>43588</c:v>
                </c:pt>
                <c:pt idx="673">
                  <c:v>43595</c:v>
                </c:pt>
                <c:pt idx="674">
                  <c:v>43602</c:v>
                </c:pt>
                <c:pt idx="675">
                  <c:v>43609</c:v>
                </c:pt>
                <c:pt idx="676">
                  <c:v>43616</c:v>
                </c:pt>
                <c:pt idx="677">
                  <c:v>43623</c:v>
                </c:pt>
                <c:pt idx="678">
                  <c:v>43630</c:v>
                </c:pt>
                <c:pt idx="679">
                  <c:v>43637</c:v>
                </c:pt>
                <c:pt idx="680">
                  <c:v>43644</c:v>
                </c:pt>
                <c:pt idx="681">
                  <c:v>43651</c:v>
                </c:pt>
                <c:pt idx="682">
                  <c:v>43658</c:v>
                </c:pt>
                <c:pt idx="683">
                  <c:v>43665</c:v>
                </c:pt>
                <c:pt idx="684">
                  <c:v>43672</c:v>
                </c:pt>
                <c:pt idx="685">
                  <c:v>43679</c:v>
                </c:pt>
                <c:pt idx="686">
                  <c:v>43686</c:v>
                </c:pt>
                <c:pt idx="687">
                  <c:v>43693</c:v>
                </c:pt>
                <c:pt idx="688">
                  <c:v>43700</c:v>
                </c:pt>
                <c:pt idx="689">
                  <c:v>43707</c:v>
                </c:pt>
                <c:pt idx="690">
                  <c:v>43714</c:v>
                </c:pt>
                <c:pt idx="691">
                  <c:v>43721</c:v>
                </c:pt>
                <c:pt idx="692">
                  <c:v>43728</c:v>
                </c:pt>
                <c:pt idx="693">
                  <c:v>43735</c:v>
                </c:pt>
                <c:pt idx="694">
                  <c:v>43742</c:v>
                </c:pt>
                <c:pt idx="695">
                  <c:v>43749</c:v>
                </c:pt>
                <c:pt idx="696">
                  <c:v>43756</c:v>
                </c:pt>
                <c:pt idx="697">
                  <c:v>43763</c:v>
                </c:pt>
                <c:pt idx="698">
                  <c:v>43770</c:v>
                </c:pt>
                <c:pt idx="699">
                  <c:v>43777</c:v>
                </c:pt>
                <c:pt idx="700">
                  <c:v>43784</c:v>
                </c:pt>
                <c:pt idx="701">
                  <c:v>43791</c:v>
                </c:pt>
                <c:pt idx="702">
                  <c:v>43798</c:v>
                </c:pt>
                <c:pt idx="703">
                  <c:v>43805</c:v>
                </c:pt>
                <c:pt idx="704">
                  <c:v>43812</c:v>
                </c:pt>
                <c:pt idx="705">
                  <c:v>43819</c:v>
                </c:pt>
                <c:pt idx="706">
                  <c:v>43826</c:v>
                </c:pt>
                <c:pt idx="707">
                  <c:v>43833</c:v>
                </c:pt>
                <c:pt idx="708">
                  <c:v>43840</c:v>
                </c:pt>
                <c:pt idx="709">
                  <c:v>43847</c:v>
                </c:pt>
                <c:pt idx="710">
                  <c:v>43854</c:v>
                </c:pt>
                <c:pt idx="711">
                  <c:v>43861</c:v>
                </c:pt>
                <c:pt idx="712">
                  <c:v>43868</c:v>
                </c:pt>
                <c:pt idx="713">
                  <c:v>43875</c:v>
                </c:pt>
                <c:pt idx="714">
                  <c:v>43882</c:v>
                </c:pt>
                <c:pt idx="715">
                  <c:v>43889</c:v>
                </c:pt>
                <c:pt idx="716">
                  <c:v>43896</c:v>
                </c:pt>
                <c:pt idx="717">
                  <c:v>43903</c:v>
                </c:pt>
                <c:pt idx="718">
                  <c:v>43910</c:v>
                </c:pt>
                <c:pt idx="719">
                  <c:v>43917</c:v>
                </c:pt>
                <c:pt idx="720">
                  <c:v>43924</c:v>
                </c:pt>
                <c:pt idx="721">
                  <c:v>43931</c:v>
                </c:pt>
                <c:pt idx="722">
                  <c:v>43938</c:v>
                </c:pt>
                <c:pt idx="723">
                  <c:v>43945</c:v>
                </c:pt>
                <c:pt idx="724">
                  <c:v>43952</c:v>
                </c:pt>
                <c:pt idx="725">
                  <c:v>43959</c:v>
                </c:pt>
                <c:pt idx="726">
                  <c:v>43966</c:v>
                </c:pt>
                <c:pt idx="727">
                  <c:v>43973</c:v>
                </c:pt>
                <c:pt idx="728">
                  <c:v>43980</c:v>
                </c:pt>
                <c:pt idx="729">
                  <c:v>43987</c:v>
                </c:pt>
                <c:pt idx="730">
                  <c:v>43994</c:v>
                </c:pt>
                <c:pt idx="731">
                  <c:v>44001</c:v>
                </c:pt>
                <c:pt idx="732">
                  <c:v>44008</c:v>
                </c:pt>
                <c:pt idx="733">
                  <c:v>44015</c:v>
                </c:pt>
                <c:pt idx="734">
                  <c:v>44022</c:v>
                </c:pt>
                <c:pt idx="735">
                  <c:v>44029</c:v>
                </c:pt>
                <c:pt idx="736">
                  <c:v>44036</c:v>
                </c:pt>
                <c:pt idx="737">
                  <c:v>44043</c:v>
                </c:pt>
                <c:pt idx="738">
                  <c:v>44050</c:v>
                </c:pt>
                <c:pt idx="739">
                  <c:v>44057</c:v>
                </c:pt>
                <c:pt idx="740">
                  <c:v>44064</c:v>
                </c:pt>
                <c:pt idx="741">
                  <c:v>44071</c:v>
                </c:pt>
                <c:pt idx="742">
                  <c:v>44078</c:v>
                </c:pt>
                <c:pt idx="743">
                  <c:v>44085</c:v>
                </c:pt>
                <c:pt idx="744">
                  <c:v>44092</c:v>
                </c:pt>
                <c:pt idx="745">
                  <c:v>44099</c:v>
                </c:pt>
                <c:pt idx="746">
                  <c:v>44106</c:v>
                </c:pt>
                <c:pt idx="747">
                  <c:v>44113</c:v>
                </c:pt>
                <c:pt idx="748">
                  <c:v>44120</c:v>
                </c:pt>
                <c:pt idx="749">
                  <c:v>44127</c:v>
                </c:pt>
                <c:pt idx="750">
                  <c:v>44134</c:v>
                </c:pt>
                <c:pt idx="751">
                  <c:v>44141</c:v>
                </c:pt>
                <c:pt idx="752">
                  <c:v>44148</c:v>
                </c:pt>
                <c:pt idx="753">
                  <c:v>44155</c:v>
                </c:pt>
                <c:pt idx="754">
                  <c:v>44162</c:v>
                </c:pt>
                <c:pt idx="755">
                  <c:v>44169</c:v>
                </c:pt>
                <c:pt idx="756">
                  <c:v>44176</c:v>
                </c:pt>
                <c:pt idx="757">
                  <c:v>44183</c:v>
                </c:pt>
                <c:pt idx="758">
                  <c:v>44190</c:v>
                </c:pt>
                <c:pt idx="759">
                  <c:v>44197</c:v>
                </c:pt>
                <c:pt idx="760">
                  <c:v>44204</c:v>
                </c:pt>
                <c:pt idx="761">
                  <c:v>44211</c:v>
                </c:pt>
                <c:pt idx="762">
                  <c:v>44218</c:v>
                </c:pt>
                <c:pt idx="763">
                  <c:v>44225</c:v>
                </c:pt>
                <c:pt idx="764">
                  <c:v>44232</c:v>
                </c:pt>
                <c:pt idx="765">
                  <c:v>44239</c:v>
                </c:pt>
                <c:pt idx="766">
                  <c:v>44246</c:v>
                </c:pt>
                <c:pt idx="767">
                  <c:v>44253</c:v>
                </c:pt>
                <c:pt idx="768">
                  <c:v>44260</c:v>
                </c:pt>
                <c:pt idx="769">
                  <c:v>44267</c:v>
                </c:pt>
                <c:pt idx="770">
                  <c:v>44274</c:v>
                </c:pt>
                <c:pt idx="771">
                  <c:v>44281</c:v>
                </c:pt>
                <c:pt idx="772">
                  <c:v>44288</c:v>
                </c:pt>
                <c:pt idx="773">
                  <c:v>44295</c:v>
                </c:pt>
                <c:pt idx="774">
                  <c:v>44302</c:v>
                </c:pt>
                <c:pt idx="775">
                  <c:v>44309</c:v>
                </c:pt>
                <c:pt idx="776">
                  <c:v>44316</c:v>
                </c:pt>
                <c:pt idx="777">
                  <c:v>44323</c:v>
                </c:pt>
                <c:pt idx="778">
                  <c:v>44330</c:v>
                </c:pt>
                <c:pt idx="779">
                  <c:v>44337</c:v>
                </c:pt>
                <c:pt idx="780">
                  <c:v>44344</c:v>
                </c:pt>
                <c:pt idx="781">
                  <c:v>44351</c:v>
                </c:pt>
                <c:pt idx="782">
                  <c:v>44358</c:v>
                </c:pt>
                <c:pt idx="783">
                  <c:v>44365</c:v>
                </c:pt>
                <c:pt idx="784">
                  <c:v>44372</c:v>
                </c:pt>
                <c:pt idx="785">
                  <c:v>44379</c:v>
                </c:pt>
                <c:pt idx="786">
                  <c:v>44386</c:v>
                </c:pt>
                <c:pt idx="787">
                  <c:v>44393</c:v>
                </c:pt>
                <c:pt idx="788">
                  <c:v>44400</c:v>
                </c:pt>
                <c:pt idx="789">
                  <c:v>44407</c:v>
                </c:pt>
                <c:pt idx="790">
                  <c:v>44414</c:v>
                </c:pt>
                <c:pt idx="791">
                  <c:v>44421</c:v>
                </c:pt>
                <c:pt idx="792">
                  <c:v>44428</c:v>
                </c:pt>
                <c:pt idx="793">
                  <c:v>44435</c:v>
                </c:pt>
                <c:pt idx="794">
                  <c:v>44442</c:v>
                </c:pt>
                <c:pt idx="795">
                  <c:v>44449</c:v>
                </c:pt>
                <c:pt idx="796">
                  <c:v>44456</c:v>
                </c:pt>
                <c:pt idx="797">
                  <c:v>44463</c:v>
                </c:pt>
                <c:pt idx="798">
                  <c:v>44470</c:v>
                </c:pt>
                <c:pt idx="799">
                  <c:v>44477</c:v>
                </c:pt>
                <c:pt idx="800">
                  <c:v>44484</c:v>
                </c:pt>
                <c:pt idx="801">
                  <c:v>44491</c:v>
                </c:pt>
                <c:pt idx="802">
                  <c:v>44498</c:v>
                </c:pt>
                <c:pt idx="803">
                  <c:v>44505</c:v>
                </c:pt>
                <c:pt idx="804">
                  <c:v>44512</c:v>
                </c:pt>
                <c:pt idx="805">
                  <c:v>44519</c:v>
                </c:pt>
                <c:pt idx="806">
                  <c:v>44526</c:v>
                </c:pt>
                <c:pt idx="807">
                  <c:v>44533</c:v>
                </c:pt>
                <c:pt idx="808">
                  <c:v>44540</c:v>
                </c:pt>
                <c:pt idx="809">
                  <c:v>44547</c:v>
                </c:pt>
                <c:pt idx="810">
                  <c:v>44554</c:v>
                </c:pt>
                <c:pt idx="811">
                  <c:v>44561</c:v>
                </c:pt>
                <c:pt idx="812">
                  <c:v>44568</c:v>
                </c:pt>
                <c:pt idx="813">
                  <c:v>44575</c:v>
                </c:pt>
                <c:pt idx="814">
                  <c:v>44582</c:v>
                </c:pt>
                <c:pt idx="815">
                  <c:v>44589</c:v>
                </c:pt>
                <c:pt idx="816">
                  <c:v>44596</c:v>
                </c:pt>
                <c:pt idx="817">
                  <c:v>44603</c:v>
                </c:pt>
                <c:pt idx="818">
                  <c:v>44610</c:v>
                </c:pt>
                <c:pt idx="819">
                  <c:v>44617</c:v>
                </c:pt>
                <c:pt idx="820">
                  <c:v>44624</c:v>
                </c:pt>
                <c:pt idx="821">
                  <c:v>44631</c:v>
                </c:pt>
                <c:pt idx="822">
                  <c:v>44638</c:v>
                </c:pt>
                <c:pt idx="823">
                  <c:v>44645</c:v>
                </c:pt>
                <c:pt idx="824">
                  <c:v>44652</c:v>
                </c:pt>
                <c:pt idx="825">
                  <c:v>44659</c:v>
                </c:pt>
                <c:pt idx="826">
                  <c:v>44666</c:v>
                </c:pt>
                <c:pt idx="827">
                  <c:v>44673</c:v>
                </c:pt>
                <c:pt idx="828">
                  <c:v>44680</c:v>
                </c:pt>
                <c:pt idx="829">
                  <c:v>44687</c:v>
                </c:pt>
                <c:pt idx="830">
                  <c:v>44694</c:v>
                </c:pt>
                <c:pt idx="831">
                  <c:v>44701</c:v>
                </c:pt>
                <c:pt idx="832">
                  <c:v>44708</c:v>
                </c:pt>
                <c:pt idx="833">
                  <c:v>44715</c:v>
                </c:pt>
                <c:pt idx="834">
                  <c:v>44722</c:v>
                </c:pt>
                <c:pt idx="835">
                  <c:v>44729</c:v>
                </c:pt>
                <c:pt idx="836">
                  <c:v>44736</c:v>
                </c:pt>
                <c:pt idx="837">
                  <c:v>44743</c:v>
                </c:pt>
                <c:pt idx="838">
                  <c:v>44750</c:v>
                </c:pt>
                <c:pt idx="839">
                  <c:v>44757</c:v>
                </c:pt>
                <c:pt idx="840">
                  <c:v>44764</c:v>
                </c:pt>
                <c:pt idx="841">
                  <c:v>44771</c:v>
                </c:pt>
                <c:pt idx="842">
                  <c:v>44778</c:v>
                </c:pt>
                <c:pt idx="843">
                  <c:v>44785</c:v>
                </c:pt>
              </c:numCache>
            </c:numRef>
          </c:cat>
          <c:val>
            <c:numRef>
              <c:f>Hoja1!$N$2:$N$845</c:f>
              <c:numCache>
                <c:formatCode>General</c:formatCode>
                <c:ptCount val="844"/>
                <c:pt idx="0">
                  <c:v>1.984</c:v>
                </c:pt>
                <c:pt idx="1">
                  <c:v>2.0030000000000001</c:v>
                </c:pt>
                <c:pt idx="2">
                  <c:v>2.1539999999999999</c:v>
                </c:pt>
                <c:pt idx="3">
                  <c:v>2.2160000000000002</c:v>
                </c:pt>
                <c:pt idx="4">
                  <c:v>2.2050000000000001</c:v>
                </c:pt>
                <c:pt idx="5">
                  <c:v>2.2320000000000002</c:v>
                </c:pt>
                <c:pt idx="6">
                  <c:v>2.2770000000000001</c:v>
                </c:pt>
                <c:pt idx="7">
                  <c:v>2.359</c:v>
                </c:pt>
                <c:pt idx="8">
                  <c:v>2.1560000000000001</c:v>
                </c:pt>
                <c:pt idx="9">
                  <c:v>1.99</c:v>
                </c:pt>
                <c:pt idx="10">
                  <c:v>1.8879999999999999</c:v>
                </c:pt>
                <c:pt idx="11">
                  <c:v>1.798</c:v>
                </c:pt>
                <c:pt idx="12">
                  <c:v>1.649</c:v>
                </c:pt>
                <c:pt idx="13">
                  <c:v>1.6060000000000001</c:v>
                </c:pt>
                <c:pt idx="14">
                  <c:v>1.5269999999999999</c:v>
                </c:pt>
                <c:pt idx="15">
                  <c:v>1.524</c:v>
                </c:pt>
                <c:pt idx="16">
                  <c:v>1.5149999999999999</c:v>
                </c:pt>
                <c:pt idx="17">
                  <c:v>1.486</c:v>
                </c:pt>
                <c:pt idx="18">
                  <c:v>1.49</c:v>
                </c:pt>
                <c:pt idx="19">
                  <c:v>1.546</c:v>
                </c:pt>
                <c:pt idx="20">
                  <c:v>1.4810000000000001</c:v>
                </c:pt>
                <c:pt idx="21">
                  <c:v>1.5660000000000001</c:v>
                </c:pt>
                <c:pt idx="22">
                  <c:v>1.5680000000000001</c:v>
                </c:pt>
                <c:pt idx="23">
                  <c:v>1.6220000000000001</c:v>
                </c:pt>
                <c:pt idx="24">
                  <c:v>1.6970000000000001</c:v>
                </c:pt>
                <c:pt idx="25">
                  <c:v>1.637</c:v>
                </c:pt>
                <c:pt idx="26">
                  <c:v>1.66</c:v>
                </c:pt>
                <c:pt idx="27">
                  <c:v>1.7470000000000001</c:v>
                </c:pt>
                <c:pt idx="28">
                  <c:v>1.6160000000000001</c:v>
                </c:pt>
                <c:pt idx="29">
                  <c:v>1.55</c:v>
                </c:pt>
                <c:pt idx="30">
                  <c:v>1.4179999999999999</c:v>
                </c:pt>
                <c:pt idx="31">
                  <c:v>1.343</c:v>
                </c:pt>
                <c:pt idx="32">
                  <c:v>1.407</c:v>
                </c:pt>
                <c:pt idx="33">
                  <c:v>1.476</c:v>
                </c:pt>
                <c:pt idx="34">
                  <c:v>1.5449999999999999</c:v>
                </c:pt>
                <c:pt idx="35">
                  <c:v>1.605</c:v>
                </c:pt>
                <c:pt idx="36">
                  <c:v>1.7290000000000001</c:v>
                </c:pt>
                <c:pt idx="37">
                  <c:v>1.867</c:v>
                </c:pt>
                <c:pt idx="38">
                  <c:v>1.897</c:v>
                </c:pt>
                <c:pt idx="39">
                  <c:v>1.9079999999999999</c:v>
                </c:pt>
                <c:pt idx="40">
                  <c:v>1.93</c:v>
                </c:pt>
                <c:pt idx="41">
                  <c:v>2.0209999999999999</c:v>
                </c:pt>
                <c:pt idx="42">
                  <c:v>2.04</c:v>
                </c:pt>
                <c:pt idx="43">
                  <c:v>2.1179999999999999</c:v>
                </c:pt>
                <c:pt idx="44">
                  <c:v>2.032</c:v>
                </c:pt>
                <c:pt idx="45">
                  <c:v>2.181</c:v>
                </c:pt>
                <c:pt idx="46">
                  <c:v>2.206</c:v>
                </c:pt>
                <c:pt idx="47">
                  <c:v>2.2200000000000002</c:v>
                </c:pt>
                <c:pt idx="48">
                  <c:v>2.3170000000000002</c:v>
                </c:pt>
                <c:pt idx="49">
                  <c:v>2.2919999999999998</c:v>
                </c:pt>
                <c:pt idx="50">
                  <c:v>2.1829999999999998</c:v>
                </c:pt>
                <c:pt idx="51">
                  <c:v>2.1520000000000001</c:v>
                </c:pt>
                <c:pt idx="52">
                  <c:v>2.1419999999999999</c:v>
                </c:pt>
                <c:pt idx="53">
                  <c:v>2.2229999999999999</c:v>
                </c:pt>
                <c:pt idx="54">
                  <c:v>2.2210000000000001</c:v>
                </c:pt>
                <c:pt idx="55">
                  <c:v>2.238</c:v>
                </c:pt>
                <c:pt idx="56">
                  <c:v>2.2570000000000001</c:v>
                </c:pt>
                <c:pt idx="57">
                  <c:v>2.0859999999999999</c:v>
                </c:pt>
                <c:pt idx="58">
                  <c:v>2.0190000000000001</c:v>
                </c:pt>
                <c:pt idx="59">
                  <c:v>2.0259999999999998</c:v>
                </c:pt>
                <c:pt idx="60">
                  <c:v>1.9239999999999999</c:v>
                </c:pt>
                <c:pt idx="61">
                  <c:v>2.0499999999999998</c:v>
                </c:pt>
                <c:pt idx="62">
                  <c:v>1.9550000000000001</c:v>
                </c:pt>
                <c:pt idx="63">
                  <c:v>2.0840000000000001</c:v>
                </c:pt>
                <c:pt idx="64">
                  <c:v>2.069</c:v>
                </c:pt>
                <c:pt idx="65">
                  <c:v>2.077</c:v>
                </c:pt>
                <c:pt idx="66">
                  <c:v>2.1480000000000001</c:v>
                </c:pt>
                <c:pt idx="67">
                  <c:v>2.1070000000000002</c:v>
                </c:pt>
                <c:pt idx="68">
                  <c:v>2.0680000000000001</c:v>
                </c:pt>
                <c:pt idx="69">
                  <c:v>2.0950000000000002</c:v>
                </c:pt>
                <c:pt idx="70">
                  <c:v>2.2160000000000002</c:v>
                </c:pt>
                <c:pt idx="71">
                  <c:v>2.202</c:v>
                </c:pt>
                <c:pt idx="72">
                  <c:v>2.3650000000000002</c:v>
                </c:pt>
                <c:pt idx="73">
                  <c:v>2.4740000000000002</c:v>
                </c:pt>
                <c:pt idx="74">
                  <c:v>2.411</c:v>
                </c:pt>
                <c:pt idx="75">
                  <c:v>2.484</c:v>
                </c:pt>
                <c:pt idx="76">
                  <c:v>2.34</c:v>
                </c:pt>
                <c:pt idx="77">
                  <c:v>2.2519999999999998</c:v>
                </c:pt>
                <c:pt idx="78">
                  <c:v>2.3069999999999999</c:v>
                </c:pt>
                <c:pt idx="79">
                  <c:v>2.3079999999999998</c:v>
                </c:pt>
                <c:pt idx="80">
                  <c:v>2.4430000000000001</c:v>
                </c:pt>
                <c:pt idx="81">
                  <c:v>2.5019999999999998</c:v>
                </c:pt>
                <c:pt idx="82">
                  <c:v>2.375</c:v>
                </c:pt>
                <c:pt idx="83">
                  <c:v>2.278</c:v>
                </c:pt>
                <c:pt idx="84">
                  <c:v>2.2599999999999998</c:v>
                </c:pt>
                <c:pt idx="85">
                  <c:v>2.2810000000000001</c:v>
                </c:pt>
                <c:pt idx="86">
                  <c:v>2.2189999999999999</c:v>
                </c:pt>
                <c:pt idx="87">
                  <c:v>2.3620000000000001</c:v>
                </c:pt>
                <c:pt idx="88">
                  <c:v>2.5270000000000001</c:v>
                </c:pt>
                <c:pt idx="89">
                  <c:v>2.4780000000000002</c:v>
                </c:pt>
                <c:pt idx="90">
                  <c:v>2.492</c:v>
                </c:pt>
                <c:pt idx="91">
                  <c:v>2.5609999999999999</c:v>
                </c:pt>
                <c:pt idx="92">
                  <c:v>2.3919999999999999</c:v>
                </c:pt>
                <c:pt idx="93">
                  <c:v>2.5680000000000001</c:v>
                </c:pt>
                <c:pt idx="94">
                  <c:v>2.5150000000000001</c:v>
                </c:pt>
                <c:pt idx="95">
                  <c:v>2.6749999999999998</c:v>
                </c:pt>
                <c:pt idx="96">
                  <c:v>2.819</c:v>
                </c:pt>
                <c:pt idx="97">
                  <c:v>2.9119999999999999</c:v>
                </c:pt>
                <c:pt idx="98">
                  <c:v>2.8370000000000002</c:v>
                </c:pt>
                <c:pt idx="99">
                  <c:v>3.0179999999999998</c:v>
                </c:pt>
                <c:pt idx="100">
                  <c:v>3.0670000000000002</c:v>
                </c:pt>
                <c:pt idx="101">
                  <c:v>3.2090000000000001</c:v>
                </c:pt>
                <c:pt idx="102">
                  <c:v>3.2410000000000001</c:v>
                </c:pt>
                <c:pt idx="103">
                  <c:v>3.218</c:v>
                </c:pt>
                <c:pt idx="104">
                  <c:v>3.331</c:v>
                </c:pt>
                <c:pt idx="105">
                  <c:v>3.2959999999999998</c:v>
                </c:pt>
                <c:pt idx="106">
                  <c:v>3.319</c:v>
                </c:pt>
                <c:pt idx="107">
                  <c:v>3.36</c:v>
                </c:pt>
                <c:pt idx="108">
                  <c:v>3.2949999999999999</c:v>
                </c:pt>
                <c:pt idx="109">
                  <c:v>3.1640000000000001</c:v>
                </c:pt>
                <c:pt idx="110">
                  <c:v>2.9790000000000001</c:v>
                </c:pt>
                <c:pt idx="111">
                  <c:v>2.99</c:v>
                </c:pt>
                <c:pt idx="112">
                  <c:v>2.8940000000000001</c:v>
                </c:pt>
                <c:pt idx="113">
                  <c:v>2.8610000000000002</c:v>
                </c:pt>
                <c:pt idx="114">
                  <c:v>2.8839999999999999</c:v>
                </c:pt>
                <c:pt idx="115">
                  <c:v>2.9260000000000002</c:v>
                </c:pt>
                <c:pt idx="116">
                  <c:v>2.8740000000000001</c:v>
                </c:pt>
                <c:pt idx="117">
                  <c:v>2.9380000000000002</c:v>
                </c:pt>
                <c:pt idx="118">
                  <c:v>2.8919999999999999</c:v>
                </c:pt>
                <c:pt idx="119">
                  <c:v>2.6739999999999999</c:v>
                </c:pt>
                <c:pt idx="120">
                  <c:v>2.3940000000000001</c:v>
                </c:pt>
                <c:pt idx="121">
                  <c:v>2.0739999999999998</c:v>
                </c:pt>
                <c:pt idx="122">
                  <c:v>1.9490000000000001</c:v>
                </c:pt>
                <c:pt idx="123">
                  <c:v>1.804</c:v>
                </c:pt>
                <c:pt idx="124">
                  <c:v>1.59</c:v>
                </c:pt>
                <c:pt idx="125">
                  <c:v>1.452</c:v>
                </c:pt>
                <c:pt idx="126">
                  <c:v>1.3129999999999999</c:v>
                </c:pt>
                <c:pt idx="127">
                  <c:v>1.157</c:v>
                </c:pt>
                <c:pt idx="128">
                  <c:v>1.19</c:v>
                </c:pt>
                <c:pt idx="129">
                  <c:v>1.0269999999999999</c:v>
                </c:pt>
                <c:pt idx="130">
                  <c:v>0.97899999999999998</c:v>
                </c:pt>
                <c:pt idx="131">
                  <c:v>1.0009999999999999</c:v>
                </c:pt>
                <c:pt idx="132">
                  <c:v>0.84199999999999997</c:v>
                </c:pt>
                <c:pt idx="133">
                  <c:v>0.92400000000000004</c:v>
                </c:pt>
                <c:pt idx="134">
                  <c:v>1.0900000000000001</c:v>
                </c:pt>
                <c:pt idx="135">
                  <c:v>1.137</c:v>
                </c:pt>
                <c:pt idx="136">
                  <c:v>1.1619999999999999</c:v>
                </c:pt>
                <c:pt idx="137">
                  <c:v>1.2130000000000001</c:v>
                </c:pt>
                <c:pt idx="138">
                  <c:v>1.2509999999999999</c:v>
                </c:pt>
                <c:pt idx="139">
                  <c:v>1.2949999999999999</c:v>
                </c:pt>
                <c:pt idx="140">
                  <c:v>1.1299999999999999</c:v>
                </c:pt>
                <c:pt idx="141">
                  <c:v>1.169</c:v>
                </c:pt>
                <c:pt idx="142">
                  <c:v>1.2430000000000001</c:v>
                </c:pt>
                <c:pt idx="143">
                  <c:v>1.2170000000000001</c:v>
                </c:pt>
                <c:pt idx="144">
                  <c:v>1.2989999999999999</c:v>
                </c:pt>
                <c:pt idx="145">
                  <c:v>1.387</c:v>
                </c:pt>
                <c:pt idx="146">
                  <c:v>1.3280000000000001</c:v>
                </c:pt>
                <c:pt idx="147">
                  <c:v>1.383</c:v>
                </c:pt>
                <c:pt idx="148">
                  <c:v>1.421</c:v>
                </c:pt>
                <c:pt idx="149">
                  <c:v>1.369</c:v>
                </c:pt>
                <c:pt idx="150">
                  <c:v>1.379</c:v>
                </c:pt>
                <c:pt idx="151">
                  <c:v>1.585</c:v>
                </c:pt>
                <c:pt idx="152">
                  <c:v>1.66</c:v>
                </c:pt>
                <c:pt idx="153">
                  <c:v>1.752</c:v>
                </c:pt>
                <c:pt idx="154">
                  <c:v>1.8380000000000001</c:v>
                </c:pt>
                <c:pt idx="155">
                  <c:v>1.89</c:v>
                </c:pt>
                <c:pt idx="156">
                  <c:v>1.964</c:v>
                </c:pt>
                <c:pt idx="157">
                  <c:v>1.974</c:v>
                </c:pt>
                <c:pt idx="158">
                  <c:v>1.8120000000000001</c:v>
                </c:pt>
                <c:pt idx="159">
                  <c:v>1.829</c:v>
                </c:pt>
                <c:pt idx="160">
                  <c:v>1.6519999999999999</c:v>
                </c:pt>
                <c:pt idx="161">
                  <c:v>1.651</c:v>
                </c:pt>
                <c:pt idx="162">
                  <c:v>1.8089999999999999</c:v>
                </c:pt>
                <c:pt idx="163">
                  <c:v>1.87</c:v>
                </c:pt>
                <c:pt idx="164">
                  <c:v>1.9870000000000001</c:v>
                </c:pt>
                <c:pt idx="165">
                  <c:v>1.9350000000000001</c:v>
                </c:pt>
                <c:pt idx="166">
                  <c:v>1.9119999999999999</c:v>
                </c:pt>
                <c:pt idx="167">
                  <c:v>1.907</c:v>
                </c:pt>
                <c:pt idx="168">
                  <c:v>1.8240000000000001</c:v>
                </c:pt>
                <c:pt idx="169">
                  <c:v>1.835</c:v>
                </c:pt>
                <c:pt idx="170">
                  <c:v>1.835</c:v>
                </c:pt>
                <c:pt idx="171">
                  <c:v>1.7030000000000001</c:v>
                </c:pt>
                <c:pt idx="172">
                  <c:v>1.7110000000000001</c:v>
                </c:pt>
                <c:pt idx="173">
                  <c:v>1.7809999999999999</c:v>
                </c:pt>
                <c:pt idx="174">
                  <c:v>1.899</c:v>
                </c:pt>
                <c:pt idx="175">
                  <c:v>2.04</c:v>
                </c:pt>
                <c:pt idx="176">
                  <c:v>2.0419999999999998</c:v>
                </c:pt>
                <c:pt idx="177">
                  <c:v>1.9890000000000001</c:v>
                </c:pt>
                <c:pt idx="178">
                  <c:v>1.9610000000000001</c:v>
                </c:pt>
                <c:pt idx="179">
                  <c:v>2.0009999999999999</c:v>
                </c:pt>
                <c:pt idx="180">
                  <c:v>1.9750000000000001</c:v>
                </c:pt>
                <c:pt idx="181">
                  <c:v>1.99</c:v>
                </c:pt>
                <c:pt idx="182">
                  <c:v>1.859</c:v>
                </c:pt>
                <c:pt idx="183">
                  <c:v>1.8420000000000001</c:v>
                </c:pt>
                <c:pt idx="184">
                  <c:v>1.911</c:v>
                </c:pt>
                <c:pt idx="185">
                  <c:v>2.0310000000000001</c:v>
                </c:pt>
                <c:pt idx="186">
                  <c:v>2.1240000000000001</c:v>
                </c:pt>
                <c:pt idx="187">
                  <c:v>2.0790000000000002</c:v>
                </c:pt>
                <c:pt idx="188">
                  <c:v>2.0099999999999998</c:v>
                </c:pt>
                <c:pt idx="189">
                  <c:v>1.9419999999999999</c:v>
                </c:pt>
                <c:pt idx="190">
                  <c:v>1.885</c:v>
                </c:pt>
                <c:pt idx="191">
                  <c:v>1.9079999999999999</c:v>
                </c:pt>
                <c:pt idx="192">
                  <c:v>2.0310000000000001</c:v>
                </c:pt>
                <c:pt idx="193">
                  <c:v>2.0419999999999998</c:v>
                </c:pt>
                <c:pt idx="194">
                  <c:v>2.1269999999999998</c:v>
                </c:pt>
                <c:pt idx="195">
                  <c:v>2.1539999999999999</c:v>
                </c:pt>
                <c:pt idx="196">
                  <c:v>2.15</c:v>
                </c:pt>
                <c:pt idx="197">
                  <c:v>2.1179999999999999</c:v>
                </c:pt>
                <c:pt idx="198">
                  <c:v>2.1909999999999998</c:v>
                </c:pt>
                <c:pt idx="199">
                  <c:v>2.238</c:v>
                </c:pt>
                <c:pt idx="200">
                  <c:v>2.2050000000000001</c:v>
                </c:pt>
                <c:pt idx="201">
                  <c:v>2.1949999999999998</c:v>
                </c:pt>
                <c:pt idx="202">
                  <c:v>2.2599999999999998</c:v>
                </c:pt>
                <c:pt idx="203">
                  <c:v>2.1549999999999998</c:v>
                </c:pt>
                <c:pt idx="204">
                  <c:v>2.0990000000000002</c:v>
                </c:pt>
                <c:pt idx="205">
                  <c:v>1.921</c:v>
                </c:pt>
                <c:pt idx="206">
                  <c:v>1.9</c:v>
                </c:pt>
                <c:pt idx="207">
                  <c:v>1.9450000000000001</c:v>
                </c:pt>
                <c:pt idx="208">
                  <c:v>1.9690000000000001</c:v>
                </c:pt>
                <c:pt idx="209">
                  <c:v>2.08</c:v>
                </c:pt>
                <c:pt idx="210">
                  <c:v>2.0539999999999998</c:v>
                </c:pt>
                <c:pt idx="211">
                  <c:v>1.9690000000000001</c:v>
                </c:pt>
                <c:pt idx="212">
                  <c:v>1.97</c:v>
                </c:pt>
                <c:pt idx="213">
                  <c:v>1.988</c:v>
                </c:pt>
                <c:pt idx="214">
                  <c:v>2.0249999999999999</c:v>
                </c:pt>
                <c:pt idx="215">
                  <c:v>2.024</c:v>
                </c:pt>
                <c:pt idx="216">
                  <c:v>2.0979999999999999</c:v>
                </c:pt>
                <c:pt idx="217">
                  <c:v>1.9490000000000001</c:v>
                </c:pt>
                <c:pt idx="218">
                  <c:v>1.8819999999999999</c:v>
                </c:pt>
                <c:pt idx="219">
                  <c:v>1.859</c:v>
                </c:pt>
                <c:pt idx="220">
                  <c:v>1.919</c:v>
                </c:pt>
                <c:pt idx="221">
                  <c:v>1.968</c:v>
                </c:pt>
                <c:pt idx="222">
                  <c:v>1.978</c:v>
                </c:pt>
                <c:pt idx="223">
                  <c:v>1.9510000000000001</c:v>
                </c:pt>
                <c:pt idx="224">
                  <c:v>2.0339999999999998</c:v>
                </c:pt>
                <c:pt idx="225">
                  <c:v>2.1930000000000001</c:v>
                </c:pt>
                <c:pt idx="226">
                  <c:v>2.202</c:v>
                </c:pt>
                <c:pt idx="227">
                  <c:v>2.1459999999999999</c:v>
                </c:pt>
                <c:pt idx="228">
                  <c:v>2.1219999999999999</c:v>
                </c:pt>
                <c:pt idx="229">
                  <c:v>2.1739999999999999</c:v>
                </c:pt>
                <c:pt idx="230">
                  <c:v>2.242</c:v>
                </c:pt>
                <c:pt idx="231">
                  <c:v>2.2869999999999999</c:v>
                </c:pt>
                <c:pt idx="232">
                  <c:v>2.258</c:v>
                </c:pt>
                <c:pt idx="233">
                  <c:v>2.359</c:v>
                </c:pt>
                <c:pt idx="234">
                  <c:v>2.3490000000000002</c:v>
                </c:pt>
                <c:pt idx="235">
                  <c:v>2.3290000000000002</c:v>
                </c:pt>
                <c:pt idx="236">
                  <c:v>2.452</c:v>
                </c:pt>
                <c:pt idx="237">
                  <c:v>2.4300000000000002</c:v>
                </c:pt>
                <c:pt idx="238">
                  <c:v>2.4420000000000002</c:v>
                </c:pt>
                <c:pt idx="239">
                  <c:v>2.4740000000000002</c:v>
                </c:pt>
                <c:pt idx="240">
                  <c:v>2.464</c:v>
                </c:pt>
                <c:pt idx="241">
                  <c:v>2.411</c:v>
                </c:pt>
                <c:pt idx="242">
                  <c:v>2.4660000000000002</c:v>
                </c:pt>
                <c:pt idx="243">
                  <c:v>2.4710000000000001</c:v>
                </c:pt>
                <c:pt idx="244">
                  <c:v>2.5110000000000001</c:v>
                </c:pt>
                <c:pt idx="245">
                  <c:v>2.7309999999999999</c:v>
                </c:pt>
                <c:pt idx="246">
                  <c:v>2.8639999999999999</c:v>
                </c:pt>
                <c:pt idx="247">
                  <c:v>2.8319999999999999</c:v>
                </c:pt>
                <c:pt idx="248">
                  <c:v>2.734</c:v>
                </c:pt>
                <c:pt idx="249">
                  <c:v>2.8460000000000001</c:v>
                </c:pt>
                <c:pt idx="250">
                  <c:v>2.972</c:v>
                </c:pt>
                <c:pt idx="251">
                  <c:v>3.117</c:v>
                </c:pt>
                <c:pt idx="252">
                  <c:v>3.133</c:v>
                </c:pt>
                <c:pt idx="253">
                  <c:v>3.1920000000000002</c:v>
                </c:pt>
                <c:pt idx="254">
                  <c:v>3.29</c:v>
                </c:pt>
                <c:pt idx="255">
                  <c:v>3.1589999999999998</c:v>
                </c:pt>
                <c:pt idx="256">
                  <c:v>3.1520000000000001</c:v>
                </c:pt>
                <c:pt idx="257">
                  <c:v>2.8650000000000002</c:v>
                </c:pt>
                <c:pt idx="258">
                  <c:v>2.9329999999999998</c:v>
                </c:pt>
                <c:pt idx="259">
                  <c:v>2.9239999999999999</c:v>
                </c:pt>
                <c:pt idx="260">
                  <c:v>2.899</c:v>
                </c:pt>
                <c:pt idx="261">
                  <c:v>2.8679999999999999</c:v>
                </c:pt>
                <c:pt idx="262">
                  <c:v>2.7389999999999999</c:v>
                </c:pt>
                <c:pt idx="263">
                  <c:v>2.7959999999999998</c:v>
                </c:pt>
                <c:pt idx="264">
                  <c:v>2.9729999999999999</c:v>
                </c:pt>
                <c:pt idx="265">
                  <c:v>3.0430000000000001</c:v>
                </c:pt>
                <c:pt idx="266">
                  <c:v>3.0390000000000001</c:v>
                </c:pt>
                <c:pt idx="267">
                  <c:v>3.048</c:v>
                </c:pt>
                <c:pt idx="268">
                  <c:v>2.8889999999999998</c:v>
                </c:pt>
                <c:pt idx="269">
                  <c:v>2.7410000000000001</c:v>
                </c:pt>
                <c:pt idx="270">
                  <c:v>2.8069999999999999</c:v>
                </c:pt>
                <c:pt idx="271">
                  <c:v>2.8620000000000001</c:v>
                </c:pt>
                <c:pt idx="272">
                  <c:v>2.911</c:v>
                </c:pt>
                <c:pt idx="273">
                  <c:v>2.9369999999999998</c:v>
                </c:pt>
                <c:pt idx="274">
                  <c:v>2.794</c:v>
                </c:pt>
                <c:pt idx="275">
                  <c:v>2.6779999999999999</c:v>
                </c:pt>
                <c:pt idx="276">
                  <c:v>2.6349999999999998</c:v>
                </c:pt>
                <c:pt idx="277">
                  <c:v>2.71</c:v>
                </c:pt>
                <c:pt idx="278">
                  <c:v>2.8820000000000001</c:v>
                </c:pt>
                <c:pt idx="279">
                  <c:v>2.7719999999999998</c:v>
                </c:pt>
                <c:pt idx="280">
                  <c:v>2.7440000000000002</c:v>
                </c:pt>
                <c:pt idx="281">
                  <c:v>2.7029999999999998</c:v>
                </c:pt>
                <c:pt idx="282">
                  <c:v>2.7189999999999999</c:v>
                </c:pt>
                <c:pt idx="283">
                  <c:v>2.577</c:v>
                </c:pt>
                <c:pt idx="284">
                  <c:v>2.548</c:v>
                </c:pt>
                <c:pt idx="285">
                  <c:v>2.6019999999999999</c:v>
                </c:pt>
                <c:pt idx="286">
                  <c:v>2.6360000000000001</c:v>
                </c:pt>
                <c:pt idx="287">
                  <c:v>2.5680000000000001</c:v>
                </c:pt>
                <c:pt idx="288">
                  <c:v>2.6389999999999998</c:v>
                </c:pt>
                <c:pt idx="289">
                  <c:v>2.698</c:v>
                </c:pt>
                <c:pt idx="290">
                  <c:v>2.778</c:v>
                </c:pt>
                <c:pt idx="291">
                  <c:v>2.774</c:v>
                </c:pt>
                <c:pt idx="292">
                  <c:v>2.831</c:v>
                </c:pt>
                <c:pt idx="293">
                  <c:v>2.867</c:v>
                </c:pt>
                <c:pt idx="294">
                  <c:v>2.91</c:v>
                </c:pt>
                <c:pt idx="295">
                  <c:v>2.988</c:v>
                </c:pt>
                <c:pt idx="296">
                  <c:v>3.0249999999999999</c:v>
                </c:pt>
                <c:pt idx="297">
                  <c:v>3.113</c:v>
                </c:pt>
                <c:pt idx="298">
                  <c:v>3.1739999999999999</c:v>
                </c:pt>
                <c:pt idx="299">
                  <c:v>3.0430000000000001</c:v>
                </c:pt>
                <c:pt idx="300">
                  <c:v>3.117</c:v>
                </c:pt>
                <c:pt idx="301">
                  <c:v>3.2189999999999999</c:v>
                </c:pt>
                <c:pt idx="302">
                  <c:v>3.3069999999999999</c:v>
                </c:pt>
                <c:pt idx="303">
                  <c:v>3.3610000000000002</c:v>
                </c:pt>
                <c:pt idx="304">
                  <c:v>3.278</c:v>
                </c:pt>
                <c:pt idx="305">
                  <c:v>3.1539999999999999</c:v>
                </c:pt>
                <c:pt idx="306">
                  <c:v>3.09</c:v>
                </c:pt>
                <c:pt idx="307">
                  <c:v>2.9860000000000002</c:v>
                </c:pt>
                <c:pt idx="308">
                  <c:v>2.9329999999999998</c:v>
                </c:pt>
                <c:pt idx="309">
                  <c:v>2.875</c:v>
                </c:pt>
                <c:pt idx="310">
                  <c:v>2.827</c:v>
                </c:pt>
                <c:pt idx="311">
                  <c:v>2.714</c:v>
                </c:pt>
                <c:pt idx="312">
                  <c:v>2.6829999999999998</c:v>
                </c:pt>
                <c:pt idx="313">
                  <c:v>2.6720000000000002</c:v>
                </c:pt>
                <c:pt idx="314">
                  <c:v>2.5350000000000001</c:v>
                </c:pt>
                <c:pt idx="315">
                  <c:v>2.5150000000000001</c:v>
                </c:pt>
                <c:pt idx="316">
                  <c:v>2.6640000000000001</c:v>
                </c:pt>
                <c:pt idx="317">
                  <c:v>2.7690000000000001</c:v>
                </c:pt>
                <c:pt idx="318">
                  <c:v>2.82</c:v>
                </c:pt>
                <c:pt idx="319">
                  <c:v>2.7109999999999999</c:v>
                </c:pt>
                <c:pt idx="320">
                  <c:v>2.8370000000000002</c:v>
                </c:pt>
                <c:pt idx="321">
                  <c:v>2.9870000000000001</c:v>
                </c:pt>
                <c:pt idx="322">
                  <c:v>3.0019999999999998</c:v>
                </c:pt>
                <c:pt idx="323">
                  <c:v>3.0409999999999999</c:v>
                </c:pt>
                <c:pt idx="324">
                  <c:v>3.1459999999999999</c:v>
                </c:pt>
                <c:pt idx="325">
                  <c:v>3.2440000000000002</c:v>
                </c:pt>
                <c:pt idx="326">
                  <c:v>3.335</c:v>
                </c:pt>
                <c:pt idx="327">
                  <c:v>3.1339999999999999</c:v>
                </c:pt>
                <c:pt idx="328">
                  <c:v>3.363</c:v>
                </c:pt>
                <c:pt idx="329">
                  <c:v>3.234</c:v>
                </c:pt>
                <c:pt idx="330">
                  <c:v>3.1629999999999998</c:v>
                </c:pt>
                <c:pt idx="331">
                  <c:v>2.8969999999999998</c:v>
                </c:pt>
                <c:pt idx="332">
                  <c:v>2.7170000000000001</c:v>
                </c:pt>
                <c:pt idx="333">
                  <c:v>2.73</c:v>
                </c:pt>
                <c:pt idx="334">
                  <c:v>2.81</c:v>
                </c:pt>
                <c:pt idx="335">
                  <c:v>2.9209999999999998</c:v>
                </c:pt>
                <c:pt idx="336">
                  <c:v>2.8180000000000001</c:v>
                </c:pt>
                <c:pt idx="337">
                  <c:v>2.7890000000000001</c:v>
                </c:pt>
                <c:pt idx="338">
                  <c:v>2.681</c:v>
                </c:pt>
                <c:pt idx="339">
                  <c:v>2.645</c:v>
                </c:pt>
                <c:pt idx="340">
                  <c:v>2.7549999999999999</c:v>
                </c:pt>
                <c:pt idx="341">
                  <c:v>2.827</c:v>
                </c:pt>
                <c:pt idx="342">
                  <c:v>2.8140000000000001</c:v>
                </c:pt>
                <c:pt idx="343">
                  <c:v>2.8090000000000002</c:v>
                </c:pt>
                <c:pt idx="344">
                  <c:v>2.77</c:v>
                </c:pt>
                <c:pt idx="345">
                  <c:v>2.88</c:v>
                </c:pt>
                <c:pt idx="346">
                  <c:v>3.032</c:v>
                </c:pt>
                <c:pt idx="347">
                  <c:v>3.0569999999999999</c:v>
                </c:pt>
                <c:pt idx="348">
                  <c:v>3.0880000000000001</c:v>
                </c:pt>
                <c:pt idx="349">
                  <c:v>3.0920000000000001</c:v>
                </c:pt>
                <c:pt idx="350">
                  <c:v>2.992</c:v>
                </c:pt>
                <c:pt idx="351">
                  <c:v>2.9129999999999998</c:v>
                </c:pt>
                <c:pt idx="352">
                  <c:v>2.9089999999999998</c:v>
                </c:pt>
                <c:pt idx="353">
                  <c:v>2.875</c:v>
                </c:pt>
                <c:pt idx="354">
                  <c:v>2.911</c:v>
                </c:pt>
                <c:pt idx="355">
                  <c:v>2.758</c:v>
                </c:pt>
                <c:pt idx="356">
                  <c:v>2.677</c:v>
                </c:pt>
                <c:pt idx="357">
                  <c:v>2.6909999999999998</c:v>
                </c:pt>
                <c:pt idx="358">
                  <c:v>2.6909999999999998</c:v>
                </c:pt>
                <c:pt idx="359">
                  <c:v>2.6989999999999998</c:v>
                </c:pt>
                <c:pt idx="360">
                  <c:v>2.7669999999999999</c:v>
                </c:pt>
                <c:pt idx="361">
                  <c:v>2.7770000000000001</c:v>
                </c:pt>
                <c:pt idx="362">
                  <c:v>2.7469999999999999</c:v>
                </c:pt>
                <c:pt idx="363">
                  <c:v>2.7069999999999999</c:v>
                </c:pt>
                <c:pt idx="364">
                  <c:v>2.7519999999999998</c:v>
                </c:pt>
                <c:pt idx="365">
                  <c:v>2.786</c:v>
                </c:pt>
                <c:pt idx="366">
                  <c:v>2.7690000000000001</c:v>
                </c:pt>
                <c:pt idx="367">
                  <c:v>2.6549999999999998</c:v>
                </c:pt>
                <c:pt idx="368">
                  <c:v>2.7469999999999999</c:v>
                </c:pt>
                <c:pt idx="369">
                  <c:v>2.9350000000000001</c:v>
                </c:pt>
                <c:pt idx="370">
                  <c:v>3.0150000000000001</c:v>
                </c:pt>
                <c:pt idx="371">
                  <c:v>2.9350000000000001</c:v>
                </c:pt>
                <c:pt idx="372">
                  <c:v>2.9630000000000001</c:v>
                </c:pt>
                <c:pt idx="373">
                  <c:v>2.8660000000000001</c:v>
                </c:pt>
                <c:pt idx="374">
                  <c:v>2.927</c:v>
                </c:pt>
                <c:pt idx="375">
                  <c:v>2.9470000000000001</c:v>
                </c:pt>
                <c:pt idx="376">
                  <c:v>2.9820000000000002</c:v>
                </c:pt>
                <c:pt idx="377">
                  <c:v>2.9329999999999998</c:v>
                </c:pt>
                <c:pt idx="378">
                  <c:v>2.8239999999999998</c:v>
                </c:pt>
                <c:pt idx="379">
                  <c:v>2.7690000000000001</c:v>
                </c:pt>
                <c:pt idx="380">
                  <c:v>2.7120000000000002</c:v>
                </c:pt>
                <c:pt idx="381">
                  <c:v>2.67</c:v>
                </c:pt>
                <c:pt idx="382">
                  <c:v>2.706</c:v>
                </c:pt>
                <c:pt idx="383">
                  <c:v>2.722</c:v>
                </c:pt>
                <c:pt idx="384">
                  <c:v>2.657</c:v>
                </c:pt>
                <c:pt idx="385">
                  <c:v>2.6539999999999999</c:v>
                </c:pt>
                <c:pt idx="386">
                  <c:v>2.5880000000000001</c:v>
                </c:pt>
                <c:pt idx="387">
                  <c:v>2.6949999999999998</c:v>
                </c:pt>
                <c:pt idx="388">
                  <c:v>2.7250000000000001</c:v>
                </c:pt>
                <c:pt idx="389">
                  <c:v>2.7069999999999999</c:v>
                </c:pt>
                <c:pt idx="390">
                  <c:v>2.7269999999999999</c:v>
                </c:pt>
                <c:pt idx="391">
                  <c:v>2.665</c:v>
                </c:pt>
                <c:pt idx="392">
                  <c:v>2.714</c:v>
                </c:pt>
                <c:pt idx="393">
                  <c:v>2.823</c:v>
                </c:pt>
                <c:pt idx="394">
                  <c:v>2.7530000000000001</c:v>
                </c:pt>
                <c:pt idx="395">
                  <c:v>2.6850000000000001</c:v>
                </c:pt>
                <c:pt idx="396">
                  <c:v>2.6360000000000001</c:v>
                </c:pt>
                <c:pt idx="397">
                  <c:v>2.6869999999999998</c:v>
                </c:pt>
                <c:pt idx="398">
                  <c:v>2.6749999999999998</c:v>
                </c:pt>
                <c:pt idx="399">
                  <c:v>2.6909999999999998</c:v>
                </c:pt>
                <c:pt idx="400">
                  <c:v>2.798</c:v>
                </c:pt>
                <c:pt idx="401">
                  <c:v>2.879</c:v>
                </c:pt>
                <c:pt idx="402">
                  <c:v>2.831</c:v>
                </c:pt>
                <c:pt idx="403">
                  <c:v>2.8090000000000002</c:v>
                </c:pt>
                <c:pt idx="404">
                  <c:v>2.7909999999999999</c:v>
                </c:pt>
                <c:pt idx="405">
                  <c:v>2.722</c:v>
                </c:pt>
                <c:pt idx="406">
                  <c:v>2.6989999999999998</c:v>
                </c:pt>
                <c:pt idx="407">
                  <c:v>2.7090000000000001</c:v>
                </c:pt>
                <c:pt idx="408">
                  <c:v>2.8860000000000001</c:v>
                </c:pt>
                <c:pt idx="409">
                  <c:v>2.9710000000000001</c:v>
                </c:pt>
                <c:pt idx="410">
                  <c:v>3.0009999999999999</c:v>
                </c:pt>
                <c:pt idx="411">
                  <c:v>2.883</c:v>
                </c:pt>
                <c:pt idx="412">
                  <c:v>2.8319999999999999</c:v>
                </c:pt>
                <c:pt idx="413">
                  <c:v>2.8639999999999999</c:v>
                </c:pt>
                <c:pt idx="414">
                  <c:v>2.8959999999999999</c:v>
                </c:pt>
                <c:pt idx="415">
                  <c:v>2.8530000000000002</c:v>
                </c:pt>
                <c:pt idx="416">
                  <c:v>2.819</c:v>
                </c:pt>
                <c:pt idx="417">
                  <c:v>2.8820000000000001</c:v>
                </c:pt>
                <c:pt idx="418">
                  <c:v>2.952</c:v>
                </c:pt>
                <c:pt idx="419">
                  <c:v>2.9319999999999999</c:v>
                </c:pt>
                <c:pt idx="420">
                  <c:v>2.887</c:v>
                </c:pt>
                <c:pt idx="421">
                  <c:v>2.8290000000000002</c:v>
                </c:pt>
                <c:pt idx="422">
                  <c:v>2.786</c:v>
                </c:pt>
                <c:pt idx="423">
                  <c:v>2.782</c:v>
                </c:pt>
                <c:pt idx="424">
                  <c:v>2.7349999999999999</c:v>
                </c:pt>
                <c:pt idx="425">
                  <c:v>2.6880000000000002</c:v>
                </c:pt>
                <c:pt idx="426">
                  <c:v>2.6850000000000001</c:v>
                </c:pt>
                <c:pt idx="427">
                  <c:v>2.7040000000000002</c:v>
                </c:pt>
                <c:pt idx="428">
                  <c:v>2.75</c:v>
                </c:pt>
                <c:pt idx="429">
                  <c:v>2.7480000000000002</c:v>
                </c:pt>
                <c:pt idx="430">
                  <c:v>2.6909999999999998</c:v>
                </c:pt>
                <c:pt idx="431">
                  <c:v>2.677</c:v>
                </c:pt>
                <c:pt idx="432">
                  <c:v>2.762</c:v>
                </c:pt>
                <c:pt idx="433">
                  <c:v>2.6669999999999998</c:v>
                </c:pt>
                <c:pt idx="434">
                  <c:v>2.4830000000000001</c:v>
                </c:pt>
                <c:pt idx="435">
                  <c:v>2.331</c:v>
                </c:pt>
                <c:pt idx="436">
                  <c:v>2.347</c:v>
                </c:pt>
                <c:pt idx="437">
                  <c:v>2.302</c:v>
                </c:pt>
                <c:pt idx="438">
                  <c:v>2.2130000000000001</c:v>
                </c:pt>
                <c:pt idx="439">
                  <c:v>2.1829999999999998</c:v>
                </c:pt>
                <c:pt idx="440">
                  <c:v>2.1509999999999998</c:v>
                </c:pt>
                <c:pt idx="441">
                  <c:v>2.1019999999999999</c:v>
                </c:pt>
                <c:pt idx="442">
                  <c:v>1.9019999999999999</c:v>
                </c:pt>
                <c:pt idx="443">
                  <c:v>1.712</c:v>
                </c:pt>
                <c:pt idx="444">
                  <c:v>1.607</c:v>
                </c:pt>
                <c:pt idx="445">
                  <c:v>1.59</c:v>
                </c:pt>
                <c:pt idx="446">
                  <c:v>1.514</c:v>
                </c:pt>
                <c:pt idx="447">
                  <c:v>1.3759999999999999</c:v>
                </c:pt>
                <c:pt idx="448">
                  <c:v>1.325</c:v>
                </c:pt>
                <c:pt idx="449">
                  <c:v>1.35</c:v>
                </c:pt>
                <c:pt idx="450">
                  <c:v>1.377</c:v>
                </c:pt>
                <c:pt idx="451">
                  <c:v>1.5309999999999999</c:v>
                </c:pt>
                <c:pt idx="452">
                  <c:v>1.575</c:v>
                </c:pt>
                <c:pt idx="453">
                  <c:v>1.6040000000000001</c:v>
                </c:pt>
                <c:pt idx="454">
                  <c:v>1.718</c:v>
                </c:pt>
                <c:pt idx="455">
                  <c:v>1.726</c:v>
                </c:pt>
                <c:pt idx="456">
                  <c:v>1.6279999999999999</c:v>
                </c:pt>
                <c:pt idx="457">
                  <c:v>1.575</c:v>
                </c:pt>
                <c:pt idx="458">
                  <c:v>1.6539999999999999</c:v>
                </c:pt>
                <c:pt idx="459">
                  <c:v>1.633</c:v>
                </c:pt>
                <c:pt idx="460">
                  <c:v>1.716</c:v>
                </c:pt>
                <c:pt idx="461">
                  <c:v>1.7769999999999999</c:v>
                </c:pt>
                <c:pt idx="462">
                  <c:v>1.847</c:v>
                </c:pt>
                <c:pt idx="463">
                  <c:v>1.9239999999999999</c:v>
                </c:pt>
                <c:pt idx="464">
                  <c:v>1.9219999999999999</c:v>
                </c:pt>
                <c:pt idx="465">
                  <c:v>1.9370000000000001</c:v>
                </c:pt>
                <c:pt idx="466">
                  <c:v>1.96</c:v>
                </c:pt>
                <c:pt idx="467">
                  <c:v>1.93</c:v>
                </c:pt>
                <c:pt idx="468">
                  <c:v>1.9750000000000001</c:v>
                </c:pt>
                <c:pt idx="469">
                  <c:v>2.0409999999999999</c:v>
                </c:pt>
                <c:pt idx="470">
                  <c:v>2.0489999999999999</c:v>
                </c:pt>
                <c:pt idx="471">
                  <c:v>1.976</c:v>
                </c:pt>
                <c:pt idx="472">
                  <c:v>1.958</c:v>
                </c:pt>
                <c:pt idx="473">
                  <c:v>1.952</c:v>
                </c:pt>
                <c:pt idx="474">
                  <c:v>1.8560000000000001</c:v>
                </c:pt>
                <c:pt idx="475">
                  <c:v>1.823</c:v>
                </c:pt>
                <c:pt idx="476">
                  <c:v>1.7470000000000001</c:v>
                </c:pt>
                <c:pt idx="477">
                  <c:v>1.6950000000000001</c:v>
                </c:pt>
                <c:pt idx="478">
                  <c:v>1.724</c:v>
                </c:pt>
                <c:pt idx="479">
                  <c:v>1.593</c:v>
                </c:pt>
                <c:pt idx="480">
                  <c:v>1.4630000000000001</c:v>
                </c:pt>
                <c:pt idx="481">
                  <c:v>1.538</c:v>
                </c:pt>
                <c:pt idx="482">
                  <c:v>1.49</c:v>
                </c:pt>
                <c:pt idx="483">
                  <c:v>1.431</c:v>
                </c:pt>
                <c:pt idx="484">
                  <c:v>1.446</c:v>
                </c:pt>
                <c:pt idx="485">
                  <c:v>1.4179999999999999</c:v>
                </c:pt>
                <c:pt idx="486">
                  <c:v>1.4770000000000001</c:v>
                </c:pt>
                <c:pt idx="487">
                  <c:v>1.3819999999999999</c:v>
                </c:pt>
                <c:pt idx="488">
                  <c:v>1.337</c:v>
                </c:pt>
                <c:pt idx="489">
                  <c:v>1.381</c:v>
                </c:pt>
                <c:pt idx="490">
                  <c:v>1.4490000000000001</c:v>
                </c:pt>
                <c:pt idx="491">
                  <c:v>1.3720000000000001</c:v>
                </c:pt>
                <c:pt idx="492">
                  <c:v>1.3160000000000001</c:v>
                </c:pt>
                <c:pt idx="493">
                  <c:v>1.371</c:v>
                </c:pt>
                <c:pt idx="494">
                  <c:v>1.365</c:v>
                </c:pt>
                <c:pt idx="495">
                  <c:v>1.2490000000000001</c:v>
                </c:pt>
                <c:pt idx="496">
                  <c:v>1.2649999999999999</c:v>
                </c:pt>
                <c:pt idx="497">
                  <c:v>1.2450000000000001</c:v>
                </c:pt>
                <c:pt idx="498">
                  <c:v>1.2769999999999999</c:v>
                </c:pt>
                <c:pt idx="499">
                  <c:v>1.2030000000000001</c:v>
                </c:pt>
                <c:pt idx="500">
                  <c:v>1.083</c:v>
                </c:pt>
                <c:pt idx="501">
                  <c:v>1.0649999999999999</c:v>
                </c:pt>
                <c:pt idx="502">
                  <c:v>1.0980000000000001</c:v>
                </c:pt>
                <c:pt idx="503">
                  <c:v>1.0580000000000001</c:v>
                </c:pt>
                <c:pt idx="504">
                  <c:v>0.99399999999999999</c:v>
                </c:pt>
                <c:pt idx="505">
                  <c:v>1.109</c:v>
                </c:pt>
                <c:pt idx="506">
                  <c:v>1.073</c:v>
                </c:pt>
                <c:pt idx="507">
                  <c:v>1.0469999999999999</c:v>
                </c:pt>
                <c:pt idx="508">
                  <c:v>1.147</c:v>
                </c:pt>
                <c:pt idx="509">
                  <c:v>1.181</c:v>
                </c:pt>
                <c:pt idx="510">
                  <c:v>1.286</c:v>
                </c:pt>
                <c:pt idx="511">
                  <c:v>1.3380000000000001</c:v>
                </c:pt>
                <c:pt idx="512">
                  <c:v>1.3460000000000001</c:v>
                </c:pt>
                <c:pt idx="513">
                  <c:v>1.466</c:v>
                </c:pt>
                <c:pt idx="514">
                  <c:v>1.462</c:v>
                </c:pt>
                <c:pt idx="515">
                  <c:v>1.5449999999999999</c:v>
                </c:pt>
                <c:pt idx="516">
                  <c:v>1.492</c:v>
                </c:pt>
                <c:pt idx="517">
                  <c:v>1.5049999999999999</c:v>
                </c:pt>
                <c:pt idx="518">
                  <c:v>1.6220000000000001</c:v>
                </c:pt>
                <c:pt idx="519">
                  <c:v>1.6259999999999999</c:v>
                </c:pt>
                <c:pt idx="520">
                  <c:v>1.6060000000000001</c:v>
                </c:pt>
                <c:pt idx="521">
                  <c:v>1.573</c:v>
                </c:pt>
                <c:pt idx="522">
                  <c:v>1.45</c:v>
                </c:pt>
                <c:pt idx="523">
                  <c:v>1.4910000000000001</c:v>
                </c:pt>
                <c:pt idx="524">
                  <c:v>1.4419999999999999</c:v>
                </c:pt>
                <c:pt idx="525">
                  <c:v>1.373</c:v>
                </c:pt>
                <c:pt idx="526">
                  <c:v>1.3680000000000001</c:v>
                </c:pt>
                <c:pt idx="527">
                  <c:v>1.3340000000000001</c:v>
                </c:pt>
                <c:pt idx="528">
                  <c:v>1.32</c:v>
                </c:pt>
                <c:pt idx="529">
                  <c:v>1.331</c:v>
                </c:pt>
                <c:pt idx="530">
                  <c:v>1.325</c:v>
                </c:pt>
                <c:pt idx="531">
                  <c:v>1.4410000000000001</c:v>
                </c:pt>
                <c:pt idx="532">
                  <c:v>1.4239999999999999</c:v>
                </c:pt>
                <c:pt idx="533">
                  <c:v>1.371</c:v>
                </c:pt>
                <c:pt idx="534">
                  <c:v>1.413</c:v>
                </c:pt>
                <c:pt idx="535">
                  <c:v>1.4390000000000001</c:v>
                </c:pt>
                <c:pt idx="536">
                  <c:v>1.44</c:v>
                </c:pt>
                <c:pt idx="537">
                  <c:v>1.486</c:v>
                </c:pt>
                <c:pt idx="538">
                  <c:v>1.506</c:v>
                </c:pt>
                <c:pt idx="539">
                  <c:v>1.5029999999999999</c:v>
                </c:pt>
                <c:pt idx="540">
                  <c:v>1.5489999999999999</c:v>
                </c:pt>
                <c:pt idx="541">
                  <c:v>1.534</c:v>
                </c:pt>
                <c:pt idx="542">
                  <c:v>1.5289999999999999</c:v>
                </c:pt>
                <c:pt idx="543">
                  <c:v>1.4590000000000001</c:v>
                </c:pt>
                <c:pt idx="544">
                  <c:v>1.3879999999999999</c:v>
                </c:pt>
                <c:pt idx="545">
                  <c:v>1.47</c:v>
                </c:pt>
                <c:pt idx="546">
                  <c:v>1.5289999999999999</c:v>
                </c:pt>
                <c:pt idx="547">
                  <c:v>1.575</c:v>
                </c:pt>
                <c:pt idx="548">
                  <c:v>1.603</c:v>
                </c:pt>
                <c:pt idx="549">
                  <c:v>1.655</c:v>
                </c:pt>
                <c:pt idx="550">
                  <c:v>1.7150000000000001</c:v>
                </c:pt>
                <c:pt idx="551">
                  <c:v>1.6950000000000001</c:v>
                </c:pt>
                <c:pt idx="552">
                  <c:v>1.6279999999999999</c:v>
                </c:pt>
                <c:pt idx="553">
                  <c:v>1.615</c:v>
                </c:pt>
                <c:pt idx="554">
                  <c:v>1.5740000000000001</c:v>
                </c:pt>
                <c:pt idx="555">
                  <c:v>1.5629999999999999</c:v>
                </c:pt>
                <c:pt idx="556">
                  <c:v>1.536</c:v>
                </c:pt>
                <c:pt idx="557">
                  <c:v>1.5469999999999999</c:v>
                </c:pt>
                <c:pt idx="558">
                  <c:v>1.5329999999999999</c:v>
                </c:pt>
                <c:pt idx="559">
                  <c:v>1.492</c:v>
                </c:pt>
                <c:pt idx="560">
                  <c:v>1.484</c:v>
                </c:pt>
                <c:pt idx="561">
                  <c:v>1.454</c:v>
                </c:pt>
                <c:pt idx="562">
                  <c:v>1.4910000000000001</c:v>
                </c:pt>
                <c:pt idx="563">
                  <c:v>1.5649999999999999</c:v>
                </c:pt>
                <c:pt idx="564">
                  <c:v>1.6359999999999999</c:v>
                </c:pt>
                <c:pt idx="565">
                  <c:v>1.6559999999999999</c:v>
                </c:pt>
                <c:pt idx="566">
                  <c:v>1.621</c:v>
                </c:pt>
                <c:pt idx="567">
                  <c:v>1.5329999999999999</c:v>
                </c:pt>
                <c:pt idx="568">
                  <c:v>1.46</c:v>
                </c:pt>
                <c:pt idx="569">
                  <c:v>1.486</c:v>
                </c:pt>
                <c:pt idx="570">
                  <c:v>1.569</c:v>
                </c:pt>
                <c:pt idx="571">
                  <c:v>1.61</c:v>
                </c:pt>
                <c:pt idx="572">
                  <c:v>1.585</c:v>
                </c:pt>
                <c:pt idx="573">
                  <c:v>1.4810000000000001</c:v>
                </c:pt>
                <c:pt idx="574">
                  <c:v>1.415</c:v>
                </c:pt>
                <c:pt idx="575">
                  <c:v>1.3879999999999999</c:v>
                </c:pt>
                <c:pt idx="576">
                  <c:v>1.4470000000000001</c:v>
                </c:pt>
                <c:pt idx="577">
                  <c:v>1.494</c:v>
                </c:pt>
                <c:pt idx="578">
                  <c:v>1.5289999999999999</c:v>
                </c:pt>
                <c:pt idx="579">
                  <c:v>1.591</c:v>
                </c:pt>
                <c:pt idx="580">
                  <c:v>1.61</c:v>
                </c:pt>
                <c:pt idx="581">
                  <c:v>1.6639999999999999</c:v>
                </c:pt>
                <c:pt idx="582">
                  <c:v>1.635</c:v>
                </c:pt>
                <c:pt idx="583">
                  <c:v>1.609</c:v>
                </c:pt>
                <c:pt idx="584">
                  <c:v>1.657</c:v>
                </c:pt>
                <c:pt idx="585">
                  <c:v>1.95</c:v>
                </c:pt>
                <c:pt idx="586">
                  <c:v>2.048</c:v>
                </c:pt>
                <c:pt idx="587">
                  <c:v>1.889</c:v>
                </c:pt>
                <c:pt idx="588">
                  <c:v>1.766</c:v>
                </c:pt>
                <c:pt idx="589">
                  <c:v>1.726</c:v>
                </c:pt>
                <c:pt idx="590">
                  <c:v>1.645</c:v>
                </c:pt>
                <c:pt idx="591">
                  <c:v>1.665</c:v>
                </c:pt>
                <c:pt idx="592">
                  <c:v>1.7110000000000001</c:v>
                </c:pt>
                <c:pt idx="593">
                  <c:v>1.794</c:v>
                </c:pt>
                <c:pt idx="594">
                  <c:v>1.8360000000000001</c:v>
                </c:pt>
                <c:pt idx="595">
                  <c:v>1.9119999999999999</c:v>
                </c:pt>
                <c:pt idx="596">
                  <c:v>1.802</c:v>
                </c:pt>
                <c:pt idx="597">
                  <c:v>1.802</c:v>
                </c:pt>
                <c:pt idx="598">
                  <c:v>1.7849999999999999</c:v>
                </c:pt>
                <c:pt idx="599">
                  <c:v>1.736</c:v>
                </c:pt>
                <c:pt idx="600">
                  <c:v>1.7170000000000001</c:v>
                </c:pt>
                <c:pt idx="601">
                  <c:v>1.7529999999999999</c:v>
                </c:pt>
                <c:pt idx="602">
                  <c:v>1.819</c:v>
                </c:pt>
                <c:pt idx="603">
                  <c:v>1.8180000000000001</c:v>
                </c:pt>
                <c:pt idx="604">
                  <c:v>1.86</c:v>
                </c:pt>
                <c:pt idx="605">
                  <c:v>1.901</c:v>
                </c:pt>
                <c:pt idx="606">
                  <c:v>1.9730000000000001</c:v>
                </c:pt>
                <c:pt idx="607">
                  <c:v>1.958</c:v>
                </c:pt>
                <c:pt idx="608">
                  <c:v>1.8260000000000001</c:v>
                </c:pt>
                <c:pt idx="609">
                  <c:v>1.7589999999999999</c:v>
                </c:pt>
                <c:pt idx="610">
                  <c:v>1.8049999999999999</c:v>
                </c:pt>
                <c:pt idx="611">
                  <c:v>1.84</c:v>
                </c:pt>
                <c:pt idx="612">
                  <c:v>1.7769999999999999</c:v>
                </c:pt>
                <c:pt idx="613">
                  <c:v>1.7789999999999999</c:v>
                </c:pt>
                <c:pt idx="614">
                  <c:v>1.865</c:v>
                </c:pt>
                <c:pt idx="615">
                  <c:v>1.9119999999999999</c:v>
                </c:pt>
                <c:pt idx="616">
                  <c:v>1.883</c:v>
                </c:pt>
                <c:pt idx="617">
                  <c:v>1.9670000000000001</c:v>
                </c:pt>
                <c:pt idx="618">
                  <c:v>2.0390000000000001</c:v>
                </c:pt>
                <c:pt idx="619">
                  <c:v>2.073</c:v>
                </c:pt>
                <c:pt idx="620">
                  <c:v>2.0569999999999999</c:v>
                </c:pt>
                <c:pt idx="621">
                  <c:v>2.1139999999999999</c:v>
                </c:pt>
                <c:pt idx="622">
                  <c:v>2.181</c:v>
                </c:pt>
                <c:pt idx="623">
                  <c:v>2.1789999999999998</c:v>
                </c:pt>
                <c:pt idx="624">
                  <c:v>2.097</c:v>
                </c:pt>
                <c:pt idx="625">
                  <c:v>2.048</c:v>
                </c:pt>
                <c:pt idx="626">
                  <c:v>2.024</c:v>
                </c:pt>
                <c:pt idx="627">
                  <c:v>1.984</c:v>
                </c:pt>
                <c:pt idx="628">
                  <c:v>2.0529999999999999</c:v>
                </c:pt>
                <c:pt idx="629">
                  <c:v>2.0880000000000001</c:v>
                </c:pt>
                <c:pt idx="630">
                  <c:v>2.0750000000000002</c:v>
                </c:pt>
                <c:pt idx="631">
                  <c:v>2.0070000000000001</c:v>
                </c:pt>
                <c:pt idx="632">
                  <c:v>2.1059999999999999</c:v>
                </c:pt>
                <c:pt idx="633">
                  <c:v>2.0950000000000002</c:v>
                </c:pt>
                <c:pt idx="634">
                  <c:v>2.0680000000000001</c:v>
                </c:pt>
                <c:pt idx="635">
                  <c:v>2.0299999999999998</c:v>
                </c:pt>
                <c:pt idx="636">
                  <c:v>2.077</c:v>
                </c:pt>
                <c:pt idx="637">
                  <c:v>2.13</c:v>
                </c:pt>
                <c:pt idx="638">
                  <c:v>2.0979999999999999</c:v>
                </c:pt>
                <c:pt idx="639">
                  <c:v>2.0609999999999999</c:v>
                </c:pt>
                <c:pt idx="640">
                  <c:v>2.0750000000000002</c:v>
                </c:pt>
                <c:pt idx="641">
                  <c:v>2.1379999999999999</c:v>
                </c:pt>
                <c:pt idx="642">
                  <c:v>2.1949999999999998</c:v>
                </c:pt>
                <c:pt idx="643">
                  <c:v>2.0939999999999999</c:v>
                </c:pt>
                <c:pt idx="644">
                  <c:v>2.008</c:v>
                </c:pt>
                <c:pt idx="645">
                  <c:v>1.911</c:v>
                </c:pt>
                <c:pt idx="646">
                  <c:v>1.83</c:v>
                </c:pt>
                <c:pt idx="647">
                  <c:v>1.72</c:v>
                </c:pt>
                <c:pt idx="648">
                  <c:v>1.6339999999999999</c:v>
                </c:pt>
                <c:pt idx="649">
                  <c:v>1.587</c:v>
                </c:pt>
                <c:pt idx="650">
                  <c:v>1.5029999999999999</c:v>
                </c:pt>
                <c:pt idx="651">
                  <c:v>1.53</c:v>
                </c:pt>
                <c:pt idx="652">
                  <c:v>1.506</c:v>
                </c:pt>
                <c:pt idx="653">
                  <c:v>1.405</c:v>
                </c:pt>
                <c:pt idx="654">
                  <c:v>1.3720000000000001</c:v>
                </c:pt>
                <c:pt idx="655">
                  <c:v>1.389</c:v>
                </c:pt>
                <c:pt idx="656">
                  <c:v>1.4419999999999999</c:v>
                </c:pt>
                <c:pt idx="657">
                  <c:v>1.448</c:v>
                </c:pt>
                <c:pt idx="658">
                  <c:v>1.429</c:v>
                </c:pt>
                <c:pt idx="659">
                  <c:v>1.413</c:v>
                </c:pt>
                <c:pt idx="660">
                  <c:v>1.474</c:v>
                </c:pt>
                <c:pt idx="661">
                  <c:v>1.53</c:v>
                </c:pt>
                <c:pt idx="662">
                  <c:v>1.6479999999999999</c:v>
                </c:pt>
                <c:pt idx="663">
                  <c:v>1.6830000000000001</c:v>
                </c:pt>
                <c:pt idx="664">
                  <c:v>1.7070000000000001</c:v>
                </c:pt>
                <c:pt idx="665">
                  <c:v>1.7969999999999999</c:v>
                </c:pt>
                <c:pt idx="666">
                  <c:v>1.89</c:v>
                </c:pt>
                <c:pt idx="667">
                  <c:v>1.8620000000000001</c:v>
                </c:pt>
                <c:pt idx="668">
                  <c:v>1.9239999999999999</c:v>
                </c:pt>
                <c:pt idx="669">
                  <c:v>2.04</c:v>
                </c:pt>
                <c:pt idx="670">
                  <c:v>2.069</c:v>
                </c:pt>
                <c:pt idx="671">
                  <c:v>2.125</c:v>
                </c:pt>
                <c:pt idx="672">
                  <c:v>2.02</c:v>
                </c:pt>
                <c:pt idx="673">
                  <c:v>1.921</c:v>
                </c:pt>
                <c:pt idx="674">
                  <c:v>1.956</c:v>
                </c:pt>
                <c:pt idx="675">
                  <c:v>1.911</c:v>
                </c:pt>
                <c:pt idx="676">
                  <c:v>1.83</c:v>
                </c:pt>
                <c:pt idx="677">
                  <c:v>1.6459999999999999</c:v>
                </c:pt>
                <c:pt idx="678">
                  <c:v>1.6830000000000001</c:v>
                </c:pt>
                <c:pt idx="679">
                  <c:v>1.742</c:v>
                </c:pt>
                <c:pt idx="680">
                  <c:v>1.89</c:v>
                </c:pt>
                <c:pt idx="681">
                  <c:v>1.9079999999999999</c:v>
                </c:pt>
                <c:pt idx="682">
                  <c:v>1.9510000000000001</c:v>
                </c:pt>
                <c:pt idx="683">
                  <c:v>1.8620000000000001</c:v>
                </c:pt>
                <c:pt idx="684">
                  <c:v>1.8480000000000001</c:v>
                </c:pt>
                <c:pt idx="685">
                  <c:v>1.8360000000000001</c:v>
                </c:pt>
                <c:pt idx="686">
                  <c:v>1.6879999999999999</c:v>
                </c:pt>
                <c:pt idx="687">
                  <c:v>1.6819999999999999</c:v>
                </c:pt>
                <c:pt idx="688">
                  <c:v>1.6950000000000001</c:v>
                </c:pt>
                <c:pt idx="689">
                  <c:v>1.679</c:v>
                </c:pt>
                <c:pt idx="690">
                  <c:v>1.641</c:v>
                </c:pt>
                <c:pt idx="691">
                  <c:v>1.704</c:v>
                </c:pt>
                <c:pt idx="692">
                  <c:v>1.8080000000000001</c:v>
                </c:pt>
                <c:pt idx="693">
                  <c:v>1.754</c:v>
                </c:pt>
                <c:pt idx="694">
                  <c:v>1.68</c:v>
                </c:pt>
                <c:pt idx="695">
                  <c:v>1.7090000000000001</c:v>
                </c:pt>
                <c:pt idx="696">
                  <c:v>1.74</c:v>
                </c:pt>
                <c:pt idx="697">
                  <c:v>1.752</c:v>
                </c:pt>
                <c:pt idx="698">
                  <c:v>1.76</c:v>
                </c:pt>
                <c:pt idx="699">
                  <c:v>1.7549999999999999</c:v>
                </c:pt>
                <c:pt idx="700">
                  <c:v>1.708</c:v>
                </c:pt>
                <c:pt idx="701">
                  <c:v>1.7070000000000001</c:v>
                </c:pt>
                <c:pt idx="702">
                  <c:v>1.722</c:v>
                </c:pt>
                <c:pt idx="703">
                  <c:v>1.641</c:v>
                </c:pt>
                <c:pt idx="704">
                  <c:v>1.69</c:v>
                </c:pt>
                <c:pt idx="705">
                  <c:v>1.7330000000000001</c:v>
                </c:pt>
                <c:pt idx="706">
                  <c:v>1.7729999999999999</c:v>
                </c:pt>
                <c:pt idx="707">
                  <c:v>1.768</c:v>
                </c:pt>
                <c:pt idx="708">
                  <c:v>1.7270000000000001</c:v>
                </c:pt>
                <c:pt idx="709">
                  <c:v>1.694</c:v>
                </c:pt>
                <c:pt idx="710">
                  <c:v>1.6140000000000001</c:v>
                </c:pt>
                <c:pt idx="711">
                  <c:v>1.5449999999999999</c:v>
                </c:pt>
                <c:pt idx="712">
                  <c:v>1.5229999999999999</c:v>
                </c:pt>
                <c:pt idx="713">
                  <c:v>1.595</c:v>
                </c:pt>
                <c:pt idx="714">
                  <c:v>1.6879999999999999</c:v>
                </c:pt>
                <c:pt idx="715">
                  <c:v>1.5369999999999999</c:v>
                </c:pt>
                <c:pt idx="716">
                  <c:v>1.492</c:v>
                </c:pt>
                <c:pt idx="717">
                  <c:v>1.044</c:v>
                </c:pt>
                <c:pt idx="718">
                  <c:v>0.66700000000000004</c:v>
                </c:pt>
                <c:pt idx="719">
                  <c:v>0.499</c:v>
                </c:pt>
                <c:pt idx="720">
                  <c:v>0.52800000000000002</c:v>
                </c:pt>
                <c:pt idx="721">
                  <c:v>0.61</c:v>
                </c:pt>
                <c:pt idx="722">
                  <c:v>0.60899999999999999</c:v>
                </c:pt>
                <c:pt idx="723">
                  <c:v>0.56799999999999995</c:v>
                </c:pt>
                <c:pt idx="724">
                  <c:v>0.65200000000000002</c:v>
                </c:pt>
                <c:pt idx="725">
                  <c:v>0.82499999999999996</c:v>
                </c:pt>
                <c:pt idx="726">
                  <c:v>0.82799999999999996</c:v>
                </c:pt>
                <c:pt idx="727">
                  <c:v>0.96499999999999997</c:v>
                </c:pt>
                <c:pt idx="728">
                  <c:v>0.93799999999999994</c:v>
                </c:pt>
                <c:pt idx="729">
                  <c:v>1.0389999999999999</c:v>
                </c:pt>
                <c:pt idx="730">
                  <c:v>1.0920000000000001</c:v>
                </c:pt>
                <c:pt idx="731">
                  <c:v>1.157</c:v>
                </c:pt>
                <c:pt idx="732">
                  <c:v>1.1819999999999999</c:v>
                </c:pt>
                <c:pt idx="733">
                  <c:v>1.173</c:v>
                </c:pt>
                <c:pt idx="734">
                  <c:v>1.2310000000000001</c:v>
                </c:pt>
                <c:pt idx="735">
                  <c:v>1.2210000000000001</c:v>
                </c:pt>
                <c:pt idx="736">
                  <c:v>1.238</c:v>
                </c:pt>
                <c:pt idx="737">
                  <c:v>1.2</c:v>
                </c:pt>
                <c:pt idx="738">
                  <c:v>1.1859999999999999</c:v>
                </c:pt>
                <c:pt idx="739">
                  <c:v>1.212</c:v>
                </c:pt>
                <c:pt idx="740">
                  <c:v>1.274</c:v>
                </c:pt>
                <c:pt idx="741">
                  <c:v>1.323</c:v>
                </c:pt>
                <c:pt idx="742">
                  <c:v>1.2490000000000001</c:v>
                </c:pt>
                <c:pt idx="743">
                  <c:v>1.155</c:v>
                </c:pt>
                <c:pt idx="744">
                  <c:v>1.2350000000000001</c:v>
                </c:pt>
                <c:pt idx="745">
                  <c:v>1.238</c:v>
                </c:pt>
                <c:pt idx="746">
                  <c:v>1.236</c:v>
                </c:pt>
                <c:pt idx="747">
                  <c:v>1.2669999999999999</c:v>
                </c:pt>
                <c:pt idx="748">
                  <c:v>1.23</c:v>
                </c:pt>
                <c:pt idx="749">
                  <c:v>1.1919999999999999</c:v>
                </c:pt>
                <c:pt idx="750">
                  <c:v>1.1160000000000001</c:v>
                </c:pt>
                <c:pt idx="751">
                  <c:v>1.1220000000000001</c:v>
                </c:pt>
                <c:pt idx="752">
                  <c:v>1.1930000000000001</c:v>
                </c:pt>
                <c:pt idx="753">
                  <c:v>1.1890000000000001</c:v>
                </c:pt>
                <c:pt idx="754">
                  <c:v>1.272</c:v>
                </c:pt>
                <c:pt idx="755">
                  <c:v>1.2749999999999999</c:v>
                </c:pt>
                <c:pt idx="756">
                  <c:v>1.3140000000000001</c:v>
                </c:pt>
                <c:pt idx="757">
                  <c:v>1.3879999999999999</c:v>
                </c:pt>
                <c:pt idx="758">
                  <c:v>1.397</c:v>
                </c:pt>
                <c:pt idx="759">
                  <c:v>1.4219999999999999</c:v>
                </c:pt>
                <c:pt idx="760">
                  <c:v>1.496</c:v>
                </c:pt>
                <c:pt idx="761">
                  <c:v>1.573</c:v>
                </c:pt>
                <c:pt idx="762">
                  <c:v>1.581</c:v>
                </c:pt>
                <c:pt idx="763">
                  <c:v>1.6060000000000001</c:v>
                </c:pt>
                <c:pt idx="764">
                  <c:v>1.665</c:v>
                </c:pt>
                <c:pt idx="765">
                  <c:v>1.6850000000000001</c:v>
                </c:pt>
                <c:pt idx="766">
                  <c:v>1.8069999999999999</c:v>
                </c:pt>
                <c:pt idx="767">
                  <c:v>1.897</c:v>
                </c:pt>
                <c:pt idx="768">
                  <c:v>1.94</c:v>
                </c:pt>
                <c:pt idx="769">
                  <c:v>2.081</c:v>
                </c:pt>
                <c:pt idx="770">
                  <c:v>2.04</c:v>
                </c:pt>
                <c:pt idx="771">
                  <c:v>1.9079999999999999</c:v>
                </c:pt>
                <c:pt idx="772">
                  <c:v>1.9590000000000001</c:v>
                </c:pt>
                <c:pt idx="773">
                  <c:v>1.9450000000000001</c:v>
                </c:pt>
                <c:pt idx="774">
                  <c:v>2.0030000000000001</c:v>
                </c:pt>
                <c:pt idx="775">
                  <c:v>1.9790000000000001</c:v>
                </c:pt>
                <c:pt idx="776">
                  <c:v>2.0230000000000001</c:v>
                </c:pt>
                <c:pt idx="777">
                  <c:v>2.12</c:v>
                </c:pt>
                <c:pt idx="778">
                  <c:v>2.1349999999999998</c:v>
                </c:pt>
                <c:pt idx="779">
                  <c:v>2.105</c:v>
                </c:pt>
                <c:pt idx="780">
                  <c:v>2.1059999999999999</c:v>
                </c:pt>
                <c:pt idx="781">
                  <c:v>2.1560000000000001</c:v>
                </c:pt>
                <c:pt idx="782">
                  <c:v>2.1619999999999999</c:v>
                </c:pt>
                <c:pt idx="783">
                  <c:v>2.121</c:v>
                </c:pt>
                <c:pt idx="784">
                  <c:v>2.2080000000000002</c:v>
                </c:pt>
                <c:pt idx="785">
                  <c:v>2.2210000000000001</c:v>
                </c:pt>
                <c:pt idx="786">
                  <c:v>2.2200000000000002</c:v>
                </c:pt>
                <c:pt idx="787">
                  <c:v>2.2679999999999998</c:v>
                </c:pt>
                <c:pt idx="788">
                  <c:v>2.2040000000000002</c:v>
                </c:pt>
                <c:pt idx="789">
                  <c:v>2.33</c:v>
                </c:pt>
                <c:pt idx="790">
                  <c:v>2.282</c:v>
                </c:pt>
                <c:pt idx="791">
                  <c:v>2.2839999999999998</c:v>
                </c:pt>
                <c:pt idx="792">
                  <c:v>2.1219999999999999</c:v>
                </c:pt>
                <c:pt idx="793">
                  <c:v>2.2250000000000001</c:v>
                </c:pt>
                <c:pt idx="794">
                  <c:v>2.319</c:v>
                </c:pt>
                <c:pt idx="795">
                  <c:v>2.2869999999999999</c:v>
                </c:pt>
                <c:pt idx="796">
                  <c:v>2.3029999999999999</c:v>
                </c:pt>
                <c:pt idx="797">
                  <c:v>2.238</c:v>
                </c:pt>
                <c:pt idx="798">
                  <c:v>2.294</c:v>
                </c:pt>
                <c:pt idx="799">
                  <c:v>2.4140000000000001</c:v>
                </c:pt>
                <c:pt idx="800">
                  <c:v>2.5019999999999998</c:v>
                </c:pt>
                <c:pt idx="801">
                  <c:v>2.5670000000000002</c:v>
                </c:pt>
                <c:pt idx="802">
                  <c:v>2.5489999999999999</c:v>
                </c:pt>
                <c:pt idx="803">
                  <c:v>2.4950000000000001</c:v>
                </c:pt>
                <c:pt idx="804">
                  <c:v>2.4300000000000002</c:v>
                </c:pt>
                <c:pt idx="805">
                  <c:v>2.3780000000000001</c:v>
                </c:pt>
                <c:pt idx="806">
                  <c:v>2.3759999999999999</c:v>
                </c:pt>
                <c:pt idx="807">
                  <c:v>2.0510000000000002</c:v>
                </c:pt>
                <c:pt idx="808">
                  <c:v>2.1960000000000002</c:v>
                </c:pt>
                <c:pt idx="809">
                  <c:v>2.2109999999999999</c:v>
                </c:pt>
                <c:pt idx="810">
                  <c:v>2.2090000000000001</c:v>
                </c:pt>
                <c:pt idx="811">
                  <c:v>2.298</c:v>
                </c:pt>
                <c:pt idx="812">
                  <c:v>2.3239999999999998</c:v>
                </c:pt>
                <c:pt idx="813">
                  <c:v>2.411</c:v>
                </c:pt>
                <c:pt idx="814">
                  <c:v>2.4900000000000002</c:v>
                </c:pt>
                <c:pt idx="815">
                  <c:v>2.5489999999999999</c:v>
                </c:pt>
                <c:pt idx="816">
                  <c:v>2.665</c:v>
                </c:pt>
                <c:pt idx="817">
                  <c:v>2.742</c:v>
                </c:pt>
                <c:pt idx="818">
                  <c:v>2.7330000000000001</c:v>
                </c:pt>
                <c:pt idx="819">
                  <c:v>2.7810000000000001</c:v>
                </c:pt>
                <c:pt idx="820">
                  <c:v>3.1680000000000001</c:v>
                </c:pt>
                <c:pt idx="821">
                  <c:v>3.3069999999999999</c:v>
                </c:pt>
                <c:pt idx="822">
                  <c:v>3</c:v>
                </c:pt>
                <c:pt idx="823">
                  <c:v>3.274</c:v>
                </c:pt>
                <c:pt idx="824">
                  <c:v>3.0750000000000002</c:v>
                </c:pt>
                <c:pt idx="825">
                  <c:v>3.105</c:v>
                </c:pt>
                <c:pt idx="826">
                  <c:v>3.1859999999999999</c:v>
                </c:pt>
                <c:pt idx="827">
                  <c:v>3.121</c:v>
                </c:pt>
                <c:pt idx="828">
                  <c:v>3.3820000000000001</c:v>
                </c:pt>
                <c:pt idx="829">
                  <c:v>3.653</c:v>
                </c:pt>
                <c:pt idx="830">
                  <c:v>3.7450000000000001</c:v>
                </c:pt>
                <c:pt idx="831">
                  <c:v>3.931</c:v>
                </c:pt>
                <c:pt idx="832">
                  <c:v>3.927</c:v>
                </c:pt>
                <c:pt idx="833">
                  <c:v>4.3360000000000003</c:v>
                </c:pt>
                <c:pt idx="834">
                  <c:v>4.3280000000000003</c:v>
                </c:pt>
                <c:pt idx="835">
                  <c:v>3.984</c:v>
                </c:pt>
                <c:pt idx="836">
                  <c:v>3.8860000000000001</c:v>
                </c:pt>
                <c:pt idx="837">
                  <c:v>3.8380000000000001</c:v>
                </c:pt>
                <c:pt idx="838">
                  <c:v>3.532</c:v>
                </c:pt>
                <c:pt idx="839">
                  <c:v>3.4729999999999999</c:v>
                </c:pt>
                <c:pt idx="840">
                  <c:v>3.4060000000000001</c:v>
                </c:pt>
                <c:pt idx="841">
                  <c:v>3.4689999999999999</c:v>
                </c:pt>
                <c:pt idx="842">
                  <c:v>3.2</c:v>
                </c:pt>
                <c:pt idx="843">
                  <c:v>3.165</c:v>
                </c:pt>
              </c:numCache>
            </c:numRef>
          </c:val>
          <c:smooth val="0"/>
          <c:extLst>
            <c:ext xmlns:c16="http://schemas.microsoft.com/office/drawing/2014/chart" uri="{C3380CC4-5D6E-409C-BE32-E72D297353CC}">
              <c16:uniqueId val="{00000000-2957-9744-99C6-E4EE6DA4F0E1}"/>
            </c:ext>
          </c:extLst>
        </c:ser>
        <c:ser>
          <c:idx val="2"/>
          <c:order val="2"/>
          <c:tx>
            <c:strRef>
              <c:f>Hoja1!$O$1</c:f>
              <c:strCache>
                <c:ptCount val="1"/>
                <c:pt idx="0">
                  <c:v>RBOB</c:v>
                </c:pt>
              </c:strCache>
            </c:strRef>
          </c:tx>
          <c:spPr>
            <a:ln w="22225" cap="rnd">
              <a:solidFill>
                <a:schemeClr val="accent3"/>
              </a:solidFill>
              <a:round/>
            </a:ln>
            <a:effectLst/>
          </c:spPr>
          <c:marker>
            <c:symbol val="none"/>
          </c:marker>
          <c:cat>
            <c:numRef>
              <c:f>Hoja1!$L$2:$L$845</c:f>
              <c:numCache>
                <c:formatCode>m/d/yy</c:formatCode>
                <c:ptCount val="844"/>
                <c:pt idx="0">
                  <c:v>38884</c:v>
                </c:pt>
                <c:pt idx="1">
                  <c:v>38891</c:v>
                </c:pt>
                <c:pt idx="2">
                  <c:v>38898</c:v>
                </c:pt>
                <c:pt idx="3">
                  <c:v>38905</c:v>
                </c:pt>
                <c:pt idx="4">
                  <c:v>38912</c:v>
                </c:pt>
                <c:pt idx="5">
                  <c:v>38919</c:v>
                </c:pt>
                <c:pt idx="6">
                  <c:v>38926</c:v>
                </c:pt>
                <c:pt idx="7">
                  <c:v>38933</c:v>
                </c:pt>
                <c:pt idx="8">
                  <c:v>38940</c:v>
                </c:pt>
                <c:pt idx="9">
                  <c:v>38947</c:v>
                </c:pt>
                <c:pt idx="10">
                  <c:v>38954</c:v>
                </c:pt>
                <c:pt idx="11">
                  <c:v>38961</c:v>
                </c:pt>
                <c:pt idx="12">
                  <c:v>38968</c:v>
                </c:pt>
                <c:pt idx="13">
                  <c:v>38975</c:v>
                </c:pt>
                <c:pt idx="14">
                  <c:v>38982</c:v>
                </c:pt>
                <c:pt idx="15">
                  <c:v>38989</c:v>
                </c:pt>
                <c:pt idx="16">
                  <c:v>38996</c:v>
                </c:pt>
                <c:pt idx="17">
                  <c:v>39003</c:v>
                </c:pt>
                <c:pt idx="18">
                  <c:v>39010</c:v>
                </c:pt>
                <c:pt idx="19">
                  <c:v>39017</c:v>
                </c:pt>
                <c:pt idx="20">
                  <c:v>39024</c:v>
                </c:pt>
                <c:pt idx="21">
                  <c:v>39031</c:v>
                </c:pt>
                <c:pt idx="22">
                  <c:v>39038</c:v>
                </c:pt>
                <c:pt idx="23">
                  <c:v>39045</c:v>
                </c:pt>
                <c:pt idx="24">
                  <c:v>39052</c:v>
                </c:pt>
                <c:pt idx="25">
                  <c:v>39059</c:v>
                </c:pt>
                <c:pt idx="26">
                  <c:v>39066</c:v>
                </c:pt>
                <c:pt idx="27">
                  <c:v>39073</c:v>
                </c:pt>
                <c:pt idx="28">
                  <c:v>39080</c:v>
                </c:pt>
                <c:pt idx="29">
                  <c:v>39087</c:v>
                </c:pt>
                <c:pt idx="30">
                  <c:v>39094</c:v>
                </c:pt>
                <c:pt idx="31">
                  <c:v>39101</c:v>
                </c:pt>
                <c:pt idx="32">
                  <c:v>39108</c:v>
                </c:pt>
                <c:pt idx="33">
                  <c:v>39115</c:v>
                </c:pt>
                <c:pt idx="34">
                  <c:v>39122</c:v>
                </c:pt>
                <c:pt idx="35">
                  <c:v>39129</c:v>
                </c:pt>
                <c:pt idx="36">
                  <c:v>39136</c:v>
                </c:pt>
                <c:pt idx="37">
                  <c:v>39143</c:v>
                </c:pt>
                <c:pt idx="38">
                  <c:v>39150</c:v>
                </c:pt>
                <c:pt idx="39">
                  <c:v>39157</c:v>
                </c:pt>
                <c:pt idx="40">
                  <c:v>39164</c:v>
                </c:pt>
                <c:pt idx="41">
                  <c:v>39171</c:v>
                </c:pt>
                <c:pt idx="42">
                  <c:v>39178</c:v>
                </c:pt>
                <c:pt idx="43">
                  <c:v>39185</c:v>
                </c:pt>
                <c:pt idx="44">
                  <c:v>39192</c:v>
                </c:pt>
                <c:pt idx="45">
                  <c:v>39199</c:v>
                </c:pt>
                <c:pt idx="46">
                  <c:v>39206</c:v>
                </c:pt>
                <c:pt idx="47">
                  <c:v>39213</c:v>
                </c:pt>
                <c:pt idx="48">
                  <c:v>39220</c:v>
                </c:pt>
                <c:pt idx="49">
                  <c:v>39227</c:v>
                </c:pt>
                <c:pt idx="50">
                  <c:v>39234</c:v>
                </c:pt>
                <c:pt idx="51">
                  <c:v>39241</c:v>
                </c:pt>
                <c:pt idx="52">
                  <c:v>39248</c:v>
                </c:pt>
                <c:pt idx="53">
                  <c:v>39255</c:v>
                </c:pt>
                <c:pt idx="54">
                  <c:v>39262</c:v>
                </c:pt>
                <c:pt idx="55">
                  <c:v>39269</c:v>
                </c:pt>
                <c:pt idx="56">
                  <c:v>39276</c:v>
                </c:pt>
                <c:pt idx="57">
                  <c:v>39283</c:v>
                </c:pt>
                <c:pt idx="58">
                  <c:v>39290</c:v>
                </c:pt>
                <c:pt idx="59">
                  <c:v>39297</c:v>
                </c:pt>
                <c:pt idx="60">
                  <c:v>39304</c:v>
                </c:pt>
                <c:pt idx="61">
                  <c:v>39311</c:v>
                </c:pt>
                <c:pt idx="62">
                  <c:v>39318</c:v>
                </c:pt>
                <c:pt idx="63">
                  <c:v>39325</c:v>
                </c:pt>
                <c:pt idx="64">
                  <c:v>39332</c:v>
                </c:pt>
                <c:pt idx="65">
                  <c:v>39339</c:v>
                </c:pt>
                <c:pt idx="66">
                  <c:v>39346</c:v>
                </c:pt>
                <c:pt idx="67">
                  <c:v>39353</c:v>
                </c:pt>
                <c:pt idx="68">
                  <c:v>39360</c:v>
                </c:pt>
                <c:pt idx="69">
                  <c:v>39367</c:v>
                </c:pt>
                <c:pt idx="70">
                  <c:v>39374</c:v>
                </c:pt>
                <c:pt idx="71">
                  <c:v>39381</c:v>
                </c:pt>
                <c:pt idx="72">
                  <c:v>39388</c:v>
                </c:pt>
                <c:pt idx="73">
                  <c:v>39395</c:v>
                </c:pt>
                <c:pt idx="74">
                  <c:v>39402</c:v>
                </c:pt>
                <c:pt idx="75">
                  <c:v>39409</c:v>
                </c:pt>
                <c:pt idx="76">
                  <c:v>39416</c:v>
                </c:pt>
                <c:pt idx="77">
                  <c:v>39423</c:v>
                </c:pt>
                <c:pt idx="78">
                  <c:v>39430</c:v>
                </c:pt>
                <c:pt idx="79">
                  <c:v>39437</c:v>
                </c:pt>
                <c:pt idx="80">
                  <c:v>39444</c:v>
                </c:pt>
                <c:pt idx="81">
                  <c:v>39451</c:v>
                </c:pt>
                <c:pt idx="82">
                  <c:v>39458</c:v>
                </c:pt>
                <c:pt idx="83">
                  <c:v>39465</c:v>
                </c:pt>
                <c:pt idx="84">
                  <c:v>39472</c:v>
                </c:pt>
                <c:pt idx="85">
                  <c:v>39479</c:v>
                </c:pt>
                <c:pt idx="86">
                  <c:v>39486</c:v>
                </c:pt>
                <c:pt idx="87">
                  <c:v>39493</c:v>
                </c:pt>
                <c:pt idx="88">
                  <c:v>39500</c:v>
                </c:pt>
                <c:pt idx="89">
                  <c:v>39507</c:v>
                </c:pt>
                <c:pt idx="90">
                  <c:v>39514</c:v>
                </c:pt>
                <c:pt idx="91">
                  <c:v>39521</c:v>
                </c:pt>
                <c:pt idx="92">
                  <c:v>39528</c:v>
                </c:pt>
                <c:pt idx="93">
                  <c:v>39535</c:v>
                </c:pt>
                <c:pt idx="94">
                  <c:v>39542</c:v>
                </c:pt>
                <c:pt idx="95">
                  <c:v>39549</c:v>
                </c:pt>
                <c:pt idx="96">
                  <c:v>39556</c:v>
                </c:pt>
                <c:pt idx="97">
                  <c:v>39563</c:v>
                </c:pt>
                <c:pt idx="98">
                  <c:v>39570</c:v>
                </c:pt>
                <c:pt idx="99">
                  <c:v>39577</c:v>
                </c:pt>
                <c:pt idx="100">
                  <c:v>39584</c:v>
                </c:pt>
                <c:pt idx="101">
                  <c:v>39591</c:v>
                </c:pt>
                <c:pt idx="102">
                  <c:v>39598</c:v>
                </c:pt>
                <c:pt idx="103">
                  <c:v>39605</c:v>
                </c:pt>
                <c:pt idx="104">
                  <c:v>39612</c:v>
                </c:pt>
                <c:pt idx="105">
                  <c:v>39619</c:v>
                </c:pt>
                <c:pt idx="106">
                  <c:v>39626</c:v>
                </c:pt>
                <c:pt idx="107">
                  <c:v>39633</c:v>
                </c:pt>
                <c:pt idx="108">
                  <c:v>39640</c:v>
                </c:pt>
                <c:pt idx="109">
                  <c:v>39647</c:v>
                </c:pt>
                <c:pt idx="110">
                  <c:v>39654</c:v>
                </c:pt>
                <c:pt idx="111">
                  <c:v>39661</c:v>
                </c:pt>
                <c:pt idx="112">
                  <c:v>39668</c:v>
                </c:pt>
                <c:pt idx="113">
                  <c:v>39675</c:v>
                </c:pt>
                <c:pt idx="114">
                  <c:v>39682</c:v>
                </c:pt>
                <c:pt idx="115">
                  <c:v>39689</c:v>
                </c:pt>
                <c:pt idx="116">
                  <c:v>39696</c:v>
                </c:pt>
                <c:pt idx="117">
                  <c:v>39703</c:v>
                </c:pt>
                <c:pt idx="118">
                  <c:v>39710</c:v>
                </c:pt>
                <c:pt idx="119">
                  <c:v>39717</c:v>
                </c:pt>
                <c:pt idx="120">
                  <c:v>39724</c:v>
                </c:pt>
                <c:pt idx="121">
                  <c:v>39731</c:v>
                </c:pt>
                <c:pt idx="122">
                  <c:v>39738</c:v>
                </c:pt>
                <c:pt idx="123">
                  <c:v>39745</c:v>
                </c:pt>
                <c:pt idx="124">
                  <c:v>39752</c:v>
                </c:pt>
                <c:pt idx="125">
                  <c:v>39759</c:v>
                </c:pt>
                <c:pt idx="126">
                  <c:v>39766</c:v>
                </c:pt>
                <c:pt idx="127">
                  <c:v>39773</c:v>
                </c:pt>
                <c:pt idx="128">
                  <c:v>39780</c:v>
                </c:pt>
                <c:pt idx="129">
                  <c:v>39787</c:v>
                </c:pt>
                <c:pt idx="130">
                  <c:v>39794</c:v>
                </c:pt>
                <c:pt idx="131">
                  <c:v>39801</c:v>
                </c:pt>
                <c:pt idx="132">
                  <c:v>39808</c:v>
                </c:pt>
                <c:pt idx="133">
                  <c:v>39815</c:v>
                </c:pt>
                <c:pt idx="134">
                  <c:v>39822</c:v>
                </c:pt>
                <c:pt idx="135">
                  <c:v>39829</c:v>
                </c:pt>
                <c:pt idx="136">
                  <c:v>39836</c:v>
                </c:pt>
                <c:pt idx="137">
                  <c:v>39843</c:v>
                </c:pt>
                <c:pt idx="138">
                  <c:v>39850</c:v>
                </c:pt>
                <c:pt idx="139">
                  <c:v>39857</c:v>
                </c:pt>
                <c:pt idx="140">
                  <c:v>39864</c:v>
                </c:pt>
                <c:pt idx="141">
                  <c:v>39871</c:v>
                </c:pt>
                <c:pt idx="142">
                  <c:v>39878</c:v>
                </c:pt>
                <c:pt idx="143">
                  <c:v>39885</c:v>
                </c:pt>
                <c:pt idx="144">
                  <c:v>39892</c:v>
                </c:pt>
                <c:pt idx="145">
                  <c:v>39899</c:v>
                </c:pt>
                <c:pt idx="146">
                  <c:v>39906</c:v>
                </c:pt>
                <c:pt idx="147">
                  <c:v>39913</c:v>
                </c:pt>
                <c:pt idx="148">
                  <c:v>39920</c:v>
                </c:pt>
                <c:pt idx="149">
                  <c:v>39927</c:v>
                </c:pt>
                <c:pt idx="150">
                  <c:v>39934</c:v>
                </c:pt>
                <c:pt idx="151">
                  <c:v>39941</c:v>
                </c:pt>
                <c:pt idx="152">
                  <c:v>39948</c:v>
                </c:pt>
                <c:pt idx="153">
                  <c:v>39955</c:v>
                </c:pt>
                <c:pt idx="154">
                  <c:v>39962</c:v>
                </c:pt>
                <c:pt idx="155">
                  <c:v>39969</c:v>
                </c:pt>
                <c:pt idx="156">
                  <c:v>39976</c:v>
                </c:pt>
                <c:pt idx="157">
                  <c:v>39983</c:v>
                </c:pt>
                <c:pt idx="158">
                  <c:v>39990</c:v>
                </c:pt>
                <c:pt idx="159">
                  <c:v>39997</c:v>
                </c:pt>
                <c:pt idx="160">
                  <c:v>40004</c:v>
                </c:pt>
                <c:pt idx="161">
                  <c:v>40011</c:v>
                </c:pt>
                <c:pt idx="162">
                  <c:v>40018</c:v>
                </c:pt>
                <c:pt idx="163">
                  <c:v>40025</c:v>
                </c:pt>
                <c:pt idx="164">
                  <c:v>40032</c:v>
                </c:pt>
                <c:pt idx="165">
                  <c:v>40039</c:v>
                </c:pt>
                <c:pt idx="166">
                  <c:v>40046</c:v>
                </c:pt>
                <c:pt idx="167">
                  <c:v>40053</c:v>
                </c:pt>
                <c:pt idx="168">
                  <c:v>40060</c:v>
                </c:pt>
                <c:pt idx="169">
                  <c:v>40067</c:v>
                </c:pt>
                <c:pt idx="170">
                  <c:v>40074</c:v>
                </c:pt>
                <c:pt idx="171">
                  <c:v>40081</c:v>
                </c:pt>
                <c:pt idx="172">
                  <c:v>40088</c:v>
                </c:pt>
                <c:pt idx="173">
                  <c:v>40095</c:v>
                </c:pt>
                <c:pt idx="174">
                  <c:v>40102</c:v>
                </c:pt>
                <c:pt idx="175">
                  <c:v>40109</c:v>
                </c:pt>
                <c:pt idx="176">
                  <c:v>40116</c:v>
                </c:pt>
                <c:pt idx="177">
                  <c:v>40123</c:v>
                </c:pt>
                <c:pt idx="178">
                  <c:v>40130</c:v>
                </c:pt>
                <c:pt idx="179">
                  <c:v>40137</c:v>
                </c:pt>
                <c:pt idx="180">
                  <c:v>40144</c:v>
                </c:pt>
                <c:pt idx="181">
                  <c:v>40151</c:v>
                </c:pt>
                <c:pt idx="182">
                  <c:v>40158</c:v>
                </c:pt>
                <c:pt idx="183">
                  <c:v>40165</c:v>
                </c:pt>
                <c:pt idx="184">
                  <c:v>40172</c:v>
                </c:pt>
                <c:pt idx="185">
                  <c:v>40179</c:v>
                </c:pt>
                <c:pt idx="186">
                  <c:v>40186</c:v>
                </c:pt>
                <c:pt idx="187">
                  <c:v>40193</c:v>
                </c:pt>
                <c:pt idx="188">
                  <c:v>40200</c:v>
                </c:pt>
                <c:pt idx="189">
                  <c:v>40207</c:v>
                </c:pt>
                <c:pt idx="190">
                  <c:v>40214</c:v>
                </c:pt>
                <c:pt idx="191">
                  <c:v>40221</c:v>
                </c:pt>
                <c:pt idx="192">
                  <c:v>40228</c:v>
                </c:pt>
                <c:pt idx="193">
                  <c:v>40235</c:v>
                </c:pt>
                <c:pt idx="194">
                  <c:v>40242</c:v>
                </c:pt>
                <c:pt idx="195">
                  <c:v>40249</c:v>
                </c:pt>
                <c:pt idx="196">
                  <c:v>40256</c:v>
                </c:pt>
                <c:pt idx="197">
                  <c:v>40263</c:v>
                </c:pt>
                <c:pt idx="198">
                  <c:v>40270</c:v>
                </c:pt>
                <c:pt idx="199">
                  <c:v>40277</c:v>
                </c:pt>
                <c:pt idx="200">
                  <c:v>40284</c:v>
                </c:pt>
                <c:pt idx="201">
                  <c:v>40291</c:v>
                </c:pt>
                <c:pt idx="202">
                  <c:v>40298</c:v>
                </c:pt>
                <c:pt idx="203">
                  <c:v>40305</c:v>
                </c:pt>
                <c:pt idx="204">
                  <c:v>40312</c:v>
                </c:pt>
                <c:pt idx="205">
                  <c:v>40319</c:v>
                </c:pt>
                <c:pt idx="206">
                  <c:v>40326</c:v>
                </c:pt>
                <c:pt idx="207">
                  <c:v>40333</c:v>
                </c:pt>
                <c:pt idx="208">
                  <c:v>40340</c:v>
                </c:pt>
                <c:pt idx="209">
                  <c:v>40347</c:v>
                </c:pt>
                <c:pt idx="210">
                  <c:v>40354</c:v>
                </c:pt>
                <c:pt idx="211">
                  <c:v>40361</c:v>
                </c:pt>
                <c:pt idx="212">
                  <c:v>40368</c:v>
                </c:pt>
                <c:pt idx="213">
                  <c:v>40375</c:v>
                </c:pt>
                <c:pt idx="214">
                  <c:v>40382</c:v>
                </c:pt>
                <c:pt idx="215">
                  <c:v>40389</c:v>
                </c:pt>
                <c:pt idx="216">
                  <c:v>40396</c:v>
                </c:pt>
                <c:pt idx="217">
                  <c:v>40403</c:v>
                </c:pt>
                <c:pt idx="218">
                  <c:v>40410</c:v>
                </c:pt>
                <c:pt idx="219">
                  <c:v>40417</c:v>
                </c:pt>
                <c:pt idx="220">
                  <c:v>40424</c:v>
                </c:pt>
                <c:pt idx="221">
                  <c:v>40431</c:v>
                </c:pt>
                <c:pt idx="222">
                  <c:v>40438</c:v>
                </c:pt>
                <c:pt idx="223">
                  <c:v>40445</c:v>
                </c:pt>
                <c:pt idx="224">
                  <c:v>40452</c:v>
                </c:pt>
                <c:pt idx="225">
                  <c:v>40459</c:v>
                </c:pt>
                <c:pt idx="226">
                  <c:v>40466</c:v>
                </c:pt>
                <c:pt idx="227">
                  <c:v>40473</c:v>
                </c:pt>
                <c:pt idx="228">
                  <c:v>40480</c:v>
                </c:pt>
                <c:pt idx="229">
                  <c:v>40487</c:v>
                </c:pt>
                <c:pt idx="230">
                  <c:v>40494</c:v>
                </c:pt>
                <c:pt idx="231">
                  <c:v>40501</c:v>
                </c:pt>
                <c:pt idx="232">
                  <c:v>40508</c:v>
                </c:pt>
                <c:pt idx="233">
                  <c:v>40515</c:v>
                </c:pt>
                <c:pt idx="234">
                  <c:v>40522</c:v>
                </c:pt>
                <c:pt idx="235">
                  <c:v>40529</c:v>
                </c:pt>
                <c:pt idx="236">
                  <c:v>40536</c:v>
                </c:pt>
                <c:pt idx="237">
                  <c:v>40543</c:v>
                </c:pt>
                <c:pt idx="238">
                  <c:v>40550</c:v>
                </c:pt>
                <c:pt idx="239">
                  <c:v>40557</c:v>
                </c:pt>
                <c:pt idx="240">
                  <c:v>40564</c:v>
                </c:pt>
                <c:pt idx="241">
                  <c:v>40571</c:v>
                </c:pt>
                <c:pt idx="242">
                  <c:v>40578</c:v>
                </c:pt>
                <c:pt idx="243">
                  <c:v>40585</c:v>
                </c:pt>
                <c:pt idx="244">
                  <c:v>40592</c:v>
                </c:pt>
                <c:pt idx="245">
                  <c:v>40599</c:v>
                </c:pt>
                <c:pt idx="246">
                  <c:v>40606</c:v>
                </c:pt>
                <c:pt idx="247">
                  <c:v>40613</c:v>
                </c:pt>
                <c:pt idx="248">
                  <c:v>40620</c:v>
                </c:pt>
                <c:pt idx="249">
                  <c:v>40627</c:v>
                </c:pt>
                <c:pt idx="250">
                  <c:v>40634</c:v>
                </c:pt>
                <c:pt idx="251">
                  <c:v>40641</c:v>
                </c:pt>
                <c:pt idx="252">
                  <c:v>40648</c:v>
                </c:pt>
                <c:pt idx="253">
                  <c:v>40655</c:v>
                </c:pt>
                <c:pt idx="254">
                  <c:v>40662</c:v>
                </c:pt>
                <c:pt idx="255">
                  <c:v>40669</c:v>
                </c:pt>
                <c:pt idx="256">
                  <c:v>40676</c:v>
                </c:pt>
                <c:pt idx="257">
                  <c:v>40683</c:v>
                </c:pt>
                <c:pt idx="258">
                  <c:v>40690</c:v>
                </c:pt>
                <c:pt idx="259">
                  <c:v>40697</c:v>
                </c:pt>
                <c:pt idx="260">
                  <c:v>40704</c:v>
                </c:pt>
                <c:pt idx="261">
                  <c:v>40711</c:v>
                </c:pt>
                <c:pt idx="262">
                  <c:v>40718</c:v>
                </c:pt>
                <c:pt idx="263">
                  <c:v>40725</c:v>
                </c:pt>
                <c:pt idx="264">
                  <c:v>40732</c:v>
                </c:pt>
                <c:pt idx="265">
                  <c:v>40739</c:v>
                </c:pt>
                <c:pt idx="266">
                  <c:v>40746</c:v>
                </c:pt>
                <c:pt idx="267">
                  <c:v>40753</c:v>
                </c:pt>
                <c:pt idx="268">
                  <c:v>40760</c:v>
                </c:pt>
                <c:pt idx="269">
                  <c:v>40767</c:v>
                </c:pt>
                <c:pt idx="270">
                  <c:v>40774</c:v>
                </c:pt>
                <c:pt idx="271">
                  <c:v>40781</c:v>
                </c:pt>
                <c:pt idx="272">
                  <c:v>40788</c:v>
                </c:pt>
                <c:pt idx="273">
                  <c:v>40795</c:v>
                </c:pt>
                <c:pt idx="274">
                  <c:v>40802</c:v>
                </c:pt>
                <c:pt idx="275">
                  <c:v>40809</c:v>
                </c:pt>
                <c:pt idx="276">
                  <c:v>40816</c:v>
                </c:pt>
                <c:pt idx="277">
                  <c:v>40823</c:v>
                </c:pt>
                <c:pt idx="278">
                  <c:v>40830</c:v>
                </c:pt>
                <c:pt idx="279">
                  <c:v>40837</c:v>
                </c:pt>
                <c:pt idx="280">
                  <c:v>40844</c:v>
                </c:pt>
                <c:pt idx="281">
                  <c:v>40851</c:v>
                </c:pt>
                <c:pt idx="282">
                  <c:v>40858</c:v>
                </c:pt>
                <c:pt idx="283">
                  <c:v>40865</c:v>
                </c:pt>
                <c:pt idx="284">
                  <c:v>40872</c:v>
                </c:pt>
                <c:pt idx="285">
                  <c:v>40879</c:v>
                </c:pt>
                <c:pt idx="286">
                  <c:v>40886</c:v>
                </c:pt>
                <c:pt idx="287">
                  <c:v>40893</c:v>
                </c:pt>
                <c:pt idx="288">
                  <c:v>40900</c:v>
                </c:pt>
                <c:pt idx="289">
                  <c:v>40907</c:v>
                </c:pt>
                <c:pt idx="290">
                  <c:v>40914</c:v>
                </c:pt>
                <c:pt idx="291">
                  <c:v>40921</c:v>
                </c:pt>
                <c:pt idx="292">
                  <c:v>40928</c:v>
                </c:pt>
                <c:pt idx="293">
                  <c:v>40935</c:v>
                </c:pt>
                <c:pt idx="294">
                  <c:v>40942</c:v>
                </c:pt>
                <c:pt idx="295">
                  <c:v>40949</c:v>
                </c:pt>
                <c:pt idx="296">
                  <c:v>40956</c:v>
                </c:pt>
                <c:pt idx="297">
                  <c:v>40963</c:v>
                </c:pt>
                <c:pt idx="298">
                  <c:v>40970</c:v>
                </c:pt>
                <c:pt idx="299">
                  <c:v>40977</c:v>
                </c:pt>
                <c:pt idx="300">
                  <c:v>40984</c:v>
                </c:pt>
                <c:pt idx="301">
                  <c:v>40991</c:v>
                </c:pt>
                <c:pt idx="302">
                  <c:v>40998</c:v>
                </c:pt>
                <c:pt idx="303">
                  <c:v>41005</c:v>
                </c:pt>
                <c:pt idx="304">
                  <c:v>41012</c:v>
                </c:pt>
                <c:pt idx="305">
                  <c:v>41019</c:v>
                </c:pt>
                <c:pt idx="306">
                  <c:v>41026</c:v>
                </c:pt>
                <c:pt idx="307">
                  <c:v>41033</c:v>
                </c:pt>
                <c:pt idx="308">
                  <c:v>41040</c:v>
                </c:pt>
                <c:pt idx="309">
                  <c:v>41047</c:v>
                </c:pt>
                <c:pt idx="310">
                  <c:v>41054</c:v>
                </c:pt>
                <c:pt idx="311">
                  <c:v>41061</c:v>
                </c:pt>
                <c:pt idx="312">
                  <c:v>41068</c:v>
                </c:pt>
                <c:pt idx="313">
                  <c:v>41075</c:v>
                </c:pt>
                <c:pt idx="314">
                  <c:v>41082</c:v>
                </c:pt>
                <c:pt idx="315">
                  <c:v>41089</c:v>
                </c:pt>
                <c:pt idx="316">
                  <c:v>41096</c:v>
                </c:pt>
                <c:pt idx="317">
                  <c:v>41103</c:v>
                </c:pt>
                <c:pt idx="318">
                  <c:v>41110</c:v>
                </c:pt>
                <c:pt idx="319">
                  <c:v>41117</c:v>
                </c:pt>
                <c:pt idx="320">
                  <c:v>41124</c:v>
                </c:pt>
                <c:pt idx="321">
                  <c:v>41131</c:v>
                </c:pt>
                <c:pt idx="322">
                  <c:v>41138</c:v>
                </c:pt>
                <c:pt idx="323">
                  <c:v>41145</c:v>
                </c:pt>
                <c:pt idx="324">
                  <c:v>41152</c:v>
                </c:pt>
                <c:pt idx="325">
                  <c:v>41159</c:v>
                </c:pt>
                <c:pt idx="326">
                  <c:v>41166</c:v>
                </c:pt>
                <c:pt idx="327">
                  <c:v>41173</c:v>
                </c:pt>
                <c:pt idx="328">
                  <c:v>41180</c:v>
                </c:pt>
                <c:pt idx="329">
                  <c:v>41187</c:v>
                </c:pt>
                <c:pt idx="330">
                  <c:v>41194</c:v>
                </c:pt>
                <c:pt idx="331">
                  <c:v>41201</c:v>
                </c:pt>
                <c:pt idx="332">
                  <c:v>41208</c:v>
                </c:pt>
                <c:pt idx="333">
                  <c:v>41215</c:v>
                </c:pt>
                <c:pt idx="334">
                  <c:v>41222</c:v>
                </c:pt>
                <c:pt idx="335">
                  <c:v>41229</c:v>
                </c:pt>
                <c:pt idx="336">
                  <c:v>41236</c:v>
                </c:pt>
                <c:pt idx="337">
                  <c:v>41243</c:v>
                </c:pt>
                <c:pt idx="338">
                  <c:v>41250</c:v>
                </c:pt>
                <c:pt idx="339">
                  <c:v>41257</c:v>
                </c:pt>
                <c:pt idx="340">
                  <c:v>41264</c:v>
                </c:pt>
                <c:pt idx="341">
                  <c:v>41271</c:v>
                </c:pt>
                <c:pt idx="342">
                  <c:v>41278</c:v>
                </c:pt>
                <c:pt idx="343">
                  <c:v>41285</c:v>
                </c:pt>
                <c:pt idx="344">
                  <c:v>41292</c:v>
                </c:pt>
                <c:pt idx="345">
                  <c:v>41299</c:v>
                </c:pt>
                <c:pt idx="346">
                  <c:v>41306</c:v>
                </c:pt>
                <c:pt idx="347">
                  <c:v>41313</c:v>
                </c:pt>
                <c:pt idx="348">
                  <c:v>41320</c:v>
                </c:pt>
                <c:pt idx="349">
                  <c:v>41327</c:v>
                </c:pt>
                <c:pt idx="350">
                  <c:v>41334</c:v>
                </c:pt>
                <c:pt idx="351">
                  <c:v>41341</c:v>
                </c:pt>
                <c:pt idx="352">
                  <c:v>41348</c:v>
                </c:pt>
                <c:pt idx="353">
                  <c:v>41355</c:v>
                </c:pt>
                <c:pt idx="354">
                  <c:v>41362</c:v>
                </c:pt>
                <c:pt idx="355">
                  <c:v>41369</c:v>
                </c:pt>
                <c:pt idx="356">
                  <c:v>41376</c:v>
                </c:pt>
                <c:pt idx="357">
                  <c:v>41383</c:v>
                </c:pt>
                <c:pt idx="358">
                  <c:v>41390</c:v>
                </c:pt>
                <c:pt idx="359">
                  <c:v>41397</c:v>
                </c:pt>
                <c:pt idx="360">
                  <c:v>41404</c:v>
                </c:pt>
                <c:pt idx="361">
                  <c:v>41411</c:v>
                </c:pt>
                <c:pt idx="362">
                  <c:v>41418</c:v>
                </c:pt>
                <c:pt idx="363">
                  <c:v>41425</c:v>
                </c:pt>
                <c:pt idx="364">
                  <c:v>41432</c:v>
                </c:pt>
                <c:pt idx="365">
                  <c:v>41439</c:v>
                </c:pt>
                <c:pt idx="366">
                  <c:v>41446</c:v>
                </c:pt>
                <c:pt idx="367">
                  <c:v>41453</c:v>
                </c:pt>
                <c:pt idx="368">
                  <c:v>41460</c:v>
                </c:pt>
                <c:pt idx="369">
                  <c:v>41467</c:v>
                </c:pt>
                <c:pt idx="370">
                  <c:v>41474</c:v>
                </c:pt>
                <c:pt idx="371">
                  <c:v>41481</c:v>
                </c:pt>
                <c:pt idx="372">
                  <c:v>41488</c:v>
                </c:pt>
                <c:pt idx="373">
                  <c:v>41495</c:v>
                </c:pt>
                <c:pt idx="374">
                  <c:v>41502</c:v>
                </c:pt>
                <c:pt idx="375">
                  <c:v>41509</c:v>
                </c:pt>
                <c:pt idx="376">
                  <c:v>41516</c:v>
                </c:pt>
                <c:pt idx="377">
                  <c:v>41523</c:v>
                </c:pt>
                <c:pt idx="378">
                  <c:v>41530</c:v>
                </c:pt>
                <c:pt idx="379">
                  <c:v>41537</c:v>
                </c:pt>
                <c:pt idx="380">
                  <c:v>41544</c:v>
                </c:pt>
                <c:pt idx="381">
                  <c:v>41551</c:v>
                </c:pt>
                <c:pt idx="382">
                  <c:v>41558</c:v>
                </c:pt>
                <c:pt idx="383">
                  <c:v>41565</c:v>
                </c:pt>
                <c:pt idx="384">
                  <c:v>41572</c:v>
                </c:pt>
                <c:pt idx="385">
                  <c:v>41579</c:v>
                </c:pt>
                <c:pt idx="386">
                  <c:v>41586</c:v>
                </c:pt>
                <c:pt idx="387">
                  <c:v>41593</c:v>
                </c:pt>
                <c:pt idx="388">
                  <c:v>41600</c:v>
                </c:pt>
                <c:pt idx="389">
                  <c:v>41607</c:v>
                </c:pt>
                <c:pt idx="390">
                  <c:v>41614</c:v>
                </c:pt>
                <c:pt idx="391">
                  <c:v>41621</c:v>
                </c:pt>
                <c:pt idx="392">
                  <c:v>41628</c:v>
                </c:pt>
                <c:pt idx="393">
                  <c:v>41635</c:v>
                </c:pt>
                <c:pt idx="394">
                  <c:v>41642</c:v>
                </c:pt>
                <c:pt idx="395">
                  <c:v>41649</c:v>
                </c:pt>
                <c:pt idx="396">
                  <c:v>41656</c:v>
                </c:pt>
                <c:pt idx="397">
                  <c:v>41663</c:v>
                </c:pt>
                <c:pt idx="398">
                  <c:v>41670</c:v>
                </c:pt>
                <c:pt idx="399">
                  <c:v>41677</c:v>
                </c:pt>
                <c:pt idx="400">
                  <c:v>41684</c:v>
                </c:pt>
                <c:pt idx="401">
                  <c:v>41691</c:v>
                </c:pt>
                <c:pt idx="402">
                  <c:v>41698</c:v>
                </c:pt>
                <c:pt idx="403">
                  <c:v>41705</c:v>
                </c:pt>
                <c:pt idx="404">
                  <c:v>41712</c:v>
                </c:pt>
                <c:pt idx="405">
                  <c:v>41719</c:v>
                </c:pt>
                <c:pt idx="406">
                  <c:v>41726</c:v>
                </c:pt>
                <c:pt idx="407">
                  <c:v>41733</c:v>
                </c:pt>
                <c:pt idx="408">
                  <c:v>41740</c:v>
                </c:pt>
                <c:pt idx="409">
                  <c:v>41747</c:v>
                </c:pt>
                <c:pt idx="410">
                  <c:v>41754</c:v>
                </c:pt>
                <c:pt idx="411">
                  <c:v>41761</c:v>
                </c:pt>
                <c:pt idx="412">
                  <c:v>41768</c:v>
                </c:pt>
                <c:pt idx="413">
                  <c:v>41775</c:v>
                </c:pt>
                <c:pt idx="414">
                  <c:v>41782</c:v>
                </c:pt>
                <c:pt idx="415">
                  <c:v>41789</c:v>
                </c:pt>
                <c:pt idx="416">
                  <c:v>41796</c:v>
                </c:pt>
                <c:pt idx="417">
                  <c:v>41803</c:v>
                </c:pt>
                <c:pt idx="418">
                  <c:v>41810</c:v>
                </c:pt>
                <c:pt idx="419">
                  <c:v>41817</c:v>
                </c:pt>
                <c:pt idx="420">
                  <c:v>41824</c:v>
                </c:pt>
                <c:pt idx="421">
                  <c:v>41831</c:v>
                </c:pt>
                <c:pt idx="422">
                  <c:v>41838</c:v>
                </c:pt>
                <c:pt idx="423">
                  <c:v>41845</c:v>
                </c:pt>
                <c:pt idx="424">
                  <c:v>41852</c:v>
                </c:pt>
                <c:pt idx="425">
                  <c:v>41859</c:v>
                </c:pt>
                <c:pt idx="426">
                  <c:v>41866</c:v>
                </c:pt>
                <c:pt idx="427">
                  <c:v>41873</c:v>
                </c:pt>
                <c:pt idx="428">
                  <c:v>41880</c:v>
                </c:pt>
                <c:pt idx="429">
                  <c:v>41887</c:v>
                </c:pt>
                <c:pt idx="430">
                  <c:v>41894</c:v>
                </c:pt>
                <c:pt idx="431">
                  <c:v>41901</c:v>
                </c:pt>
                <c:pt idx="432">
                  <c:v>41908</c:v>
                </c:pt>
                <c:pt idx="433">
                  <c:v>41915</c:v>
                </c:pt>
                <c:pt idx="434">
                  <c:v>41922</c:v>
                </c:pt>
                <c:pt idx="435">
                  <c:v>41929</c:v>
                </c:pt>
                <c:pt idx="436">
                  <c:v>41936</c:v>
                </c:pt>
                <c:pt idx="437">
                  <c:v>41943</c:v>
                </c:pt>
                <c:pt idx="438">
                  <c:v>41950</c:v>
                </c:pt>
                <c:pt idx="439">
                  <c:v>41957</c:v>
                </c:pt>
                <c:pt idx="440">
                  <c:v>41964</c:v>
                </c:pt>
                <c:pt idx="441">
                  <c:v>41971</c:v>
                </c:pt>
                <c:pt idx="442">
                  <c:v>41978</c:v>
                </c:pt>
                <c:pt idx="443">
                  <c:v>41985</c:v>
                </c:pt>
                <c:pt idx="444">
                  <c:v>41992</c:v>
                </c:pt>
                <c:pt idx="445">
                  <c:v>41999</c:v>
                </c:pt>
                <c:pt idx="446">
                  <c:v>42006</c:v>
                </c:pt>
                <c:pt idx="447">
                  <c:v>42013</c:v>
                </c:pt>
                <c:pt idx="448">
                  <c:v>42020</c:v>
                </c:pt>
                <c:pt idx="449">
                  <c:v>42027</c:v>
                </c:pt>
                <c:pt idx="450">
                  <c:v>42034</c:v>
                </c:pt>
                <c:pt idx="451">
                  <c:v>42041</c:v>
                </c:pt>
                <c:pt idx="452">
                  <c:v>42048</c:v>
                </c:pt>
                <c:pt idx="453">
                  <c:v>42055</c:v>
                </c:pt>
                <c:pt idx="454">
                  <c:v>42062</c:v>
                </c:pt>
                <c:pt idx="455">
                  <c:v>42069</c:v>
                </c:pt>
                <c:pt idx="456">
                  <c:v>42076</c:v>
                </c:pt>
                <c:pt idx="457">
                  <c:v>42083</c:v>
                </c:pt>
                <c:pt idx="458">
                  <c:v>42090</c:v>
                </c:pt>
                <c:pt idx="459">
                  <c:v>42097</c:v>
                </c:pt>
                <c:pt idx="460">
                  <c:v>42104</c:v>
                </c:pt>
                <c:pt idx="461">
                  <c:v>42111</c:v>
                </c:pt>
                <c:pt idx="462">
                  <c:v>42118</c:v>
                </c:pt>
                <c:pt idx="463">
                  <c:v>42125</c:v>
                </c:pt>
                <c:pt idx="464">
                  <c:v>42132</c:v>
                </c:pt>
                <c:pt idx="465">
                  <c:v>42139</c:v>
                </c:pt>
                <c:pt idx="466">
                  <c:v>42146</c:v>
                </c:pt>
                <c:pt idx="467">
                  <c:v>42153</c:v>
                </c:pt>
                <c:pt idx="468">
                  <c:v>42160</c:v>
                </c:pt>
                <c:pt idx="469">
                  <c:v>42167</c:v>
                </c:pt>
                <c:pt idx="470">
                  <c:v>42174</c:v>
                </c:pt>
                <c:pt idx="471">
                  <c:v>42181</c:v>
                </c:pt>
                <c:pt idx="472">
                  <c:v>42188</c:v>
                </c:pt>
                <c:pt idx="473">
                  <c:v>42195</c:v>
                </c:pt>
                <c:pt idx="474">
                  <c:v>42202</c:v>
                </c:pt>
                <c:pt idx="475">
                  <c:v>42209</c:v>
                </c:pt>
                <c:pt idx="476">
                  <c:v>42216</c:v>
                </c:pt>
                <c:pt idx="477">
                  <c:v>42223</c:v>
                </c:pt>
                <c:pt idx="478">
                  <c:v>42230</c:v>
                </c:pt>
                <c:pt idx="479">
                  <c:v>42237</c:v>
                </c:pt>
                <c:pt idx="480">
                  <c:v>42244</c:v>
                </c:pt>
                <c:pt idx="481">
                  <c:v>42251</c:v>
                </c:pt>
                <c:pt idx="482">
                  <c:v>42258</c:v>
                </c:pt>
                <c:pt idx="483">
                  <c:v>42265</c:v>
                </c:pt>
                <c:pt idx="484">
                  <c:v>42272</c:v>
                </c:pt>
                <c:pt idx="485">
                  <c:v>42279</c:v>
                </c:pt>
                <c:pt idx="486">
                  <c:v>42286</c:v>
                </c:pt>
                <c:pt idx="487">
                  <c:v>42293</c:v>
                </c:pt>
                <c:pt idx="488">
                  <c:v>42300</c:v>
                </c:pt>
                <c:pt idx="489">
                  <c:v>42307</c:v>
                </c:pt>
                <c:pt idx="490">
                  <c:v>42314</c:v>
                </c:pt>
                <c:pt idx="491">
                  <c:v>42321</c:v>
                </c:pt>
                <c:pt idx="492">
                  <c:v>42328</c:v>
                </c:pt>
                <c:pt idx="493">
                  <c:v>42335</c:v>
                </c:pt>
                <c:pt idx="494">
                  <c:v>42342</c:v>
                </c:pt>
                <c:pt idx="495">
                  <c:v>42349</c:v>
                </c:pt>
                <c:pt idx="496">
                  <c:v>42356</c:v>
                </c:pt>
                <c:pt idx="497">
                  <c:v>42363</c:v>
                </c:pt>
                <c:pt idx="498">
                  <c:v>42370</c:v>
                </c:pt>
                <c:pt idx="499">
                  <c:v>42377</c:v>
                </c:pt>
                <c:pt idx="500">
                  <c:v>42384</c:v>
                </c:pt>
                <c:pt idx="501">
                  <c:v>42391</c:v>
                </c:pt>
                <c:pt idx="502">
                  <c:v>42398</c:v>
                </c:pt>
                <c:pt idx="503">
                  <c:v>42405</c:v>
                </c:pt>
                <c:pt idx="504">
                  <c:v>42412</c:v>
                </c:pt>
                <c:pt idx="505">
                  <c:v>42419</c:v>
                </c:pt>
                <c:pt idx="506">
                  <c:v>42426</c:v>
                </c:pt>
                <c:pt idx="507">
                  <c:v>42433</c:v>
                </c:pt>
                <c:pt idx="508">
                  <c:v>42440</c:v>
                </c:pt>
                <c:pt idx="509">
                  <c:v>42447</c:v>
                </c:pt>
                <c:pt idx="510">
                  <c:v>42454</c:v>
                </c:pt>
                <c:pt idx="511">
                  <c:v>42461</c:v>
                </c:pt>
                <c:pt idx="512">
                  <c:v>42468</c:v>
                </c:pt>
                <c:pt idx="513">
                  <c:v>42475</c:v>
                </c:pt>
                <c:pt idx="514">
                  <c:v>42482</c:v>
                </c:pt>
                <c:pt idx="515">
                  <c:v>42489</c:v>
                </c:pt>
                <c:pt idx="516">
                  <c:v>42496</c:v>
                </c:pt>
                <c:pt idx="517">
                  <c:v>42503</c:v>
                </c:pt>
                <c:pt idx="518">
                  <c:v>42510</c:v>
                </c:pt>
                <c:pt idx="519">
                  <c:v>42517</c:v>
                </c:pt>
                <c:pt idx="520">
                  <c:v>42524</c:v>
                </c:pt>
                <c:pt idx="521">
                  <c:v>42531</c:v>
                </c:pt>
                <c:pt idx="522">
                  <c:v>42538</c:v>
                </c:pt>
                <c:pt idx="523">
                  <c:v>42545</c:v>
                </c:pt>
                <c:pt idx="524">
                  <c:v>42552</c:v>
                </c:pt>
                <c:pt idx="525">
                  <c:v>42559</c:v>
                </c:pt>
                <c:pt idx="526">
                  <c:v>42566</c:v>
                </c:pt>
                <c:pt idx="527">
                  <c:v>42573</c:v>
                </c:pt>
                <c:pt idx="528">
                  <c:v>42580</c:v>
                </c:pt>
                <c:pt idx="529">
                  <c:v>42587</c:v>
                </c:pt>
                <c:pt idx="530">
                  <c:v>42594</c:v>
                </c:pt>
                <c:pt idx="531">
                  <c:v>42601</c:v>
                </c:pt>
                <c:pt idx="532">
                  <c:v>42608</c:v>
                </c:pt>
                <c:pt idx="533">
                  <c:v>42615</c:v>
                </c:pt>
                <c:pt idx="534">
                  <c:v>42622</c:v>
                </c:pt>
                <c:pt idx="535">
                  <c:v>42629</c:v>
                </c:pt>
                <c:pt idx="536">
                  <c:v>42636</c:v>
                </c:pt>
                <c:pt idx="537">
                  <c:v>42643</c:v>
                </c:pt>
                <c:pt idx="538">
                  <c:v>42650</c:v>
                </c:pt>
                <c:pt idx="539">
                  <c:v>42657</c:v>
                </c:pt>
                <c:pt idx="540">
                  <c:v>42664</c:v>
                </c:pt>
                <c:pt idx="541">
                  <c:v>42671</c:v>
                </c:pt>
                <c:pt idx="542">
                  <c:v>42678</c:v>
                </c:pt>
                <c:pt idx="543">
                  <c:v>42685</c:v>
                </c:pt>
                <c:pt idx="544">
                  <c:v>42692</c:v>
                </c:pt>
                <c:pt idx="545">
                  <c:v>42699</c:v>
                </c:pt>
                <c:pt idx="546">
                  <c:v>42706</c:v>
                </c:pt>
                <c:pt idx="547">
                  <c:v>42713</c:v>
                </c:pt>
                <c:pt idx="548">
                  <c:v>42720</c:v>
                </c:pt>
                <c:pt idx="549">
                  <c:v>42727</c:v>
                </c:pt>
                <c:pt idx="550">
                  <c:v>42734</c:v>
                </c:pt>
                <c:pt idx="551">
                  <c:v>42741</c:v>
                </c:pt>
                <c:pt idx="552">
                  <c:v>42748</c:v>
                </c:pt>
                <c:pt idx="553">
                  <c:v>42755</c:v>
                </c:pt>
                <c:pt idx="554">
                  <c:v>42762</c:v>
                </c:pt>
                <c:pt idx="555">
                  <c:v>42769</c:v>
                </c:pt>
                <c:pt idx="556">
                  <c:v>42776</c:v>
                </c:pt>
                <c:pt idx="557">
                  <c:v>42783</c:v>
                </c:pt>
                <c:pt idx="558">
                  <c:v>42790</c:v>
                </c:pt>
                <c:pt idx="559">
                  <c:v>42797</c:v>
                </c:pt>
                <c:pt idx="560">
                  <c:v>42804</c:v>
                </c:pt>
                <c:pt idx="561">
                  <c:v>42811</c:v>
                </c:pt>
                <c:pt idx="562">
                  <c:v>42818</c:v>
                </c:pt>
                <c:pt idx="563">
                  <c:v>42825</c:v>
                </c:pt>
                <c:pt idx="564">
                  <c:v>42832</c:v>
                </c:pt>
                <c:pt idx="565">
                  <c:v>42839</c:v>
                </c:pt>
                <c:pt idx="566">
                  <c:v>42846</c:v>
                </c:pt>
                <c:pt idx="567">
                  <c:v>42853</c:v>
                </c:pt>
                <c:pt idx="568">
                  <c:v>42860</c:v>
                </c:pt>
                <c:pt idx="569">
                  <c:v>42867</c:v>
                </c:pt>
                <c:pt idx="570">
                  <c:v>42874</c:v>
                </c:pt>
                <c:pt idx="571">
                  <c:v>42881</c:v>
                </c:pt>
                <c:pt idx="572">
                  <c:v>42888</c:v>
                </c:pt>
                <c:pt idx="573">
                  <c:v>42895</c:v>
                </c:pt>
                <c:pt idx="574">
                  <c:v>42902</c:v>
                </c:pt>
                <c:pt idx="575">
                  <c:v>42909</c:v>
                </c:pt>
                <c:pt idx="576">
                  <c:v>42916</c:v>
                </c:pt>
                <c:pt idx="577">
                  <c:v>42923</c:v>
                </c:pt>
                <c:pt idx="578">
                  <c:v>42930</c:v>
                </c:pt>
                <c:pt idx="579">
                  <c:v>42937</c:v>
                </c:pt>
                <c:pt idx="580">
                  <c:v>42944</c:v>
                </c:pt>
                <c:pt idx="581">
                  <c:v>42951</c:v>
                </c:pt>
                <c:pt idx="582">
                  <c:v>42958</c:v>
                </c:pt>
                <c:pt idx="583">
                  <c:v>42965</c:v>
                </c:pt>
                <c:pt idx="584">
                  <c:v>42972</c:v>
                </c:pt>
                <c:pt idx="585">
                  <c:v>42979</c:v>
                </c:pt>
                <c:pt idx="586">
                  <c:v>42986</c:v>
                </c:pt>
                <c:pt idx="587">
                  <c:v>42993</c:v>
                </c:pt>
                <c:pt idx="588">
                  <c:v>43000</c:v>
                </c:pt>
                <c:pt idx="589">
                  <c:v>43007</c:v>
                </c:pt>
                <c:pt idx="590">
                  <c:v>43014</c:v>
                </c:pt>
                <c:pt idx="591">
                  <c:v>43021</c:v>
                </c:pt>
                <c:pt idx="592">
                  <c:v>43028</c:v>
                </c:pt>
                <c:pt idx="593">
                  <c:v>43035</c:v>
                </c:pt>
                <c:pt idx="594">
                  <c:v>43042</c:v>
                </c:pt>
                <c:pt idx="595">
                  <c:v>43049</c:v>
                </c:pt>
                <c:pt idx="596">
                  <c:v>43056</c:v>
                </c:pt>
                <c:pt idx="597">
                  <c:v>43063</c:v>
                </c:pt>
                <c:pt idx="598">
                  <c:v>43070</c:v>
                </c:pt>
                <c:pt idx="599">
                  <c:v>43077</c:v>
                </c:pt>
                <c:pt idx="600">
                  <c:v>43084</c:v>
                </c:pt>
                <c:pt idx="601">
                  <c:v>43091</c:v>
                </c:pt>
                <c:pt idx="602">
                  <c:v>43098</c:v>
                </c:pt>
                <c:pt idx="603">
                  <c:v>43105</c:v>
                </c:pt>
                <c:pt idx="604">
                  <c:v>43112</c:v>
                </c:pt>
                <c:pt idx="605">
                  <c:v>43119</c:v>
                </c:pt>
                <c:pt idx="606">
                  <c:v>43126</c:v>
                </c:pt>
                <c:pt idx="607">
                  <c:v>43133</c:v>
                </c:pt>
                <c:pt idx="608">
                  <c:v>43140</c:v>
                </c:pt>
                <c:pt idx="609">
                  <c:v>43147</c:v>
                </c:pt>
                <c:pt idx="610">
                  <c:v>43154</c:v>
                </c:pt>
                <c:pt idx="611">
                  <c:v>43161</c:v>
                </c:pt>
                <c:pt idx="612">
                  <c:v>43168</c:v>
                </c:pt>
                <c:pt idx="613">
                  <c:v>43175</c:v>
                </c:pt>
                <c:pt idx="614">
                  <c:v>43182</c:v>
                </c:pt>
                <c:pt idx="615">
                  <c:v>43189</c:v>
                </c:pt>
                <c:pt idx="616">
                  <c:v>43196</c:v>
                </c:pt>
                <c:pt idx="617">
                  <c:v>43203</c:v>
                </c:pt>
                <c:pt idx="618">
                  <c:v>43210</c:v>
                </c:pt>
                <c:pt idx="619">
                  <c:v>43217</c:v>
                </c:pt>
                <c:pt idx="620">
                  <c:v>43224</c:v>
                </c:pt>
                <c:pt idx="621">
                  <c:v>43231</c:v>
                </c:pt>
                <c:pt idx="622">
                  <c:v>43238</c:v>
                </c:pt>
                <c:pt idx="623">
                  <c:v>43245</c:v>
                </c:pt>
                <c:pt idx="624">
                  <c:v>43252</c:v>
                </c:pt>
                <c:pt idx="625">
                  <c:v>43259</c:v>
                </c:pt>
                <c:pt idx="626">
                  <c:v>43266</c:v>
                </c:pt>
                <c:pt idx="627">
                  <c:v>43273</c:v>
                </c:pt>
                <c:pt idx="628">
                  <c:v>43280</c:v>
                </c:pt>
                <c:pt idx="629">
                  <c:v>43287</c:v>
                </c:pt>
                <c:pt idx="630">
                  <c:v>43294</c:v>
                </c:pt>
                <c:pt idx="631">
                  <c:v>43301</c:v>
                </c:pt>
                <c:pt idx="632">
                  <c:v>43308</c:v>
                </c:pt>
                <c:pt idx="633">
                  <c:v>43315</c:v>
                </c:pt>
                <c:pt idx="634">
                  <c:v>43322</c:v>
                </c:pt>
                <c:pt idx="635">
                  <c:v>43329</c:v>
                </c:pt>
                <c:pt idx="636">
                  <c:v>43336</c:v>
                </c:pt>
                <c:pt idx="637">
                  <c:v>43343</c:v>
                </c:pt>
                <c:pt idx="638">
                  <c:v>43350</c:v>
                </c:pt>
                <c:pt idx="639">
                  <c:v>43357</c:v>
                </c:pt>
                <c:pt idx="640">
                  <c:v>43364</c:v>
                </c:pt>
                <c:pt idx="641">
                  <c:v>43371</c:v>
                </c:pt>
                <c:pt idx="642">
                  <c:v>43378</c:v>
                </c:pt>
                <c:pt idx="643">
                  <c:v>43385</c:v>
                </c:pt>
                <c:pt idx="644">
                  <c:v>43392</c:v>
                </c:pt>
                <c:pt idx="645">
                  <c:v>43399</c:v>
                </c:pt>
                <c:pt idx="646">
                  <c:v>43406</c:v>
                </c:pt>
                <c:pt idx="647">
                  <c:v>43413</c:v>
                </c:pt>
                <c:pt idx="648">
                  <c:v>43420</c:v>
                </c:pt>
                <c:pt idx="649">
                  <c:v>43427</c:v>
                </c:pt>
                <c:pt idx="650">
                  <c:v>43434</c:v>
                </c:pt>
                <c:pt idx="651">
                  <c:v>43441</c:v>
                </c:pt>
                <c:pt idx="652">
                  <c:v>43448</c:v>
                </c:pt>
                <c:pt idx="653">
                  <c:v>43455</c:v>
                </c:pt>
                <c:pt idx="654">
                  <c:v>43462</c:v>
                </c:pt>
                <c:pt idx="655">
                  <c:v>43469</c:v>
                </c:pt>
                <c:pt idx="656">
                  <c:v>43476</c:v>
                </c:pt>
                <c:pt idx="657">
                  <c:v>43483</c:v>
                </c:pt>
                <c:pt idx="658">
                  <c:v>43490</c:v>
                </c:pt>
                <c:pt idx="659">
                  <c:v>43497</c:v>
                </c:pt>
                <c:pt idx="660">
                  <c:v>43504</c:v>
                </c:pt>
                <c:pt idx="661">
                  <c:v>43511</c:v>
                </c:pt>
                <c:pt idx="662">
                  <c:v>43518</c:v>
                </c:pt>
                <c:pt idx="663">
                  <c:v>43525</c:v>
                </c:pt>
                <c:pt idx="664">
                  <c:v>43532</c:v>
                </c:pt>
                <c:pt idx="665">
                  <c:v>43539</c:v>
                </c:pt>
                <c:pt idx="666">
                  <c:v>43546</c:v>
                </c:pt>
                <c:pt idx="667">
                  <c:v>43553</c:v>
                </c:pt>
                <c:pt idx="668">
                  <c:v>43560</c:v>
                </c:pt>
                <c:pt idx="669">
                  <c:v>43567</c:v>
                </c:pt>
                <c:pt idx="670">
                  <c:v>43574</c:v>
                </c:pt>
                <c:pt idx="671">
                  <c:v>43581</c:v>
                </c:pt>
                <c:pt idx="672">
                  <c:v>43588</c:v>
                </c:pt>
                <c:pt idx="673">
                  <c:v>43595</c:v>
                </c:pt>
                <c:pt idx="674">
                  <c:v>43602</c:v>
                </c:pt>
                <c:pt idx="675">
                  <c:v>43609</c:v>
                </c:pt>
                <c:pt idx="676">
                  <c:v>43616</c:v>
                </c:pt>
                <c:pt idx="677">
                  <c:v>43623</c:v>
                </c:pt>
                <c:pt idx="678">
                  <c:v>43630</c:v>
                </c:pt>
                <c:pt idx="679">
                  <c:v>43637</c:v>
                </c:pt>
                <c:pt idx="680">
                  <c:v>43644</c:v>
                </c:pt>
                <c:pt idx="681">
                  <c:v>43651</c:v>
                </c:pt>
                <c:pt idx="682">
                  <c:v>43658</c:v>
                </c:pt>
                <c:pt idx="683">
                  <c:v>43665</c:v>
                </c:pt>
                <c:pt idx="684">
                  <c:v>43672</c:v>
                </c:pt>
                <c:pt idx="685">
                  <c:v>43679</c:v>
                </c:pt>
                <c:pt idx="686">
                  <c:v>43686</c:v>
                </c:pt>
                <c:pt idx="687">
                  <c:v>43693</c:v>
                </c:pt>
                <c:pt idx="688">
                  <c:v>43700</c:v>
                </c:pt>
                <c:pt idx="689">
                  <c:v>43707</c:v>
                </c:pt>
                <c:pt idx="690">
                  <c:v>43714</c:v>
                </c:pt>
                <c:pt idx="691">
                  <c:v>43721</c:v>
                </c:pt>
                <c:pt idx="692">
                  <c:v>43728</c:v>
                </c:pt>
                <c:pt idx="693">
                  <c:v>43735</c:v>
                </c:pt>
                <c:pt idx="694">
                  <c:v>43742</c:v>
                </c:pt>
                <c:pt idx="695">
                  <c:v>43749</c:v>
                </c:pt>
                <c:pt idx="696">
                  <c:v>43756</c:v>
                </c:pt>
                <c:pt idx="697">
                  <c:v>43763</c:v>
                </c:pt>
                <c:pt idx="698">
                  <c:v>43770</c:v>
                </c:pt>
                <c:pt idx="699">
                  <c:v>43777</c:v>
                </c:pt>
                <c:pt idx="700">
                  <c:v>43784</c:v>
                </c:pt>
                <c:pt idx="701">
                  <c:v>43791</c:v>
                </c:pt>
                <c:pt idx="702">
                  <c:v>43798</c:v>
                </c:pt>
                <c:pt idx="703">
                  <c:v>43805</c:v>
                </c:pt>
                <c:pt idx="704">
                  <c:v>43812</c:v>
                </c:pt>
                <c:pt idx="705">
                  <c:v>43819</c:v>
                </c:pt>
                <c:pt idx="706">
                  <c:v>43826</c:v>
                </c:pt>
                <c:pt idx="707">
                  <c:v>43833</c:v>
                </c:pt>
                <c:pt idx="708">
                  <c:v>43840</c:v>
                </c:pt>
                <c:pt idx="709">
                  <c:v>43847</c:v>
                </c:pt>
                <c:pt idx="710">
                  <c:v>43854</c:v>
                </c:pt>
                <c:pt idx="711">
                  <c:v>43861</c:v>
                </c:pt>
                <c:pt idx="712">
                  <c:v>43868</c:v>
                </c:pt>
                <c:pt idx="713">
                  <c:v>43875</c:v>
                </c:pt>
                <c:pt idx="714">
                  <c:v>43882</c:v>
                </c:pt>
                <c:pt idx="715">
                  <c:v>43889</c:v>
                </c:pt>
                <c:pt idx="716">
                  <c:v>43896</c:v>
                </c:pt>
                <c:pt idx="717">
                  <c:v>43903</c:v>
                </c:pt>
                <c:pt idx="718">
                  <c:v>43910</c:v>
                </c:pt>
                <c:pt idx="719">
                  <c:v>43917</c:v>
                </c:pt>
                <c:pt idx="720">
                  <c:v>43924</c:v>
                </c:pt>
                <c:pt idx="721">
                  <c:v>43931</c:v>
                </c:pt>
                <c:pt idx="722">
                  <c:v>43938</c:v>
                </c:pt>
                <c:pt idx="723">
                  <c:v>43945</c:v>
                </c:pt>
                <c:pt idx="724">
                  <c:v>43952</c:v>
                </c:pt>
                <c:pt idx="725">
                  <c:v>43959</c:v>
                </c:pt>
                <c:pt idx="726">
                  <c:v>43966</c:v>
                </c:pt>
                <c:pt idx="727">
                  <c:v>43973</c:v>
                </c:pt>
                <c:pt idx="728">
                  <c:v>43980</c:v>
                </c:pt>
                <c:pt idx="729">
                  <c:v>43987</c:v>
                </c:pt>
                <c:pt idx="730">
                  <c:v>43994</c:v>
                </c:pt>
                <c:pt idx="731">
                  <c:v>44001</c:v>
                </c:pt>
                <c:pt idx="732">
                  <c:v>44008</c:v>
                </c:pt>
                <c:pt idx="733">
                  <c:v>44015</c:v>
                </c:pt>
                <c:pt idx="734">
                  <c:v>44022</c:v>
                </c:pt>
                <c:pt idx="735">
                  <c:v>44029</c:v>
                </c:pt>
                <c:pt idx="736">
                  <c:v>44036</c:v>
                </c:pt>
                <c:pt idx="737">
                  <c:v>44043</c:v>
                </c:pt>
                <c:pt idx="738">
                  <c:v>44050</c:v>
                </c:pt>
                <c:pt idx="739">
                  <c:v>44057</c:v>
                </c:pt>
                <c:pt idx="740">
                  <c:v>44064</c:v>
                </c:pt>
                <c:pt idx="741">
                  <c:v>44071</c:v>
                </c:pt>
                <c:pt idx="742">
                  <c:v>44078</c:v>
                </c:pt>
                <c:pt idx="743">
                  <c:v>44085</c:v>
                </c:pt>
                <c:pt idx="744">
                  <c:v>44092</c:v>
                </c:pt>
                <c:pt idx="745">
                  <c:v>44099</c:v>
                </c:pt>
                <c:pt idx="746">
                  <c:v>44106</c:v>
                </c:pt>
                <c:pt idx="747">
                  <c:v>44113</c:v>
                </c:pt>
                <c:pt idx="748">
                  <c:v>44120</c:v>
                </c:pt>
                <c:pt idx="749">
                  <c:v>44127</c:v>
                </c:pt>
                <c:pt idx="750">
                  <c:v>44134</c:v>
                </c:pt>
                <c:pt idx="751">
                  <c:v>44141</c:v>
                </c:pt>
                <c:pt idx="752">
                  <c:v>44148</c:v>
                </c:pt>
                <c:pt idx="753">
                  <c:v>44155</c:v>
                </c:pt>
                <c:pt idx="754">
                  <c:v>44162</c:v>
                </c:pt>
                <c:pt idx="755">
                  <c:v>44169</c:v>
                </c:pt>
                <c:pt idx="756">
                  <c:v>44176</c:v>
                </c:pt>
                <c:pt idx="757">
                  <c:v>44183</c:v>
                </c:pt>
                <c:pt idx="758">
                  <c:v>44190</c:v>
                </c:pt>
                <c:pt idx="759">
                  <c:v>44197</c:v>
                </c:pt>
                <c:pt idx="760">
                  <c:v>44204</c:v>
                </c:pt>
                <c:pt idx="761">
                  <c:v>44211</c:v>
                </c:pt>
                <c:pt idx="762">
                  <c:v>44218</c:v>
                </c:pt>
                <c:pt idx="763">
                  <c:v>44225</c:v>
                </c:pt>
                <c:pt idx="764">
                  <c:v>44232</c:v>
                </c:pt>
                <c:pt idx="765">
                  <c:v>44239</c:v>
                </c:pt>
                <c:pt idx="766">
                  <c:v>44246</c:v>
                </c:pt>
                <c:pt idx="767">
                  <c:v>44253</c:v>
                </c:pt>
                <c:pt idx="768">
                  <c:v>44260</c:v>
                </c:pt>
                <c:pt idx="769">
                  <c:v>44267</c:v>
                </c:pt>
                <c:pt idx="770">
                  <c:v>44274</c:v>
                </c:pt>
                <c:pt idx="771">
                  <c:v>44281</c:v>
                </c:pt>
                <c:pt idx="772">
                  <c:v>44288</c:v>
                </c:pt>
                <c:pt idx="773">
                  <c:v>44295</c:v>
                </c:pt>
                <c:pt idx="774">
                  <c:v>44302</c:v>
                </c:pt>
                <c:pt idx="775">
                  <c:v>44309</c:v>
                </c:pt>
                <c:pt idx="776">
                  <c:v>44316</c:v>
                </c:pt>
                <c:pt idx="777">
                  <c:v>44323</c:v>
                </c:pt>
                <c:pt idx="778">
                  <c:v>44330</c:v>
                </c:pt>
                <c:pt idx="779">
                  <c:v>44337</c:v>
                </c:pt>
                <c:pt idx="780">
                  <c:v>44344</c:v>
                </c:pt>
                <c:pt idx="781">
                  <c:v>44351</c:v>
                </c:pt>
                <c:pt idx="782">
                  <c:v>44358</c:v>
                </c:pt>
                <c:pt idx="783">
                  <c:v>44365</c:v>
                </c:pt>
                <c:pt idx="784">
                  <c:v>44372</c:v>
                </c:pt>
                <c:pt idx="785">
                  <c:v>44379</c:v>
                </c:pt>
                <c:pt idx="786">
                  <c:v>44386</c:v>
                </c:pt>
                <c:pt idx="787">
                  <c:v>44393</c:v>
                </c:pt>
                <c:pt idx="788">
                  <c:v>44400</c:v>
                </c:pt>
                <c:pt idx="789">
                  <c:v>44407</c:v>
                </c:pt>
                <c:pt idx="790">
                  <c:v>44414</c:v>
                </c:pt>
                <c:pt idx="791">
                  <c:v>44421</c:v>
                </c:pt>
                <c:pt idx="792">
                  <c:v>44428</c:v>
                </c:pt>
                <c:pt idx="793">
                  <c:v>44435</c:v>
                </c:pt>
                <c:pt idx="794">
                  <c:v>44442</c:v>
                </c:pt>
                <c:pt idx="795">
                  <c:v>44449</c:v>
                </c:pt>
                <c:pt idx="796">
                  <c:v>44456</c:v>
                </c:pt>
                <c:pt idx="797">
                  <c:v>44463</c:v>
                </c:pt>
                <c:pt idx="798">
                  <c:v>44470</c:v>
                </c:pt>
                <c:pt idx="799">
                  <c:v>44477</c:v>
                </c:pt>
                <c:pt idx="800">
                  <c:v>44484</c:v>
                </c:pt>
                <c:pt idx="801">
                  <c:v>44491</c:v>
                </c:pt>
                <c:pt idx="802">
                  <c:v>44498</c:v>
                </c:pt>
                <c:pt idx="803">
                  <c:v>44505</c:v>
                </c:pt>
                <c:pt idx="804">
                  <c:v>44512</c:v>
                </c:pt>
                <c:pt idx="805">
                  <c:v>44519</c:v>
                </c:pt>
                <c:pt idx="806">
                  <c:v>44526</c:v>
                </c:pt>
                <c:pt idx="807">
                  <c:v>44533</c:v>
                </c:pt>
                <c:pt idx="808">
                  <c:v>44540</c:v>
                </c:pt>
                <c:pt idx="809">
                  <c:v>44547</c:v>
                </c:pt>
                <c:pt idx="810">
                  <c:v>44554</c:v>
                </c:pt>
                <c:pt idx="811">
                  <c:v>44561</c:v>
                </c:pt>
                <c:pt idx="812">
                  <c:v>44568</c:v>
                </c:pt>
                <c:pt idx="813">
                  <c:v>44575</c:v>
                </c:pt>
                <c:pt idx="814">
                  <c:v>44582</c:v>
                </c:pt>
                <c:pt idx="815">
                  <c:v>44589</c:v>
                </c:pt>
                <c:pt idx="816">
                  <c:v>44596</c:v>
                </c:pt>
                <c:pt idx="817">
                  <c:v>44603</c:v>
                </c:pt>
                <c:pt idx="818">
                  <c:v>44610</c:v>
                </c:pt>
                <c:pt idx="819">
                  <c:v>44617</c:v>
                </c:pt>
                <c:pt idx="820">
                  <c:v>44624</c:v>
                </c:pt>
                <c:pt idx="821">
                  <c:v>44631</c:v>
                </c:pt>
                <c:pt idx="822">
                  <c:v>44638</c:v>
                </c:pt>
                <c:pt idx="823">
                  <c:v>44645</c:v>
                </c:pt>
                <c:pt idx="824">
                  <c:v>44652</c:v>
                </c:pt>
                <c:pt idx="825">
                  <c:v>44659</c:v>
                </c:pt>
                <c:pt idx="826">
                  <c:v>44666</c:v>
                </c:pt>
                <c:pt idx="827">
                  <c:v>44673</c:v>
                </c:pt>
                <c:pt idx="828">
                  <c:v>44680</c:v>
                </c:pt>
                <c:pt idx="829">
                  <c:v>44687</c:v>
                </c:pt>
                <c:pt idx="830">
                  <c:v>44694</c:v>
                </c:pt>
                <c:pt idx="831">
                  <c:v>44701</c:v>
                </c:pt>
                <c:pt idx="832">
                  <c:v>44708</c:v>
                </c:pt>
                <c:pt idx="833">
                  <c:v>44715</c:v>
                </c:pt>
                <c:pt idx="834">
                  <c:v>44722</c:v>
                </c:pt>
                <c:pt idx="835">
                  <c:v>44729</c:v>
                </c:pt>
                <c:pt idx="836">
                  <c:v>44736</c:v>
                </c:pt>
                <c:pt idx="837">
                  <c:v>44743</c:v>
                </c:pt>
                <c:pt idx="838">
                  <c:v>44750</c:v>
                </c:pt>
                <c:pt idx="839">
                  <c:v>44757</c:v>
                </c:pt>
                <c:pt idx="840">
                  <c:v>44764</c:v>
                </c:pt>
                <c:pt idx="841">
                  <c:v>44771</c:v>
                </c:pt>
                <c:pt idx="842">
                  <c:v>44778</c:v>
                </c:pt>
                <c:pt idx="843">
                  <c:v>44785</c:v>
                </c:pt>
              </c:numCache>
            </c:numRef>
          </c:cat>
          <c:val>
            <c:numRef>
              <c:f>Hoja1!$O$2:$O$845</c:f>
              <c:numCache>
                <c:formatCode>General</c:formatCode>
                <c:ptCount val="844"/>
                <c:pt idx="0">
                  <c:v>2.3159999999999998</c:v>
                </c:pt>
                <c:pt idx="1">
                  <c:v>2.359</c:v>
                </c:pt>
                <c:pt idx="2">
                  <c:v>2.5179999999999998</c:v>
                </c:pt>
                <c:pt idx="3">
                  <c:v>2.577</c:v>
                </c:pt>
                <c:pt idx="4">
                  <c:v>2.5049999999999999</c:v>
                </c:pt>
                <c:pt idx="5">
                  <c:v>2.4780000000000002</c:v>
                </c:pt>
                <c:pt idx="6">
                  <c:v>2.431</c:v>
                </c:pt>
                <c:pt idx="7">
                  <c:v>2.3769999999999998</c:v>
                </c:pt>
                <c:pt idx="8">
                  <c:v>2.2759999999999998</c:v>
                </c:pt>
                <c:pt idx="9">
                  <c:v>2.1560000000000001</c:v>
                </c:pt>
                <c:pt idx="10">
                  <c:v>2.1339999999999999</c:v>
                </c:pt>
                <c:pt idx="11">
                  <c:v>2.0249999999999999</c:v>
                </c:pt>
                <c:pt idx="12">
                  <c:v>1.8740000000000001</c:v>
                </c:pt>
                <c:pt idx="13">
                  <c:v>1.772</c:v>
                </c:pt>
                <c:pt idx="14">
                  <c:v>1.744</c:v>
                </c:pt>
                <c:pt idx="15">
                  <c:v>1.7130000000000001</c:v>
                </c:pt>
                <c:pt idx="16">
                  <c:v>1.732</c:v>
                </c:pt>
                <c:pt idx="17">
                  <c:v>1.7150000000000001</c:v>
                </c:pt>
                <c:pt idx="18">
                  <c:v>1.6839999999999999</c:v>
                </c:pt>
                <c:pt idx="19">
                  <c:v>1.6439999999999999</c:v>
                </c:pt>
                <c:pt idx="20">
                  <c:v>1.675</c:v>
                </c:pt>
                <c:pt idx="21">
                  <c:v>1.8660000000000001</c:v>
                </c:pt>
                <c:pt idx="22">
                  <c:v>1.77</c:v>
                </c:pt>
                <c:pt idx="23">
                  <c:v>1.8129999999999999</c:v>
                </c:pt>
                <c:pt idx="24">
                  <c:v>1.802</c:v>
                </c:pt>
                <c:pt idx="25">
                  <c:v>1.774</c:v>
                </c:pt>
                <c:pt idx="26">
                  <c:v>1.8080000000000001</c:v>
                </c:pt>
                <c:pt idx="27">
                  <c:v>1.82</c:v>
                </c:pt>
                <c:pt idx="28">
                  <c:v>1.8140000000000001</c:v>
                </c:pt>
                <c:pt idx="29">
                  <c:v>1.7849999999999999</c:v>
                </c:pt>
                <c:pt idx="30">
                  <c:v>1.6779999999999999</c:v>
                </c:pt>
                <c:pt idx="31">
                  <c:v>1.5580000000000001</c:v>
                </c:pt>
                <c:pt idx="32">
                  <c:v>1.631</c:v>
                </c:pt>
                <c:pt idx="33">
                  <c:v>1.8169999999999999</c:v>
                </c:pt>
                <c:pt idx="34">
                  <c:v>1.909</c:v>
                </c:pt>
                <c:pt idx="35">
                  <c:v>2.0099999999999998</c:v>
                </c:pt>
                <c:pt idx="36">
                  <c:v>2.1309999999999998</c:v>
                </c:pt>
                <c:pt idx="37">
                  <c:v>2.2000000000000002</c:v>
                </c:pt>
                <c:pt idx="38">
                  <c:v>2.33</c:v>
                </c:pt>
                <c:pt idx="39">
                  <c:v>2.3530000000000002</c:v>
                </c:pt>
                <c:pt idx="40">
                  <c:v>2.3359999999999999</c:v>
                </c:pt>
                <c:pt idx="41">
                  <c:v>2.532</c:v>
                </c:pt>
                <c:pt idx="42">
                  <c:v>2.484</c:v>
                </c:pt>
                <c:pt idx="43">
                  <c:v>2.5150000000000001</c:v>
                </c:pt>
                <c:pt idx="44">
                  <c:v>2.4769999999999999</c:v>
                </c:pt>
                <c:pt idx="45">
                  <c:v>2.609</c:v>
                </c:pt>
                <c:pt idx="46">
                  <c:v>2.7210000000000001</c:v>
                </c:pt>
                <c:pt idx="47">
                  <c:v>2.625</c:v>
                </c:pt>
                <c:pt idx="48">
                  <c:v>2.5499999999999998</c:v>
                </c:pt>
                <c:pt idx="49">
                  <c:v>2.5190000000000001</c:v>
                </c:pt>
                <c:pt idx="50">
                  <c:v>2.3929999999999998</c:v>
                </c:pt>
                <c:pt idx="51">
                  <c:v>2.327</c:v>
                </c:pt>
                <c:pt idx="52">
                  <c:v>2.294</c:v>
                </c:pt>
                <c:pt idx="53">
                  <c:v>2.4</c:v>
                </c:pt>
                <c:pt idx="54">
                  <c:v>2.3860000000000001</c:v>
                </c:pt>
                <c:pt idx="55">
                  <c:v>2.3809999999999998</c:v>
                </c:pt>
                <c:pt idx="56">
                  <c:v>2.4220000000000002</c:v>
                </c:pt>
                <c:pt idx="57">
                  <c:v>2.286</c:v>
                </c:pt>
                <c:pt idx="58">
                  <c:v>2.206</c:v>
                </c:pt>
                <c:pt idx="59">
                  <c:v>2.1709999999999998</c:v>
                </c:pt>
                <c:pt idx="60">
                  <c:v>2.0270000000000001</c:v>
                </c:pt>
                <c:pt idx="61">
                  <c:v>2.0539999999999998</c:v>
                </c:pt>
                <c:pt idx="62">
                  <c:v>1.982</c:v>
                </c:pt>
                <c:pt idx="63">
                  <c:v>2.0779999999999998</c:v>
                </c:pt>
                <c:pt idx="64">
                  <c:v>2.1469999999999998</c:v>
                </c:pt>
                <c:pt idx="65">
                  <c:v>2.1669999999999998</c:v>
                </c:pt>
                <c:pt idx="66">
                  <c:v>2.2509999999999999</c:v>
                </c:pt>
                <c:pt idx="67">
                  <c:v>2.254</c:v>
                </c:pt>
                <c:pt idx="68">
                  <c:v>2.2480000000000002</c:v>
                </c:pt>
                <c:pt idx="69">
                  <c:v>2.3780000000000001</c:v>
                </c:pt>
                <c:pt idx="70">
                  <c:v>2.4540000000000002</c:v>
                </c:pt>
                <c:pt idx="71">
                  <c:v>2.42</c:v>
                </c:pt>
                <c:pt idx="72">
                  <c:v>2.552</c:v>
                </c:pt>
                <c:pt idx="73">
                  <c:v>2.6579999999999999</c:v>
                </c:pt>
                <c:pt idx="74">
                  <c:v>2.573</c:v>
                </c:pt>
                <c:pt idx="75">
                  <c:v>2.5609999999999999</c:v>
                </c:pt>
                <c:pt idx="76">
                  <c:v>2.4279999999999999</c:v>
                </c:pt>
                <c:pt idx="77">
                  <c:v>2.3519999999999999</c:v>
                </c:pt>
                <c:pt idx="78">
                  <c:v>2.411</c:v>
                </c:pt>
                <c:pt idx="79">
                  <c:v>2.4540000000000002</c:v>
                </c:pt>
                <c:pt idx="80">
                  <c:v>2.5760000000000001</c:v>
                </c:pt>
                <c:pt idx="81">
                  <c:v>2.6150000000000002</c:v>
                </c:pt>
                <c:pt idx="82">
                  <c:v>2.375</c:v>
                </c:pt>
                <c:pt idx="83">
                  <c:v>2.137</c:v>
                </c:pt>
                <c:pt idx="84">
                  <c:v>2.2120000000000002</c:v>
                </c:pt>
                <c:pt idx="85">
                  <c:v>2.3860000000000001</c:v>
                </c:pt>
                <c:pt idx="86">
                  <c:v>2.4569999999999999</c:v>
                </c:pt>
                <c:pt idx="87">
                  <c:v>2.524</c:v>
                </c:pt>
                <c:pt idx="88">
                  <c:v>2.7320000000000002</c:v>
                </c:pt>
                <c:pt idx="89">
                  <c:v>2.7850000000000001</c:v>
                </c:pt>
                <c:pt idx="90">
                  <c:v>2.7490000000000001</c:v>
                </c:pt>
                <c:pt idx="91">
                  <c:v>2.806</c:v>
                </c:pt>
                <c:pt idx="92">
                  <c:v>2.6480000000000001</c:v>
                </c:pt>
                <c:pt idx="93">
                  <c:v>2.88</c:v>
                </c:pt>
                <c:pt idx="94">
                  <c:v>2.9420000000000002</c:v>
                </c:pt>
                <c:pt idx="95">
                  <c:v>3.0430000000000001</c:v>
                </c:pt>
                <c:pt idx="96">
                  <c:v>3.1059999999999999</c:v>
                </c:pt>
                <c:pt idx="97">
                  <c:v>3.15</c:v>
                </c:pt>
                <c:pt idx="98">
                  <c:v>3.044</c:v>
                </c:pt>
                <c:pt idx="99">
                  <c:v>3.1930000000000001</c:v>
                </c:pt>
                <c:pt idx="100">
                  <c:v>3.194</c:v>
                </c:pt>
                <c:pt idx="101">
                  <c:v>3.4350000000000001</c:v>
                </c:pt>
                <c:pt idx="102">
                  <c:v>3.601</c:v>
                </c:pt>
                <c:pt idx="103">
                  <c:v>3.7610000000000001</c:v>
                </c:pt>
                <c:pt idx="104">
                  <c:v>3.754</c:v>
                </c:pt>
                <c:pt idx="105">
                  <c:v>3.6629999999999998</c:v>
                </c:pt>
                <c:pt idx="106">
                  <c:v>3.621</c:v>
                </c:pt>
                <c:pt idx="107">
                  <c:v>3.58</c:v>
                </c:pt>
                <c:pt idx="108">
                  <c:v>3.4630000000000001</c:v>
                </c:pt>
                <c:pt idx="109">
                  <c:v>3.286</c:v>
                </c:pt>
                <c:pt idx="110">
                  <c:v>3.0779999999999998</c:v>
                </c:pt>
                <c:pt idx="111">
                  <c:v>3.1080000000000001</c:v>
                </c:pt>
                <c:pt idx="112">
                  <c:v>3.085</c:v>
                </c:pt>
                <c:pt idx="113">
                  <c:v>3.1339999999999999</c:v>
                </c:pt>
                <c:pt idx="114">
                  <c:v>2.9740000000000002</c:v>
                </c:pt>
                <c:pt idx="115">
                  <c:v>3.0859999999999999</c:v>
                </c:pt>
                <c:pt idx="116">
                  <c:v>2.9750000000000001</c:v>
                </c:pt>
                <c:pt idx="117">
                  <c:v>2.9710000000000001</c:v>
                </c:pt>
                <c:pt idx="118">
                  <c:v>2.726</c:v>
                </c:pt>
                <c:pt idx="119">
                  <c:v>2.88</c:v>
                </c:pt>
                <c:pt idx="120">
                  <c:v>2.6880000000000002</c:v>
                </c:pt>
                <c:pt idx="121">
                  <c:v>2.472</c:v>
                </c:pt>
                <c:pt idx="122">
                  <c:v>2.2490000000000001</c:v>
                </c:pt>
                <c:pt idx="123">
                  <c:v>1.9059999999999999</c:v>
                </c:pt>
                <c:pt idx="124">
                  <c:v>1.556</c:v>
                </c:pt>
                <c:pt idx="125">
                  <c:v>1.468</c:v>
                </c:pt>
                <c:pt idx="126">
                  <c:v>1.371</c:v>
                </c:pt>
                <c:pt idx="127">
                  <c:v>1.08</c:v>
                </c:pt>
                <c:pt idx="128">
                  <c:v>1.1240000000000001</c:v>
                </c:pt>
                <c:pt idx="129">
                  <c:v>0.92300000000000004</c:v>
                </c:pt>
                <c:pt idx="130">
                  <c:v>1.0049999999999999</c:v>
                </c:pt>
                <c:pt idx="131">
                  <c:v>1.1890000000000001</c:v>
                </c:pt>
                <c:pt idx="132">
                  <c:v>1.258</c:v>
                </c:pt>
                <c:pt idx="133">
                  <c:v>1.337</c:v>
                </c:pt>
                <c:pt idx="134">
                  <c:v>1.49</c:v>
                </c:pt>
                <c:pt idx="135">
                  <c:v>1.3939999999999999</c:v>
                </c:pt>
                <c:pt idx="136">
                  <c:v>1.417</c:v>
                </c:pt>
                <c:pt idx="137">
                  <c:v>1.5029999999999999</c:v>
                </c:pt>
                <c:pt idx="138">
                  <c:v>1.6339999999999999</c:v>
                </c:pt>
                <c:pt idx="139">
                  <c:v>1.742</c:v>
                </c:pt>
                <c:pt idx="140">
                  <c:v>1.373</c:v>
                </c:pt>
                <c:pt idx="141">
                  <c:v>1.4019999999999999</c:v>
                </c:pt>
                <c:pt idx="142">
                  <c:v>1.4279999999999999</c:v>
                </c:pt>
                <c:pt idx="143">
                  <c:v>1.365</c:v>
                </c:pt>
                <c:pt idx="144">
                  <c:v>1.472</c:v>
                </c:pt>
                <c:pt idx="145">
                  <c:v>1.6160000000000001</c:v>
                </c:pt>
                <c:pt idx="146">
                  <c:v>1.542</c:v>
                </c:pt>
                <c:pt idx="147">
                  <c:v>1.5960000000000001</c:v>
                </c:pt>
                <c:pt idx="148">
                  <c:v>1.5880000000000001</c:v>
                </c:pt>
                <c:pt idx="149">
                  <c:v>1.5369999999999999</c:v>
                </c:pt>
                <c:pt idx="150">
                  <c:v>1.601</c:v>
                </c:pt>
                <c:pt idx="151">
                  <c:v>1.7370000000000001</c:v>
                </c:pt>
                <c:pt idx="152">
                  <c:v>1.786</c:v>
                </c:pt>
                <c:pt idx="153">
                  <c:v>1.9330000000000001</c:v>
                </c:pt>
                <c:pt idx="154">
                  <c:v>2.0009999999999999</c:v>
                </c:pt>
                <c:pt idx="155">
                  <c:v>2.109</c:v>
                </c:pt>
                <c:pt idx="156">
                  <c:v>2.1840000000000002</c:v>
                </c:pt>
                <c:pt idx="157">
                  <c:v>2.1240000000000001</c:v>
                </c:pt>
                <c:pt idx="158">
                  <c:v>1.9530000000000001</c:v>
                </c:pt>
                <c:pt idx="159">
                  <c:v>1.956</c:v>
                </c:pt>
                <c:pt idx="160">
                  <c:v>1.768</c:v>
                </c:pt>
                <c:pt idx="161">
                  <c:v>1.819</c:v>
                </c:pt>
                <c:pt idx="162">
                  <c:v>1.99</c:v>
                </c:pt>
                <c:pt idx="163">
                  <c:v>2.0760000000000001</c:v>
                </c:pt>
                <c:pt idx="164">
                  <c:v>2.2090000000000001</c:v>
                </c:pt>
                <c:pt idx="165">
                  <c:v>2.1269999999999998</c:v>
                </c:pt>
                <c:pt idx="166">
                  <c:v>2.052</c:v>
                </c:pt>
                <c:pt idx="167">
                  <c:v>2.0779999999999998</c:v>
                </c:pt>
                <c:pt idx="168">
                  <c:v>2.1110000000000002</c:v>
                </c:pt>
                <c:pt idx="169">
                  <c:v>2.2210000000000001</c:v>
                </c:pt>
                <c:pt idx="170">
                  <c:v>2.08</c:v>
                </c:pt>
                <c:pt idx="171">
                  <c:v>1.8939999999999999</c:v>
                </c:pt>
                <c:pt idx="172">
                  <c:v>1.966</c:v>
                </c:pt>
                <c:pt idx="173">
                  <c:v>1.9370000000000001</c:v>
                </c:pt>
                <c:pt idx="174">
                  <c:v>2.0219999999999998</c:v>
                </c:pt>
                <c:pt idx="175">
                  <c:v>2.1160000000000001</c:v>
                </c:pt>
                <c:pt idx="176">
                  <c:v>2.081</c:v>
                </c:pt>
                <c:pt idx="177">
                  <c:v>1.9990000000000001</c:v>
                </c:pt>
                <c:pt idx="178">
                  <c:v>1.9419999999999999</c:v>
                </c:pt>
                <c:pt idx="179">
                  <c:v>2.0049999999999999</c:v>
                </c:pt>
                <c:pt idx="180">
                  <c:v>1.9650000000000001</c:v>
                </c:pt>
                <c:pt idx="181">
                  <c:v>1.998</c:v>
                </c:pt>
                <c:pt idx="182">
                  <c:v>1.895</c:v>
                </c:pt>
                <c:pt idx="183">
                  <c:v>1.9990000000000001</c:v>
                </c:pt>
                <c:pt idx="184">
                  <c:v>2.0430000000000001</c:v>
                </c:pt>
                <c:pt idx="185">
                  <c:v>2.169</c:v>
                </c:pt>
                <c:pt idx="186">
                  <c:v>2.1890000000000001</c:v>
                </c:pt>
                <c:pt idx="187">
                  <c:v>2.0219999999999998</c:v>
                </c:pt>
                <c:pt idx="188">
                  <c:v>1.958</c:v>
                </c:pt>
                <c:pt idx="189">
                  <c:v>2.04</c:v>
                </c:pt>
                <c:pt idx="190">
                  <c:v>2.048</c:v>
                </c:pt>
                <c:pt idx="191">
                  <c:v>1.9870000000000001</c:v>
                </c:pt>
                <c:pt idx="192">
                  <c:v>2.0550000000000002</c:v>
                </c:pt>
                <c:pt idx="193">
                  <c:v>2.198</c:v>
                </c:pt>
                <c:pt idx="194">
                  <c:v>2.2650000000000001</c:v>
                </c:pt>
                <c:pt idx="195">
                  <c:v>2.246</c:v>
                </c:pt>
                <c:pt idx="196">
                  <c:v>2.2719999999999998</c:v>
                </c:pt>
                <c:pt idx="197">
                  <c:v>2.242</c:v>
                </c:pt>
                <c:pt idx="198">
                  <c:v>2.278</c:v>
                </c:pt>
                <c:pt idx="199">
                  <c:v>2.3130000000000002</c:v>
                </c:pt>
                <c:pt idx="200">
                  <c:v>2.2599999999999998</c:v>
                </c:pt>
                <c:pt idx="201">
                  <c:v>2.278</c:v>
                </c:pt>
                <c:pt idx="202">
                  <c:v>2.371</c:v>
                </c:pt>
                <c:pt idx="203">
                  <c:v>2.2610000000000001</c:v>
                </c:pt>
                <c:pt idx="204">
                  <c:v>2.177</c:v>
                </c:pt>
                <c:pt idx="205">
                  <c:v>1.992</c:v>
                </c:pt>
                <c:pt idx="206">
                  <c:v>2.0289999999999999</c:v>
                </c:pt>
                <c:pt idx="207">
                  <c:v>2.1960000000000002</c:v>
                </c:pt>
                <c:pt idx="208">
                  <c:v>2.198</c:v>
                </c:pt>
                <c:pt idx="209">
                  <c:v>2.2770000000000001</c:v>
                </c:pt>
                <c:pt idx="210">
                  <c:v>2.3149999999999999</c:v>
                </c:pt>
                <c:pt idx="211">
                  <c:v>2.2450000000000001</c:v>
                </c:pt>
                <c:pt idx="212">
                  <c:v>2.2269999999999999</c:v>
                </c:pt>
                <c:pt idx="213">
                  <c:v>2.3039999999999998</c:v>
                </c:pt>
                <c:pt idx="214">
                  <c:v>2.3239999999999998</c:v>
                </c:pt>
                <c:pt idx="215">
                  <c:v>2.298</c:v>
                </c:pt>
                <c:pt idx="216">
                  <c:v>2.3530000000000002</c:v>
                </c:pt>
                <c:pt idx="217">
                  <c:v>2.2570000000000001</c:v>
                </c:pt>
                <c:pt idx="218">
                  <c:v>2.0950000000000002</c:v>
                </c:pt>
                <c:pt idx="219">
                  <c:v>2.0569999999999999</c:v>
                </c:pt>
                <c:pt idx="220">
                  <c:v>2.0379999999999998</c:v>
                </c:pt>
                <c:pt idx="221">
                  <c:v>2.0680000000000001</c:v>
                </c:pt>
                <c:pt idx="222">
                  <c:v>2.0699999999999998</c:v>
                </c:pt>
                <c:pt idx="223">
                  <c:v>2.0590000000000002</c:v>
                </c:pt>
                <c:pt idx="224">
                  <c:v>2.1419999999999999</c:v>
                </c:pt>
                <c:pt idx="225">
                  <c:v>2.3079999999999998</c:v>
                </c:pt>
                <c:pt idx="226">
                  <c:v>2.3290000000000002</c:v>
                </c:pt>
                <c:pt idx="227">
                  <c:v>2.2080000000000002</c:v>
                </c:pt>
                <c:pt idx="228">
                  <c:v>2.1880000000000002</c:v>
                </c:pt>
                <c:pt idx="229">
                  <c:v>2.2309999999999999</c:v>
                </c:pt>
                <c:pt idx="230">
                  <c:v>2.2879999999999998</c:v>
                </c:pt>
                <c:pt idx="231">
                  <c:v>2.2120000000000002</c:v>
                </c:pt>
                <c:pt idx="232">
                  <c:v>2.198</c:v>
                </c:pt>
                <c:pt idx="233">
                  <c:v>2.3730000000000002</c:v>
                </c:pt>
                <c:pt idx="234">
                  <c:v>2.4289999999999998</c:v>
                </c:pt>
                <c:pt idx="235">
                  <c:v>2.3250000000000002</c:v>
                </c:pt>
                <c:pt idx="236">
                  <c:v>2.4540000000000002</c:v>
                </c:pt>
                <c:pt idx="237">
                  <c:v>2.4649999999999999</c:v>
                </c:pt>
                <c:pt idx="238">
                  <c:v>2.431</c:v>
                </c:pt>
                <c:pt idx="239">
                  <c:v>2.4470000000000001</c:v>
                </c:pt>
                <c:pt idx="240">
                  <c:v>2.4119999999999999</c:v>
                </c:pt>
                <c:pt idx="241">
                  <c:v>2.4729999999999999</c:v>
                </c:pt>
                <c:pt idx="242">
                  <c:v>2.617</c:v>
                </c:pt>
                <c:pt idx="243">
                  <c:v>2.6360000000000001</c:v>
                </c:pt>
                <c:pt idx="244">
                  <c:v>2.74</c:v>
                </c:pt>
                <c:pt idx="245">
                  <c:v>2.9860000000000002</c:v>
                </c:pt>
                <c:pt idx="246">
                  <c:v>3.1269999999999998</c:v>
                </c:pt>
                <c:pt idx="247">
                  <c:v>3.1219999999999999</c:v>
                </c:pt>
                <c:pt idx="248">
                  <c:v>3.073</c:v>
                </c:pt>
                <c:pt idx="249">
                  <c:v>3.2</c:v>
                </c:pt>
                <c:pt idx="250">
                  <c:v>3.2559999999999998</c:v>
                </c:pt>
                <c:pt idx="251">
                  <c:v>3.3490000000000002</c:v>
                </c:pt>
                <c:pt idx="252">
                  <c:v>3.3639999999999999</c:v>
                </c:pt>
                <c:pt idx="253">
                  <c:v>3.3530000000000002</c:v>
                </c:pt>
                <c:pt idx="254">
                  <c:v>3.4350000000000001</c:v>
                </c:pt>
                <c:pt idx="255">
                  <c:v>3.3149999999999999</c:v>
                </c:pt>
                <c:pt idx="256">
                  <c:v>3.1150000000000002</c:v>
                </c:pt>
                <c:pt idx="257">
                  <c:v>2.8610000000000002</c:v>
                </c:pt>
                <c:pt idx="258">
                  <c:v>2.944</c:v>
                </c:pt>
                <c:pt idx="259">
                  <c:v>2.9169999999999998</c:v>
                </c:pt>
                <c:pt idx="260">
                  <c:v>2.8929999999999998</c:v>
                </c:pt>
                <c:pt idx="261">
                  <c:v>2.9009999999999998</c:v>
                </c:pt>
                <c:pt idx="262">
                  <c:v>2.786</c:v>
                </c:pt>
                <c:pt idx="263">
                  <c:v>2.8519999999999999</c:v>
                </c:pt>
                <c:pt idx="264">
                  <c:v>2.9580000000000002</c:v>
                </c:pt>
                <c:pt idx="265">
                  <c:v>3.0070000000000001</c:v>
                </c:pt>
                <c:pt idx="266">
                  <c:v>2.9359999999999999</c:v>
                </c:pt>
                <c:pt idx="267">
                  <c:v>2.9</c:v>
                </c:pt>
                <c:pt idx="268">
                  <c:v>2.7480000000000002</c:v>
                </c:pt>
                <c:pt idx="269">
                  <c:v>2.6429999999999998</c:v>
                </c:pt>
                <c:pt idx="270">
                  <c:v>2.8119999999999998</c:v>
                </c:pt>
                <c:pt idx="271">
                  <c:v>2.95</c:v>
                </c:pt>
                <c:pt idx="272">
                  <c:v>3.2</c:v>
                </c:pt>
                <c:pt idx="273">
                  <c:v>3.089</c:v>
                </c:pt>
                <c:pt idx="274">
                  <c:v>2.9289999999999998</c:v>
                </c:pt>
                <c:pt idx="275">
                  <c:v>2.7770000000000001</c:v>
                </c:pt>
                <c:pt idx="276">
                  <c:v>2.782</c:v>
                </c:pt>
                <c:pt idx="277">
                  <c:v>2.85</c:v>
                </c:pt>
                <c:pt idx="278">
                  <c:v>3.13</c:v>
                </c:pt>
                <c:pt idx="279">
                  <c:v>2.968</c:v>
                </c:pt>
                <c:pt idx="280">
                  <c:v>2.8540000000000001</c:v>
                </c:pt>
                <c:pt idx="281">
                  <c:v>2.9540000000000002</c:v>
                </c:pt>
                <c:pt idx="282">
                  <c:v>2.8919999999999999</c:v>
                </c:pt>
                <c:pt idx="283">
                  <c:v>2.6160000000000001</c:v>
                </c:pt>
                <c:pt idx="284">
                  <c:v>2.5880000000000001</c:v>
                </c:pt>
                <c:pt idx="285">
                  <c:v>2.5870000000000002</c:v>
                </c:pt>
                <c:pt idx="286">
                  <c:v>2.625</c:v>
                </c:pt>
                <c:pt idx="287">
                  <c:v>2.6040000000000001</c:v>
                </c:pt>
                <c:pt idx="288">
                  <c:v>2.7509999999999999</c:v>
                </c:pt>
                <c:pt idx="289">
                  <c:v>2.9129999999999998</c:v>
                </c:pt>
                <c:pt idx="290">
                  <c:v>2.9409999999999998</c:v>
                </c:pt>
                <c:pt idx="291">
                  <c:v>2.8559999999999999</c:v>
                </c:pt>
                <c:pt idx="292">
                  <c:v>2.9169999999999998</c:v>
                </c:pt>
                <c:pt idx="293">
                  <c:v>2.95</c:v>
                </c:pt>
                <c:pt idx="294">
                  <c:v>2.976</c:v>
                </c:pt>
                <c:pt idx="295">
                  <c:v>3.1040000000000001</c:v>
                </c:pt>
                <c:pt idx="296">
                  <c:v>3.286</c:v>
                </c:pt>
                <c:pt idx="297">
                  <c:v>3.5710000000000002</c:v>
                </c:pt>
                <c:pt idx="298">
                  <c:v>3.5649999999999999</c:v>
                </c:pt>
                <c:pt idx="299">
                  <c:v>3.4830000000000001</c:v>
                </c:pt>
                <c:pt idx="300">
                  <c:v>3.3679999999999999</c:v>
                </c:pt>
                <c:pt idx="301">
                  <c:v>3.3119999999999998</c:v>
                </c:pt>
                <c:pt idx="302">
                  <c:v>3.33</c:v>
                </c:pt>
                <c:pt idx="303">
                  <c:v>3.2639999999999998</c:v>
                </c:pt>
                <c:pt idx="304">
                  <c:v>3.258</c:v>
                </c:pt>
                <c:pt idx="305">
                  <c:v>3.21</c:v>
                </c:pt>
                <c:pt idx="306">
                  <c:v>3.262</c:v>
                </c:pt>
                <c:pt idx="307">
                  <c:v>3.3180000000000001</c:v>
                </c:pt>
                <c:pt idx="308">
                  <c:v>3.339</c:v>
                </c:pt>
                <c:pt idx="309">
                  <c:v>3.274</c:v>
                </c:pt>
                <c:pt idx="310">
                  <c:v>3.113</c:v>
                </c:pt>
                <c:pt idx="311">
                  <c:v>3.0070000000000001</c:v>
                </c:pt>
                <c:pt idx="312">
                  <c:v>2.72</c:v>
                </c:pt>
                <c:pt idx="313">
                  <c:v>2.6120000000000001</c:v>
                </c:pt>
                <c:pt idx="314">
                  <c:v>2.4460000000000002</c:v>
                </c:pt>
                <c:pt idx="315">
                  <c:v>2.69</c:v>
                </c:pt>
                <c:pt idx="316">
                  <c:v>2.734</c:v>
                </c:pt>
                <c:pt idx="317">
                  <c:v>2.7109999999999999</c:v>
                </c:pt>
                <c:pt idx="318">
                  <c:v>2.887</c:v>
                </c:pt>
                <c:pt idx="319">
                  <c:v>2.8860000000000001</c:v>
                </c:pt>
                <c:pt idx="320">
                  <c:v>2.96</c:v>
                </c:pt>
                <c:pt idx="321">
                  <c:v>3.1819999999999999</c:v>
                </c:pt>
                <c:pt idx="322">
                  <c:v>3.165</c:v>
                </c:pt>
                <c:pt idx="323">
                  <c:v>3.0910000000000002</c:v>
                </c:pt>
                <c:pt idx="324">
                  <c:v>3.1669999999999998</c:v>
                </c:pt>
                <c:pt idx="325">
                  <c:v>3.238</c:v>
                </c:pt>
                <c:pt idx="326">
                  <c:v>3.0880000000000001</c:v>
                </c:pt>
                <c:pt idx="327">
                  <c:v>3.1709999999999998</c:v>
                </c:pt>
                <c:pt idx="328">
                  <c:v>3.1680000000000001</c:v>
                </c:pt>
                <c:pt idx="329">
                  <c:v>3.661</c:v>
                </c:pt>
                <c:pt idx="330">
                  <c:v>3.4409999999999998</c:v>
                </c:pt>
                <c:pt idx="331">
                  <c:v>2.9790000000000001</c:v>
                </c:pt>
                <c:pt idx="332">
                  <c:v>2.714</c:v>
                </c:pt>
                <c:pt idx="333">
                  <c:v>2.6909999999999998</c:v>
                </c:pt>
                <c:pt idx="334">
                  <c:v>2.7839999999999998</c:v>
                </c:pt>
                <c:pt idx="335">
                  <c:v>2.8050000000000002</c:v>
                </c:pt>
                <c:pt idx="336">
                  <c:v>2.8290000000000002</c:v>
                </c:pt>
                <c:pt idx="337">
                  <c:v>2.81</c:v>
                </c:pt>
                <c:pt idx="338">
                  <c:v>2.593</c:v>
                </c:pt>
                <c:pt idx="339">
                  <c:v>2.5150000000000001</c:v>
                </c:pt>
                <c:pt idx="340">
                  <c:v>2.5529999999999999</c:v>
                </c:pt>
                <c:pt idx="341">
                  <c:v>2.798</c:v>
                </c:pt>
                <c:pt idx="342">
                  <c:v>2.8079999999999998</c:v>
                </c:pt>
                <c:pt idx="343">
                  <c:v>2.7690000000000001</c:v>
                </c:pt>
                <c:pt idx="344">
                  <c:v>2.7650000000000001</c:v>
                </c:pt>
                <c:pt idx="345">
                  <c:v>2.948</c:v>
                </c:pt>
                <c:pt idx="346">
                  <c:v>3.2789999999999999</c:v>
                </c:pt>
                <c:pt idx="347">
                  <c:v>3.3519999999999999</c:v>
                </c:pt>
                <c:pt idx="348">
                  <c:v>3.3679999999999999</c:v>
                </c:pt>
                <c:pt idx="349">
                  <c:v>3.371</c:v>
                </c:pt>
                <c:pt idx="350">
                  <c:v>3.1859999999999999</c:v>
                </c:pt>
                <c:pt idx="351">
                  <c:v>3.052</c:v>
                </c:pt>
                <c:pt idx="352">
                  <c:v>3.012</c:v>
                </c:pt>
                <c:pt idx="353">
                  <c:v>2.9689999999999999</c:v>
                </c:pt>
                <c:pt idx="354">
                  <c:v>3.0859999999999999</c:v>
                </c:pt>
                <c:pt idx="355">
                  <c:v>2.9790000000000001</c:v>
                </c:pt>
                <c:pt idx="356">
                  <c:v>2.9279999999999999</c:v>
                </c:pt>
                <c:pt idx="357">
                  <c:v>2.8519999999999999</c:v>
                </c:pt>
                <c:pt idx="358">
                  <c:v>2.867</c:v>
                </c:pt>
                <c:pt idx="359">
                  <c:v>2.9079999999999999</c:v>
                </c:pt>
                <c:pt idx="360">
                  <c:v>3.21</c:v>
                </c:pt>
                <c:pt idx="361">
                  <c:v>3.0539999999999998</c:v>
                </c:pt>
                <c:pt idx="362">
                  <c:v>2.9129999999999998</c:v>
                </c:pt>
                <c:pt idx="363">
                  <c:v>2.843</c:v>
                </c:pt>
                <c:pt idx="364">
                  <c:v>2.9169999999999998</c:v>
                </c:pt>
                <c:pt idx="365">
                  <c:v>3.0910000000000002</c:v>
                </c:pt>
                <c:pt idx="366">
                  <c:v>3.1829999999999998</c:v>
                </c:pt>
                <c:pt idx="367">
                  <c:v>2.891</c:v>
                </c:pt>
                <c:pt idx="368">
                  <c:v>2.9319999999999999</c:v>
                </c:pt>
                <c:pt idx="369">
                  <c:v>3.1379999999999999</c:v>
                </c:pt>
                <c:pt idx="370">
                  <c:v>3.1720000000000002</c:v>
                </c:pt>
                <c:pt idx="371">
                  <c:v>2.9790000000000001</c:v>
                </c:pt>
                <c:pt idx="372">
                  <c:v>2.9460000000000002</c:v>
                </c:pt>
                <c:pt idx="373">
                  <c:v>2.8029999999999999</c:v>
                </c:pt>
                <c:pt idx="374">
                  <c:v>2.8479999999999999</c:v>
                </c:pt>
                <c:pt idx="375">
                  <c:v>2.7690000000000001</c:v>
                </c:pt>
                <c:pt idx="376">
                  <c:v>2.8380000000000001</c:v>
                </c:pt>
                <c:pt idx="377">
                  <c:v>2.9279999999999999</c:v>
                </c:pt>
                <c:pt idx="378">
                  <c:v>3.0960000000000001</c:v>
                </c:pt>
                <c:pt idx="379">
                  <c:v>2.8660000000000001</c:v>
                </c:pt>
                <c:pt idx="380">
                  <c:v>2.78</c:v>
                </c:pt>
                <c:pt idx="381">
                  <c:v>2.7170000000000001</c:v>
                </c:pt>
                <c:pt idx="382">
                  <c:v>2.7730000000000001</c:v>
                </c:pt>
                <c:pt idx="383">
                  <c:v>2.84</c:v>
                </c:pt>
                <c:pt idx="384">
                  <c:v>2.7629999999999999</c:v>
                </c:pt>
                <c:pt idx="385">
                  <c:v>2.6819999999999999</c:v>
                </c:pt>
                <c:pt idx="386">
                  <c:v>2.6429999999999998</c:v>
                </c:pt>
                <c:pt idx="387">
                  <c:v>2.6619999999999999</c:v>
                </c:pt>
                <c:pt idx="388">
                  <c:v>2.6360000000000001</c:v>
                </c:pt>
                <c:pt idx="389">
                  <c:v>2.6659999999999999</c:v>
                </c:pt>
                <c:pt idx="390">
                  <c:v>2.6850000000000001</c:v>
                </c:pt>
                <c:pt idx="391">
                  <c:v>2.585</c:v>
                </c:pt>
                <c:pt idx="392">
                  <c:v>2.613</c:v>
                </c:pt>
                <c:pt idx="393">
                  <c:v>2.819</c:v>
                </c:pt>
                <c:pt idx="394">
                  <c:v>2.79</c:v>
                </c:pt>
                <c:pt idx="395">
                  <c:v>2.6320000000000001</c:v>
                </c:pt>
                <c:pt idx="396">
                  <c:v>2.4950000000000001</c:v>
                </c:pt>
                <c:pt idx="397">
                  <c:v>2.6230000000000002</c:v>
                </c:pt>
                <c:pt idx="398">
                  <c:v>2.7160000000000002</c:v>
                </c:pt>
                <c:pt idx="399">
                  <c:v>2.7949999999999999</c:v>
                </c:pt>
                <c:pt idx="400">
                  <c:v>2.88</c:v>
                </c:pt>
                <c:pt idx="401">
                  <c:v>2.8450000000000002</c:v>
                </c:pt>
                <c:pt idx="402">
                  <c:v>2.95</c:v>
                </c:pt>
                <c:pt idx="403">
                  <c:v>2.9129999999999998</c:v>
                </c:pt>
                <c:pt idx="404">
                  <c:v>2.8809999999999998</c:v>
                </c:pt>
                <c:pt idx="405">
                  <c:v>2.8530000000000002</c:v>
                </c:pt>
                <c:pt idx="406">
                  <c:v>2.923</c:v>
                </c:pt>
                <c:pt idx="407">
                  <c:v>2.9729999999999999</c:v>
                </c:pt>
                <c:pt idx="408">
                  <c:v>3.1989999999999998</c:v>
                </c:pt>
                <c:pt idx="409">
                  <c:v>3.234</c:v>
                </c:pt>
                <c:pt idx="410">
                  <c:v>3.2320000000000002</c:v>
                </c:pt>
                <c:pt idx="411">
                  <c:v>3.125</c:v>
                </c:pt>
                <c:pt idx="412">
                  <c:v>2.9329999999999998</c:v>
                </c:pt>
                <c:pt idx="413">
                  <c:v>3.0190000000000001</c:v>
                </c:pt>
                <c:pt idx="414">
                  <c:v>3.077</c:v>
                </c:pt>
                <c:pt idx="415">
                  <c:v>3.1240000000000001</c:v>
                </c:pt>
                <c:pt idx="416">
                  <c:v>3.0609999999999999</c:v>
                </c:pt>
                <c:pt idx="417">
                  <c:v>3.0449999999999999</c:v>
                </c:pt>
                <c:pt idx="418">
                  <c:v>3.125</c:v>
                </c:pt>
                <c:pt idx="419">
                  <c:v>3.2160000000000002</c:v>
                </c:pt>
                <c:pt idx="420">
                  <c:v>3.1509999999999998</c:v>
                </c:pt>
                <c:pt idx="421">
                  <c:v>2.948</c:v>
                </c:pt>
                <c:pt idx="422">
                  <c:v>2.86</c:v>
                </c:pt>
                <c:pt idx="423">
                  <c:v>2.8330000000000002</c:v>
                </c:pt>
                <c:pt idx="424">
                  <c:v>2.8210000000000002</c:v>
                </c:pt>
                <c:pt idx="425">
                  <c:v>2.7669999999999999</c:v>
                </c:pt>
                <c:pt idx="426">
                  <c:v>2.835</c:v>
                </c:pt>
                <c:pt idx="427">
                  <c:v>2.7970000000000002</c:v>
                </c:pt>
                <c:pt idx="428">
                  <c:v>2.8460000000000001</c:v>
                </c:pt>
                <c:pt idx="429">
                  <c:v>2.8660000000000001</c:v>
                </c:pt>
                <c:pt idx="430">
                  <c:v>2.6659999999999999</c:v>
                </c:pt>
                <c:pt idx="431">
                  <c:v>2.6560000000000001</c:v>
                </c:pt>
                <c:pt idx="432">
                  <c:v>2.7130000000000001</c:v>
                </c:pt>
                <c:pt idx="433">
                  <c:v>2.7440000000000002</c:v>
                </c:pt>
                <c:pt idx="434">
                  <c:v>2.4790000000000001</c:v>
                </c:pt>
                <c:pt idx="435">
                  <c:v>2.274</c:v>
                </c:pt>
                <c:pt idx="436">
                  <c:v>2.1920000000000002</c:v>
                </c:pt>
                <c:pt idx="437">
                  <c:v>2.1589999999999998</c:v>
                </c:pt>
                <c:pt idx="438">
                  <c:v>2.0979999999999999</c:v>
                </c:pt>
                <c:pt idx="439">
                  <c:v>2.0819999999999999</c:v>
                </c:pt>
                <c:pt idx="440">
                  <c:v>1.972</c:v>
                </c:pt>
                <c:pt idx="441">
                  <c:v>1.9259999999999999</c:v>
                </c:pt>
                <c:pt idx="442">
                  <c:v>1.7529999999999999</c:v>
                </c:pt>
                <c:pt idx="443">
                  <c:v>1.5649999999999999</c:v>
                </c:pt>
                <c:pt idx="444">
                  <c:v>1.385</c:v>
                </c:pt>
                <c:pt idx="445">
                  <c:v>1.405</c:v>
                </c:pt>
                <c:pt idx="446">
                  <c:v>1.351</c:v>
                </c:pt>
                <c:pt idx="447">
                  <c:v>1.264</c:v>
                </c:pt>
                <c:pt idx="448">
                  <c:v>1.165</c:v>
                </c:pt>
                <c:pt idx="449">
                  <c:v>1.276</c:v>
                </c:pt>
                <c:pt idx="450">
                  <c:v>1.484</c:v>
                </c:pt>
                <c:pt idx="451">
                  <c:v>1.6910000000000001</c:v>
                </c:pt>
                <c:pt idx="452">
                  <c:v>1.8169999999999999</c:v>
                </c:pt>
                <c:pt idx="453">
                  <c:v>1.9419999999999999</c:v>
                </c:pt>
                <c:pt idx="454">
                  <c:v>2.3159999999999998</c:v>
                </c:pt>
                <c:pt idx="455">
                  <c:v>2.3010000000000002</c:v>
                </c:pt>
                <c:pt idx="456">
                  <c:v>2.048</c:v>
                </c:pt>
                <c:pt idx="457">
                  <c:v>1.843</c:v>
                </c:pt>
                <c:pt idx="458">
                  <c:v>1.919</c:v>
                </c:pt>
                <c:pt idx="459">
                  <c:v>1.931</c:v>
                </c:pt>
                <c:pt idx="460">
                  <c:v>1.887</c:v>
                </c:pt>
                <c:pt idx="461">
                  <c:v>2.0510000000000002</c:v>
                </c:pt>
                <c:pt idx="462">
                  <c:v>2.2749999999999999</c:v>
                </c:pt>
                <c:pt idx="463">
                  <c:v>2.5819999999999999</c:v>
                </c:pt>
                <c:pt idx="464">
                  <c:v>2.4580000000000002</c:v>
                </c:pt>
                <c:pt idx="465">
                  <c:v>2.6560000000000001</c:v>
                </c:pt>
                <c:pt idx="466">
                  <c:v>2.4239999999999999</c:v>
                </c:pt>
                <c:pt idx="467">
                  <c:v>2.2749999999999999</c:v>
                </c:pt>
                <c:pt idx="468">
                  <c:v>2.1739999999999999</c:v>
                </c:pt>
                <c:pt idx="469">
                  <c:v>2.1539999999999999</c:v>
                </c:pt>
                <c:pt idx="470">
                  <c:v>2.1850000000000001</c:v>
                </c:pt>
                <c:pt idx="471">
                  <c:v>2.2090000000000001</c:v>
                </c:pt>
                <c:pt idx="472">
                  <c:v>2.3109999999999999</c:v>
                </c:pt>
                <c:pt idx="473">
                  <c:v>2.6349999999999998</c:v>
                </c:pt>
                <c:pt idx="474">
                  <c:v>2.9359999999999999</c:v>
                </c:pt>
                <c:pt idx="475">
                  <c:v>2.7160000000000002</c:v>
                </c:pt>
                <c:pt idx="476">
                  <c:v>2.5539999999999998</c:v>
                </c:pt>
                <c:pt idx="477">
                  <c:v>2.02</c:v>
                </c:pt>
                <c:pt idx="478">
                  <c:v>2.456</c:v>
                </c:pt>
                <c:pt idx="479">
                  <c:v>1.986</c:v>
                </c:pt>
                <c:pt idx="480">
                  <c:v>1.8660000000000001</c:v>
                </c:pt>
                <c:pt idx="481">
                  <c:v>1.92</c:v>
                </c:pt>
                <c:pt idx="482">
                  <c:v>1.764</c:v>
                </c:pt>
                <c:pt idx="483">
                  <c:v>1.6040000000000001</c:v>
                </c:pt>
                <c:pt idx="484">
                  <c:v>1.6479999999999999</c:v>
                </c:pt>
                <c:pt idx="485">
                  <c:v>1.665</c:v>
                </c:pt>
                <c:pt idx="486">
                  <c:v>1.738</c:v>
                </c:pt>
                <c:pt idx="487">
                  <c:v>1.64</c:v>
                </c:pt>
                <c:pt idx="488">
                  <c:v>1.6339999999999999</c:v>
                </c:pt>
                <c:pt idx="489">
                  <c:v>1.6619999999999999</c:v>
                </c:pt>
                <c:pt idx="490">
                  <c:v>1.752</c:v>
                </c:pt>
                <c:pt idx="491">
                  <c:v>1.5669999999999999</c:v>
                </c:pt>
                <c:pt idx="492">
                  <c:v>1.333</c:v>
                </c:pt>
                <c:pt idx="493">
                  <c:v>1.4019999999999999</c:v>
                </c:pt>
                <c:pt idx="494">
                  <c:v>1.5129999999999999</c:v>
                </c:pt>
                <c:pt idx="495">
                  <c:v>1.403</c:v>
                </c:pt>
                <c:pt idx="496">
                  <c:v>1.5449999999999999</c:v>
                </c:pt>
                <c:pt idx="497">
                  <c:v>1.88</c:v>
                </c:pt>
                <c:pt idx="498">
                  <c:v>1.897</c:v>
                </c:pt>
                <c:pt idx="499">
                  <c:v>1.6659999999999999</c:v>
                </c:pt>
                <c:pt idx="500">
                  <c:v>1.222</c:v>
                </c:pt>
                <c:pt idx="501">
                  <c:v>1.097</c:v>
                </c:pt>
                <c:pt idx="502">
                  <c:v>1.171</c:v>
                </c:pt>
                <c:pt idx="503">
                  <c:v>1.1200000000000001</c:v>
                </c:pt>
                <c:pt idx="504">
                  <c:v>0.92600000000000005</c:v>
                </c:pt>
                <c:pt idx="505">
                  <c:v>0.73799999999999999</c:v>
                </c:pt>
                <c:pt idx="506">
                  <c:v>1.04</c:v>
                </c:pt>
                <c:pt idx="507">
                  <c:v>1.216</c:v>
                </c:pt>
                <c:pt idx="508">
                  <c:v>1.4470000000000001</c:v>
                </c:pt>
                <c:pt idx="509">
                  <c:v>1.577</c:v>
                </c:pt>
                <c:pt idx="510">
                  <c:v>1.6830000000000001</c:v>
                </c:pt>
                <c:pt idx="511">
                  <c:v>1.673</c:v>
                </c:pt>
                <c:pt idx="512">
                  <c:v>1.466</c:v>
                </c:pt>
                <c:pt idx="513">
                  <c:v>1.607</c:v>
                </c:pt>
                <c:pt idx="514">
                  <c:v>1.5089999999999999</c:v>
                </c:pt>
                <c:pt idx="515">
                  <c:v>1.617</c:v>
                </c:pt>
                <c:pt idx="516">
                  <c:v>1.5329999999999999</c:v>
                </c:pt>
                <c:pt idx="517">
                  <c:v>1.456</c:v>
                </c:pt>
                <c:pt idx="518">
                  <c:v>1.528</c:v>
                </c:pt>
                <c:pt idx="519">
                  <c:v>1.5820000000000001</c:v>
                </c:pt>
                <c:pt idx="520">
                  <c:v>1.5920000000000001</c:v>
                </c:pt>
                <c:pt idx="521">
                  <c:v>1.6579999999999999</c:v>
                </c:pt>
                <c:pt idx="522">
                  <c:v>1.56</c:v>
                </c:pt>
                <c:pt idx="523">
                  <c:v>1.732</c:v>
                </c:pt>
                <c:pt idx="524">
                  <c:v>1.6419999999999999</c:v>
                </c:pt>
                <c:pt idx="525">
                  <c:v>1.496</c:v>
                </c:pt>
                <c:pt idx="526">
                  <c:v>1.478</c:v>
                </c:pt>
                <c:pt idx="527">
                  <c:v>1.3859999999999999</c:v>
                </c:pt>
                <c:pt idx="528">
                  <c:v>1.248</c:v>
                </c:pt>
                <c:pt idx="529">
                  <c:v>1.228</c:v>
                </c:pt>
                <c:pt idx="530">
                  <c:v>1.2649999999999999</c:v>
                </c:pt>
                <c:pt idx="531">
                  <c:v>1.458</c:v>
                </c:pt>
                <c:pt idx="532">
                  <c:v>1.52</c:v>
                </c:pt>
                <c:pt idx="533">
                  <c:v>1.4950000000000001</c:v>
                </c:pt>
                <c:pt idx="534">
                  <c:v>1.5680000000000001</c:v>
                </c:pt>
                <c:pt idx="535">
                  <c:v>1.536</c:v>
                </c:pt>
                <c:pt idx="536">
                  <c:v>1.4970000000000001</c:v>
                </c:pt>
                <c:pt idx="537">
                  <c:v>1.647</c:v>
                </c:pt>
                <c:pt idx="538">
                  <c:v>1.647</c:v>
                </c:pt>
                <c:pt idx="539">
                  <c:v>1.581</c:v>
                </c:pt>
                <c:pt idx="540">
                  <c:v>1.631</c:v>
                </c:pt>
                <c:pt idx="541">
                  <c:v>1.625</c:v>
                </c:pt>
                <c:pt idx="542">
                  <c:v>1.6619999999999999</c:v>
                </c:pt>
                <c:pt idx="543">
                  <c:v>1.502</c:v>
                </c:pt>
                <c:pt idx="544">
                  <c:v>1.3160000000000001</c:v>
                </c:pt>
                <c:pt idx="545">
                  <c:v>1.345</c:v>
                </c:pt>
                <c:pt idx="546">
                  <c:v>1.393</c:v>
                </c:pt>
                <c:pt idx="547">
                  <c:v>1.419</c:v>
                </c:pt>
                <c:pt idx="548">
                  <c:v>1.421</c:v>
                </c:pt>
                <c:pt idx="549">
                  <c:v>1.512</c:v>
                </c:pt>
                <c:pt idx="550">
                  <c:v>1.659</c:v>
                </c:pt>
                <c:pt idx="551">
                  <c:v>1.7030000000000001</c:v>
                </c:pt>
                <c:pt idx="552">
                  <c:v>1.671</c:v>
                </c:pt>
                <c:pt idx="553">
                  <c:v>1.546</c:v>
                </c:pt>
                <c:pt idx="554">
                  <c:v>1.53</c:v>
                </c:pt>
                <c:pt idx="555">
                  <c:v>1.675</c:v>
                </c:pt>
                <c:pt idx="556">
                  <c:v>1.7250000000000001</c:v>
                </c:pt>
                <c:pt idx="557">
                  <c:v>1.738</c:v>
                </c:pt>
                <c:pt idx="558">
                  <c:v>1.786</c:v>
                </c:pt>
                <c:pt idx="559">
                  <c:v>1.8240000000000001</c:v>
                </c:pt>
                <c:pt idx="560">
                  <c:v>1.7849999999999999</c:v>
                </c:pt>
                <c:pt idx="561">
                  <c:v>1.673</c:v>
                </c:pt>
                <c:pt idx="562">
                  <c:v>1.625</c:v>
                </c:pt>
                <c:pt idx="563">
                  <c:v>1.746</c:v>
                </c:pt>
                <c:pt idx="564">
                  <c:v>1.8129999999999999</c:v>
                </c:pt>
                <c:pt idx="565">
                  <c:v>1.851</c:v>
                </c:pt>
                <c:pt idx="566">
                  <c:v>1.772</c:v>
                </c:pt>
                <c:pt idx="567">
                  <c:v>1.67</c:v>
                </c:pt>
                <c:pt idx="568">
                  <c:v>1.605</c:v>
                </c:pt>
                <c:pt idx="569">
                  <c:v>1.6870000000000001</c:v>
                </c:pt>
                <c:pt idx="570">
                  <c:v>1.8440000000000001</c:v>
                </c:pt>
                <c:pt idx="571">
                  <c:v>1.8180000000000001</c:v>
                </c:pt>
                <c:pt idx="572">
                  <c:v>1.768</c:v>
                </c:pt>
                <c:pt idx="573">
                  <c:v>1.6319999999999999</c:v>
                </c:pt>
                <c:pt idx="574">
                  <c:v>1.587</c:v>
                </c:pt>
                <c:pt idx="575">
                  <c:v>1.5649999999999999</c:v>
                </c:pt>
                <c:pt idx="576">
                  <c:v>1.649</c:v>
                </c:pt>
                <c:pt idx="577">
                  <c:v>1.6879999999999999</c:v>
                </c:pt>
                <c:pt idx="578">
                  <c:v>1.62</c:v>
                </c:pt>
                <c:pt idx="579">
                  <c:v>1.6379999999999999</c:v>
                </c:pt>
                <c:pt idx="580">
                  <c:v>1.712</c:v>
                </c:pt>
                <c:pt idx="581">
                  <c:v>1.736</c:v>
                </c:pt>
                <c:pt idx="582">
                  <c:v>1.72</c:v>
                </c:pt>
                <c:pt idx="583">
                  <c:v>1.7070000000000001</c:v>
                </c:pt>
                <c:pt idx="584">
                  <c:v>1.782</c:v>
                </c:pt>
                <c:pt idx="585">
                  <c:v>2.1190000000000002</c:v>
                </c:pt>
                <c:pt idx="586">
                  <c:v>1.9390000000000001</c:v>
                </c:pt>
                <c:pt idx="587">
                  <c:v>1.8320000000000001</c:v>
                </c:pt>
                <c:pt idx="588">
                  <c:v>1.728</c:v>
                </c:pt>
                <c:pt idx="589">
                  <c:v>1.7589999999999999</c:v>
                </c:pt>
                <c:pt idx="590">
                  <c:v>1.6850000000000001</c:v>
                </c:pt>
                <c:pt idx="591">
                  <c:v>1.677</c:v>
                </c:pt>
                <c:pt idx="592">
                  <c:v>1.7989999999999999</c:v>
                </c:pt>
                <c:pt idx="593">
                  <c:v>1.84</c:v>
                </c:pt>
                <c:pt idx="594">
                  <c:v>1.9039999999999999</c:v>
                </c:pt>
                <c:pt idx="595">
                  <c:v>2.0230000000000001</c:v>
                </c:pt>
                <c:pt idx="596">
                  <c:v>1.7829999999999999</c:v>
                </c:pt>
                <c:pt idx="597">
                  <c:v>1.7210000000000001</c:v>
                </c:pt>
                <c:pt idx="598">
                  <c:v>1.74</c:v>
                </c:pt>
                <c:pt idx="599">
                  <c:v>1.651</c:v>
                </c:pt>
                <c:pt idx="600">
                  <c:v>1.579</c:v>
                </c:pt>
                <c:pt idx="601">
                  <c:v>1.569</c:v>
                </c:pt>
                <c:pt idx="602">
                  <c:v>1.77</c:v>
                </c:pt>
                <c:pt idx="603">
                  <c:v>1.901</c:v>
                </c:pt>
                <c:pt idx="604">
                  <c:v>1.903</c:v>
                </c:pt>
                <c:pt idx="605">
                  <c:v>1.845</c:v>
                </c:pt>
                <c:pt idx="606">
                  <c:v>2.0379999999999998</c:v>
                </c:pt>
                <c:pt idx="607">
                  <c:v>2.0880000000000001</c:v>
                </c:pt>
                <c:pt idx="608">
                  <c:v>1.9330000000000001</c:v>
                </c:pt>
                <c:pt idx="609">
                  <c:v>1.7869999999999999</c:v>
                </c:pt>
                <c:pt idx="610">
                  <c:v>1.889</c:v>
                </c:pt>
                <c:pt idx="611">
                  <c:v>1.8320000000000001</c:v>
                </c:pt>
                <c:pt idx="612">
                  <c:v>1.9930000000000001</c:v>
                </c:pt>
                <c:pt idx="613">
                  <c:v>2.0630000000000002</c:v>
                </c:pt>
                <c:pt idx="614">
                  <c:v>2.1629999999999998</c:v>
                </c:pt>
                <c:pt idx="615">
                  <c:v>2.1669999999999998</c:v>
                </c:pt>
                <c:pt idx="616">
                  <c:v>2.1629999999999998</c:v>
                </c:pt>
                <c:pt idx="617">
                  <c:v>2.206</c:v>
                </c:pt>
                <c:pt idx="618">
                  <c:v>2.21</c:v>
                </c:pt>
                <c:pt idx="619">
                  <c:v>2.2519999999999998</c:v>
                </c:pt>
                <c:pt idx="620">
                  <c:v>2.2829999999999999</c:v>
                </c:pt>
                <c:pt idx="621">
                  <c:v>2.3490000000000002</c:v>
                </c:pt>
                <c:pt idx="622">
                  <c:v>2.2890000000000001</c:v>
                </c:pt>
                <c:pt idx="623">
                  <c:v>2.2909999999999999</c:v>
                </c:pt>
                <c:pt idx="624">
                  <c:v>2.2570000000000001</c:v>
                </c:pt>
                <c:pt idx="625">
                  <c:v>2.1800000000000002</c:v>
                </c:pt>
                <c:pt idx="626">
                  <c:v>2.1280000000000001</c:v>
                </c:pt>
                <c:pt idx="627">
                  <c:v>2.0680000000000001</c:v>
                </c:pt>
                <c:pt idx="628">
                  <c:v>2.149</c:v>
                </c:pt>
                <c:pt idx="629">
                  <c:v>2.1720000000000002</c:v>
                </c:pt>
                <c:pt idx="630">
                  <c:v>2.1739999999999999</c:v>
                </c:pt>
                <c:pt idx="631">
                  <c:v>2.0529999999999999</c:v>
                </c:pt>
                <c:pt idx="632">
                  <c:v>2.15</c:v>
                </c:pt>
                <c:pt idx="633">
                  <c:v>2.1150000000000002</c:v>
                </c:pt>
                <c:pt idx="634">
                  <c:v>2.0249999999999999</c:v>
                </c:pt>
                <c:pt idx="635">
                  <c:v>1.9570000000000001</c:v>
                </c:pt>
                <c:pt idx="636">
                  <c:v>2.093</c:v>
                </c:pt>
                <c:pt idx="637">
                  <c:v>2.2349999999999999</c:v>
                </c:pt>
                <c:pt idx="638">
                  <c:v>2.19</c:v>
                </c:pt>
                <c:pt idx="639">
                  <c:v>2.1779999999999999</c:v>
                </c:pt>
                <c:pt idx="640">
                  <c:v>2.1829999999999998</c:v>
                </c:pt>
                <c:pt idx="641">
                  <c:v>2.3439999999999999</c:v>
                </c:pt>
                <c:pt idx="642">
                  <c:v>2.4289999999999998</c:v>
                </c:pt>
                <c:pt idx="643">
                  <c:v>2.3490000000000002</c:v>
                </c:pt>
                <c:pt idx="644">
                  <c:v>2.2999999999999998</c:v>
                </c:pt>
                <c:pt idx="645">
                  <c:v>2.1309999999999998</c:v>
                </c:pt>
                <c:pt idx="646">
                  <c:v>1.8859999999999999</c:v>
                </c:pt>
                <c:pt idx="647">
                  <c:v>1.8149999999999999</c:v>
                </c:pt>
                <c:pt idx="648">
                  <c:v>1.6539999999999999</c:v>
                </c:pt>
                <c:pt idx="649">
                  <c:v>1.8089999999999999</c:v>
                </c:pt>
                <c:pt idx="650">
                  <c:v>1.6479999999999999</c:v>
                </c:pt>
                <c:pt idx="651">
                  <c:v>1.524</c:v>
                </c:pt>
                <c:pt idx="652">
                  <c:v>1.5289999999999999</c:v>
                </c:pt>
                <c:pt idx="653">
                  <c:v>1.7729999999999999</c:v>
                </c:pt>
                <c:pt idx="654">
                  <c:v>1.569</c:v>
                </c:pt>
                <c:pt idx="655">
                  <c:v>1.5469999999999999</c:v>
                </c:pt>
                <c:pt idx="656">
                  <c:v>1.5389999999999999</c:v>
                </c:pt>
                <c:pt idx="657">
                  <c:v>1.667</c:v>
                </c:pt>
                <c:pt idx="658">
                  <c:v>1.67</c:v>
                </c:pt>
                <c:pt idx="659">
                  <c:v>1.645</c:v>
                </c:pt>
                <c:pt idx="660">
                  <c:v>1.8620000000000001</c:v>
                </c:pt>
                <c:pt idx="661">
                  <c:v>1.837</c:v>
                </c:pt>
                <c:pt idx="662">
                  <c:v>1.837</c:v>
                </c:pt>
                <c:pt idx="663">
                  <c:v>1.7330000000000001</c:v>
                </c:pt>
                <c:pt idx="664">
                  <c:v>1.879</c:v>
                </c:pt>
                <c:pt idx="665">
                  <c:v>1.9410000000000001</c:v>
                </c:pt>
                <c:pt idx="666">
                  <c:v>2.0539999999999998</c:v>
                </c:pt>
                <c:pt idx="667">
                  <c:v>2.1789999999999998</c:v>
                </c:pt>
                <c:pt idx="668">
                  <c:v>2.339</c:v>
                </c:pt>
                <c:pt idx="669">
                  <c:v>2.5779999999999998</c:v>
                </c:pt>
                <c:pt idx="670">
                  <c:v>2.5640000000000001</c:v>
                </c:pt>
                <c:pt idx="671">
                  <c:v>2.5430000000000001</c:v>
                </c:pt>
                <c:pt idx="672">
                  <c:v>2.5409999999999999</c:v>
                </c:pt>
                <c:pt idx="673">
                  <c:v>2.3279999999999998</c:v>
                </c:pt>
                <c:pt idx="674">
                  <c:v>2.2309999999999999</c:v>
                </c:pt>
                <c:pt idx="675">
                  <c:v>2.1520000000000001</c:v>
                </c:pt>
                <c:pt idx="676">
                  <c:v>2.0750000000000002</c:v>
                </c:pt>
                <c:pt idx="677">
                  <c:v>1.879</c:v>
                </c:pt>
                <c:pt idx="678">
                  <c:v>1.841</c:v>
                </c:pt>
                <c:pt idx="679">
                  <c:v>1.742</c:v>
                </c:pt>
                <c:pt idx="680">
                  <c:v>1.9430000000000001</c:v>
                </c:pt>
                <c:pt idx="681">
                  <c:v>1.992</c:v>
                </c:pt>
                <c:pt idx="682">
                  <c:v>1.9590000000000001</c:v>
                </c:pt>
                <c:pt idx="683">
                  <c:v>1.829</c:v>
                </c:pt>
                <c:pt idx="684">
                  <c:v>1.85</c:v>
                </c:pt>
                <c:pt idx="685">
                  <c:v>1.9239999999999999</c:v>
                </c:pt>
                <c:pt idx="686">
                  <c:v>1.706</c:v>
                </c:pt>
                <c:pt idx="687">
                  <c:v>1.7390000000000001</c:v>
                </c:pt>
                <c:pt idx="688">
                  <c:v>1.772</c:v>
                </c:pt>
                <c:pt idx="689">
                  <c:v>2.0179999999999998</c:v>
                </c:pt>
                <c:pt idx="690">
                  <c:v>2.0699999999999998</c:v>
                </c:pt>
                <c:pt idx="691">
                  <c:v>1.911</c:v>
                </c:pt>
                <c:pt idx="692">
                  <c:v>2.0979999999999999</c:v>
                </c:pt>
                <c:pt idx="693">
                  <c:v>2.1909999999999998</c:v>
                </c:pt>
                <c:pt idx="694">
                  <c:v>2.3610000000000002</c:v>
                </c:pt>
                <c:pt idx="695">
                  <c:v>2.4569999999999999</c:v>
                </c:pt>
                <c:pt idx="696">
                  <c:v>2.2280000000000002</c:v>
                </c:pt>
                <c:pt idx="697">
                  <c:v>1.8720000000000001</c:v>
                </c:pt>
                <c:pt idx="698">
                  <c:v>2.1360000000000001</c:v>
                </c:pt>
                <c:pt idx="699">
                  <c:v>2.2090000000000001</c:v>
                </c:pt>
                <c:pt idx="700">
                  <c:v>1.893</c:v>
                </c:pt>
                <c:pt idx="701">
                  <c:v>1.758</c:v>
                </c:pt>
                <c:pt idx="702">
                  <c:v>1.728</c:v>
                </c:pt>
                <c:pt idx="703">
                  <c:v>1.5680000000000001</c:v>
                </c:pt>
                <c:pt idx="704">
                  <c:v>1.5960000000000001</c:v>
                </c:pt>
                <c:pt idx="705">
                  <c:v>1.68</c:v>
                </c:pt>
                <c:pt idx="706">
                  <c:v>1.7529999999999999</c:v>
                </c:pt>
                <c:pt idx="707">
                  <c:v>1.766</c:v>
                </c:pt>
                <c:pt idx="708">
                  <c:v>1.82</c:v>
                </c:pt>
                <c:pt idx="709">
                  <c:v>1.875</c:v>
                </c:pt>
                <c:pt idx="710">
                  <c:v>1.857</c:v>
                </c:pt>
                <c:pt idx="711">
                  <c:v>1.88</c:v>
                </c:pt>
                <c:pt idx="712">
                  <c:v>1.871</c:v>
                </c:pt>
                <c:pt idx="713">
                  <c:v>1.891</c:v>
                </c:pt>
                <c:pt idx="714">
                  <c:v>1.9379999999999999</c:v>
                </c:pt>
                <c:pt idx="715">
                  <c:v>1.724</c:v>
                </c:pt>
                <c:pt idx="716">
                  <c:v>1.7050000000000001</c:v>
                </c:pt>
                <c:pt idx="717">
                  <c:v>1.179</c:v>
                </c:pt>
                <c:pt idx="718">
                  <c:v>0.63600000000000001</c:v>
                </c:pt>
                <c:pt idx="719">
                  <c:v>0.42199999999999999</c:v>
                </c:pt>
                <c:pt idx="720">
                  <c:v>0.41099999999999998</c:v>
                </c:pt>
                <c:pt idx="721">
                  <c:v>0.39100000000000001</c:v>
                </c:pt>
                <c:pt idx="722">
                  <c:v>0.36899999999999999</c:v>
                </c:pt>
                <c:pt idx="723">
                  <c:v>0.46200000000000002</c:v>
                </c:pt>
                <c:pt idx="724">
                  <c:v>0.72199999999999998</c:v>
                </c:pt>
                <c:pt idx="725">
                  <c:v>0.91300000000000003</c:v>
                </c:pt>
                <c:pt idx="726">
                  <c:v>0.99199999999999999</c:v>
                </c:pt>
                <c:pt idx="727">
                  <c:v>1.1479999999999999</c:v>
                </c:pt>
                <c:pt idx="728">
                  <c:v>1.1499999999999999</c:v>
                </c:pt>
                <c:pt idx="729">
                  <c:v>1.25</c:v>
                </c:pt>
                <c:pt idx="730">
                  <c:v>1.288</c:v>
                </c:pt>
                <c:pt idx="731">
                  <c:v>1.3620000000000001</c:v>
                </c:pt>
                <c:pt idx="732">
                  <c:v>1.323</c:v>
                </c:pt>
                <c:pt idx="733">
                  <c:v>1.2689999999999999</c:v>
                </c:pt>
                <c:pt idx="734">
                  <c:v>1.359</c:v>
                </c:pt>
                <c:pt idx="735">
                  <c:v>1.31</c:v>
                </c:pt>
                <c:pt idx="736">
                  <c:v>1.3089999999999999</c:v>
                </c:pt>
                <c:pt idx="737">
                  <c:v>1.355</c:v>
                </c:pt>
                <c:pt idx="738">
                  <c:v>1.329</c:v>
                </c:pt>
                <c:pt idx="739">
                  <c:v>1.351</c:v>
                </c:pt>
                <c:pt idx="740">
                  <c:v>1.47</c:v>
                </c:pt>
                <c:pt idx="741">
                  <c:v>1.5109999999999999</c:v>
                </c:pt>
                <c:pt idx="742">
                  <c:v>1.411</c:v>
                </c:pt>
                <c:pt idx="743">
                  <c:v>1.2509999999999999</c:v>
                </c:pt>
                <c:pt idx="744">
                  <c:v>1.2789999999999999</c:v>
                </c:pt>
                <c:pt idx="745">
                  <c:v>1.2609999999999999</c:v>
                </c:pt>
                <c:pt idx="746">
                  <c:v>1.29</c:v>
                </c:pt>
                <c:pt idx="747">
                  <c:v>1.3109999999999999</c:v>
                </c:pt>
                <c:pt idx="748">
                  <c:v>1.2330000000000001</c:v>
                </c:pt>
                <c:pt idx="749">
                  <c:v>1.2350000000000001</c:v>
                </c:pt>
                <c:pt idx="750">
                  <c:v>1.2090000000000001</c:v>
                </c:pt>
                <c:pt idx="751">
                  <c:v>1.2629999999999999</c:v>
                </c:pt>
                <c:pt idx="752">
                  <c:v>1.298</c:v>
                </c:pt>
                <c:pt idx="753">
                  <c:v>1.2889999999999999</c:v>
                </c:pt>
                <c:pt idx="754">
                  <c:v>1.431</c:v>
                </c:pt>
                <c:pt idx="755">
                  <c:v>1.357</c:v>
                </c:pt>
                <c:pt idx="756">
                  <c:v>1.341</c:v>
                </c:pt>
                <c:pt idx="757">
                  <c:v>1.4179999999999999</c:v>
                </c:pt>
                <c:pt idx="758">
                  <c:v>1.5069999999999999</c:v>
                </c:pt>
                <c:pt idx="759">
                  <c:v>1.57</c:v>
                </c:pt>
                <c:pt idx="760">
                  <c:v>1.609</c:v>
                </c:pt>
                <c:pt idx="761">
                  <c:v>1.63</c:v>
                </c:pt>
                <c:pt idx="762">
                  <c:v>1.637</c:v>
                </c:pt>
                <c:pt idx="763">
                  <c:v>1.734</c:v>
                </c:pt>
                <c:pt idx="764">
                  <c:v>1.7629999999999999</c:v>
                </c:pt>
                <c:pt idx="765">
                  <c:v>1.766</c:v>
                </c:pt>
                <c:pt idx="766">
                  <c:v>1.81</c:v>
                </c:pt>
                <c:pt idx="767">
                  <c:v>1.948</c:v>
                </c:pt>
                <c:pt idx="768">
                  <c:v>2.032</c:v>
                </c:pt>
                <c:pt idx="769">
                  <c:v>2.1269999999999998</c:v>
                </c:pt>
                <c:pt idx="770">
                  <c:v>2.097</c:v>
                </c:pt>
                <c:pt idx="771">
                  <c:v>2.0129999999999999</c:v>
                </c:pt>
                <c:pt idx="772">
                  <c:v>2.069</c:v>
                </c:pt>
                <c:pt idx="773">
                  <c:v>2.0299999999999998</c:v>
                </c:pt>
                <c:pt idx="774">
                  <c:v>2.093</c:v>
                </c:pt>
                <c:pt idx="775">
                  <c:v>2.1040000000000001</c:v>
                </c:pt>
                <c:pt idx="776">
                  <c:v>2.17</c:v>
                </c:pt>
                <c:pt idx="777">
                  <c:v>2.2530000000000001</c:v>
                </c:pt>
                <c:pt idx="778">
                  <c:v>2.2210000000000001</c:v>
                </c:pt>
                <c:pt idx="779">
                  <c:v>2.206</c:v>
                </c:pt>
                <c:pt idx="780">
                  <c:v>2.2770000000000001</c:v>
                </c:pt>
                <c:pt idx="781">
                  <c:v>2.3519999999999999</c:v>
                </c:pt>
                <c:pt idx="782">
                  <c:v>2.2850000000000001</c:v>
                </c:pt>
                <c:pt idx="783">
                  <c:v>2.2469999999999999</c:v>
                </c:pt>
                <c:pt idx="784">
                  <c:v>2.3460000000000001</c:v>
                </c:pt>
                <c:pt idx="785">
                  <c:v>2.3620000000000001</c:v>
                </c:pt>
                <c:pt idx="786">
                  <c:v>2.3279999999999998</c:v>
                </c:pt>
                <c:pt idx="787">
                  <c:v>2.339</c:v>
                </c:pt>
                <c:pt idx="788">
                  <c:v>2.2989999999999999</c:v>
                </c:pt>
                <c:pt idx="789">
                  <c:v>2.4620000000000002</c:v>
                </c:pt>
                <c:pt idx="790">
                  <c:v>2.3740000000000001</c:v>
                </c:pt>
                <c:pt idx="791">
                  <c:v>2.3439999999999999</c:v>
                </c:pt>
                <c:pt idx="792">
                  <c:v>2.1869999999999998</c:v>
                </c:pt>
                <c:pt idx="793">
                  <c:v>2.3860000000000001</c:v>
                </c:pt>
                <c:pt idx="794">
                  <c:v>2.363</c:v>
                </c:pt>
                <c:pt idx="795">
                  <c:v>2.2160000000000002</c:v>
                </c:pt>
                <c:pt idx="796">
                  <c:v>2.169</c:v>
                </c:pt>
                <c:pt idx="797">
                  <c:v>2.2410000000000001</c:v>
                </c:pt>
                <c:pt idx="798">
                  <c:v>2.37</c:v>
                </c:pt>
                <c:pt idx="799">
                  <c:v>2.4140000000000001</c:v>
                </c:pt>
                <c:pt idx="800">
                  <c:v>2.4990000000000001</c:v>
                </c:pt>
                <c:pt idx="801">
                  <c:v>2.6280000000000001</c:v>
                </c:pt>
                <c:pt idx="802">
                  <c:v>2.6280000000000001</c:v>
                </c:pt>
                <c:pt idx="803">
                  <c:v>2.5230000000000001</c:v>
                </c:pt>
                <c:pt idx="804">
                  <c:v>2.5760000000000001</c:v>
                </c:pt>
                <c:pt idx="805">
                  <c:v>2.6080000000000001</c:v>
                </c:pt>
                <c:pt idx="806">
                  <c:v>2.5619999999999998</c:v>
                </c:pt>
                <c:pt idx="807">
                  <c:v>2.1789999999999998</c:v>
                </c:pt>
                <c:pt idx="808">
                  <c:v>2.3029999999999999</c:v>
                </c:pt>
                <c:pt idx="809">
                  <c:v>2.2839999999999998</c:v>
                </c:pt>
                <c:pt idx="810">
                  <c:v>2.294</c:v>
                </c:pt>
                <c:pt idx="811">
                  <c:v>2.4630000000000001</c:v>
                </c:pt>
                <c:pt idx="812">
                  <c:v>2.484</c:v>
                </c:pt>
                <c:pt idx="813">
                  <c:v>2.5409999999999999</c:v>
                </c:pt>
                <c:pt idx="814">
                  <c:v>2.4550000000000001</c:v>
                </c:pt>
                <c:pt idx="815">
                  <c:v>2.6539999999999999</c:v>
                </c:pt>
                <c:pt idx="816">
                  <c:v>2.7719999999999998</c:v>
                </c:pt>
                <c:pt idx="817">
                  <c:v>2.7530000000000001</c:v>
                </c:pt>
                <c:pt idx="818">
                  <c:v>2.782</c:v>
                </c:pt>
                <c:pt idx="819">
                  <c:v>2.9289999999999998</c:v>
                </c:pt>
                <c:pt idx="820">
                  <c:v>3.3580000000000001</c:v>
                </c:pt>
                <c:pt idx="821">
                  <c:v>3.7949999999999999</c:v>
                </c:pt>
                <c:pt idx="822">
                  <c:v>3.9420000000000002</c:v>
                </c:pt>
                <c:pt idx="823">
                  <c:v>4.0810000000000004</c:v>
                </c:pt>
                <c:pt idx="824">
                  <c:v>3.5089999999999999</c:v>
                </c:pt>
                <c:pt idx="825">
                  <c:v>3.286</c:v>
                </c:pt>
                <c:pt idx="826">
                  <c:v>3.302</c:v>
                </c:pt>
                <c:pt idx="827">
                  <c:v>3.411</c:v>
                </c:pt>
                <c:pt idx="828">
                  <c:v>3.6179999999999999</c:v>
                </c:pt>
                <c:pt idx="829">
                  <c:v>3.8959999999999999</c:v>
                </c:pt>
                <c:pt idx="830">
                  <c:v>3.996</c:v>
                </c:pt>
                <c:pt idx="831">
                  <c:v>4.0990000000000002</c:v>
                </c:pt>
                <c:pt idx="832">
                  <c:v>4.0860000000000003</c:v>
                </c:pt>
                <c:pt idx="833">
                  <c:v>4.4930000000000003</c:v>
                </c:pt>
                <c:pt idx="834">
                  <c:v>4.5510000000000002</c:v>
                </c:pt>
                <c:pt idx="835">
                  <c:v>4.1989999999999998</c:v>
                </c:pt>
                <c:pt idx="836">
                  <c:v>4.0759999999999996</c:v>
                </c:pt>
                <c:pt idx="837">
                  <c:v>3.9740000000000002</c:v>
                </c:pt>
                <c:pt idx="838">
                  <c:v>3.3460000000000001</c:v>
                </c:pt>
                <c:pt idx="839">
                  <c:v>3.2810000000000001</c:v>
                </c:pt>
                <c:pt idx="840">
                  <c:v>3.2639999999999998</c:v>
                </c:pt>
                <c:pt idx="841">
                  <c:v>3.32</c:v>
                </c:pt>
                <c:pt idx="842">
                  <c:v>3.0710000000000002</c:v>
                </c:pt>
                <c:pt idx="843">
                  <c:v>3.181</c:v>
                </c:pt>
              </c:numCache>
            </c:numRef>
          </c:val>
          <c:smooth val="0"/>
          <c:extLst>
            <c:ext xmlns:c16="http://schemas.microsoft.com/office/drawing/2014/chart" uri="{C3380CC4-5D6E-409C-BE32-E72D297353CC}">
              <c16:uniqueId val="{00000001-2957-9744-99C6-E4EE6DA4F0E1}"/>
            </c:ext>
          </c:extLst>
        </c:ser>
        <c:ser>
          <c:idx val="3"/>
          <c:order val="3"/>
          <c:tx>
            <c:strRef>
              <c:f>Hoja1!$P$1</c:f>
              <c:strCache>
                <c:ptCount val="1"/>
                <c:pt idx="0">
                  <c:v>Heating</c:v>
                </c:pt>
              </c:strCache>
            </c:strRef>
          </c:tx>
          <c:spPr>
            <a:ln w="28575" cap="rnd">
              <a:solidFill>
                <a:schemeClr val="accent4"/>
              </a:solidFill>
              <a:round/>
            </a:ln>
            <a:effectLst/>
          </c:spPr>
          <c:marker>
            <c:symbol val="none"/>
          </c:marker>
          <c:cat>
            <c:numRef>
              <c:f>Hoja1!$L$2:$L$845</c:f>
              <c:numCache>
                <c:formatCode>m/d/yy</c:formatCode>
                <c:ptCount val="844"/>
                <c:pt idx="0">
                  <c:v>38884</c:v>
                </c:pt>
                <c:pt idx="1">
                  <c:v>38891</c:v>
                </c:pt>
                <c:pt idx="2">
                  <c:v>38898</c:v>
                </c:pt>
                <c:pt idx="3">
                  <c:v>38905</c:v>
                </c:pt>
                <c:pt idx="4">
                  <c:v>38912</c:v>
                </c:pt>
                <c:pt idx="5">
                  <c:v>38919</c:v>
                </c:pt>
                <c:pt idx="6">
                  <c:v>38926</c:v>
                </c:pt>
                <c:pt idx="7">
                  <c:v>38933</c:v>
                </c:pt>
                <c:pt idx="8">
                  <c:v>38940</c:v>
                </c:pt>
                <c:pt idx="9">
                  <c:v>38947</c:v>
                </c:pt>
                <c:pt idx="10">
                  <c:v>38954</c:v>
                </c:pt>
                <c:pt idx="11">
                  <c:v>38961</c:v>
                </c:pt>
                <c:pt idx="12">
                  <c:v>38968</c:v>
                </c:pt>
                <c:pt idx="13">
                  <c:v>38975</c:v>
                </c:pt>
                <c:pt idx="14">
                  <c:v>38982</c:v>
                </c:pt>
                <c:pt idx="15">
                  <c:v>38989</c:v>
                </c:pt>
                <c:pt idx="16">
                  <c:v>38996</c:v>
                </c:pt>
                <c:pt idx="17">
                  <c:v>39003</c:v>
                </c:pt>
                <c:pt idx="18">
                  <c:v>39010</c:v>
                </c:pt>
                <c:pt idx="19">
                  <c:v>39017</c:v>
                </c:pt>
                <c:pt idx="20">
                  <c:v>39024</c:v>
                </c:pt>
                <c:pt idx="21">
                  <c:v>39031</c:v>
                </c:pt>
                <c:pt idx="22">
                  <c:v>39038</c:v>
                </c:pt>
                <c:pt idx="23">
                  <c:v>39045</c:v>
                </c:pt>
                <c:pt idx="24">
                  <c:v>39052</c:v>
                </c:pt>
                <c:pt idx="25">
                  <c:v>39059</c:v>
                </c:pt>
                <c:pt idx="26">
                  <c:v>39066</c:v>
                </c:pt>
                <c:pt idx="27">
                  <c:v>39073</c:v>
                </c:pt>
                <c:pt idx="28">
                  <c:v>39080</c:v>
                </c:pt>
                <c:pt idx="29">
                  <c:v>39087</c:v>
                </c:pt>
                <c:pt idx="30">
                  <c:v>39094</c:v>
                </c:pt>
                <c:pt idx="31">
                  <c:v>39101</c:v>
                </c:pt>
                <c:pt idx="32">
                  <c:v>39108</c:v>
                </c:pt>
                <c:pt idx="33">
                  <c:v>39115</c:v>
                </c:pt>
                <c:pt idx="34">
                  <c:v>39122</c:v>
                </c:pt>
                <c:pt idx="35">
                  <c:v>39129</c:v>
                </c:pt>
                <c:pt idx="36">
                  <c:v>39136</c:v>
                </c:pt>
                <c:pt idx="37">
                  <c:v>39143</c:v>
                </c:pt>
                <c:pt idx="38">
                  <c:v>39150</c:v>
                </c:pt>
                <c:pt idx="39">
                  <c:v>39157</c:v>
                </c:pt>
                <c:pt idx="40">
                  <c:v>39164</c:v>
                </c:pt>
                <c:pt idx="41">
                  <c:v>39171</c:v>
                </c:pt>
                <c:pt idx="42">
                  <c:v>39178</c:v>
                </c:pt>
                <c:pt idx="43">
                  <c:v>39185</c:v>
                </c:pt>
                <c:pt idx="44">
                  <c:v>39192</c:v>
                </c:pt>
                <c:pt idx="45">
                  <c:v>39199</c:v>
                </c:pt>
                <c:pt idx="46">
                  <c:v>39206</c:v>
                </c:pt>
                <c:pt idx="47">
                  <c:v>39213</c:v>
                </c:pt>
                <c:pt idx="48">
                  <c:v>39220</c:v>
                </c:pt>
                <c:pt idx="49">
                  <c:v>39227</c:v>
                </c:pt>
                <c:pt idx="50">
                  <c:v>39234</c:v>
                </c:pt>
                <c:pt idx="51">
                  <c:v>39241</c:v>
                </c:pt>
                <c:pt idx="52">
                  <c:v>39248</c:v>
                </c:pt>
                <c:pt idx="53">
                  <c:v>39255</c:v>
                </c:pt>
                <c:pt idx="54">
                  <c:v>39262</c:v>
                </c:pt>
                <c:pt idx="55">
                  <c:v>39269</c:v>
                </c:pt>
                <c:pt idx="56">
                  <c:v>39276</c:v>
                </c:pt>
                <c:pt idx="57">
                  <c:v>39283</c:v>
                </c:pt>
                <c:pt idx="58">
                  <c:v>39290</c:v>
                </c:pt>
                <c:pt idx="59">
                  <c:v>39297</c:v>
                </c:pt>
                <c:pt idx="60">
                  <c:v>39304</c:v>
                </c:pt>
                <c:pt idx="61">
                  <c:v>39311</c:v>
                </c:pt>
                <c:pt idx="62">
                  <c:v>39318</c:v>
                </c:pt>
                <c:pt idx="63">
                  <c:v>39325</c:v>
                </c:pt>
                <c:pt idx="64">
                  <c:v>39332</c:v>
                </c:pt>
                <c:pt idx="65">
                  <c:v>39339</c:v>
                </c:pt>
                <c:pt idx="66">
                  <c:v>39346</c:v>
                </c:pt>
                <c:pt idx="67">
                  <c:v>39353</c:v>
                </c:pt>
                <c:pt idx="68">
                  <c:v>39360</c:v>
                </c:pt>
                <c:pt idx="69">
                  <c:v>39367</c:v>
                </c:pt>
                <c:pt idx="70">
                  <c:v>39374</c:v>
                </c:pt>
                <c:pt idx="71">
                  <c:v>39381</c:v>
                </c:pt>
                <c:pt idx="72">
                  <c:v>39388</c:v>
                </c:pt>
                <c:pt idx="73">
                  <c:v>39395</c:v>
                </c:pt>
                <c:pt idx="74">
                  <c:v>39402</c:v>
                </c:pt>
                <c:pt idx="75">
                  <c:v>39409</c:v>
                </c:pt>
                <c:pt idx="76">
                  <c:v>39416</c:v>
                </c:pt>
                <c:pt idx="77">
                  <c:v>39423</c:v>
                </c:pt>
                <c:pt idx="78">
                  <c:v>39430</c:v>
                </c:pt>
                <c:pt idx="79">
                  <c:v>39437</c:v>
                </c:pt>
                <c:pt idx="80">
                  <c:v>39444</c:v>
                </c:pt>
                <c:pt idx="81">
                  <c:v>39451</c:v>
                </c:pt>
                <c:pt idx="82">
                  <c:v>39458</c:v>
                </c:pt>
                <c:pt idx="83">
                  <c:v>39465</c:v>
                </c:pt>
                <c:pt idx="84">
                  <c:v>39472</c:v>
                </c:pt>
                <c:pt idx="85">
                  <c:v>39479</c:v>
                </c:pt>
                <c:pt idx="86">
                  <c:v>39486</c:v>
                </c:pt>
                <c:pt idx="87">
                  <c:v>39493</c:v>
                </c:pt>
                <c:pt idx="88">
                  <c:v>39500</c:v>
                </c:pt>
                <c:pt idx="89">
                  <c:v>39507</c:v>
                </c:pt>
                <c:pt idx="90">
                  <c:v>39514</c:v>
                </c:pt>
                <c:pt idx="91">
                  <c:v>39521</c:v>
                </c:pt>
                <c:pt idx="92">
                  <c:v>39528</c:v>
                </c:pt>
                <c:pt idx="93">
                  <c:v>39535</c:v>
                </c:pt>
                <c:pt idx="94">
                  <c:v>39542</c:v>
                </c:pt>
                <c:pt idx="95">
                  <c:v>39549</c:v>
                </c:pt>
                <c:pt idx="96">
                  <c:v>39556</c:v>
                </c:pt>
                <c:pt idx="97">
                  <c:v>39563</c:v>
                </c:pt>
                <c:pt idx="98">
                  <c:v>39570</c:v>
                </c:pt>
                <c:pt idx="99">
                  <c:v>39577</c:v>
                </c:pt>
                <c:pt idx="100">
                  <c:v>39584</c:v>
                </c:pt>
                <c:pt idx="101">
                  <c:v>39591</c:v>
                </c:pt>
                <c:pt idx="102">
                  <c:v>39598</c:v>
                </c:pt>
                <c:pt idx="103">
                  <c:v>39605</c:v>
                </c:pt>
                <c:pt idx="104">
                  <c:v>39612</c:v>
                </c:pt>
                <c:pt idx="105">
                  <c:v>39619</c:v>
                </c:pt>
                <c:pt idx="106">
                  <c:v>39626</c:v>
                </c:pt>
                <c:pt idx="107">
                  <c:v>39633</c:v>
                </c:pt>
                <c:pt idx="108">
                  <c:v>39640</c:v>
                </c:pt>
                <c:pt idx="109">
                  <c:v>39647</c:v>
                </c:pt>
                <c:pt idx="110">
                  <c:v>39654</c:v>
                </c:pt>
                <c:pt idx="111">
                  <c:v>39661</c:v>
                </c:pt>
                <c:pt idx="112">
                  <c:v>39668</c:v>
                </c:pt>
                <c:pt idx="113">
                  <c:v>39675</c:v>
                </c:pt>
                <c:pt idx="114">
                  <c:v>39682</c:v>
                </c:pt>
                <c:pt idx="115">
                  <c:v>39689</c:v>
                </c:pt>
                <c:pt idx="116">
                  <c:v>39696</c:v>
                </c:pt>
                <c:pt idx="117">
                  <c:v>39703</c:v>
                </c:pt>
                <c:pt idx="118">
                  <c:v>39710</c:v>
                </c:pt>
                <c:pt idx="119">
                  <c:v>39717</c:v>
                </c:pt>
                <c:pt idx="120">
                  <c:v>39724</c:v>
                </c:pt>
                <c:pt idx="121">
                  <c:v>39731</c:v>
                </c:pt>
                <c:pt idx="122">
                  <c:v>39738</c:v>
                </c:pt>
                <c:pt idx="123">
                  <c:v>39745</c:v>
                </c:pt>
                <c:pt idx="124">
                  <c:v>39752</c:v>
                </c:pt>
                <c:pt idx="125">
                  <c:v>39759</c:v>
                </c:pt>
                <c:pt idx="126">
                  <c:v>39766</c:v>
                </c:pt>
                <c:pt idx="127">
                  <c:v>39773</c:v>
                </c:pt>
                <c:pt idx="128">
                  <c:v>39780</c:v>
                </c:pt>
                <c:pt idx="129">
                  <c:v>39787</c:v>
                </c:pt>
                <c:pt idx="130">
                  <c:v>39794</c:v>
                </c:pt>
                <c:pt idx="131">
                  <c:v>39801</c:v>
                </c:pt>
                <c:pt idx="132">
                  <c:v>39808</c:v>
                </c:pt>
                <c:pt idx="133">
                  <c:v>39815</c:v>
                </c:pt>
                <c:pt idx="134">
                  <c:v>39822</c:v>
                </c:pt>
                <c:pt idx="135">
                  <c:v>39829</c:v>
                </c:pt>
                <c:pt idx="136">
                  <c:v>39836</c:v>
                </c:pt>
                <c:pt idx="137">
                  <c:v>39843</c:v>
                </c:pt>
                <c:pt idx="138">
                  <c:v>39850</c:v>
                </c:pt>
                <c:pt idx="139">
                  <c:v>39857</c:v>
                </c:pt>
                <c:pt idx="140">
                  <c:v>39864</c:v>
                </c:pt>
                <c:pt idx="141">
                  <c:v>39871</c:v>
                </c:pt>
                <c:pt idx="142">
                  <c:v>39878</c:v>
                </c:pt>
                <c:pt idx="143">
                  <c:v>39885</c:v>
                </c:pt>
                <c:pt idx="144">
                  <c:v>39892</c:v>
                </c:pt>
                <c:pt idx="145">
                  <c:v>39899</c:v>
                </c:pt>
                <c:pt idx="146">
                  <c:v>39906</c:v>
                </c:pt>
                <c:pt idx="147">
                  <c:v>39913</c:v>
                </c:pt>
                <c:pt idx="148">
                  <c:v>39920</c:v>
                </c:pt>
                <c:pt idx="149">
                  <c:v>39927</c:v>
                </c:pt>
                <c:pt idx="150">
                  <c:v>39934</c:v>
                </c:pt>
                <c:pt idx="151">
                  <c:v>39941</c:v>
                </c:pt>
                <c:pt idx="152">
                  <c:v>39948</c:v>
                </c:pt>
                <c:pt idx="153">
                  <c:v>39955</c:v>
                </c:pt>
                <c:pt idx="154">
                  <c:v>39962</c:v>
                </c:pt>
                <c:pt idx="155">
                  <c:v>39969</c:v>
                </c:pt>
                <c:pt idx="156">
                  <c:v>39976</c:v>
                </c:pt>
                <c:pt idx="157">
                  <c:v>39983</c:v>
                </c:pt>
                <c:pt idx="158">
                  <c:v>39990</c:v>
                </c:pt>
                <c:pt idx="159">
                  <c:v>39997</c:v>
                </c:pt>
                <c:pt idx="160">
                  <c:v>40004</c:v>
                </c:pt>
                <c:pt idx="161">
                  <c:v>40011</c:v>
                </c:pt>
                <c:pt idx="162">
                  <c:v>40018</c:v>
                </c:pt>
                <c:pt idx="163">
                  <c:v>40025</c:v>
                </c:pt>
                <c:pt idx="164">
                  <c:v>40032</c:v>
                </c:pt>
                <c:pt idx="165">
                  <c:v>40039</c:v>
                </c:pt>
                <c:pt idx="166">
                  <c:v>40046</c:v>
                </c:pt>
                <c:pt idx="167">
                  <c:v>40053</c:v>
                </c:pt>
                <c:pt idx="168">
                  <c:v>40060</c:v>
                </c:pt>
                <c:pt idx="169">
                  <c:v>40067</c:v>
                </c:pt>
                <c:pt idx="170">
                  <c:v>40074</c:v>
                </c:pt>
                <c:pt idx="171">
                  <c:v>40081</c:v>
                </c:pt>
                <c:pt idx="172">
                  <c:v>40088</c:v>
                </c:pt>
                <c:pt idx="173">
                  <c:v>40095</c:v>
                </c:pt>
                <c:pt idx="174">
                  <c:v>40102</c:v>
                </c:pt>
                <c:pt idx="175">
                  <c:v>40109</c:v>
                </c:pt>
                <c:pt idx="176">
                  <c:v>40116</c:v>
                </c:pt>
                <c:pt idx="177">
                  <c:v>40123</c:v>
                </c:pt>
                <c:pt idx="178">
                  <c:v>40130</c:v>
                </c:pt>
                <c:pt idx="179">
                  <c:v>40137</c:v>
                </c:pt>
                <c:pt idx="180">
                  <c:v>40144</c:v>
                </c:pt>
                <c:pt idx="181">
                  <c:v>40151</c:v>
                </c:pt>
                <c:pt idx="182">
                  <c:v>40158</c:v>
                </c:pt>
                <c:pt idx="183">
                  <c:v>40165</c:v>
                </c:pt>
                <c:pt idx="184">
                  <c:v>40172</c:v>
                </c:pt>
                <c:pt idx="185">
                  <c:v>40179</c:v>
                </c:pt>
                <c:pt idx="186">
                  <c:v>40186</c:v>
                </c:pt>
                <c:pt idx="187">
                  <c:v>40193</c:v>
                </c:pt>
                <c:pt idx="188">
                  <c:v>40200</c:v>
                </c:pt>
                <c:pt idx="189">
                  <c:v>40207</c:v>
                </c:pt>
                <c:pt idx="190">
                  <c:v>40214</c:v>
                </c:pt>
                <c:pt idx="191">
                  <c:v>40221</c:v>
                </c:pt>
                <c:pt idx="192">
                  <c:v>40228</c:v>
                </c:pt>
                <c:pt idx="193">
                  <c:v>40235</c:v>
                </c:pt>
                <c:pt idx="194">
                  <c:v>40242</c:v>
                </c:pt>
                <c:pt idx="195">
                  <c:v>40249</c:v>
                </c:pt>
                <c:pt idx="196">
                  <c:v>40256</c:v>
                </c:pt>
                <c:pt idx="197">
                  <c:v>40263</c:v>
                </c:pt>
                <c:pt idx="198">
                  <c:v>40270</c:v>
                </c:pt>
                <c:pt idx="199">
                  <c:v>40277</c:v>
                </c:pt>
                <c:pt idx="200">
                  <c:v>40284</c:v>
                </c:pt>
                <c:pt idx="201">
                  <c:v>40291</c:v>
                </c:pt>
                <c:pt idx="202">
                  <c:v>40298</c:v>
                </c:pt>
                <c:pt idx="203">
                  <c:v>40305</c:v>
                </c:pt>
                <c:pt idx="204">
                  <c:v>40312</c:v>
                </c:pt>
                <c:pt idx="205">
                  <c:v>40319</c:v>
                </c:pt>
                <c:pt idx="206">
                  <c:v>40326</c:v>
                </c:pt>
                <c:pt idx="207">
                  <c:v>40333</c:v>
                </c:pt>
                <c:pt idx="208">
                  <c:v>40340</c:v>
                </c:pt>
                <c:pt idx="209">
                  <c:v>40347</c:v>
                </c:pt>
                <c:pt idx="210">
                  <c:v>40354</c:v>
                </c:pt>
                <c:pt idx="211">
                  <c:v>40361</c:v>
                </c:pt>
                <c:pt idx="212">
                  <c:v>40368</c:v>
                </c:pt>
                <c:pt idx="213">
                  <c:v>40375</c:v>
                </c:pt>
                <c:pt idx="214">
                  <c:v>40382</c:v>
                </c:pt>
                <c:pt idx="215">
                  <c:v>40389</c:v>
                </c:pt>
                <c:pt idx="216">
                  <c:v>40396</c:v>
                </c:pt>
                <c:pt idx="217">
                  <c:v>40403</c:v>
                </c:pt>
                <c:pt idx="218">
                  <c:v>40410</c:v>
                </c:pt>
                <c:pt idx="219">
                  <c:v>40417</c:v>
                </c:pt>
                <c:pt idx="220">
                  <c:v>40424</c:v>
                </c:pt>
                <c:pt idx="221">
                  <c:v>40431</c:v>
                </c:pt>
                <c:pt idx="222">
                  <c:v>40438</c:v>
                </c:pt>
                <c:pt idx="223">
                  <c:v>40445</c:v>
                </c:pt>
                <c:pt idx="224">
                  <c:v>40452</c:v>
                </c:pt>
                <c:pt idx="225">
                  <c:v>40459</c:v>
                </c:pt>
                <c:pt idx="226">
                  <c:v>40466</c:v>
                </c:pt>
                <c:pt idx="227">
                  <c:v>40473</c:v>
                </c:pt>
                <c:pt idx="228">
                  <c:v>40480</c:v>
                </c:pt>
                <c:pt idx="229">
                  <c:v>40487</c:v>
                </c:pt>
                <c:pt idx="230">
                  <c:v>40494</c:v>
                </c:pt>
                <c:pt idx="231">
                  <c:v>40501</c:v>
                </c:pt>
                <c:pt idx="232">
                  <c:v>40508</c:v>
                </c:pt>
                <c:pt idx="233">
                  <c:v>40515</c:v>
                </c:pt>
                <c:pt idx="234">
                  <c:v>40522</c:v>
                </c:pt>
                <c:pt idx="235">
                  <c:v>40529</c:v>
                </c:pt>
                <c:pt idx="236">
                  <c:v>40536</c:v>
                </c:pt>
                <c:pt idx="237">
                  <c:v>40543</c:v>
                </c:pt>
                <c:pt idx="238">
                  <c:v>40550</c:v>
                </c:pt>
                <c:pt idx="239">
                  <c:v>40557</c:v>
                </c:pt>
                <c:pt idx="240">
                  <c:v>40564</c:v>
                </c:pt>
                <c:pt idx="241">
                  <c:v>40571</c:v>
                </c:pt>
                <c:pt idx="242">
                  <c:v>40578</c:v>
                </c:pt>
                <c:pt idx="243">
                  <c:v>40585</c:v>
                </c:pt>
                <c:pt idx="244">
                  <c:v>40592</c:v>
                </c:pt>
                <c:pt idx="245">
                  <c:v>40599</c:v>
                </c:pt>
                <c:pt idx="246">
                  <c:v>40606</c:v>
                </c:pt>
                <c:pt idx="247">
                  <c:v>40613</c:v>
                </c:pt>
                <c:pt idx="248">
                  <c:v>40620</c:v>
                </c:pt>
                <c:pt idx="249">
                  <c:v>40627</c:v>
                </c:pt>
                <c:pt idx="250">
                  <c:v>40634</c:v>
                </c:pt>
                <c:pt idx="251">
                  <c:v>40641</c:v>
                </c:pt>
                <c:pt idx="252">
                  <c:v>40648</c:v>
                </c:pt>
                <c:pt idx="253">
                  <c:v>40655</c:v>
                </c:pt>
                <c:pt idx="254">
                  <c:v>40662</c:v>
                </c:pt>
                <c:pt idx="255">
                  <c:v>40669</c:v>
                </c:pt>
                <c:pt idx="256">
                  <c:v>40676</c:v>
                </c:pt>
                <c:pt idx="257">
                  <c:v>40683</c:v>
                </c:pt>
                <c:pt idx="258">
                  <c:v>40690</c:v>
                </c:pt>
                <c:pt idx="259">
                  <c:v>40697</c:v>
                </c:pt>
                <c:pt idx="260">
                  <c:v>40704</c:v>
                </c:pt>
                <c:pt idx="261">
                  <c:v>40711</c:v>
                </c:pt>
                <c:pt idx="262">
                  <c:v>40718</c:v>
                </c:pt>
                <c:pt idx="263">
                  <c:v>40725</c:v>
                </c:pt>
                <c:pt idx="264">
                  <c:v>40732</c:v>
                </c:pt>
                <c:pt idx="265">
                  <c:v>40739</c:v>
                </c:pt>
                <c:pt idx="266">
                  <c:v>40746</c:v>
                </c:pt>
                <c:pt idx="267">
                  <c:v>40753</c:v>
                </c:pt>
                <c:pt idx="268">
                  <c:v>40760</c:v>
                </c:pt>
                <c:pt idx="269">
                  <c:v>40767</c:v>
                </c:pt>
                <c:pt idx="270">
                  <c:v>40774</c:v>
                </c:pt>
                <c:pt idx="271">
                  <c:v>40781</c:v>
                </c:pt>
                <c:pt idx="272">
                  <c:v>40788</c:v>
                </c:pt>
                <c:pt idx="273">
                  <c:v>40795</c:v>
                </c:pt>
                <c:pt idx="274">
                  <c:v>40802</c:v>
                </c:pt>
                <c:pt idx="275">
                  <c:v>40809</c:v>
                </c:pt>
                <c:pt idx="276">
                  <c:v>40816</c:v>
                </c:pt>
                <c:pt idx="277">
                  <c:v>40823</c:v>
                </c:pt>
                <c:pt idx="278">
                  <c:v>40830</c:v>
                </c:pt>
                <c:pt idx="279">
                  <c:v>40837</c:v>
                </c:pt>
                <c:pt idx="280">
                  <c:v>40844</c:v>
                </c:pt>
                <c:pt idx="281">
                  <c:v>40851</c:v>
                </c:pt>
                <c:pt idx="282">
                  <c:v>40858</c:v>
                </c:pt>
                <c:pt idx="283">
                  <c:v>40865</c:v>
                </c:pt>
                <c:pt idx="284">
                  <c:v>40872</c:v>
                </c:pt>
                <c:pt idx="285">
                  <c:v>40879</c:v>
                </c:pt>
                <c:pt idx="286">
                  <c:v>40886</c:v>
                </c:pt>
                <c:pt idx="287">
                  <c:v>40893</c:v>
                </c:pt>
                <c:pt idx="288">
                  <c:v>40900</c:v>
                </c:pt>
                <c:pt idx="289">
                  <c:v>40907</c:v>
                </c:pt>
                <c:pt idx="290">
                  <c:v>40914</c:v>
                </c:pt>
                <c:pt idx="291">
                  <c:v>40921</c:v>
                </c:pt>
                <c:pt idx="292">
                  <c:v>40928</c:v>
                </c:pt>
                <c:pt idx="293">
                  <c:v>40935</c:v>
                </c:pt>
                <c:pt idx="294">
                  <c:v>40942</c:v>
                </c:pt>
                <c:pt idx="295">
                  <c:v>40949</c:v>
                </c:pt>
                <c:pt idx="296">
                  <c:v>40956</c:v>
                </c:pt>
                <c:pt idx="297">
                  <c:v>40963</c:v>
                </c:pt>
                <c:pt idx="298">
                  <c:v>40970</c:v>
                </c:pt>
                <c:pt idx="299">
                  <c:v>40977</c:v>
                </c:pt>
                <c:pt idx="300">
                  <c:v>40984</c:v>
                </c:pt>
                <c:pt idx="301">
                  <c:v>40991</c:v>
                </c:pt>
                <c:pt idx="302">
                  <c:v>40998</c:v>
                </c:pt>
                <c:pt idx="303">
                  <c:v>41005</c:v>
                </c:pt>
                <c:pt idx="304">
                  <c:v>41012</c:v>
                </c:pt>
                <c:pt idx="305">
                  <c:v>41019</c:v>
                </c:pt>
                <c:pt idx="306">
                  <c:v>41026</c:v>
                </c:pt>
                <c:pt idx="307">
                  <c:v>41033</c:v>
                </c:pt>
                <c:pt idx="308">
                  <c:v>41040</c:v>
                </c:pt>
                <c:pt idx="309">
                  <c:v>41047</c:v>
                </c:pt>
                <c:pt idx="310">
                  <c:v>41054</c:v>
                </c:pt>
                <c:pt idx="311">
                  <c:v>41061</c:v>
                </c:pt>
                <c:pt idx="312">
                  <c:v>41068</c:v>
                </c:pt>
                <c:pt idx="313">
                  <c:v>41075</c:v>
                </c:pt>
                <c:pt idx="314">
                  <c:v>41082</c:v>
                </c:pt>
                <c:pt idx="315">
                  <c:v>41089</c:v>
                </c:pt>
                <c:pt idx="316">
                  <c:v>41096</c:v>
                </c:pt>
                <c:pt idx="317">
                  <c:v>41103</c:v>
                </c:pt>
                <c:pt idx="318">
                  <c:v>41110</c:v>
                </c:pt>
                <c:pt idx="319">
                  <c:v>41117</c:v>
                </c:pt>
                <c:pt idx="320">
                  <c:v>41124</c:v>
                </c:pt>
                <c:pt idx="321">
                  <c:v>41131</c:v>
                </c:pt>
                <c:pt idx="322">
                  <c:v>41138</c:v>
                </c:pt>
                <c:pt idx="323">
                  <c:v>41145</c:v>
                </c:pt>
                <c:pt idx="324">
                  <c:v>41152</c:v>
                </c:pt>
                <c:pt idx="325">
                  <c:v>41159</c:v>
                </c:pt>
                <c:pt idx="326">
                  <c:v>41166</c:v>
                </c:pt>
                <c:pt idx="327">
                  <c:v>41173</c:v>
                </c:pt>
                <c:pt idx="328">
                  <c:v>41180</c:v>
                </c:pt>
                <c:pt idx="329">
                  <c:v>41187</c:v>
                </c:pt>
                <c:pt idx="330">
                  <c:v>41194</c:v>
                </c:pt>
                <c:pt idx="331">
                  <c:v>41201</c:v>
                </c:pt>
                <c:pt idx="332">
                  <c:v>41208</c:v>
                </c:pt>
                <c:pt idx="333">
                  <c:v>41215</c:v>
                </c:pt>
                <c:pt idx="334">
                  <c:v>41222</c:v>
                </c:pt>
                <c:pt idx="335">
                  <c:v>41229</c:v>
                </c:pt>
                <c:pt idx="336">
                  <c:v>41236</c:v>
                </c:pt>
                <c:pt idx="337">
                  <c:v>41243</c:v>
                </c:pt>
                <c:pt idx="338">
                  <c:v>41250</c:v>
                </c:pt>
                <c:pt idx="339">
                  <c:v>41257</c:v>
                </c:pt>
                <c:pt idx="340">
                  <c:v>41264</c:v>
                </c:pt>
                <c:pt idx="341">
                  <c:v>41271</c:v>
                </c:pt>
                <c:pt idx="342">
                  <c:v>41278</c:v>
                </c:pt>
                <c:pt idx="343">
                  <c:v>41285</c:v>
                </c:pt>
                <c:pt idx="344">
                  <c:v>41292</c:v>
                </c:pt>
                <c:pt idx="345">
                  <c:v>41299</c:v>
                </c:pt>
                <c:pt idx="346">
                  <c:v>41306</c:v>
                </c:pt>
                <c:pt idx="347">
                  <c:v>41313</c:v>
                </c:pt>
                <c:pt idx="348">
                  <c:v>41320</c:v>
                </c:pt>
                <c:pt idx="349">
                  <c:v>41327</c:v>
                </c:pt>
                <c:pt idx="350">
                  <c:v>41334</c:v>
                </c:pt>
                <c:pt idx="351">
                  <c:v>41341</c:v>
                </c:pt>
                <c:pt idx="352">
                  <c:v>41348</c:v>
                </c:pt>
                <c:pt idx="353">
                  <c:v>41355</c:v>
                </c:pt>
                <c:pt idx="354">
                  <c:v>41362</c:v>
                </c:pt>
                <c:pt idx="355">
                  <c:v>41369</c:v>
                </c:pt>
                <c:pt idx="356">
                  <c:v>41376</c:v>
                </c:pt>
                <c:pt idx="357">
                  <c:v>41383</c:v>
                </c:pt>
                <c:pt idx="358">
                  <c:v>41390</c:v>
                </c:pt>
                <c:pt idx="359">
                  <c:v>41397</c:v>
                </c:pt>
                <c:pt idx="360">
                  <c:v>41404</c:v>
                </c:pt>
                <c:pt idx="361">
                  <c:v>41411</c:v>
                </c:pt>
                <c:pt idx="362">
                  <c:v>41418</c:v>
                </c:pt>
                <c:pt idx="363">
                  <c:v>41425</c:v>
                </c:pt>
                <c:pt idx="364">
                  <c:v>41432</c:v>
                </c:pt>
                <c:pt idx="365">
                  <c:v>41439</c:v>
                </c:pt>
                <c:pt idx="366">
                  <c:v>41446</c:v>
                </c:pt>
                <c:pt idx="367">
                  <c:v>41453</c:v>
                </c:pt>
                <c:pt idx="368">
                  <c:v>41460</c:v>
                </c:pt>
                <c:pt idx="369">
                  <c:v>41467</c:v>
                </c:pt>
                <c:pt idx="370">
                  <c:v>41474</c:v>
                </c:pt>
                <c:pt idx="371">
                  <c:v>41481</c:v>
                </c:pt>
                <c:pt idx="372">
                  <c:v>41488</c:v>
                </c:pt>
                <c:pt idx="373">
                  <c:v>41495</c:v>
                </c:pt>
                <c:pt idx="374">
                  <c:v>41502</c:v>
                </c:pt>
                <c:pt idx="375">
                  <c:v>41509</c:v>
                </c:pt>
                <c:pt idx="376">
                  <c:v>41516</c:v>
                </c:pt>
                <c:pt idx="377">
                  <c:v>41523</c:v>
                </c:pt>
                <c:pt idx="378">
                  <c:v>41530</c:v>
                </c:pt>
                <c:pt idx="379">
                  <c:v>41537</c:v>
                </c:pt>
                <c:pt idx="380">
                  <c:v>41544</c:v>
                </c:pt>
                <c:pt idx="381">
                  <c:v>41551</c:v>
                </c:pt>
                <c:pt idx="382">
                  <c:v>41558</c:v>
                </c:pt>
                <c:pt idx="383">
                  <c:v>41565</c:v>
                </c:pt>
                <c:pt idx="384">
                  <c:v>41572</c:v>
                </c:pt>
                <c:pt idx="385">
                  <c:v>41579</c:v>
                </c:pt>
                <c:pt idx="386">
                  <c:v>41586</c:v>
                </c:pt>
                <c:pt idx="387">
                  <c:v>41593</c:v>
                </c:pt>
                <c:pt idx="388">
                  <c:v>41600</c:v>
                </c:pt>
                <c:pt idx="389">
                  <c:v>41607</c:v>
                </c:pt>
                <c:pt idx="390">
                  <c:v>41614</c:v>
                </c:pt>
                <c:pt idx="391">
                  <c:v>41621</c:v>
                </c:pt>
                <c:pt idx="392">
                  <c:v>41628</c:v>
                </c:pt>
                <c:pt idx="393">
                  <c:v>41635</c:v>
                </c:pt>
                <c:pt idx="394">
                  <c:v>41642</c:v>
                </c:pt>
                <c:pt idx="395">
                  <c:v>41649</c:v>
                </c:pt>
                <c:pt idx="396">
                  <c:v>41656</c:v>
                </c:pt>
                <c:pt idx="397">
                  <c:v>41663</c:v>
                </c:pt>
                <c:pt idx="398">
                  <c:v>41670</c:v>
                </c:pt>
                <c:pt idx="399">
                  <c:v>41677</c:v>
                </c:pt>
                <c:pt idx="400">
                  <c:v>41684</c:v>
                </c:pt>
                <c:pt idx="401">
                  <c:v>41691</c:v>
                </c:pt>
                <c:pt idx="402">
                  <c:v>41698</c:v>
                </c:pt>
                <c:pt idx="403">
                  <c:v>41705</c:v>
                </c:pt>
                <c:pt idx="404">
                  <c:v>41712</c:v>
                </c:pt>
                <c:pt idx="405">
                  <c:v>41719</c:v>
                </c:pt>
                <c:pt idx="406">
                  <c:v>41726</c:v>
                </c:pt>
                <c:pt idx="407">
                  <c:v>41733</c:v>
                </c:pt>
                <c:pt idx="408">
                  <c:v>41740</c:v>
                </c:pt>
                <c:pt idx="409">
                  <c:v>41747</c:v>
                </c:pt>
                <c:pt idx="410">
                  <c:v>41754</c:v>
                </c:pt>
                <c:pt idx="411">
                  <c:v>41761</c:v>
                </c:pt>
                <c:pt idx="412">
                  <c:v>41768</c:v>
                </c:pt>
                <c:pt idx="413">
                  <c:v>41775</c:v>
                </c:pt>
                <c:pt idx="414">
                  <c:v>41782</c:v>
                </c:pt>
                <c:pt idx="415">
                  <c:v>41789</c:v>
                </c:pt>
                <c:pt idx="416">
                  <c:v>41796</c:v>
                </c:pt>
                <c:pt idx="417">
                  <c:v>41803</c:v>
                </c:pt>
                <c:pt idx="418">
                  <c:v>41810</c:v>
                </c:pt>
                <c:pt idx="419">
                  <c:v>41817</c:v>
                </c:pt>
                <c:pt idx="420">
                  <c:v>41824</c:v>
                </c:pt>
                <c:pt idx="421">
                  <c:v>41831</c:v>
                </c:pt>
                <c:pt idx="422">
                  <c:v>41838</c:v>
                </c:pt>
                <c:pt idx="423">
                  <c:v>41845</c:v>
                </c:pt>
                <c:pt idx="424">
                  <c:v>41852</c:v>
                </c:pt>
                <c:pt idx="425">
                  <c:v>41859</c:v>
                </c:pt>
                <c:pt idx="426">
                  <c:v>41866</c:v>
                </c:pt>
                <c:pt idx="427">
                  <c:v>41873</c:v>
                </c:pt>
                <c:pt idx="428">
                  <c:v>41880</c:v>
                </c:pt>
                <c:pt idx="429">
                  <c:v>41887</c:v>
                </c:pt>
                <c:pt idx="430">
                  <c:v>41894</c:v>
                </c:pt>
                <c:pt idx="431">
                  <c:v>41901</c:v>
                </c:pt>
                <c:pt idx="432">
                  <c:v>41908</c:v>
                </c:pt>
                <c:pt idx="433">
                  <c:v>41915</c:v>
                </c:pt>
                <c:pt idx="434">
                  <c:v>41922</c:v>
                </c:pt>
                <c:pt idx="435">
                  <c:v>41929</c:v>
                </c:pt>
                <c:pt idx="436">
                  <c:v>41936</c:v>
                </c:pt>
                <c:pt idx="437">
                  <c:v>41943</c:v>
                </c:pt>
                <c:pt idx="438">
                  <c:v>41950</c:v>
                </c:pt>
                <c:pt idx="439">
                  <c:v>41957</c:v>
                </c:pt>
                <c:pt idx="440">
                  <c:v>41964</c:v>
                </c:pt>
                <c:pt idx="441">
                  <c:v>41971</c:v>
                </c:pt>
                <c:pt idx="442">
                  <c:v>41978</c:v>
                </c:pt>
                <c:pt idx="443">
                  <c:v>41985</c:v>
                </c:pt>
                <c:pt idx="444">
                  <c:v>41992</c:v>
                </c:pt>
                <c:pt idx="445">
                  <c:v>41999</c:v>
                </c:pt>
                <c:pt idx="446">
                  <c:v>42006</c:v>
                </c:pt>
                <c:pt idx="447">
                  <c:v>42013</c:v>
                </c:pt>
                <c:pt idx="448">
                  <c:v>42020</c:v>
                </c:pt>
                <c:pt idx="449">
                  <c:v>42027</c:v>
                </c:pt>
                <c:pt idx="450">
                  <c:v>42034</c:v>
                </c:pt>
                <c:pt idx="451">
                  <c:v>42041</c:v>
                </c:pt>
                <c:pt idx="452">
                  <c:v>42048</c:v>
                </c:pt>
                <c:pt idx="453">
                  <c:v>42055</c:v>
                </c:pt>
                <c:pt idx="454">
                  <c:v>42062</c:v>
                </c:pt>
                <c:pt idx="455">
                  <c:v>42069</c:v>
                </c:pt>
                <c:pt idx="456">
                  <c:v>42076</c:v>
                </c:pt>
                <c:pt idx="457">
                  <c:v>42083</c:v>
                </c:pt>
                <c:pt idx="458">
                  <c:v>42090</c:v>
                </c:pt>
                <c:pt idx="459">
                  <c:v>42097</c:v>
                </c:pt>
                <c:pt idx="460">
                  <c:v>42104</c:v>
                </c:pt>
                <c:pt idx="461">
                  <c:v>42111</c:v>
                </c:pt>
                <c:pt idx="462">
                  <c:v>42118</c:v>
                </c:pt>
                <c:pt idx="463">
                  <c:v>42125</c:v>
                </c:pt>
                <c:pt idx="464">
                  <c:v>42132</c:v>
                </c:pt>
                <c:pt idx="465">
                  <c:v>42139</c:v>
                </c:pt>
                <c:pt idx="466">
                  <c:v>42146</c:v>
                </c:pt>
                <c:pt idx="467">
                  <c:v>42153</c:v>
                </c:pt>
                <c:pt idx="468">
                  <c:v>42160</c:v>
                </c:pt>
                <c:pt idx="469">
                  <c:v>42167</c:v>
                </c:pt>
                <c:pt idx="470">
                  <c:v>42174</c:v>
                </c:pt>
                <c:pt idx="471">
                  <c:v>42181</c:v>
                </c:pt>
                <c:pt idx="472">
                  <c:v>42188</c:v>
                </c:pt>
                <c:pt idx="473">
                  <c:v>42195</c:v>
                </c:pt>
                <c:pt idx="474">
                  <c:v>42202</c:v>
                </c:pt>
                <c:pt idx="475">
                  <c:v>42209</c:v>
                </c:pt>
                <c:pt idx="476">
                  <c:v>42216</c:v>
                </c:pt>
                <c:pt idx="477">
                  <c:v>42223</c:v>
                </c:pt>
                <c:pt idx="478">
                  <c:v>42230</c:v>
                </c:pt>
                <c:pt idx="479">
                  <c:v>42237</c:v>
                </c:pt>
                <c:pt idx="480">
                  <c:v>42244</c:v>
                </c:pt>
                <c:pt idx="481">
                  <c:v>42251</c:v>
                </c:pt>
                <c:pt idx="482">
                  <c:v>42258</c:v>
                </c:pt>
                <c:pt idx="483">
                  <c:v>42265</c:v>
                </c:pt>
                <c:pt idx="484">
                  <c:v>42272</c:v>
                </c:pt>
                <c:pt idx="485">
                  <c:v>42279</c:v>
                </c:pt>
                <c:pt idx="486">
                  <c:v>42286</c:v>
                </c:pt>
                <c:pt idx="487">
                  <c:v>42293</c:v>
                </c:pt>
                <c:pt idx="488">
                  <c:v>42300</c:v>
                </c:pt>
                <c:pt idx="489">
                  <c:v>42307</c:v>
                </c:pt>
                <c:pt idx="490">
                  <c:v>42314</c:v>
                </c:pt>
                <c:pt idx="491">
                  <c:v>42321</c:v>
                </c:pt>
                <c:pt idx="492">
                  <c:v>42328</c:v>
                </c:pt>
                <c:pt idx="493">
                  <c:v>42335</c:v>
                </c:pt>
                <c:pt idx="494">
                  <c:v>42342</c:v>
                </c:pt>
                <c:pt idx="495">
                  <c:v>42349</c:v>
                </c:pt>
                <c:pt idx="496">
                  <c:v>42356</c:v>
                </c:pt>
                <c:pt idx="497">
                  <c:v>42363</c:v>
                </c:pt>
                <c:pt idx="498">
                  <c:v>42370</c:v>
                </c:pt>
                <c:pt idx="499">
                  <c:v>42377</c:v>
                </c:pt>
                <c:pt idx="500">
                  <c:v>42384</c:v>
                </c:pt>
                <c:pt idx="501">
                  <c:v>42391</c:v>
                </c:pt>
                <c:pt idx="502">
                  <c:v>42398</c:v>
                </c:pt>
                <c:pt idx="503">
                  <c:v>42405</c:v>
                </c:pt>
                <c:pt idx="504">
                  <c:v>42412</c:v>
                </c:pt>
                <c:pt idx="505">
                  <c:v>42419</c:v>
                </c:pt>
                <c:pt idx="506">
                  <c:v>42426</c:v>
                </c:pt>
                <c:pt idx="507">
                  <c:v>42433</c:v>
                </c:pt>
                <c:pt idx="508">
                  <c:v>42440</c:v>
                </c:pt>
                <c:pt idx="509">
                  <c:v>42447</c:v>
                </c:pt>
                <c:pt idx="510">
                  <c:v>42454</c:v>
                </c:pt>
                <c:pt idx="511">
                  <c:v>42461</c:v>
                </c:pt>
                <c:pt idx="512">
                  <c:v>42468</c:v>
                </c:pt>
                <c:pt idx="513">
                  <c:v>42475</c:v>
                </c:pt>
                <c:pt idx="514">
                  <c:v>42482</c:v>
                </c:pt>
                <c:pt idx="515">
                  <c:v>42489</c:v>
                </c:pt>
                <c:pt idx="516">
                  <c:v>42496</c:v>
                </c:pt>
                <c:pt idx="517">
                  <c:v>42503</c:v>
                </c:pt>
                <c:pt idx="518">
                  <c:v>42510</c:v>
                </c:pt>
                <c:pt idx="519">
                  <c:v>42517</c:v>
                </c:pt>
                <c:pt idx="520">
                  <c:v>42524</c:v>
                </c:pt>
                <c:pt idx="521">
                  <c:v>42531</c:v>
                </c:pt>
                <c:pt idx="522">
                  <c:v>42538</c:v>
                </c:pt>
                <c:pt idx="523">
                  <c:v>42545</c:v>
                </c:pt>
                <c:pt idx="524">
                  <c:v>42552</c:v>
                </c:pt>
                <c:pt idx="525">
                  <c:v>42559</c:v>
                </c:pt>
                <c:pt idx="526">
                  <c:v>42566</c:v>
                </c:pt>
                <c:pt idx="527">
                  <c:v>42573</c:v>
                </c:pt>
                <c:pt idx="528">
                  <c:v>42580</c:v>
                </c:pt>
                <c:pt idx="529">
                  <c:v>42587</c:v>
                </c:pt>
                <c:pt idx="530">
                  <c:v>42594</c:v>
                </c:pt>
                <c:pt idx="531">
                  <c:v>42601</c:v>
                </c:pt>
                <c:pt idx="532">
                  <c:v>42608</c:v>
                </c:pt>
                <c:pt idx="533">
                  <c:v>42615</c:v>
                </c:pt>
                <c:pt idx="534">
                  <c:v>42622</c:v>
                </c:pt>
                <c:pt idx="535">
                  <c:v>42629</c:v>
                </c:pt>
                <c:pt idx="536">
                  <c:v>42636</c:v>
                </c:pt>
                <c:pt idx="537">
                  <c:v>42643</c:v>
                </c:pt>
                <c:pt idx="538">
                  <c:v>42650</c:v>
                </c:pt>
                <c:pt idx="539">
                  <c:v>42657</c:v>
                </c:pt>
                <c:pt idx="540">
                  <c:v>42664</c:v>
                </c:pt>
                <c:pt idx="541">
                  <c:v>42671</c:v>
                </c:pt>
                <c:pt idx="542">
                  <c:v>42678</c:v>
                </c:pt>
                <c:pt idx="543">
                  <c:v>42685</c:v>
                </c:pt>
                <c:pt idx="544">
                  <c:v>42692</c:v>
                </c:pt>
                <c:pt idx="545">
                  <c:v>42699</c:v>
                </c:pt>
                <c:pt idx="546">
                  <c:v>42706</c:v>
                </c:pt>
                <c:pt idx="547">
                  <c:v>42713</c:v>
                </c:pt>
                <c:pt idx="548">
                  <c:v>42720</c:v>
                </c:pt>
                <c:pt idx="549">
                  <c:v>42727</c:v>
                </c:pt>
                <c:pt idx="550">
                  <c:v>42734</c:v>
                </c:pt>
                <c:pt idx="551">
                  <c:v>42741</c:v>
                </c:pt>
                <c:pt idx="552">
                  <c:v>42748</c:v>
                </c:pt>
                <c:pt idx="553">
                  <c:v>42755</c:v>
                </c:pt>
                <c:pt idx="554">
                  <c:v>42762</c:v>
                </c:pt>
                <c:pt idx="555">
                  <c:v>42769</c:v>
                </c:pt>
                <c:pt idx="556">
                  <c:v>42776</c:v>
                </c:pt>
                <c:pt idx="557">
                  <c:v>42783</c:v>
                </c:pt>
                <c:pt idx="558">
                  <c:v>42790</c:v>
                </c:pt>
                <c:pt idx="559">
                  <c:v>42797</c:v>
                </c:pt>
                <c:pt idx="560">
                  <c:v>42804</c:v>
                </c:pt>
                <c:pt idx="561">
                  <c:v>42811</c:v>
                </c:pt>
                <c:pt idx="562">
                  <c:v>42818</c:v>
                </c:pt>
                <c:pt idx="563">
                  <c:v>42825</c:v>
                </c:pt>
                <c:pt idx="564">
                  <c:v>42832</c:v>
                </c:pt>
                <c:pt idx="565">
                  <c:v>42839</c:v>
                </c:pt>
                <c:pt idx="566">
                  <c:v>42846</c:v>
                </c:pt>
                <c:pt idx="567">
                  <c:v>42853</c:v>
                </c:pt>
                <c:pt idx="568">
                  <c:v>42860</c:v>
                </c:pt>
                <c:pt idx="569">
                  <c:v>42867</c:v>
                </c:pt>
                <c:pt idx="570">
                  <c:v>42874</c:v>
                </c:pt>
                <c:pt idx="571">
                  <c:v>42881</c:v>
                </c:pt>
                <c:pt idx="572">
                  <c:v>42888</c:v>
                </c:pt>
                <c:pt idx="573">
                  <c:v>42895</c:v>
                </c:pt>
                <c:pt idx="574">
                  <c:v>42902</c:v>
                </c:pt>
                <c:pt idx="575">
                  <c:v>42909</c:v>
                </c:pt>
                <c:pt idx="576">
                  <c:v>42916</c:v>
                </c:pt>
                <c:pt idx="577">
                  <c:v>42923</c:v>
                </c:pt>
                <c:pt idx="578">
                  <c:v>42930</c:v>
                </c:pt>
                <c:pt idx="579">
                  <c:v>42937</c:v>
                </c:pt>
                <c:pt idx="580">
                  <c:v>42944</c:v>
                </c:pt>
                <c:pt idx="581">
                  <c:v>42951</c:v>
                </c:pt>
                <c:pt idx="582">
                  <c:v>42958</c:v>
                </c:pt>
                <c:pt idx="583">
                  <c:v>42965</c:v>
                </c:pt>
                <c:pt idx="584">
                  <c:v>42972</c:v>
                </c:pt>
                <c:pt idx="585">
                  <c:v>42979</c:v>
                </c:pt>
                <c:pt idx="586">
                  <c:v>42986</c:v>
                </c:pt>
                <c:pt idx="587">
                  <c:v>42993</c:v>
                </c:pt>
                <c:pt idx="588">
                  <c:v>43000</c:v>
                </c:pt>
                <c:pt idx="589">
                  <c:v>43007</c:v>
                </c:pt>
                <c:pt idx="590">
                  <c:v>43014</c:v>
                </c:pt>
                <c:pt idx="591">
                  <c:v>43021</c:v>
                </c:pt>
                <c:pt idx="592">
                  <c:v>43028</c:v>
                </c:pt>
                <c:pt idx="593">
                  <c:v>43035</c:v>
                </c:pt>
                <c:pt idx="594">
                  <c:v>43042</c:v>
                </c:pt>
                <c:pt idx="595">
                  <c:v>43049</c:v>
                </c:pt>
                <c:pt idx="596">
                  <c:v>43056</c:v>
                </c:pt>
                <c:pt idx="597">
                  <c:v>43063</c:v>
                </c:pt>
                <c:pt idx="598">
                  <c:v>43070</c:v>
                </c:pt>
                <c:pt idx="599">
                  <c:v>43077</c:v>
                </c:pt>
                <c:pt idx="600">
                  <c:v>43084</c:v>
                </c:pt>
                <c:pt idx="601">
                  <c:v>43091</c:v>
                </c:pt>
                <c:pt idx="602">
                  <c:v>43098</c:v>
                </c:pt>
                <c:pt idx="603">
                  <c:v>43105</c:v>
                </c:pt>
                <c:pt idx="604">
                  <c:v>43112</c:v>
                </c:pt>
                <c:pt idx="605">
                  <c:v>43119</c:v>
                </c:pt>
                <c:pt idx="606">
                  <c:v>43126</c:v>
                </c:pt>
                <c:pt idx="607">
                  <c:v>43133</c:v>
                </c:pt>
                <c:pt idx="608">
                  <c:v>43140</c:v>
                </c:pt>
                <c:pt idx="609">
                  <c:v>43147</c:v>
                </c:pt>
                <c:pt idx="610">
                  <c:v>43154</c:v>
                </c:pt>
                <c:pt idx="611">
                  <c:v>43161</c:v>
                </c:pt>
                <c:pt idx="612">
                  <c:v>43168</c:v>
                </c:pt>
                <c:pt idx="613">
                  <c:v>43175</c:v>
                </c:pt>
                <c:pt idx="614">
                  <c:v>43182</c:v>
                </c:pt>
                <c:pt idx="615">
                  <c:v>43189</c:v>
                </c:pt>
                <c:pt idx="616">
                  <c:v>43196</c:v>
                </c:pt>
                <c:pt idx="617">
                  <c:v>43203</c:v>
                </c:pt>
                <c:pt idx="618">
                  <c:v>43210</c:v>
                </c:pt>
                <c:pt idx="619">
                  <c:v>43217</c:v>
                </c:pt>
                <c:pt idx="620">
                  <c:v>43224</c:v>
                </c:pt>
                <c:pt idx="621">
                  <c:v>43231</c:v>
                </c:pt>
                <c:pt idx="622">
                  <c:v>43238</c:v>
                </c:pt>
                <c:pt idx="623">
                  <c:v>43245</c:v>
                </c:pt>
                <c:pt idx="624">
                  <c:v>43252</c:v>
                </c:pt>
                <c:pt idx="625">
                  <c:v>43259</c:v>
                </c:pt>
                <c:pt idx="626">
                  <c:v>43266</c:v>
                </c:pt>
                <c:pt idx="627">
                  <c:v>43273</c:v>
                </c:pt>
                <c:pt idx="628">
                  <c:v>43280</c:v>
                </c:pt>
                <c:pt idx="629">
                  <c:v>43287</c:v>
                </c:pt>
                <c:pt idx="630">
                  <c:v>43294</c:v>
                </c:pt>
                <c:pt idx="631">
                  <c:v>43301</c:v>
                </c:pt>
                <c:pt idx="632">
                  <c:v>43308</c:v>
                </c:pt>
                <c:pt idx="633">
                  <c:v>43315</c:v>
                </c:pt>
                <c:pt idx="634">
                  <c:v>43322</c:v>
                </c:pt>
                <c:pt idx="635">
                  <c:v>43329</c:v>
                </c:pt>
                <c:pt idx="636">
                  <c:v>43336</c:v>
                </c:pt>
                <c:pt idx="637">
                  <c:v>43343</c:v>
                </c:pt>
                <c:pt idx="638">
                  <c:v>43350</c:v>
                </c:pt>
                <c:pt idx="639">
                  <c:v>43357</c:v>
                </c:pt>
                <c:pt idx="640">
                  <c:v>43364</c:v>
                </c:pt>
                <c:pt idx="641">
                  <c:v>43371</c:v>
                </c:pt>
                <c:pt idx="642">
                  <c:v>43378</c:v>
                </c:pt>
                <c:pt idx="643">
                  <c:v>43385</c:v>
                </c:pt>
                <c:pt idx="644">
                  <c:v>43392</c:v>
                </c:pt>
                <c:pt idx="645">
                  <c:v>43399</c:v>
                </c:pt>
                <c:pt idx="646">
                  <c:v>43406</c:v>
                </c:pt>
                <c:pt idx="647">
                  <c:v>43413</c:v>
                </c:pt>
                <c:pt idx="648">
                  <c:v>43420</c:v>
                </c:pt>
                <c:pt idx="649">
                  <c:v>43427</c:v>
                </c:pt>
                <c:pt idx="650">
                  <c:v>43434</c:v>
                </c:pt>
                <c:pt idx="651">
                  <c:v>43441</c:v>
                </c:pt>
                <c:pt idx="652">
                  <c:v>43448</c:v>
                </c:pt>
                <c:pt idx="653">
                  <c:v>43455</c:v>
                </c:pt>
                <c:pt idx="654">
                  <c:v>43462</c:v>
                </c:pt>
                <c:pt idx="655">
                  <c:v>43469</c:v>
                </c:pt>
                <c:pt idx="656">
                  <c:v>43476</c:v>
                </c:pt>
                <c:pt idx="657">
                  <c:v>43483</c:v>
                </c:pt>
                <c:pt idx="658">
                  <c:v>43490</c:v>
                </c:pt>
                <c:pt idx="659">
                  <c:v>43497</c:v>
                </c:pt>
                <c:pt idx="660">
                  <c:v>43504</c:v>
                </c:pt>
                <c:pt idx="661">
                  <c:v>43511</c:v>
                </c:pt>
                <c:pt idx="662">
                  <c:v>43518</c:v>
                </c:pt>
                <c:pt idx="663">
                  <c:v>43525</c:v>
                </c:pt>
                <c:pt idx="664">
                  <c:v>43532</c:v>
                </c:pt>
                <c:pt idx="665">
                  <c:v>43539</c:v>
                </c:pt>
                <c:pt idx="666">
                  <c:v>43546</c:v>
                </c:pt>
                <c:pt idx="667">
                  <c:v>43553</c:v>
                </c:pt>
                <c:pt idx="668">
                  <c:v>43560</c:v>
                </c:pt>
                <c:pt idx="669">
                  <c:v>43567</c:v>
                </c:pt>
                <c:pt idx="670">
                  <c:v>43574</c:v>
                </c:pt>
                <c:pt idx="671">
                  <c:v>43581</c:v>
                </c:pt>
                <c:pt idx="672">
                  <c:v>43588</c:v>
                </c:pt>
                <c:pt idx="673">
                  <c:v>43595</c:v>
                </c:pt>
                <c:pt idx="674">
                  <c:v>43602</c:v>
                </c:pt>
                <c:pt idx="675">
                  <c:v>43609</c:v>
                </c:pt>
                <c:pt idx="676">
                  <c:v>43616</c:v>
                </c:pt>
                <c:pt idx="677">
                  <c:v>43623</c:v>
                </c:pt>
                <c:pt idx="678">
                  <c:v>43630</c:v>
                </c:pt>
                <c:pt idx="679">
                  <c:v>43637</c:v>
                </c:pt>
                <c:pt idx="680">
                  <c:v>43644</c:v>
                </c:pt>
                <c:pt idx="681">
                  <c:v>43651</c:v>
                </c:pt>
                <c:pt idx="682">
                  <c:v>43658</c:v>
                </c:pt>
                <c:pt idx="683">
                  <c:v>43665</c:v>
                </c:pt>
                <c:pt idx="684">
                  <c:v>43672</c:v>
                </c:pt>
                <c:pt idx="685">
                  <c:v>43679</c:v>
                </c:pt>
                <c:pt idx="686">
                  <c:v>43686</c:v>
                </c:pt>
                <c:pt idx="687">
                  <c:v>43693</c:v>
                </c:pt>
                <c:pt idx="688">
                  <c:v>43700</c:v>
                </c:pt>
                <c:pt idx="689">
                  <c:v>43707</c:v>
                </c:pt>
                <c:pt idx="690">
                  <c:v>43714</c:v>
                </c:pt>
                <c:pt idx="691">
                  <c:v>43721</c:v>
                </c:pt>
                <c:pt idx="692">
                  <c:v>43728</c:v>
                </c:pt>
                <c:pt idx="693">
                  <c:v>43735</c:v>
                </c:pt>
                <c:pt idx="694">
                  <c:v>43742</c:v>
                </c:pt>
                <c:pt idx="695">
                  <c:v>43749</c:v>
                </c:pt>
                <c:pt idx="696">
                  <c:v>43756</c:v>
                </c:pt>
                <c:pt idx="697">
                  <c:v>43763</c:v>
                </c:pt>
                <c:pt idx="698">
                  <c:v>43770</c:v>
                </c:pt>
                <c:pt idx="699">
                  <c:v>43777</c:v>
                </c:pt>
                <c:pt idx="700">
                  <c:v>43784</c:v>
                </c:pt>
                <c:pt idx="701">
                  <c:v>43791</c:v>
                </c:pt>
                <c:pt idx="702">
                  <c:v>43798</c:v>
                </c:pt>
                <c:pt idx="703">
                  <c:v>43805</c:v>
                </c:pt>
                <c:pt idx="704">
                  <c:v>43812</c:v>
                </c:pt>
                <c:pt idx="705">
                  <c:v>43819</c:v>
                </c:pt>
                <c:pt idx="706">
                  <c:v>43826</c:v>
                </c:pt>
                <c:pt idx="707">
                  <c:v>43833</c:v>
                </c:pt>
                <c:pt idx="708">
                  <c:v>43840</c:v>
                </c:pt>
                <c:pt idx="709">
                  <c:v>43847</c:v>
                </c:pt>
                <c:pt idx="710">
                  <c:v>43854</c:v>
                </c:pt>
                <c:pt idx="711">
                  <c:v>43861</c:v>
                </c:pt>
                <c:pt idx="712">
                  <c:v>43868</c:v>
                </c:pt>
                <c:pt idx="713">
                  <c:v>43875</c:v>
                </c:pt>
                <c:pt idx="714">
                  <c:v>43882</c:v>
                </c:pt>
                <c:pt idx="715">
                  <c:v>43889</c:v>
                </c:pt>
                <c:pt idx="716">
                  <c:v>43896</c:v>
                </c:pt>
                <c:pt idx="717">
                  <c:v>43903</c:v>
                </c:pt>
                <c:pt idx="718">
                  <c:v>43910</c:v>
                </c:pt>
                <c:pt idx="719">
                  <c:v>43917</c:v>
                </c:pt>
                <c:pt idx="720">
                  <c:v>43924</c:v>
                </c:pt>
                <c:pt idx="721">
                  <c:v>43931</c:v>
                </c:pt>
                <c:pt idx="722">
                  <c:v>43938</c:v>
                </c:pt>
                <c:pt idx="723">
                  <c:v>43945</c:v>
                </c:pt>
                <c:pt idx="724">
                  <c:v>43952</c:v>
                </c:pt>
                <c:pt idx="725">
                  <c:v>43959</c:v>
                </c:pt>
                <c:pt idx="726">
                  <c:v>43966</c:v>
                </c:pt>
                <c:pt idx="727">
                  <c:v>43973</c:v>
                </c:pt>
                <c:pt idx="728">
                  <c:v>43980</c:v>
                </c:pt>
                <c:pt idx="729">
                  <c:v>43987</c:v>
                </c:pt>
                <c:pt idx="730">
                  <c:v>43994</c:v>
                </c:pt>
                <c:pt idx="731">
                  <c:v>44001</c:v>
                </c:pt>
                <c:pt idx="732">
                  <c:v>44008</c:v>
                </c:pt>
                <c:pt idx="733">
                  <c:v>44015</c:v>
                </c:pt>
                <c:pt idx="734">
                  <c:v>44022</c:v>
                </c:pt>
                <c:pt idx="735">
                  <c:v>44029</c:v>
                </c:pt>
                <c:pt idx="736">
                  <c:v>44036</c:v>
                </c:pt>
                <c:pt idx="737">
                  <c:v>44043</c:v>
                </c:pt>
                <c:pt idx="738">
                  <c:v>44050</c:v>
                </c:pt>
                <c:pt idx="739">
                  <c:v>44057</c:v>
                </c:pt>
                <c:pt idx="740">
                  <c:v>44064</c:v>
                </c:pt>
                <c:pt idx="741">
                  <c:v>44071</c:v>
                </c:pt>
                <c:pt idx="742">
                  <c:v>44078</c:v>
                </c:pt>
                <c:pt idx="743">
                  <c:v>44085</c:v>
                </c:pt>
                <c:pt idx="744">
                  <c:v>44092</c:v>
                </c:pt>
                <c:pt idx="745">
                  <c:v>44099</c:v>
                </c:pt>
                <c:pt idx="746">
                  <c:v>44106</c:v>
                </c:pt>
                <c:pt idx="747">
                  <c:v>44113</c:v>
                </c:pt>
                <c:pt idx="748">
                  <c:v>44120</c:v>
                </c:pt>
                <c:pt idx="749">
                  <c:v>44127</c:v>
                </c:pt>
                <c:pt idx="750">
                  <c:v>44134</c:v>
                </c:pt>
                <c:pt idx="751">
                  <c:v>44141</c:v>
                </c:pt>
                <c:pt idx="752">
                  <c:v>44148</c:v>
                </c:pt>
                <c:pt idx="753">
                  <c:v>44155</c:v>
                </c:pt>
                <c:pt idx="754">
                  <c:v>44162</c:v>
                </c:pt>
                <c:pt idx="755">
                  <c:v>44169</c:v>
                </c:pt>
                <c:pt idx="756">
                  <c:v>44176</c:v>
                </c:pt>
                <c:pt idx="757">
                  <c:v>44183</c:v>
                </c:pt>
                <c:pt idx="758">
                  <c:v>44190</c:v>
                </c:pt>
                <c:pt idx="759">
                  <c:v>44197</c:v>
                </c:pt>
                <c:pt idx="760">
                  <c:v>44204</c:v>
                </c:pt>
                <c:pt idx="761">
                  <c:v>44211</c:v>
                </c:pt>
                <c:pt idx="762">
                  <c:v>44218</c:v>
                </c:pt>
                <c:pt idx="763">
                  <c:v>44225</c:v>
                </c:pt>
                <c:pt idx="764">
                  <c:v>44232</c:v>
                </c:pt>
                <c:pt idx="765">
                  <c:v>44239</c:v>
                </c:pt>
                <c:pt idx="766">
                  <c:v>44246</c:v>
                </c:pt>
                <c:pt idx="767">
                  <c:v>44253</c:v>
                </c:pt>
                <c:pt idx="768">
                  <c:v>44260</c:v>
                </c:pt>
                <c:pt idx="769">
                  <c:v>44267</c:v>
                </c:pt>
                <c:pt idx="770">
                  <c:v>44274</c:v>
                </c:pt>
                <c:pt idx="771">
                  <c:v>44281</c:v>
                </c:pt>
                <c:pt idx="772">
                  <c:v>44288</c:v>
                </c:pt>
                <c:pt idx="773">
                  <c:v>44295</c:v>
                </c:pt>
                <c:pt idx="774">
                  <c:v>44302</c:v>
                </c:pt>
                <c:pt idx="775">
                  <c:v>44309</c:v>
                </c:pt>
                <c:pt idx="776">
                  <c:v>44316</c:v>
                </c:pt>
                <c:pt idx="777">
                  <c:v>44323</c:v>
                </c:pt>
                <c:pt idx="778">
                  <c:v>44330</c:v>
                </c:pt>
                <c:pt idx="779">
                  <c:v>44337</c:v>
                </c:pt>
                <c:pt idx="780">
                  <c:v>44344</c:v>
                </c:pt>
                <c:pt idx="781">
                  <c:v>44351</c:v>
                </c:pt>
                <c:pt idx="782">
                  <c:v>44358</c:v>
                </c:pt>
                <c:pt idx="783">
                  <c:v>44365</c:v>
                </c:pt>
                <c:pt idx="784">
                  <c:v>44372</c:v>
                </c:pt>
                <c:pt idx="785">
                  <c:v>44379</c:v>
                </c:pt>
                <c:pt idx="786">
                  <c:v>44386</c:v>
                </c:pt>
                <c:pt idx="787">
                  <c:v>44393</c:v>
                </c:pt>
                <c:pt idx="788">
                  <c:v>44400</c:v>
                </c:pt>
                <c:pt idx="789">
                  <c:v>44407</c:v>
                </c:pt>
                <c:pt idx="790">
                  <c:v>44414</c:v>
                </c:pt>
                <c:pt idx="791">
                  <c:v>44421</c:v>
                </c:pt>
                <c:pt idx="792">
                  <c:v>44428</c:v>
                </c:pt>
                <c:pt idx="793">
                  <c:v>44435</c:v>
                </c:pt>
                <c:pt idx="794">
                  <c:v>44442</c:v>
                </c:pt>
                <c:pt idx="795">
                  <c:v>44449</c:v>
                </c:pt>
                <c:pt idx="796">
                  <c:v>44456</c:v>
                </c:pt>
                <c:pt idx="797">
                  <c:v>44463</c:v>
                </c:pt>
                <c:pt idx="798">
                  <c:v>44470</c:v>
                </c:pt>
                <c:pt idx="799">
                  <c:v>44477</c:v>
                </c:pt>
                <c:pt idx="800">
                  <c:v>44484</c:v>
                </c:pt>
                <c:pt idx="801">
                  <c:v>44491</c:v>
                </c:pt>
                <c:pt idx="802">
                  <c:v>44498</c:v>
                </c:pt>
                <c:pt idx="803">
                  <c:v>44505</c:v>
                </c:pt>
                <c:pt idx="804">
                  <c:v>44512</c:v>
                </c:pt>
                <c:pt idx="805">
                  <c:v>44519</c:v>
                </c:pt>
                <c:pt idx="806">
                  <c:v>44526</c:v>
                </c:pt>
                <c:pt idx="807">
                  <c:v>44533</c:v>
                </c:pt>
                <c:pt idx="808">
                  <c:v>44540</c:v>
                </c:pt>
                <c:pt idx="809">
                  <c:v>44547</c:v>
                </c:pt>
                <c:pt idx="810">
                  <c:v>44554</c:v>
                </c:pt>
                <c:pt idx="811">
                  <c:v>44561</c:v>
                </c:pt>
                <c:pt idx="812">
                  <c:v>44568</c:v>
                </c:pt>
                <c:pt idx="813">
                  <c:v>44575</c:v>
                </c:pt>
                <c:pt idx="814">
                  <c:v>44582</c:v>
                </c:pt>
                <c:pt idx="815">
                  <c:v>44589</c:v>
                </c:pt>
                <c:pt idx="816">
                  <c:v>44596</c:v>
                </c:pt>
                <c:pt idx="817">
                  <c:v>44603</c:v>
                </c:pt>
                <c:pt idx="818">
                  <c:v>44610</c:v>
                </c:pt>
                <c:pt idx="819">
                  <c:v>44617</c:v>
                </c:pt>
                <c:pt idx="820">
                  <c:v>44624</c:v>
                </c:pt>
                <c:pt idx="821">
                  <c:v>44631</c:v>
                </c:pt>
                <c:pt idx="822">
                  <c:v>44638</c:v>
                </c:pt>
                <c:pt idx="823">
                  <c:v>44645</c:v>
                </c:pt>
                <c:pt idx="824">
                  <c:v>44652</c:v>
                </c:pt>
                <c:pt idx="825">
                  <c:v>44659</c:v>
                </c:pt>
                <c:pt idx="826">
                  <c:v>44666</c:v>
                </c:pt>
                <c:pt idx="827">
                  <c:v>44673</c:v>
                </c:pt>
                <c:pt idx="828">
                  <c:v>44680</c:v>
                </c:pt>
                <c:pt idx="829">
                  <c:v>44687</c:v>
                </c:pt>
                <c:pt idx="830">
                  <c:v>44694</c:v>
                </c:pt>
                <c:pt idx="831">
                  <c:v>44701</c:v>
                </c:pt>
                <c:pt idx="832">
                  <c:v>44708</c:v>
                </c:pt>
                <c:pt idx="833">
                  <c:v>44715</c:v>
                </c:pt>
                <c:pt idx="834">
                  <c:v>44722</c:v>
                </c:pt>
                <c:pt idx="835">
                  <c:v>44729</c:v>
                </c:pt>
                <c:pt idx="836">
                  <c:v>44736</c:v>
                </c:pt>
                <c:pt idx="837">
                  <c:v>44743</c:v>
                </c:pt>
                <c:pt idx="838">
                  <c:v>44750</c:v>
                </c:pt>
                <c:pt idx="839">
                  <c:v>44757</c:v>
                </c:pt>
                <c:pt idx="840">
                  <c:v>44764</c:v>
                </c:pt>
                <c:pt idx="841">
                  <c:v>44771</c:v>
                </c:pt>
                <c:pt idx="842">
                  <c:v>44778</c:v>
                </c:pt>
                <c:pt idx="843">
                  <c:v>44785</c:v>
                </c:pt>
              </c:numCache>
            </c:numRef>
          </c:cat>
          <c:val>
            <c:numRef>
              <c:f>Hoja1!$P$2:$P$845</c:f>
              <c:numCache>
                <c:formatCode>General</c:formatCode>
                <c:ptCount val="844"/>
                <c:pt idx="0">
                  <c:v>1.895</c:v>
                </c:pt>
                <c:pt idx="1">
                  <c:v>1.861</c:v>
                </c:pt>
                <c:pt idx="2">
                  <c:v>1.9490000000000001</c:v>
                </c:pt>
                <c:pt idx="3">
                  <c:v>1.9470000000000001</c:v>
                </c:pt>
                <c:pt idx="4">
                  <c:v>1.9490000000000001</c:v>
                </c:pt>
                <c:pt idx="5">
                  <c:v>1.903</c:v>
                </c:pt>
                <c:pt idx="6">
                  <c:v>1.9139999999999999</c:v>
                </c:pt>
                <c:pt idx="7">
                  <c:v>2.0470000000000002</c:v>
                </c:pt>
                <c:pt idx="8">
                  <c:v>2.0259999999999998</c:v>
                </c:pt>
                <c:pt idx="9">
                  <c:v>1.9490000000000001</c:v>
                </c:pt>
                <c:pt idx="10">
                  <c:v>1.988</c:v>
                </c:pt>
                <c:pt idx="11">
                  <c:v>1.9279999999999999</c:v>
                </c:pt>
                <c:pt idx="12">
                  <c:v>1.82</c:v>
                </c:pt>
                <c:pt idx="13">
                  <c:v>1.6830000000000001</c:v>
                </c:pt>
                <c:pt idx="14">
                  <c:v>1.62</c:v>
                </c:pt>
                <c:pt idx="15">
                  <c:v>1.645</c:v>
                </c:pt>
                <c:pt idx="16">
                  <c:v>1.6180000000000001</c:v>
                </c:pt>
                <c:pt idx="17">
                  <c:v>1.6419999999999999</c:v>
                </c:pt>
                <c:pt idx="18">
                  <c:v>1.6870000000000001</c:v>
                </c:pt>
                <c:pt idx="19">
                  <c:v>1.66</c:v>
                </c:pt>
                <c:pt idx="20">
                  <c:v>1.599</c:v>
                </c:pt>
                <c:pt idx="21">
                  <c:v>1.661</c:v>
                </c:pt>
                <c:pt idx="22">
                  <c:v>1.6160000000000001</c:v>
                </c:pt>
                <c:pt idx="23">
                  <c:v>1.6439999999999999</c:v>
                </c:pt>
                <c:pt idx="24">
                  <c:v>1.7350000000000001</c:v>
                </c:pt>
                <c:pt idx="25">
                  <c:v>1.74</c:v>
                </c:pt>
                <c:pt idx="26">
                  <c:v>1.694</c:v>
                </c:pt>
                <c:pt idx="27">
                  <c:v>1.665</c:v>
                </c:pt>
                <c:pt idx="28">
                  <c:v>1.593</c:v>
                </c:pt>
                <c:pt idx="29">
                  <c:v>1.5509999999999999</c:v>
                </c:pt>
                <c:pt idx="30">
                  <c:v>1.4810000000000001</c:v>
                </c:pt>
                <c:pt idx="31">
                  <c:v>1.464</c:v>
                </c:pt>
                <c:pt idx="32">
                  <c:v>1.548</c:v>
                </c:pt>
                <c:pt idx="33">
                  <c:v>1.643</c:v>
                </c:pt>
                <c:pt idx="34">
                  <c:v>1.6970000000000001</c:v>
                </c:pt>
                <c:pt idx="35">
                  <c:v>1.653</c:v>
                </c:pt>
                <c:pt idx="36">
                  <c:v>1.698</c:v>
                </c:pt>
                <c:pt idx="37">
                  <c:v>1.7649999999999999</c:v>
                </c:pt>
                <c:pt idx="38">
                  <c:v>1.7430000000000001</c:v>
                </c:pt>
                <c:pt idx="39">
                  <c:v>1.6950000000000001</c:v>
                </c:pt>
                <c:pt idx="40">
                  <c:v>1.6950000000000001</c:v>
                </c:pt>
                <c:pt idx="41">
                  <c:v>1.8220000000000001</c:v>
                </c:pt>
                <c:pt idx="42">
                  <c:v>1.8540000000000001</c:v>
                </c:pt>
                <c:pt idx="43">
                  <c:v>1.873</c:v>
                </c:pt>
                <c:pt idx="44">
                  <c:v>1.827</c:v>
                </c:pt>
                <c:pt idx="45">
                  <c:v>1.8919999999999999</c:v>
                </c:pt>
                <c:pt idx="46">
                  <c:v>1.8660000000000001</c:v>
                </c:pt>
                <c:pt idx="47">
                  <c:v>1.8440000000000001</c:v>
                </c:pt>
                <c:pt idx="48">
                  <c:v>1.8959999999999999</c:v>
                </c:pt>
                <c:pt idx="49">
                  <c:v>1.9330000000000001</c:v>
                </c:pt>
                <c:pt idx="50">
                  <c:v>1.893</c:v>
                </c:pt>
                <c:pt idx="51">
                  <c:v>1.958</c:v>
                </c:pt>
                <c:pt idx="52">
                  <c:v>1.9670000000000001</c:v>
                </c:pt>
                <c:pt idx="53">
                  <c:v>2.0299999999999998</c:v>
                </c:pt>
                <c:pt idx="54">
                  <c:v>2.0219999999999998</c:v>
                </c:pt>
                <c:pt idx="55">
                  <c:v>2.0739999999999998</c:v>
                </c:pt>
                <c:pt idx="56">
                  <c:v>2.0960000000000001</c:v>
                </c:pt>
                <c:pt idx="57">
                  <c:v>2.0710000000000002</c:v>
                </c:pt>
                <c:pt idx="58">
                  <c:v>2.0459999999999998</c:v>
                </c:pt>
                <c:pt idx="59">
                  <c:v>2.0550000000000002</c:v>
                </c:pt>
                <c:pt idx="60">
                  <c:v>1.952</c:v>
                </c:pt>
                <c:pt idx="61">
                  <c:v>1.9830000000000001</c:v>
                </c:pt>
                <c:pt idx="62">
                  <c:v>1.952</c:v>
                </c:pt>
                <c:pt idx="63">
                  <c:v>2.016</c:v>
                </c:pt>
                <c:pt idx="64">
                  <c:v>2.1030000000000002</c:v>
                </c:pt>
                <c:pt idx="65">
                  <c:v>2.1840000000000002</c:v>
                </c:pt>
                <c:pt idx="66">
                  <c:v>2.2229999999999999</c:v>
                </c:pt>
                <c:pt idx="67">
                  <c:v>2.1920000000000002</c:v>
                </c:pt>
                <c:pt idx="68">
                  <c:v>2.1709999999999998</c:v>
                </c:pt>
                <c:pt idx="69">
                  <c:v>2.1920000000000002</c:v>
                </c:pt>
                <c:pt idx="70">
                  <c:v>2.3109999999999999</c:v>
                </c:pt>
                <c:pt idx="71">
                  <c:v>2.3490000000000002</c:v>
                </c:pt>
                <c:pt idx="72">
                  <c:v>2.4870000000000001</c:v>
                </c:pt>
                <c:pt idx="73">
                  <c:v>2.5830000000000002</c:v>
                </c:pt>
                <c:pt idx="74">
                  <c:v>2.5409999999999999</c:v>
                </c:pt>
                <c:pt idx="75">
                  <c:v>2.66</c:v>
                </c:pt>
                <c:pt idx="76">
                  <c:v>2.601</c:v>
                </c:pt>
                <c:pt idx="77">
                  <c:v>2.5089999999999999</c:v>
                </c:pt>
                <c:pt idx="78">
                  <c:v>2.5619999999999998</c:v>
                </c:pt>
                <c:pt idx="79">
                  <c:v>2.5870000000000002</c:v>
                </c:pt>
                <c:pt idx="80">
                  <c:v>2.6360000000000001</c:v>
                </c:pt>
                <c:pt idx="81">
                  <c:v>2.6970000000000001</c:v>
                </c:pt>
                <c:pt idx="82">
                  <c:v>2.581</c:v>
                </c:pt>
                <c:pt idx="83">
                  <c:v>2.5289999999999999</c:v>
                </c:pt>
                <c:pt idx="84">
                  <c:v>2.4740000000000002</c:v>
                </c:pt>
                <c:pt idx="85">
                  <c:v>2.516</c:v>
                </c:pt>
                <c:pt idx="86">
                  <c:v>2.4700000000000002</c:v>
                </c:pt>
                <c:pt idx="87">
                  <c:v>2.6190000000000002</c:v>
                </c:pt>
                <c:pt idx="88">
                  <c:v>2.742</c:v>
                </c:pt>
                <c:pt idx="89">
                  <c:v>2.8029999999999999</c:v>
                </c:pt>
                <c:pt idx="90">
                  <c:v>2.9350000000000001</c:v>
                </c:pt>
                <c:pt idx="91">
                  <c:v>3.101</c:v>
                </c:pt>
                <c:pt idx="92">
                  <c:v>3.1</c:v>
                </c:pt>
                <c:pt idx="93">
                  <c:v>3.1320000000000001</c:v>
                </c:pt>
                <c:pt idx="94">
                  <c:v>3.016</c:v>
                </c:pt>
                <c:pt idx="95">
                  <c:v>3.2229999999999999</c:v>
                </c:pt>
                <c:pt idx="96">
                  <c:v>3.306</c:v>
                </c:pt>
                <c:pt idx="97">
                  <c:v>3.3170000000000002</c:v>
                </c:pt>
                <c:pt idx="98">
                  <c:v>3.2130000000000001</c:v>
                </c:pt>
                <c:pt idx="99">
                  <c:v>3.4540000000000002</c:v>
                </c:pt>
                <c:pt idx="100">
                  <c:v>3.6360000000000001</c:v>
                </c:pt>
                <c:pt idx="101">
                  <c:v>3.8370000000000002</c:v>
                </c:pt>
                <c:pt idx="102">
                  <c:v>3.7360000000000002</c:v>
                </c:pt>
                <c:pt idx="103">
                  <c:v>3.7010000000000001</c:v>
                </c:pt>
                <c:pt idx="104">
                  <c:v>3.8769999999999998</c:v>
                </c:pt>
                <c:pt idx="105">
                  <c:v>3.7770000000000001</c:v>
                </c:pt>
                <c:pt idx="106">
                  <c:v>3.831</c:v>
                </c:pt>
                <c:pt idx="107">
                  <c:v>3.992</c:v>
                </c:pt>
                <c:pt idx="108">
                  <c:v>3.9180000000000001</c:v>
                </c:pt>
                <c:pt idx="109">
                  <c:v>3.8239999999999998</c:v>
                </c:pt>
                <c:pt idx="110">
                  <c:v>3.5920000000000001</c:v>
                </c:pt>
                <c:pt idx="111">
                  <c:v>3.472</c:v>
                </c:pt>
                <c:pt idx="112">
                  <c:v>3.2149999999999999</c:v>
                </c:pt>
                <c:pt idx="113">
                  <c:v>3.0790000000000002</c:v>
                </c:pt>
                <c:pt idx="114">
                  <c:v>3.1469999999999998</c:v>
                </c:pt>
                <c:pt idx="115">
                  <c:v>3.1869999999999998</c:v>
                </c:pt>
                <c:pt idx="116">
                  <c:v>3.02</c:v>
                </c:pt>
                <c:pt idx="117">
                  <c:v>2.911</c:v>
                </c:pt>
                <c:pt idx="118">
                  <c:v>2.7829999999999999</c:v>
                </c:pt>
                <c:pt idx="119">
                  <c:v>2.9980000000000002</c:v>
                </c:pt>
                <c:pt idx="120">
                  <c:v>2.742</c:v>
                </c:pt>
                <c:pt idx="121">
                  <c:v>2.4039999999999999</c:v>
                </c:pt>
                <c:pt idx="122">
                  <c:v>2.2000000000000002</c:v>
                </c:pt>
                <c:pt idx="123">
                  <c:v>2.0859999999999999</c:v>
                </c:pt>
                <c:pt idx="124">
                  <c:v>1.986</c:v>
                </c:pt>
                <c:pt idx="125">
                  <c:v>2.004</c:v>
                </c:pt>
                <c:pt idx="126">
                  <c:v>1.88</c:v>
                </c:pt>
                <c:pt idx="127">
                  <c:v>1.738</c:v>
                </c:pt>
                <c:pt idx="128">
                  <c:v>1.726</c:v>
                </c:pt>
                <c:pt idx="129">
                  <c:v>1.5249999999999999</c:v>
                </c:pt>
                <c:pt idx="130">
                  <c:v>1.43</c:v>
                </c:pt>
                <c:pt idx="131">
                  <c:v>1.415</c:v>
                </c:pt>
                <c:pt idx="132">
                  <c:v>1.28</c:v>
                </c:pt>
                <c:pt idx="133">
                  <c:v>1.3340000000000001</c:v>
                </c:pt>
                <c:pt idx="134">
                  <c:v>1.542</c:v>
                </c:pt>
                <c:pt idx="135">
                  <c:v>1.482</c:v>
                </c:pt>
                <c:pt idx="136">
                  <c:v>1.4039999999999999</c:v>
                </c:pt>
                <c:pt idx="137">
                  <c:v>1.423</c:v>
                </c:pt>
                <c:pt idx="138">
                  <c:v>1.355</c:v>
                </c:pt>
                <c:pt idx="139">
                  <c:v>1.3280000000000001</c:v>
                </c:pt>
                <c:pt idx="140">
                  <c:v>1.1819999999999999</c:v>
                </c:pt>
                <c:pt idx="141">
                  <c:v>1.2330000000000001</c:v>
                </c:pt>
                <c:pt idx="142">
                  <c:v>1.18</c:v>
                </c:pt>
                <c:pt idx="143">
                  <c:v>1.177</c:v>
                </c:pt>
                <c:pt idx="144">
                  <c:v>1.2809999999999999</c:v>
                </c:pt>
                <c:pt idx="145">
                  <c:v>1.4470000000000001</c:v>
                </c:pt>
                <c:pt idx="146">
                  <c:v>1.367</c:v>
                </c:pt>
                <c:pt idx="147">
                  <c:v>1.393</c:v>
                </c:pt>
                <c:pt idx="148">
                  <c:v>1.389</c:v>
                </c:pt>
                <c:pt idx="149">
                  <c:v>1.323</c:v>
                </c:pt>
                <c:pt idx="150">
                  <c:v>1.3120000000000001</c:v>
                </c:pt>
                <c:pt idx="151">
                  <c:v>1.427</c:v>
                </c:pt>
                <c:pt idx="152">
                  <c:v>1.4470000000000001</c:v>
                </c:pt>
                <c:pt idx="153">
                  <c:v>1.494</c:v>
                </c:pt>
                <c:pt idx="154">
                  <c:v>1.57</c:v>
                </c:pt>
                <c:pt idx="155">
                  <c:v>1.732</c:v>
                </c:pt>
                <c:pt idx="156">
                  <c:v>1.7829999999999999</c:v>
                </c:pt>
                <c:pt idx="157">
                  <c:v>1.7809999999999999</c:v>
                </c:pt>
                <c:pt idx="158">
                  <c:v>1.7030000000000001</c:v>
                </c:pt>
                <c:pt idx="159">
                  <c:v>1.698</c:v>
                </c:pt>
                <c:pt idx="160">
                  <c:v>1.5029999999999999</c:v>
                </c:pt>
                <c:pt idx="161">
                  <c:v>1.536</c:v>
                </c:pt>
                <c:pt idx="162">
                  <c:v>1.7130000000000001</c:v>
                </c:pt>
                <c:pt idx="163">
                  <c:v>1.744</c:v>
                </c:pt>
                <c:pt idx="164">
                  <c:v>1.889</c:v>
                </c:pt>
                <c:pt idx="165">
                  <c:v>1.875</c:v>
                </c:pt>
                <c:pt idx="166">
                  <c:v>1.861</c:v>
                </c:pt>
                <c:pt idx="167">
                  <c:v>1.8520000000000001</c:v>
                </c:pt>
                <c:pt idx="168">
                  <c:v>1.7210000000000001</c:v>
                </c:pt>
                <c:pt idx="169">
                  <c:v>1.734</c:v>
                </c:pt>
                <c:pt idx="170">
                  <c:v>1.766</c:v>
                </c:pt>
                <c:pt idx="171">
                  <c:v>1.706</c:v>
                </c:pt>
                <c:pt idx="172">
                  <c:v>1.742</c:v>
                </c:pt>
                <c:pt idx="173">
                  <c:v>1.7929999999999999</c:v>
                </c:pt>
                <c:pt idx="174">
                  <c:v>1.9339999999999999</c:v>
                </c:pt>
                <c:pt idx="175">
                  <c:v>2.0419999999999998</c:v>
                </c:pt>
                <c:pt idx="176">
                  <c:v>2.008</c:v>
                </c:pt>
                <c:pt idx="177">
                  <c:v>2.0070000000000001</c:v>
                </c:pt>
                <c:pt idx="178">
                  <c:v>1.9810000000000001</c:v>
                </c:pt>
                <c:pt idx="179">
                  <c:v>1.9910000000000001</c:v>
                </c:pt>
                <c:pt idx="180">
                  <c:v>1.9370000000000001</c:v>
                </c:pt>
                <c:pt idx="181">
                  <c:v>1.994</c:v>
                </c:pt>
                <c:pt idx="182">
                  <c:v>1.9039999999999999</c:v>
                </c:pt>
                <c:pt idx="183">
                  <c:v>1.9059999999999999</c:v>
                </c:pt>
                <c:pt idx="184">
                  <c:v>1.958</c:v>
                </c:pt>
                <c:pt idx="185">
                  <c:v>2.1059999999999999</c:v>
                </c:pt>
                <c:pt idx="186">
                  <c:v>2.1840000000000002</c:v>
                </c:pt>
                <c:pt idx="187">
                  <c:v>2.0920000000000001</c:v>
                </c:pt>
                <c:pt idx="188">
                  <c:v>1.9750000000000001</c:v>
                </c:pt>
                <c:pt idx="189">
                  <c:v>1.919</c:v>
                </c:pt>
                <c:pt idx="190">
                  <c:v>1.9650000000000001</c:v>
                </c:pt>
                <c:pt idx="191">
                  <c:v>1.92</c:v>
                </c:pt>
                <c:pt idx="192">
                  <c:v>2.0169999999999999</c:v>
                </c:pt>
                <c:pt idx="193">
                  <c:v>2.02</c:v>
                </c:pt>
                <c:pt idx="194">
                  <c:v>2.06</c:v>
                </c:pt>
                <c:pt idx="195">
                  <c:v>2.09</c:v>
                </c:pt>
                <c:pt idx="196">
                  <c:v>2.0880000000000001</c:v>
                </c:pt>
                <c:pt idx="197">
                  <c:v>2.0659999999999998</c:v>
                </c:pt>
                <c:pt idx="198">
                  <c:v>2.15</c:v>
                </c:pt>
                <c:pt idx="199">
                  <c:v>2.2210000000000001</c:v>
                </c:pt>
                <c:pt idx="200">
                  <c:v>2.2010000000000001</c:v>
                </c:pt>
                <c:pt idx="201">
                  <c:v>2.1739999999999999</c:v>
                </c:pt>
                <c:pt idx="202">
                  <c:v>2.2189999999999999</c:v>
                </c:pt>
                <c:pt idx="203">
                  <c:v>2.1819999999999999</c:v>
                </c:pt>
                <c:pt idx="204">
                  <c:v>2.1139999999999999</c:v>
                </c:pt>
                <c:pt idx="205">
                  <c:v>1.9319999999999999</c:v>
                </c:pt>
                <c:pt idx="206">
                  <c:v>1.9339999999999999</c:v>
                </c:pt>
                <c:pt idx="207">
                  <c:v>1.9830000000000001</c:v>
                </c:pt>
                <c:pt idx="208">
                  <c:v>1.9830000000000001</c:v>
                </c:pt>
                <c:pt idx="209">
                  <c:v>2.0830000000000002</c:v>
                </c:pt>
                <c:pt idx="210">
                  <c:v>2.081</c:v>
                </c:pt>
                <c:pt idx="211">
                  <c:v>1.976</c:v>
                </c:pt>
                <c:pt idx="212">
                  <c:v>1.9550000000000001</c:v>
                </c:pt>
                <c:pt idx="213">
                  <c:v>1.99</c:v>
                </c:pt>
                <c:pt idx="214">
                  <c:v>1.9990000000000001</c:v>
                </c:pt>
                <c:pt idx="215">
                  <c:v>1.992</c:v>
                </c:pt>
                <c:pt idx="216">
                  <c:v>2.13</c:v>
                </c:pt>
                <c:pt idx="217">
                  <c:v>2.0179999999999998</c:v>
                </c:pt>
                <c:pt idx="218">
                  <c:v>1.96</c:v>
                </c:pt>
                <c:pt idx="219">
                  <c:v>1.9690000000000001</c:v>
                </c:pt>
                <c:pt idx="220">
                  <c:v>2.012</c:v>
                </c:pt>
                <c:pt idx="221">
                  <c:v>2.052</c:v>
                </c:pt>
                <c:pt idx="222">
                  <c:v>2.0939999999999999</c:v>
                </c:pt>
                <c:pt idx="223">
                  <c:v>2.0990000000000002</c:v>
                </c:pt>
                <c:pt idx="224">
                  <c:v>2.1779999999999999</c:v>
                </c:pt>
                <c:pt idx="225">
                  <c:v>2.2650000000000001</c:v>
                </c:pt>
                <c:pt idx="226">
                  <c:v>2.2509999999999999</c:v>
                </c:pt>
                <c:pt idx="227">
                  <c:v>2.2210000000000001</c:v>
                </c:pt>
                <c:pt idx="228">
                  <c:v>2.2250000000000001</c:v>
                </c:pt>
                <c:pt idx="229">
                  <c:v>2.3159999999999998</c:v>
                </c:pt>
                <c:pt idx="230">
                  <c:v>2.391</c:v>
                </c:pt>
                <c:pt idx="231">
                  <c:v>2.286</c:v>
                </c:pt>
                <c:pt idx="232">
                  <c:v>2.2789999999999999</c:v>
                </c:pt>
                <c:pt idx="233">
                  <c:v>2.3820000000000001</c:v>
                </c:pt>
                <c:pt idx="234">
                  <c:v>2.4319999999999999</c:v>
                </c:pt>
                <c:pt idx="235">
                  <c:v>2.4550000000000001</c:v>
                </c:pt>
                <c:pt idx="236">
                  <c:v>2.5099999999999998</c:v>
                </c:pt>
                <c:pt idx="237">
                  <c:v>2.5110000000000001</c:v>
                </c:pt>
                <c:pt idx="238">
                  <c:v>2.5089999999999999</c:v>
                </c:pt>
                <c:pt idx="239">
                  <c:v>2.6040000000000001</c:v>
                </c:pt>
                <c:pt idx="240">
                  <c:v>2.641</c:v>
                </c:pt>
                <c:pt idx="241">
                  <c:v>2.6440000000000001</c:v>
                </c:pt>
                <c:pt idx="242">
                  <c:v>2.7389999999999999</c:v>
                </c:pt>
                <c:pt idx="243">
                  <c:v>2.7149999999999999</c:v>
                </c:pt>
                <c:pt idx="244">
                  <c:v>2.7290000000000001</c:v>
                </c:pt>
                <c:pt idx="245">
                  <c:v>2.8780000000000001</c:v>
                </c:pt>
                <c:pt idx="246">
                  <c:v>3.024</c:v>
                </c:pt>
                <c:pt idx="247">
                  <c:v>3.0289999999999999</c:v>
                </c:pt>
                <c:pt idx="248">
                  <c:v>3.01</c:v>
                </c:pt>
                <c:pt idx="249">
                  <c:v>3.0409999999999999</c:v>
                </c:pt>
                <c:pt idx="250">
                  <c:v>3.0619999999999998</c:v>
                </c:pt>
                <c:pt idx="251">
                  <c:v>3.198</c:v>
                </c:pt>
                <c:pt idx="252">
                  <c:v>3.198</c:v>
                </c:pt>
                <c:pt idx="253">
                  <c:v>3.1760000000000002</c:v>
                </c:pt>
                <c:pt idx="254">
                  <c:v>3.2210000000000001</c:v>
                </c:pt>
                <c:pt idx="255">
                  <c:v>3.05</c:v>
                </c:pt>
                <c:pt idx="256">
                  <c:v>2.9359999999999999</c:v>
                </c:pt>
                <c:pt idx="257">
                  <c:v>2.871</c:v>
                </c:pt>
                <c:pt idx="258">
                  <c:v>2.9319999999999999</c:v>
                </c:pt>
                <c:pt idx="259">
                  <c:v>3.0350000000000001</c:v>
                </c:pt>
                <c:pt idx="260">
                  <c:v>3.073</c:v>
                </c:pt>
                <c:pt idx="261">
                  <c:v>3.032</c:v>
                </c:pt>
                <c:pt idx="262">
                  <c:v>2.8519999999999999</c:v>
                </c:pt>
                <c:pt idx="263">
                  <c:v>2.863</c:v>
                </c:pt>
                <c:pt idx="264">
                  <c:v>3.0179999999999998</c:v>
                </c:pt>
                <c:pt idx="265">
                  <c:v>3.0870000000000002</c:v>
                </c:pt>
                <c:pt idx="266">
                  <c:v>3.097</c:v>
                </c:pt>
                <c:pt idx="267">
                  <c:v>3.0920000000000001</c:v>
                </c:pt>
                <c:pt idx="268">
                  <c:v>3.0009999999999999</c:v>
                </c:pt>
                <c:pt idx="269">
                  <c:v>2.8479999999999999</c:v>
                </c:pt>
                <c:pt idx="270">
                  <c:v>2.923</c:v>
                </c:pt>
                <c:pt idx="271">
                  <c:v>2.9510000000000001</c:v>
                </c:pt>
                <c:pt idx="272">
                  <c:v>3.0350000000000001</c:v>
                </c:pt>
                <c:pt idx="273">
                  <c:v>3.0190000000000001</c:v>
                </c:pt>
                <c:pt idx="274">
                  <c:v>2.9550000000000001</c:v>
                </c:pt>
                <c:pt idx="275">
                  <c:v>2.875</c:v>
                </c:pt>
                <c:pt idx="276">
                  <c:v>2.8149999999999999</c:v>
                </c:pt>
                <c:pt idx="277">
                  <c:v>2.794</c:v>
                </c:pt>
                <c:pt idx="278">
                  <c:v>2.9489999999999998</c:v>
                </c:pt>
                <c:pt idx="279">
                  <c:v>3.0070000000000001</c:v>
                </c:pt>
                <c:pt idx="280">
                  <c:v>3.0449999999999999</c:v>
                </c:pt>
                <c:pt idx="281">
                  <c:v>3.0289999999999999</c:v>
                </c:pt>
                <c:pt idx="282">
                  <c:v>3.125</c:v>
                </c:pt>
                <c:pt idx="283">
                  <c:v>3.105</c:v>
                </c:pt>
                <c:pt idx="284">
                  <c:v>2.9710000000000001</c:v>
                </c:pt>
                <c:pt idx="285">
                  <c:v>2.9870000000000001</c:v>
                </c:pt>
                <c:pt idx="286">
                  <c:v>2.9470000000000001</c:v>
                </c:pt>
                <c:pt idx="287">
                  <c:v>2.8340000000000001</c:v>
                </c:pt>
                <c:pt idx="288">
                  <c:v>2.8519999999999999</c:v>
                </c:pt>
                <c:pt idx="289">
                  <c:v>2.8959999999999999</c:v>
                </c:pt>
                <c:pt idx="290">
                  <c:v>3.0670000000000002</c:v>
                </c:pt>
                <c:pt idx="291">
                  <c:v>3.0710000000000002</c:v>
                </c:pt>
                <c:pt idx="292">
                  <c:v>3.028</c:v>
                </c:pt>
                <c:pt idx="293">
                  <c:v>3.0489999999999999</c:v>
                </c:pt>
                <c:pt idx="294">
                  <c:v>3.0710000000000002</c:v>
                </c:pt>
                <c:pt idx="295">
                  <c:v>3.1970000000000001</c:v>
                </c:pt>
                <c:pt idx="296">
                  <c:v>3.181</c:v>
                </c:pt>
                <c:pt idx="297">
                  <c:v>3.27</c:v>
                </c:pt>
                <c:pt idx="298">
                  <c:v>3.238</c:v>
                </c:pt>
                <c:pt idx="299">
                  <c:v>3.222</c:v>
                </c:pt>
                <c:pt idx="300">
                  <c:v>3.2469999999999999</c:v>
                </c:pt>
                <c:pt idx="301">
                  <c:v>3.2010000000000001</c:v>
                </c:pt>
                <c:pt idx="302">
                  <c:v>3.1890000000000001</c:v>
                </c:pt>
                <c:pt idx="303">
                  <c:v>3.198</c:v>
                </c:pt>
                <c:pt idx="304">
                  <c:v>3.1269999999999998</c:v>
                </c:pt>
                <c:pt idx="305">
                  <c:v>3.1240000000000001</c:v>
                </c:pt>
                <c:pt idx="306">
                  <c:v>3.1579999999999999</c:v>
                </c:pt>
                <c:pt idx="307">
                  <c:v>3.1139999999999999</c:v>
                </c:pt>
                <c:pt idx="308">
                  <c:v>2.976</c:v>
                </c:pt>
                <c:pt idx="309">
                  <c:v>2.8719999999999999</c:v>
                </c:pt>
                <c:pt idx="310">
                  <c:v>2.84</c:v>
                </c:pt>
                <c:pt idx="311">
                  <c:v>2.7229999999999999</c:v>
                </c:pt>
                <c:pt idx="312">
                  <c:v>2.6539999999999999</c:v>
                </c:pt>
                <c:pt idx="313">
                  <c:v>2.629</c:v>
                </c:pt>
                <c:pt idx="314">
                  <c:v>2.589</c:v>
                </c:pt>
                <c:pt idx="315">
                  <c:v>2.601</c:v>
                </c:pt>
                <c:pt idx="316">
                  <c:v>2.7250000000000001</c:v>
                </c:pt>
                <c:pt idx="317">
                  <c:v>2.7610000000000001</c:v>
                </c:pt>
                <c:pt idx="318">
                  <c:v>2.883</c:v>
                </c:pt>
                <c:pt idx="319">
                  <c:v>2.85</c:v>
                </c:pt>
                <c:pt idx="320">
                  <c:v>2.86</c:v>
                </c:pt>
                <c:pt idx="321">
                  <c:v>2.9950000000000001</c:v>
                </c:pt>
                <c:pt idx="322">
                  <c:v>3.0569999999999999</c:v>
                </c:pt>
                <c:pt idx="323">
                  <c:v>3.1030000000000002</c:v>
                </c:pt>
                <c:pt idx="324">
                  <c:v>3.1320000000000001</c:v>
                </c:pt>
                <c:pt idx="325">
                  <c:v>3.13</c:v>
                </c:pt>
                <c:pt idx="326">
                  <c:v>3.19</c:v>
                </c:pt>
                <c:pt idx="327">
                  <c:v>3.1</c:v>
                </c:pt>
                <c:pt idx="328">
                  <c:v>3.1160000000000001</c:v>
                </c:pt>
                <c:pt idx="329">
                  <c:v>3.141</c:v>
                </c:pt>
                <c:pt idx="330">
                  <c:v>3.2120000000000002</c:v>
                </c:pt>
                <c:pt idx="331">
                  <c:v>3.1829999999999998</c:v>
                </c:pt>
                <c:pt idx="332">
                  <c:v>3.0619999999999998</c:v>
                </c:pt>
                <c:pt idx="333">
                  <c:v>3.0489999999999999</c:v>
                </c:pt>
                <c:pt idx="334">
                  <c:v>2.988</c:v>
                </c:pt>
                <c:pt idx="335">
                  <c:v>2.9729999999999999</c:v>
                </c:pt>
                <c:pt idx="336">
                  <c:v>3.0579999999999998</c:v>
                </c:pt>
                <c:pt idx="337">
                  <c:v>3.0270000000000001</c:v>
                </c:pt>
                <c:pt idx="338">
                  <c:v>2.9790000000000001</c:v>
                </c:pt>
                <c:pt idx="339">
                  <c:v>2.9390000000000001</c:v>
                </c:pt>
                <c:pt idx="340">
                  <c:v>3.0129999999999999</c:v>
                </c:pt>
                <c:pt idx="341">
                  <c:v>3.0510000000000002</c:v>
                </c:pt>
                <c:pt idx="342">
                  <c:v>3.0369999999999999</c:v>
                </c:pt>
                <c:pt idx="343">
                  <c:v>3.0579999999999998</c:v>
                </c:pt>
                <c:pt idx="344">
                  <c:v>3.0449999999999999</c:v>
                </c:pt>
                <c:pt idx="345">
                  <c:v>3.0880000000000001</c:v>
                </c:pt>
                <c:pt idx="346">
                  <c:v>3.129</c:v>
                </c:pt>
                <c:pt idx="347">
                  <c:v>3.2130000000000001</c:v>
                </c:pt>
                <c:pt idx="348">
                  <c:v>3.2480000000000002</c:v>
                </c:pt>
                <c:pt idx="349">
                  <c:v>3.145</c:v>
                </c:pt>
                <c:pt idx="350">
                  <c:v>3.0169999999999999</c:v>
                </c:pt>
                <c:pt idx="351">
                  <c:v>2.9820000000000002</c:v>
                </c:pt>
                <c:pt idx="352">
                  <c:v>2.9710000000000001</c:v>
                </c:pt>
                <c:pt idx="353">
                  <c:v>2.9049999999999998</c:v>
                </c:pt>
                <c:pt idx="354">
                  <c:v>2.9009999999999998</c:v>
                </c:pt>
                <c:pt idx="355">
                  <c:v>2.9289999999999998</c:v>
                </c:pt>
                <c:pt idx="356">
                  <c:v>2.7949999999999999</c:v>
                </c:pt>
                <c:pt idx="357">
                  <c:v>2.6219999999999999</c:v>
                </c:pt>
                <c:pt idx="358">
                  <c:v>2.6629999999999998</c:v>
                </c:pt>
                <c:pt idx="359">
                  <c:v>2.6680000000000001</c:v>
                </c:pt>
                <c:pt idx="360">
                  <c:v>2.7679999999999998</c:v>
                </c:pt>
                <c:pt idx="361">
                  <c:v>2.7469999999999999</c:v>
                </c:pt>
                <c:pt idx="362">
                  <c:v>2.7440000000000002</c:v>
                </c:pt>
                <c:pt idx="363">
                  <c:v>2.726</c:v>
                </c:pt>
                <c:pt idx="364">
                  <c:v>2.7309999999999999</c:v>
                </c:pt>
                <c:pt idx="365">
                  <c:v>2.7490000000000001</c:v>
                </c:pt>
                <c:pt idx="366">
                  <c:v>2.8</c:v>
                </c:pt>
                <c:pt idx="367">
                  <c:v>2.726</c:v>
                </c:pt>
                <c:pt idx="368">
                  <c:v>2.8090000000000002</c:v>
                </c:pt>
                <c:pt idx="369">
                  <c:v>2.8740000000000001</c:v>
                </c:pt>
                <c:pt idx="370">
                  <c:v>2.9430000000000001</c:v>
                </c:pt>
                <c:pt idx="371">
                  <c:v>2.9049999999999998</c:v>
                </c:pt>
                <c:pt idx="372">
                  <c:v>2.8980000000000001</c:v>
                </c:pt>
                <c:pt idx="373">
                  <c:v>2.8690000000000002</c:v>
                </c:pt>
                <c:pt idx="374">
                  <c:v>2.952</c:v>
                </c:pt>
                <c:pt idx="375">
                  <c:v>2.9780000000000002</c:v>
                </c:pt>
                <c:pt idx="376">
                  <c:v>3.0459999999999998</c:v>
                </c:pt>
                <c:pt idx="377">
                  <c:v>3.04</c:v>
                </c:pt>
                <c:pt idx="378">
                  <c:v>3.004</c:v>
                </c:pt>
                <c:pt idx="379">
                  <c:v>2.9319999999999999</c:v>
                </c:pt>
                <c:pt idx="380">
                  <c:v>2.8969999999999998</c:v>
                </c:pt>
                <c:pt idx="381">
                  <c:v>2.911</c:v>
                </c:pt>
                <c:pt idx="382">
                  <c:v>2.9729999999999999</c:v>
                </c:pt>
                <c:pt idx="383">
                  <c:v>2.9670000000000001</c:v>
                </c:pt>
                <c:pt idx="384">
                  <c:v>2.9049999999999998</c:v>
                </c:pt>
                <c:pt idx="385">
                  <c:v>2.923</c:v>
                </c:pt>
                <c:pt idx="386">
                  <c:v>2.8519999999999999</c:v>
                </c:pt>
                <c:pt idx="387">
                  <c:v>2.89</c:v>
                </c:pt>
                <c:pt idx="388">
                  <c:v>2.952</c:v>
                </c:pt>
                <c:pt idx="389">
                  <c:v>3.0270000000000001</c:v>
                </c:pt>
                <c:pt idx="390">
                  <c:v>3.044</c:v>
                </c:pt>
                <c:pt idx="391">
                  <c:v>2.9860000000000002</c:v>
                </c:pt>
                <c:pt idx="392">
                  <c:v>2.9990000000000001</c:v>
                </c:pt>
                <c:pt idx="393">
                  <c:v>3.0910000000000002</c:v>
                </c:pt>
                <c:pt idx="394">
                  <c:v>3.0350000000000001</c:v>
                </c:pt>
                <c:pt idx="395">
                  <c:v>2.9660000000000002</c:v>
                </c:pt>
                <c:pt idx="396">
                  <c:v>3.0049999999999999</c:v>
                </c:pt>
                <c:pt idx="397">
                  <c:v>3.1190000000000002</c:v>
                </c:pt>
                <c:pt idx="398">
                  <c:v>3.2050000000000001</c:v>
                </c:pt>
                <c:pt idx="399">
                  <c:v>3.0590000000000002</c:v>
                </c:pt>
                <c:pt idx="400">
                  <c:v>3.0310000000000001</c:v>
                </c:pt>
                <c:pt idx="401">
                  <c:v>3.1</c:v>
                </c:pt>
                <c:pt idx="402">
                  <c:v>3.0619999999999998</c:v>
                </c:pt>
                <c:pt idx="403">
                  <c:v>3.028</c:v>
                </c:pt>
                <c:pt idx="404">
                  <c:v>2.9159999999999999</c:v>
                </c:pt>
                <c:pt idx="405">
                  <c:v>2.835</c:v>
                </c:pt>
                <c:pt idx="406">
                  <c:v>2.8730000000000002</c:v>
                </c:pt>
                <c:pt idx="407">
                  <c:v>2.8540000000000001</c:v>
                </c:pt>
                <c:pt idx="408">
                  <c:v>2.867</c:v>
                </c:pt>
                <c:pt idx="409">
                  <c:v>2.9249999999999998</c:v>
                </c:pt>
                <c:pt idx="410">
                  <c:v>2.9180000000000001</c:v>
                </c:pt>
                <c:pt idx="411">
                  <c:v>2.8650000000000002</c:v>
                </c:pt>
                <c:pt idx="412">
                  <c:v>2.8410000000000002</c:v>
                </c:pt>
                <c:pt idx="413">
                  <c:v>2.88</c:v>
                </c:pt>
                <c:pt idx="414">
                  <c:v>2.8769999999999998</c:v>
                </c:pt>
                <c:pt idx="415">
                  <c:v>2.8460000000000001</c:v>
                </c:pt>
                <c:pt idx="416">
                  <c:v>2.7949999999999999</c:v>
                </c:pt>
                <c:pt idx="417">
                  <c:v>2.855</c:v>
                </c:pt>
                <c:pt idx="418">
                  <c:v>2.952</c:v>
                </c:pt>
                <c:pt idx="419">
                  <c:v>2.9319999999999999</c:v>
                </c:pt>
                <c:pt idx="420">
                  <c:v>2.8450000000000002</c:v>
                </c:pt>
                <c:pt idx="421">
                  <c:v>2.7589999999999999</c:v>
                </c:pt>
                <c:pt idx="422">
                  <c:v>2.7559999999999998</c:v>
                </c:pt>
                <c:pt idx="423">
                  <c:v>2.7679999999999998</c:v>
                </c:pt>
                <c:pt idx="424">
                  <c:v>2.7770000000000001</c:v>
                </c:pt>
                <c:pt idx="425">
                  <c:v>2.7759999999999998</c:v>
                </c:pt>
                <c:pt idx="426">
                  <c:v>2.7589999999999999</c:v>
                </c:pt>
                <c:pt idx="427">
                  <c:v>2.7250000000000001</c:v>
                </c:pt>
                <c:pt idx="428">
                  <c:v>2.7519999999999998</c:v>
                </c:pt>
                <c:pt idx="429">
                  <c:v>2.714</c:v>
                </c:pt>
                <c:pt idx="430">
                  <c:v>2.6509999999999998</c:v>
                </c:pt>
                <c:pt idx="431">
                  <c:v>2.6139999999999999</c:v>
                </c:pt>
                <c:pt idx="432">
                  <c:v>2.5910000000000002</c:v>
                </c:pt>
                <c:pt idx="433">
                  <c:v>2.5659999999999998</c:v>
                </c:pt>
                <c:pt idx="434">
                  <c:v>2.4950000000000001</c:v>
                </c:pt>
                <c:pt idx="435">
                  <c:v>2.4039999999999999</c:v>
                </c:pt>
                <c:pt idx="436">
                  <c:v>2.3679999999999999</c:v>
                </c:pt>
                <c:pt idx="437">
                  <c:v>2.3479999999999999</c:v>
                </c:pt>
                <c:pt idx="438">
                  <c:v>2.31</c:v>
                </c:pt>
                <c:pt idx="439">
                  <c:v>2.2890000000000001</c:v>
                </c:pt>
                <c:pt idx="440">
                  <c:v>2.226</c:v>
                </c:pt>
                <c:pt idx="441">
                  <c:v>2.1520000000000001</c:v>
                </c:pt>
                <c:pt idx="442">
                  <c:v>1.9810000000000001</c:v>
                </c:pt>
                <c:pt idx="443">
                  <c:v>1.8959999999999999</c:v>
                </c:pt>
                <c:pt idx="444">
                  <c:v>1.8069999999999999</c:v>
                </c:pt>
                <c:pt idx="445">
                  <c:v>1.825</c:v>
                </c:pt>
                <c:pt idx="446">
                  <c:v>1.7030000000000001</c:v>
                </c:pt>
                <c:pt idx="447">
                  <c:v>1.67</c:v>
                </c:pt>
                <c:pt idx="448">
                  <c:v>1.597</c:v>
                </c:pt>
                <c:pt idx="449">
                  <c:v>1.5860000000000001</c:v>
                </c:pt>
                <c:pt idx="450">
                  <c:v>1.587</c:v>
                </c:pt>
                <c:pt idx="451">
                  <c:v>1.746</c:v>
                </c:pt>
                <c:pt idx="452">
                  <c:v>1.825</c:v>
                </c:pt>
                <c:pt idx="453">
                  <c:v>1.954</c:v>
                </c:pt>
                <c:pt idx="454">
                  <c:v>1.9810000000000001</c:v>
                </c:pt>
                <c:pt idx="455">
                  <c:v>1.788</c:v>
                </c:pt>
                <c:pt idx="456">
                  <c:v>1.631</c:v>
                </c:pt>
                <c:pt idx="457">
                  <c:v>1.5489999999999999</c:v>
                </c:pt>
                <c:pt idx="458">
                  <c:v>1.5760000000000001</c:v>
                </c:pt>
                <c:pt idx="459">
                  <c:v>1.5820000000000001</c:v>
                </c:pt>
                <c:pt idx="460">
                  <c:v>1.631</c:v>
                </c:pt>
                <c:pt idx="461">
                  <c:v>1.742</c:v>
                </c:pt>
                <c:pt idx="462">
                  <c:v>1.778</c:v>
                </c:pt>
                <c:pt idx="463">
                  <c:v>1.823</c:v>
                </c:pt>
                <c:pt idx="464">
                  <c:v>1.8480000000000001</c:v>
                </c:pt>
                <c:pt idx="465">
                  <c:v>1.857</c:v>
                </c:pt>
                <c:pt idx="466">
                  <c:v>1.833</c:v>
                </c:pt>
                <c:pt idx="467">
                  <c:v>1.7709999999999999</c:v>
                </c:pt>
                <c:pt idx="468">
                  <c:v>1.7689999999999999</c:v>
                </c:pt>
                <c:pt idx="469">
                  <c:v>1.776</c:v>
                </c:pt>
                <c:pt idx="470">
                  <c:v>1.76</c:v>
                </c:pt>
                <c:pt idx="471">
                  <c:v>1.7529999999999999</c:v>
                </c:pt>
                <c:pt idx="472">
                  <c:v>1.72</c:v>
                </c:pt>
                <c:pt idx="473">
                  <c:v>1.601</c:v>
                </c:pt>
                <c:pt idx="474">
                  <c:v>1.554</c:v>
                </c:pt>
                <c:pt idx="475">
                  <c:v>1.5249999999999999</c:v>
                </c:pt>
                <c:pt idx="476">
                  <c:v>1.4570000000000001</c:v>
                </c:pt>
                <c:pt idx="477">
                  <c:v>1.405</c:v>
                </c:pt>
                <c:pt idx="478">
                  <c:v>1.425</c:v>
                </c:pt>
                <c:pt idx="479">
                  <c:v>1.3779999999999999</c:v>
                </c:pt>
                <c:pt idx="480">
                  <c:v>1.3149999999999999</c:v>
                </c:pt>
                <c:pt idx="481">
                  <c:v>1.476</c:v>
                </c:pt>
                <c:pt idx="482">
                  <c:v>1.4359999999999999</c:v>
                </c:pt>
                <c:pt idx="483">
                  <c:v>1.3939999999999999</c:v>
                </c:pt>
                <c:pt idx="484">
                  <c:v>1.415</c:v>
                </c:pt>
                <c:pt idx="485">
                  <c:v>1.4159999999999999</c:v>
                </c:pt>
                <c:pt idx="486">
                  <c:v>1.4850000000000001</c:v>
                </c:pt>
                <c:pt idx="487">
                  <c:v>1.387</c:v>
                </c:pt>
                <c:pt idx="488">
                  <c:v>1.359</c:v>
                </c:pt>
                <c:pt idx="489">
                  <c:v>1.377</c:v>
                </c:pt>
                <c:pt idx="490">
                  <c:v>1.43</c:v>
                </c:pt>
                <c:pt idx="491">
                  <c:v>1.34</c:v>
                </c:pt>
                <c:pt idx="492">
                  <c:v>1.2729999999999999</c:v>
                </c:pt>
                <c:pt idx="493">
                  <c:v>1.2410000000000001</c:v>
                </c:pt>
                <c:pt idx="494">
                  <c:v>1.1990000000000001</c:v>
                </c:pt>
                <c:pt idx="495">
                  <c:v>1.075</c:v>
                </c:pt>
                <c:pt idx="496">
                  <c:v>0.96</c:v>
                </c:pt>
                <c:pt idx="497">
                  <c:v>0.97399999999999998</c:v>
                </c:pt>
                <c:pt idx="498">
                  <c:v>1.004</c:v>
                </c:pt>
                <c:pt idx="499">
                  <c:v>1.0149999999999999</c:v>
                </c:pt>
                <c:pt idx="500">
                  <c:v>0.91400000000000003</c:v>
                </c:pt>
                <c:pt idx="501">
                  <c:v>0.871</c:v>
                </c:pt>
                <c:pt idx="502">
                  <c:v>0.94599999999999995</c:v>
                </c:pt>
                <c:pt idx="503">
                  <c:v>0.97899999999999998</c:v>
                </c:pt>
                <c:pt idx="504">
                  <c:v>0.92500000000000004</c:v>
                </c:pt>
                <c:pt idx="505">
                  <c:v>0.98699999999999999</c:v>
                </c:pt>
                <c:pt idx="506">
                  <c:v>0.98699999999999999</c:v>
                </c:pt>
                <c:pt idx="507">
                  <c:v>1.046</c:v>
                </c:pt>
                <c:pt idx="508">
                  <c:v>1.153</c:v>
                </c:pt>
                <c:pt idx="509">
                  <c:v>1.1439999999999999</c:v>
                </c:pt>
                <c:pt idx="510">
                  <c:v>1.18</c:v>
                </c:pt>
                <c:pt idx="511">
                  <c:v>1.101</c:v>
                </c:pt>
                <c:pt idx="512">
                  <c:v>1.052</c:v>
                </c:pt>
                <c:pt idx="513">
                  <c:v>1.19</c:v>
                </c:pt>
                <c:pt idx="514">
                  <c:v>1.2310000000000001</c:v>
                </c:pt>
                <c:pt idx="515">
                  <c:v>1.3009999999999999</c:v>
                </c:pt>
                <c:pt idx="516">
                  <c:v>1.2789999999999999</c:v>
                </c:pt>
                <c:pt idx="517">
                  <c:v>1.2909999999999999</c:v>
                </c:pt>
                <c:pt idx="518">
                  <c:v>1.403</c:v>
                </c:pt>
                <c:pt idx="519">
                  <c:v>1.425</c:v>
                </c:pt>
                <c:pt idx="520">
                  <c:v>1.4219999999999999</c:v>
                </c:pt>
                <c:pt idx="521">
                  <c:v>1.458</c:v>
                </c:pt>
                <c:pt idx="522">
                  <c:v>1.389</c:v>
                </c:pt>
                <c:pt idx="523">
                  <c:v>1.417</c:v>
                </c:pt>
                <c:pt idx="524">
                  <c:v>1.401</c:v>
                </c:pt>
                <c:pt idx="525">
                  <c:v>1.367</c:v>
                </c:pt>
                <c:pt idx="526">
                  <c:v>1.3169999999999999</c:v>
                </c:pt>
                <c:pt idx="527">
                  <c:v>1.26</c:v>
                </c:pt>
                <c:pt idx="528">
                  <c:v>1.1950000000000001</c:v>
                </c:pt>
                <c:pt idx="529">
                  <c:v>1.18</c:v>
                </c:pt>
                <c:pt idx="530">
                  <c:v>1.2410000000000001</c:v>
                </c:pt>
                <c:pt idx="531">
                  <c:v>1.421</c:v>
                </c:pt>
                <c:pt idx="532">
                  <c:v>1.425</c:v>
                </c:pt>
                <c:pt idx="533">
                  <c:v>1.355</c:v>
                </c:pt>
                <c:pt idx="534">
                  <c:v>1.343</c:v>
                </c:pt>
                <c:pt idx="535">
                  <c:v>1.3240000000000001</c:v>
                </c:pt>
                <c:pt idx="536">
                  <c:v>1.3480000000000001</c:v>
                </c:pt>
                <c:pt idx="537">
                  <c:v>1.4</c:v>
                </c:pt>
                <c:pt idx="538">
                  <c:v>1.496</c:v>
                </c:pt>
                <c:pt idx="539">
                  <c:v>1.4990000000000001</c:v>
                </c:pt>
                <c:pt idx="540">
                  <c:v>1.49</c:v>
                </c:pt>
                <c:pt idx="541">
                  <c:v>1.4810000000000001</c:v>
                </c:pt>
                <c:pt idx="542">
                  <c:v>1.4</c:v>
                </c:pt>
                <c:pt idx="543">
                  <c:v>1.345</c:v>
                </c:pt>
                <c:pt idx="544">
                  <c:v>1.35</c:v>
                </c:pt>
                <c:pt idx="545">
                  <c:v>1.444</c:v>
                </c:pt>
                <c:pt idx="546">
                  <c:v>1.4770000000000001</c:v>
                </c:pt>
                <c:pt idx="547">
                  <c:v>1.51</c:v>
                </c:pt>
                <c:pt idx="548">
                  <c:v>1.552</c:v>
                </c:pt>
                <c:pt idx="549">
                  <c:v>1.548</c:v>
                </c:pt>
                <c:pt idx="550">
                  <c:v>1.603</c:v>
                </c:pt>
                <c:pt idx="551">
                  <c:v>1.601</c:v>
                </c:pt>
                <c:pt idx="552">
                  <c:v>1.5509999999999999</c:v>
                </c:pt>
                <c:pt idx="553">
                  <c:v>1.5389999999999999</c:v>
                </c:pt>
                <c:pt idx="554">
                  <c:v>1.5289999999999999</c:v>
                </c:pt>
                <c:pt idx="555">
                  <c:v>1.5469999999999999</c:v>
                </c:pt>
                <c:pt idx="556">
                  <c:v>1.5469999999999999</c:v>
                </c:pt>
                <c:pt idx="557">
                  <c:v>1.546</c:v>
                </c:pt>
                <c:pt idx="558">
                  <c:v>1.5720000000000001</c:v>
                </c:pt>
                <c:pt idx="559">
                  <c:v>1.573</c:v>
                </c:pt>
                <c:pt idx="560">
                  <c:v>1.52</c:v>
                </c:pt>
                <c:pt idx="561">
                  <c:v>1.464</c:v>
                </c:pt>
                <c:pt idx="562">
                  <c:v>1.456</c:v>
                </c:pt>
                <c:pt idx="563">
                  <c:v>1.492</c:v>
                </c:pt>
                <c:pt idx="564">
                  <c:v>1.5129999999999999</c:v>
                </c:pt>
                <c:pt idx="565">
                  <c:v>1.589</c:v>
                </c:pt>
                <c:pt idx="566">
                  <c:v>1.53</c:v>
                </c:pt>
                <c:pt idx="567">
                  <c:v>1.4610000000000001</c:v>
                </c:pt>
                <c:pt idx="568">
                  <c:v>1.391</c:v>
                </c:pt>
                <c:pt idx="569">
                  <c:v>1.4159999999999999</c:v>
                </c:pt>
                <c:pt idx="570">
                  <c:v>1.4790000000000001</c:v>
                </c:pt>
                <c:pt idx="571">
                  <c:v>1.52</c:v>
                </c:pt>
                <c:pt idx="572">
                  <c:v>1.446</c:v>
                </c:pt>
                <c:pt idx="573">
                  <c:v>1.343</c:v>
                </c:pt>
                <c:pt idx="574">
                  <c:v>1.333</c:v>
                </c:pt>
                <c:pt idx="575">
                  <c:v>1.2909999999999999</c:v>
                </c:pt>
                <c:pt idx="576">
                  <c:v>1.3280000000000001</c:v>
                </c:pt>
                <c:pt idx="577">
                  <c:v>1.38</c:v>
                </c:pt>
                <c:pt idx="578">
                  <c:v>1.381</c:v>
                </c:pt>
                <c:pt idx="579">
                  <c:v>1.4219999999999999</c:v>
                </c:pt>
                <c:pt idx="580">
                  <c:v>1.482</c:v>
                </c:pt>
                <c:pt idx="581">
                  <c:v>1.542</c:v>
                </c:pt>
                <c:pt idx="582">
                  <c:v>1.53</c:v>
                </c:pt>
                <c:pt idx="583">
                  <c:v>1.4890000000000001</c:v>
                </c:pt>
                <c:pt idx="584">
                  <c:v>1.4970000000000001</c:v>
                </c:pt>
                <c:pt idx="585">
                  <c:v>1.5820000000000001</c:v>
                </c:pt>
                <c:pt idx="586">
                  <c:v>1.6879999999999999</c:v>
                </c:pt>
                <c:pt idx="587">
                  <c:v>1.665</c:v>
                </c:pt>
                <c:pt idx="588">
                  <c:v>1.7050000000000001</c:v>
                </c:pt>
                <c:pt idx="589">
                  <c:v>1.7769999999999999</c:v>
                </c:pt>
                <c:pt idx="590">
                  <c:v>1.6890000000000001</c:v>
                </c:pt>
                <c:pt idx="591">
                  <c:v>1.6519999999999999</c:v>
                </c:pt>
                <c:pt idx="592">
                  <c:v>1.71</c:v>
                </c:pt>
                <c:pt idx="593">
                  <c:v>1.744</c:v>
                </c:pt>
                <c:pt idx="594">
                  <c:v>1.7809999999999999</c:v>
                </c:pt>
                <c:pt idx="595">
                  <c:v>1.827</c:v>
                </c:pt>
                <c:pt idx="596">
                  <c:v>1.8149999999999999</c:v>
                </c:pt>
                <c:pt idx="597">
                  <c:v>1.8440000000000001</c:v>
                </c:pt>
                <c:pt idx="598">
                  <c:v>1.839</c:v>
                </c:pt>
                <c:pt idx="599">
                  <c:v>1.8069999999999999</c:v>
                </c:pt>
                <c:pt idx="600">
                  <c:v>1.8360000000000001</c:v>
                </c:pt>
                <c:pt idx="601">
                  <c:v>1.86</c:v>
                </c:pt>
                <c:pt idx="602">
                  <c:v>1.952</c:v>
                </c:pt>
                <c:pt idx="603">
                  <c:v>2.0059999999999998</c:v>
                </c:pt>
                <c:pt idx="604">
                  <c:v>2.0190000000000001</c:v>
                </c:pt>
                <c:pt idx="605">
                  <c:v>2.0110000000000001</c:v>
                </c:pt>
                <c:pt idx="606">
                  <c:v>2.0350000000000001</c:v>
                </c:pt>
                <c:pt idx="607">
                  <c:v>2.0030000000000001</c:v>
                </c:pt>
                <c:pt idx="608">
                  <c:v>1.8560000000000001</c:v>
                </c:pt>
                <c:pt idx="609">
                  <c:v>1.8</c:v>
                </c:pt>
                <c:pt idx="610">
                  <c:v>1.841</c:v>
                </c:pt>
                <c:pt idx="611">
                  <c:v>1.843</c:v>
                </c:pt>
                <c:pt idx="612">
                  <c:v>1.794</c:v>
                </c:pt>
                <c:pt idx="613">
                  <c:v>1.827</c:v>
                </c:pt>
                <c:pt idx="614">
                  <c:v>1.9350000000000001</c:v>
                </c:pt>
                <c:pt idx="615">
                  <c:v>1.9670000000000001</c:v>
                </c:pt>
                <c:pt idx="616">
                  <c:v>1.9350000000000001</c:v>
                </c:pt>
                <c:pt idx="617">
                  <c:v>2.032</c:v>
                </c:pt>
                <c:pt idx="618">
                  <c:v>2.06</c:v>
                </c:pt>
                <c:pt idx="619">
                  <c:v>2.1030000000000002</c:v>
                </c:pt>
                <c:pt idx="620">
                  <c:v>2.1040000000000001</c:v>
                </c:pt>
                <c:pt idx="621">
                  <c:v>2.1760000000000002</c:v>
                </c:pt>
                <c:pt idx="622">
                  <c:v>2.234</c:v>
                </c:pt>
                <c:pt idx="623">
                  <c:v>2.2320000000000002</c:v>
                </c:pt>
                <c:pt idx="624">
                  <c:v>2.169</c:v>
                </c:pt>
                <c:pt idx="625">
                  <c:v>2.1219999999999999</c:v>
                </c:pt>
                <c:pt idx="626">
                  <c:v>2.117</c:v>
                </c:pt>
                <c:pt idx="627">
                  <c:v>2.08</c:v>
                </c:pt>
                <c:pt idx="628">
                  <c:v>2.1219999999999999</c:v>
                </c:pt>
                <c:pt idx="629">
                  <c:v>2.137</c:v>
                </c:pt>
                <c:pt idx="630">
                  <c:v>2.1259999999999999</c:v>
                </c:pt>
                <c:pt idx="631">
                  <c:v>2.048</c:v>
                </c:pt>
                <c:pt idx="632">
                  <c:v>2.113</c:v>
                </c:pt>
                <c:pt idx="633">
                  <c:v>2.1040000000000001</c:v>
                </c:pt>
                <c:pt idx="634">
                  <c:v>2.1040000000000001</c:v>
                </c:pt>
                <c:pt idx="635">
                  <c:v>2.0819999999999999</c:v>
                </c:pt>
                <c:pt idx="636">
                  <c:v>2.1280000000000001</c:v>
                </c:pt>
                <c:pt idx="637">
                  <c:v>2.2040000000000002</c:v>
                </c:pt>
                <c:pt idx="638">
                  <c:v>2.202</c:v>
                </c:pt>
                <c:pt idx="639">
                  <c:v>2.2069999999999999</c:v>
                </c:pt>
                <c:pt idx="640">
                  <c:v>2.2010000000000001</c:v>
                </c:pt>
                <c:pt idx="641">
                  <c:v>2.2909999999999999</c:v>
                </c:pt>
                <c:pt idx="642">
                  <c:v>2.3839999999999999</c:v>
                </c:pt>
                <c:pt idx="643">
                  <c:v>2.35</c:v>
                </c:pt>
                <c:pt idx="644">
                  <c:v>2.2989999999999999</c:v>
                </c:pt>
                <c:pt idx="645">
                  <c:v>2.2610000000000001</c:v>
                </c:pt>
                <c:pt idx="646">
                  <c:v>2.2149999999999999</c:v>
                </c:pt>
                <c:pt idx="647">
                  <c:v>2.173</c:v>
                </c:pt>
                <c:pt idx="648">
                  <c:v>2.0750000000000002</c:v>
                </c:pt>
                <c:pt idx="649">
                  <c:v>1.9850000000000001</c:v>
                </c:pt>
                <c:pt idx="650">
                  <c:v>1.8440000000000001</c:v>
                </c:pt>
                <c:pt idx="651">
                  <c:v>1.87</c:v>
                </c:pt>
                <c:pt idx="652">
                  <c:v>1.8420000000000001</c:v>
                </c:pt>
                <c:pt idx="653">
                  <c:v>1.7569999999999999</c:v>
                </c:pt>
                <c:pt idx="654">
                  <c:v>1.6970000000000001</c:v>
                </c:pt>
                <c:pt idx="655">
                  <c:v>1.6879999999999999</c:v>
                </c:pt>
                <c:pt idx="656">
                  <c:v>1.821</c:v>
                </c:pt>
                <c:pt idx="657">
                  <c:v>1.8520000000000001</c:v>
                </c:pt>
                <c:pt idx="658">
                  <c:v>1.8580000000000001</c:v>
                </c:pt>
                <c:pt idx="659">
                  <c:v>1.851</c:v>
                </c:pt>
                <c:pt idx="660">
                  <c:v>1.871</c:v>
                </c:pt>
                <c:pt idx="661">
                  <c:v>1.9139999999999999</c:v>
                </c:pt>
                <c:pt idx="662">
                  <c:v>1.984</c:v>
                </c:pt>
                <c:pt idx="663">
                  <c:v>1.97</c:v>
                </c:pt>
                <c:pt idx="664">
                  <c:v>1.98</c:v>
                </c:pt>
                <c:pt idx="665">
                  <c:v>1.964</c:v>
                </c:pt>
                <c:pt idx="666">
                  <c:v>1.958</c:v>
                </c:pt>
                <c:pt idx="667">
                  <c:v>1.958</c:v>
                </c:pt>
                <c:pt idx="668">
                  <c:v>1.99</c:v>
                </c:pt>
                <c:pt idx="669">
                  <c:v>2.0390000000000001</c:v>
                </c:pt>
                <c:pt idx="670">
                  <c:v>2.048</c:v>
                </c:pt>
                <c:pt idx="671">
                  <c:v>2.0659999999999998</c:v>
                </c:pt>
                <c:pt idx="672">
                  <c:v>2.0459999999999998</c:v>
                </c:pt>
                <c:pt idx="673">
                  <c:v>2.0299999999999998</c:v>
                </c:pt>
                <c:pt idx="674">
                  <c:v>2.0539999999999998</c:v>
                </c:pt>
                <c:pt idx="675">
                  <c:v>2.004</c:v>
                </c:pt>
                <c:pt idx="676">
                  <c:v>1.9119999999999999</c:v>
                </c:pt>
                <c:pt idx="677">
                  <c:v>1.7769999999999999</c:v>
                </c:pt>
                <c:pt idx="678">
                  <c:v>1.7769999999999999</c:v>
                </c:pt>
                <c:pt idx="679">
                  <c:v>1.8220000000000001</c:v>
                </c:pt>
                <c:pt idx="680">
                  <c:v>1.903</c:v>
                </c:pt>
                <c:pt idx="681">
                  <c:v>1.873</c:v>
                </c:pt>
                <c:pt idx="682">
                  <c:v>1.919</c:v>
                </c:pt>
                <c:pt idx="683">
                  <c:v>1.8720000000000001</c:v>
                </c:pt>
                <c:pt idx="684">
                  <c:v>1.8779999999999999</c:v>
                </c:pt>
                <c:pt idx="685">
                  <c:v>1.8779999999999999</c:v>
                </c:pt>
                <c:pt idx="686">
                  <c:v>1.7709999999999999</c:v>
                </c:pt>
                <c:pt idx="687">
                  <c:v>1.7889999999999999</c:v>
                </c:pt>
                <c:pt idx="688">
                  <c:v>1.8009999999999999</c:v>
                </c:pt>
                <c:pt idx="689">
                  <c:v>1.804</c:v>
                </c:pt>
                <c:pt idx="690">
                  <c:v>1.839</c:v>
                </c:pt>
                <c:pt idx="691">
                  <c:v>1.893</c:v>
                </c:pt>
                <c:pt idx="692">
                  <c:v>2.0059999999999998</c:v>
                </c:pt>
                <c:pt idx="693">
                  <c:v>1.9450000000000001</c:v>
                </c:pt>
                <c:pt idx="694">
                  <c:v>1.873</c:v>
                </c:pt>
                <c:pt idx="695">
                  <c:v>1.907</c:v>
                </c:pt>
                <c:pt idx="696">
                  <c:v>1.925</c:v>
                </c:pt>
                <c:pt idx="697">
                  <c:v>1.9650000000000001</c:v>
                </c:pt>
                <c:pt idx="698">
                  <c:v>1.925</c:v>
                </c:pt>
                <c:pt idx="699">
                  <c:v>1.925</c:v>
                </c:pt>
                <c:pt idx="700">
                  <c:v>1.9079999999999999</c:v>
                </c:pt>
                <c:pt idx="701">
                  <c:v>1.8919999999999999</c:v>
                </c:pt>
                <c:pt idx="702">
                  <c:v>1.9330000000000001</c:v>
                </c:pt>
                <c:pt idx="703">
                  <c:v>1.8959999999999999</c:v>
                </c:pt>
                <c:pt idx="704">
                  <c:v>1.9330000000000001</c:v>
                </c:pt>
                <c:pt idx="705">
                  <c:v>1.9990000000000001</c:v>
                </c:pt>
                <c:pt idx="706">
                  <c:v>2.0190000000000001</c:v>
                </c:pt>
                <c:pt idx="707">
                  <c:v>2.0209999999999999</c:v>
                </c:pt>
                <c:pt idx="708">
                  <c:v>1.9630000000000001</c:v>
                </c:pt>
                <c:pt idx="709">
                  <c:v>1.859</c:v>
                </c:pt>
                <c:pt idx="710">
                  <c:v>1.758</c:v>
                </c:pt>
                <c:pt idx="711">
                  <c:v>1.645</c:v>
                </c:pt>
                <c:pt idx="712">
                  <c:v>1.5940000000000001</c:v>
                </c:pt>
                <c:pt idx="713">
                  <c:v>1.629</c:v>
                </c:pt>
                <c:pt idx="714">
                  <c:v>1.655</c:v>
                </c:pt>
                <c:pt idx="715">
                  <c:v>1.492</c:v>
                </c:pt>
                <c:pt idx="716">
                  <c:v>1.4810000000000001</c:v>
                </c:pt>
                <c:pt idx="717">
                  <c:v>1.1719999999999999</c:v>
                </c:pt>
                <c:pt idx="718">
                  <c:v>1</c:v>
                </c:pt>
                <c:pt idx="719">
                  <c:v>1.042</c:v>
                </c:pt>
                <c:pt idx="720">
                  <c:v>0.98899999999999999</c:v>
                </c:pt>
                <c:pt idx="721">
                  <c:v>0.999</c:v>
                </c:pt>
                <c:pt idx="722">
                  <c:v>0.94</c:v>
                </c:pt>
                <c:pt idx="723">
                  <c:v>0.74199999999999999</c:v>
                </c:pt>
                <c:pt idx="724">
                  <c:v>0.65400000000000003</c:v>
                </c:pt>
                <c:pt idx="725">
                  <c:v>0.78600000000000003</c:v>
                </c:pt>
                <c:pt idx="726">
                  <c:v>0.79100000000000004</c:v>
                </c:pt>
                <c:pt idx="727">
                  <c:v>0.91800000000000004</c:v>
                </c:pt>
                <c:pt idx="728">
                  <c:v>0.90500000000000003</c:v>
                </c:pt>
                <c:pt idx="729">
                  <c:v>0.995</c:v>
                </c:pt>
                <c:pt idx="730">
                  <c:v>1.032</c:v>
                </c:pt>
                <c:pt idx="731">
                  <c:v>1.125</c:v>
                </c:pt>
                <c:pt idx="732">
                  <c:v>1.121</c:v>
                </c:pt>
                <c:pt idx="733">
                  <c:v>1.141</c:v>
                </c:pt>
                <c:pt idx="734">
                  <c:v>1.19</c:v>
                </c:pt>
                <c:pt idx="735">
                  <c:v>1.1719999999999999</c:v>
                </c:pt>
                <c:pt idx="736">
                  <c:v>1.2090000000000001</c:v>
                </c:pt>
                <c:pt idx="737">
                  <c:v>1.1890000000000001</c:v>
                </c:pt>
                <c:pt idx="738">
                  <c:v>1.1930000000000001</c:v>
                </c:pt>
                <c:pt idx="739">
                  <c:v>1.1819999999999999</c:v>
                </c:pt>
                <c:pt idx="740">
                  <c:v>1.1759999999999999</c:v>
                </c:pt>
                <c:pt idx="741">
                  <c:v>1.177</c:v>
                </c:pt>
                <c:pt idx="742">
                  <c:v>1.1240000000000001</c:v>
                </c:pt>
                <c:pt idx="743">
                  <c:v>1.028</c:v>
                </c:pt>
                <c:pt idx="744">
                  <c:v>1.0720000000000001</c:v>
                </c:pt>
                <c:pt idx="745">
                  <c:v>1.054</c:v>
                </c:pt>
                <c:pt idx="746">
                  <c:v>1.071</c:v>
                </c:pt>
                <c:pt idx="747">
                  <c:v>1.129</c:v>
                </c:pt>
                <c:pt idx="748">
                  <c:v>1.133</c:v>
                </c:pt>
                <c:pt idx="749">
                  <c:v>1.0960000000000001</c:v>
                </c:pt>
                <c:pt idx="750">
                  <c:v>1.0549999999999999</c:v>
                </c:pt>
                <c:pt idx="751">
                  <c:v>1.073</c:v>
                </c:pt>
                <c:pt idx="752">
                  <c:v>1.1379999999999999</c:v>
                </c:pt>
                <c:pt idx="753">
                  <c:v>1.173</c:v>
                </c:pt>
                <c:pt idx="754">
                  <c:v>1.274</c:v>
                </c:pt>
                <c:pt idx="755">
                  <c:v>1.302</c:v>
                </c:pt>
                <c:pt idx="756">
                  <c:v>1.3360000000000001</c:v>
                </c:pt>
                <c:pt idx="757">
                  <c:v>1.3959999999999999</c:v>
                </c:pt>
                <c:pt idx="758">
                  <c:v>1.3979999999999999</c:v>
                </c:pt>
                <c:pt idx="759">
                  <c:v>1.397</c:v>
                </c:pt>
                <c:pt idx="760">
                  <c:v>1.431</c:v>
                </c:pt>
                <c:pt idx="761">
                  <c:v>1.498</c:v>
                </c:pt>
                <c:pt idx="762">
                  <c:v>1.492</c:v>
                </c:pt>
                <c:pt idx="763">
                  <c:v>1.488</c:v>
                </c:pt>
                <c:pt idx="764">
                  <c:v>1.5669999999999999</c:v>
                </c:pt>
                <c:pt idx="765">
                  <c:v>1.6379999999999999</c:v>
                </c:pt>
                <c:pt idx="766">
                  <c:v>1.71</c:v>
                </c:pt>
                <c:pt idx="767">
                  <c:v>1.7709999999999999</c:v>
                </c:pt>
                <c:pt idx="768">
                  <c:v>1.734</c:v>
                </c:pt>
                <c:pt idx="769">
                  <c:v>1.7809999999999999</c:v>
                </c:pt>
                <c:pt idx="770">
                  <c:v>1.71</c:v>
                </c:pt>
                <c:pt idx="771">
                  <c:v>1.6339999999999999</c:v>
                </c:pt>
                <c:pt idx="772">
                  <c:v>1.6459999999999999</c:v>
                </c:pt>
                <c:pt idx="773">
                  <c:v>1.649</c:v>
                </c:pt>
                <c:pt idx="774">
                  <c:v>1.7070000000000001</c:v>
                </c:pt>
                <c:pt idx="775">
                  <c:v>1.7150000000000001</c:v>
                </c:pt>
                <c:pt idx="776">
                  <c:v>1.7529999999999999</c:v>
                </c:pt>
                <c:pt idx="777">
                  <c:v>1.8120000000000001</c:v>
                </c:pt>
                <c:pt idx="778">
                  <c:v>1.849</c:v>
                </c:pt>
                <c:pt idx="779">
                  <c:v>1.8260000000000001</c:v>
                </c:pt>
                <c:pt idx="780">
                  <c:v>1.849</c:v>
                </c:pt>
                <c:pt idx="781">
                  <c:v>1.887</c:v>
                </c:pt>
                <c:pt idx="782">
                  <c:v>1.9039999999999999</c:v>
                </c:pt>
                <c:pt idx="783">
                  <c:v>1.8759999999999999</c:v>
                </c:pt>
                <c:pt idx="784">
                  <c:v>1.9570000000000001</c:v>
                </c:pt>
                <c:pt idx="785">
                  <c:v>1.95</c:v>
                </c:pt>
                <c:pt idx="786">
                  <c:v>1.9319999999999999</c:v>
                </c:pt>
                <c:pt idx="787">
                  <c:v>1.962</c:v>
                </c:pt>
                <c:pt idx="788">
                  <c:v>1.8919999999999999</c:v>
                </c:pt>
                <c:pt idx="789">
                  <c:v>1.9890000000000001</c:v>
                </c:pt>
                <c:pt idx="790">
                  <c:v>1.919</c:v>
                </c:pt>
                <c:pt idx="791">
                  <c:v>1.881</c:v>
                </c:pt>
                <c:pt idx="792">
                  <c:v>1.7889999999999999</c:v>
                </c:pt>
                <c:pt idx="793">
                  <c:v>1.887</c:v>
                </c:pt>
                <c:pt idx="794">
                  <c:v>1.978</c:v>
                </c:pt>
                <c:pt idx="795">
                  <c:v>1.9670000000000001</c:v>
                </c:pt>
                <c:pt idx="796">
                  <c:v>2.0289999999999999</c:v>
                </c:pt>
                <c:pt idx="797">
                  <c:v>2.0739999999999998</c:v>
                </c:pt>
                <c:pt idx="798">
                  <c:v>2.2080000000000002</c:v>
                </c:pt>
                <c:pt idx="799">
                  <c:v>2.33</c:v>
                </c:pt>
                <c:pt idx="800">
                  <c:v>2.4119999999999999</c:v>
                </c:pt>
                <c:pt idx="801">
                  <c:v>2.4209999999999998</c:v>
                </c:pt>
                <c:pt idx="802">
                  <c:v>2.3879999999999999</c:v>
                </c:pt>
                <c:pt idx="803">
                  <c:v>2.3370000000000002</c:v>
                </c:pt>
                <c:pt idx="804">
                  <c:v>2.3159999999999998</c:v>
                </c:pt>
                <c:pt idx="805">
                  <c:v>2.2389999999999999</c:v>
                </c:pt>
                <c:pt idx="806">
                  <c:v>2.2229999999999999</c:v>
                </c:pt>
                <c:pt idx="807">
                  <c:v>1.9570000000000001</c:v>
                </c:pt>
                <c:pt idx="808">
                  <c:v>2.0960000000000001</c:v>
                </c:pt>
                <c:pt idx="809">
                  <c:v>2.0840000000000001</c:v>
                </c:pt>
                <c:pt idx="810">
                  <c:v>2.1549999999999998</c:v>
                </c:pt>
                <c:pt idx="811">
                  <c:v>2.2450000000000001</c:v>
                </c:pt>
                <c:pt idx="812">
                  <c:v>2.3079999999999998</c:v>
                </c:pt>
                <c:pt idx="813">
                  <c:v>2.4529999999999998</c:v>
                </c:pt>
                <c:pt idx="814">
                  <c:v>2.544</c:v>
                </c:pt>
                <c:pt idx="815">
                  <c:v>2.605</c:v>
                </c:pt>
                <c:pt idx="816">
                  <c:v>2.6890000000000001</c:v>
                </c:pt>
                <c:pt idx="817">
                  <c:v>2.774</c:v>
                </c:pt>
                <c:pt idx="818">
                  <c:v>2.7360000000000002</c:v>
                </c:pt>
                <c:pt idx="819">
                  <c:v>2.69</c:v>
                </c:pt>
                <c:pt idx="820">
                  <c:v>3.3340000000000001</c:v>
                </c:pt>
                <c:pt idx="821">
                  <c:v>3.7509999999999999</c:v>
                </c:pt>
                <c:pt idx="822">
                  <c:v>3.3029999999999999</c:v>
                </c:pt>
                <c:pt idx="823">
                  <c:v>3.99</c:v>
                </c:pt>
                <c:pt idx="824">
                  <c:v>3.581</c:v>
                </c:pt>
                <c:pt idx="825">
                  <c:v>3.5289999999999999</c:v>
                </c:pt>
                <c:pt idx="826">
                  <c:v>3.7050000000000001</c:v>
                </c:pt>
                <c:pt idx="827">
                  <c:v>4.0220000000000002</c:v>
                </c:pt>
                <c:pt idx="828">
                  <c:v>4.6260000000000003</c:v>
                </c:pt>
                <c:pt idx="829">
                  <c:v>4.8739999999999997</c:v>
                </c:pt>
                <c:pt idx="830">
                  <c:v>4.83</c:v>
                </c:pt>
                <c:pt idx="831">
                  <c:v>4.47</c:v>
                </c:pt>
                <c:pt idx="832">
                  <c:v>3.9319999999999999</c:v>
                </c:pt>
                <c:pt idx="833">
                  <c:v>4.1399999999999997</c:v>
                </c:pt>
                <c:pt idx="834">
                  <c:v>4.306</c:v>
                </c:pt>
                <c:pt idx="835">
                  <c:v>4.3639999999999999</c:v>
                </c:pt>
                <c:pt idx="836">
                  <c:v>4.2889999999999997</c:v>
                </c:pt>
                <c:pt idx="837">
                  <c:v>3.9750000000000001</c:v>
                </c:pt>
                <c:pt idx="838">
                  <c:v>3.4849999999999999</c:v>
                </c:pt>
                <c:pt idx="839">
                  <c:v>3.6030000000000002</c:v>
                </c:pt>
                <c:pt idx="840">
                  <c:v>3.508</c:v>
                </c:pt>
                <c:pt idx="841">
                  <c:v>3.5390000000000001</c:v>
                </c:pt>
                <c:pt idx="842">
                  <c:v>3.2770000000000001</c:v>
                </c:pt>
                <c:pt idx="843">
                  <c:v>3.21</c:v>
                </c:pt>
              </c:numCache>
            </c:numRef>
          </c:val>
          <c:smooth val="0"/>
          <c:extLst>
            <c:ext xmlns:c16="http://schemas.microsoft.com/office/drawing/2014/chart" uri="{C3380CC4-5D6E-409C-BE32-E72D297353CC}">
              <c16:uniqueId val="{00000002-2957-9744-99C6-E4EE6DA4F0E1}"/>
            </c:ext>
          </c:extLst>
        </c:ser>
        <c:ser>
          <c:idx val="4"/>
          <c:order val="4"/>
          <c:tx>
            <c:strRef>
              <c:f>Hoja1!$Q$1</c:f>
              <c:strCache>
                <c:ptCount val="1"/>
                <c:pt idx="0">
                  <c:v>Diesel</c:v>
                </c:pt>
              </c:strCache>
            </c:strRef>
          </c:tx>
          <c:spPr>
            <a:ln w="22225" cap="rnd">
              <a:solidFill>
                <a:schemeClr val="accent5"/>
              </a:solidFill>
              <a:round/>
            </a:ln>
            <a:effectLst/>
          </c:spPr>
          <c:marker>
            <c:symbol val="none"/>
          </c:marker>
          <c:cat>
            <c:numRef>
              <c:f>Hoja1!$L$2:$L$845</c:f>
              <c:numCache>
                <c:formatCode>m/d/yy</c:formatCode>
                <c:ptCount val="844"/>
                <c:pt idx="0">
                  <c:v>38884</c:v>
                </c:pt>
                <c:pt idx="1">
                  <c:v>38891</c:v>
                </c:pt>
                <c:pt idx="2">
                  <c:v>38898</c:v>
                </c:pt>
                <c:pt idx="3">
                  <c:v>38905</c:v>
                </c:pt>
                <c:pt idx="4">
                  <c:v>38912</c:v>
                </c:pt>
                <c:pt idx="5">
                  <c:v>38919</c:v>
                </c:pt>
                <c:pt idx="6">
                  <c:v>38926</c:v>
                </c:pt>
                <c:pt idx="7">
                  <c:v>38933</c:v>
                </c:pt>
                <c:pt idx="8">
                  <c:v>38940</c:v>
                </c:pt>
                <c:pt idx="9">
                  <c:v>38947</c:v>
                </c:pt>
                <c:pt idx="10">
                  <c:v>38954</c:v>
                </c:pt>
                <c:pt idx="11">
                  <c:v>38961</c:v>
                </c:pt>
                <c:pt idx="12">
                  <c:v>38968</c:v>
                </c:pt>
                <c:pt idx="13">
                  <c:v>38975</c:v>
                </c:pt>
                <c:pt idx="14">
                  <c:v>38982</c:v>
                </c:pt>
                <c:pt idx="15">
                  <c:v>38989</c:v>
                </c:pt>
                <c:pt idx="16">
                  <c:v>38996</c:v>
                </c:pt>
                <c:pt idx="17">
                  <c:v>39003</c:v>
                </c:pt>
                <c:pt idx="18">
                  <c:v>39010</c:v>
                </c:pt>
                <c:pt idx="19">
                  <c:v>39017</c:v>
                </c:pt>
                <c:pt idx="20">
                  <c:v>39024</c:v>
                </c:pt>
                <c:pt idx="21">
                  <c:v>39031</c:v>
                </c:pt>
                <c:pt idx="22">
                  <c:v>39038</c:v>
                </c:pt>
                <c:pt idx="23">
                  <c:v>39045</c:v>
                </c:pt>
                <c:pt idx="24">
                  <c:v>39052</c:v>
                </c:pt>
                <c:pt idx="25">
                  <c:v>39059</c:v>
                </c:pt>
                <c:pt idx="26">
                  <c:v>39066</c:v>
                </c:pt>
                <c:pt idx="27">
                  <c:v>39073</c:v>
                </c:pt>
                <c:pt idx="28">
                  <c:v>39080</c:v>
                </c:pt>
                <c:pt idx="29">
                  <c:v>39087</c:v>
                </c:pt>
                <c:pt idx="30">
                  <c:v>39094</c:v>
                </c:pt>
                <c:pt idx="31">
                  <c:v>39101</c:v>
                </c:pt>
                <c:pt idx="32">
                  <c:v>39108</c:v>
                </c:pt>
                <c:pt idx="33">
                  <c:v>39115</c:v>
                </c:pt>
                <c:pt idx="34">
                  <c:v>39122</c:v>
                </c:pt>
                <c:pt idx="35">
                  <c:v>39129</c:v>
                </c:pt>
                <c:pt idx="36">
                  <c:v>39136</c:v>
                </c:pt>
                <c:pt idx="37">
                  <c:v>39143</c:v>
                </c:pt>
                <c:pt idx="38">
                  <c:v>39150</c:v>
                </c:pt>
                <c:pt idx="39">
                  <c:v>39157</c:v>
                </c:pt>
                <c:pt idx="40">
                  <c:v>39164</c:v>
                </c:pt>
                <c:pt idx="41">
                  <c:v>39171</c:v>
                </c:pt>
                <c:pt idx="42">
                  <c:v>39178</c:v>
                </c:pt>
                <c:pt idx="43">
                  <c:v>39185</c:v>
                </c:pt>
                <c:pt idx="44">
                  <c:v>39192</c:v>
                </c:pt>
                <c:pt idx="45">
                  <c:v>39199</c:v>
                </c:pt>
                <c:pt idx="46">
                  <c:v>39206</c:v>
                </c:pt>
                <c:pt idx="47">
                  <c:v>39213</c:v>
                </c:pt>
                <c:pt idx="48">
                  <c:v>39220</c:v>
                </c:pt>
                <c:pt idx="49">
                  <c:v>39227</c:v>
                </c:pt>
                <c:pt idx="50">
                  <c:v>39234</c:v>
                </c:pt>
                <c:pt idx="51">
                  <c:v>39241</c:v>
                </c:pt>
                <c:pt idx="52">
                  <c:v>39248</c:v>
                </c:pt>
                <c:pt idx="53">
                  <c:v>39255</c:v>
                </c:pt>
                <c:pt idx="54">
                  <c:v>39262</c:v>
                </c:pt>
                <c:pt idx="55">
                  <c:v>39269</c:v>
                </c:pt>
                <c:pt idx="56">
                  <c:v>39276</c:v>
                </c:pt>
                <c:pt idx="57">
                  <c:v>39283</c:v>
                </c:pt>
                <c:pt idx="58">
                  <c:v>39290</c:v>
                </c:pt>
                <c:pt idx="59">
                  <c:v>39297</c:v>
                </c:pt>
                <c:pt idx="60">
                  <c:v>39304</c:v>
                </c:pt>
                <c:pt idx="61">
                  <c:v>39311</c:v>
                </c:pt>
                <c:pt idx="62">
                  <c:v>39318</c:v>
                </c:pt>
                <c:pt idx="63">
                  <c:v>39325</c:v>
                </c:pt>
                <c:pt idx="64">
                  <c:v>39332</c:v>
                </c:pt>
                <c:pt idx="65">
                  <c:v>39339</c:v>
                </c:pt>
                <c:pt idx="66">
                  <c:v>39346</c:v>
                </c:pt>
                <c:pt idx="67">
                  <c:v>39353</c:v>
                </c:pt>
                <c:pt idx="68">
                  <c:v>39360</c:v>
                </c:pt>
                <c:pt idx="69">
                  <c:v>39367</c:v>
                </c:pt>
                <c:pt idx="70">
                  <c:v>39374</c:v>
                </c:pt>
                <c:pt idx="71">
                  <c:v>39381</c:v>
                </c:pt>
                <c:pt idx="72">
                  <c:v>39388</c:v>
                </c:pt>
                <c:pt idx="73">
                  <c:v>39395</c:v>
                </c:pt>
                <c:pt idx="74">
                  <c:v>39402</c:v>
                </c:pt>
                <c:pt idx="75">
                  <c:v>39409</c:v>
                </c:pt>
                <c:pt idx="76">
                  <c:v>39416</c:v>
                </c:pt>
                <c:pt idx="77">
                  <c:v>39423</c:v>
                </c:pt>
                <c:pt idx="78">
                  <c:v>39430</c:v>
                </c:pt>
                <c:pt idx="79">
                  <c:v>39437</c:v>
                </c:pt>
                <c:pt idx="80">
                  <c:v>39444</c:v>
                </c:pt>
                <c:pt idx="81">
                  <c:v>39451</c:v>
                </c:pt>
                <c:pt idx="82">
                  <c:v>39458</c:v>
                </c:pt>
                <c:pt idx="83">
                  <c:v>39465</c:v>
                </c:pt>
                <c:pt idx="84">
                  <c:v>39472</c:v>
                </c:pt>
                <c:pt idx="85">
                  <c:v>39479</c:v>
                </c:pt>
                <c:pt idx="86">
                  <c:v>39486</c:v>
                </c:pt>
                <c:pt idx="87">
                  <c:v>39493</c:v>
                </c:pt>
                <c:pt idx="88">
                  <c:v>39500</c:v>
                </c:pt>
                <c:pt idx="89">
                  <c:v>39507</c:v>
                </c:pt>
                <c:pt idx="90">
                  <c:v>39514</c:v>
                </c:pt>
                <c:pt idx="91">
                  <c:v>39521</c:v>
                </c:pt>
                <c:pt idx="92">
                  <c:v>39528</c:v>
                </c:pt>
                <c:pt idx="93">
                  <c:v>39535</c:v>
                </c:pt>
                <c:pt idx="94">
                  <c:v>39542</c:v>
                </c:pt>
                <c:pt idx="95">
                  <c:v>39549</c:v>
                </c:pt>
                <c:pt idx="96">
                  <c:v>39556</c:v>
                </c:pt>
                <c:pt idx="97">
                  <c:v>39563</c:v>
                </c:pt>
                <c:pt idx="98">
                  <c:v>39570</c:v>
                </c:pt>
                <c:pt idx="99">
                  <c:v>39577</c:v>
                </c:pt>
                <c:pt idx="100">
                  <c:v>39584</c:v>
                </c:pt>
                <c:pt idx="101">
                  <c:v>39591</c:v>
                </c:pt>
                <c:pt idx="102">
                  <c:v>39598</c:v>
                </c:pt>
                <c:pt idx="103">
                  <c:v>39605</c:v>
                </c:pt>
                <c:pt idx="104">
                  <c:v>39612</c:v>
                </c:pt>
                <c:pt idx="105">
                  <c:v>39619</c:v>
                </c:pt>
                <c:pt idx="106">
                  <c:v>39626</c:v>
                </c:pt>
                <c:pt idx="107">
                  <c:v>39633</c:v>
                </c:pt>
                <c:pt idx="108">
                  <c:v>39640</c:v>
                </c:pt>
                <c:pt idx="109">
                  <c:v>39647</c:v>
                </c:pt>
                <c:pt idx="110">
                  <c:v>39654</c:v>
                </c:pt>
                <c:pt idx="111">
                  <c:v>39661</c:v>
                </c:pt>
                <c:pt idx="112">
                  <c:v>39668</c:v>
                </c:pt>
                <c:pt idx="113">
                  <c:v>39675</c:v>
                </c:pt>
                <c:pt idx="114">
                  <c:v>39682</c:v>
                </c:pt>
                <c:pt idx="115">
                  <c:v>39689</c:v>
                </c:pt>
                <c:pt idx="116">
                  <c:v>39696</c:v>
                </c:pt>
                <c:pt idx="117">
                  <c:v>39703</c:v>
                </c:pt>
                <c:pt idx="118">
                  <c:v>39710</c:v>
                </c:pt>
                <c:pt idx="119">
                  <c:v>39717</c:v>
                </c:pt>
                <c:pt idx="120">
                  <c:v>39724</c:v>
                </c:pt>
                <c:pt idx="121">
                  <c:v>39731</c:v>
                </c:pt>
                <c:pt idx="122">
                  <c:v>39738</c:v>
                </c:pt>
                <c:pt idx="123">
                  <c:v>39745</c:v>
                </c:pt>
                <c:pt idx="124">
                  <c:v>39752</c:v>
                </c:pt>
                <c:pt idx="125">
                  <c:v>39759</c:v>
                </c:pt>
                <c:pt idx="126">
                  <c:v>39766</c:v>
                </c:pt>
                <c:pt idx="127">
                  <c:v>39773</c:v>
                </c:pt>
                <c:pt idx="128">
                  <c:v>39780</c:v>
                </c:pt>
                <c:pt idx="129">
                  <c:v>39787</c:v>
                </c:pt>
                <c:pt idx="130">
                  <c:v>39794</c:v>
                </c:pt>
                <c:pt idx="131">
                  <c:v>39801</c:v>
                </c:pt>
                <c:pt idx="132">
                  <c:v>39808</c:v>
                </c:pt>
                <c:pt idx="133">
                  <c:v>39815</c:v>
                </c:pt>
                <c:pt idx="134">
                  <c:v>39822</c:v>
                </c:pt>
                <c:pt idx="135">
                  <c:v>39829</c:v>
                </c:pt>
                <c:pt idx="136">
                  <c:v>39836</c:v>
                </c:pt>
                <c:pt idx="137">
                  <c:v>39843</c:v>
                </c:pt>
                <c:pt idx="138">
                  <c:v>39850</c:v>
                </c:pt>
                <c:pt idx="139">
                  <c:v>39857</c:v>
                </c:pt>
                <c:pt idx="140">
                  <c:v>39864</c:v>
                </c:pt>
                <c:pt idx="141">
                  <c:v>39871</c:v>
                </c:pt>
                <c:pt idx="142">
                  <c:v>39878</c:v>
                </c:pt>
                <c:pt idx="143">
                  <c:v>39885</c:v>
                </c:pt>
                <c:pt idx="144">
                  <c:v>39892</c:v>
                </c:pt>
                <c:pt idx="145">
                  <c:v>39899</c:v>
                </c:pt>
                <c:pt idx="146">
                  <c:v>39906</c:v>
                </c:pt>
                <c:pt idx="147">
                  <c:v>39913</c:v>
                </c:pt>
                <c:pt idx="148">
                  <c:v>39920</c:v>
                </c:pt>
                <c:pt idx="149">
                  <c:v>39927</c:v>
                </c:pt>
                <c:pt idx="150">
                  <c:v>39934</c:v>
                </c:pt>
                <c:pt idx="151">
                  <c:v>39941</c:v>
                </c:pt>
                <c:pt idx="152">
                  <c:v>39948</c:v>
                </c:pt>
                <c:pt idx="153">
                  <c:v>39955</c:v>
                </c:pt>
                <c:pt idx="154">
                  <c:v>39962</c:v>
                </c:pt>
                <c:pt idx="155">
                  <c:v>39969</c:v>
                </c:pt>
                <c:pt idx="156">
                  <c:v>39976</c:v>
                </c:pt>
                <c:pt idx="157">
                  <c:v>39983</c:v>
                </c:pt>
                <c:pt idx="158">
                  <c:v>39990</c:v>
                </c:pt>
                <c:pt idx="159">
                  <c:v>39997</c:v>
                </c:pt>
                <c:pt idx="160">
                  <c:v>40004</c:v>
                </c:pt>
                <c:pt idx="161">
                  <c:v>40011</c:v>
                </c:pt>
                <c:pt idx="162">
                  <c:v>40018</c:v>
                </c:pt>
                <c:pt idx="163">
                  <c:v>40025</c:v>
                </c:pt>
                <c:pt idx="164">
                  <c:v>40032</c:v>
                </c:pt>
                <c:pt idx="165">
                  <c:v>40039</c:v>
                </c:pt>
                <c:pt idx="166">
                  <c:v>40046</c:v>
                </c:pt>
                <c:pt idx="167">
                  <c:v>40053</c:v>
                </c:pt>
                <c:pt idx="168">
                  <c:v>40060</c:v>
                </c:pt>
                <c:pt idx="169">
                  <c:v>40067</c:v>
                </c:pt>
                <c:pt idx="170">
                  <c:v>40074</c:v>
                </c:pt>
                <c:pt idx="171">
                  <c:v>40081</c:v>
                </c:pt>
                <c:pt idx="172">
                  <c:v>40088</c:v>
                </c:pt>
                <c:pt idx="173">
                  <c:v>40095</c:v>
                </c:pt>
                <c:pt idx="174">
                  <c:v>40102</c:v>
                </c:pt>
                <c:pt idx="175">
                  <c:v>40109</c:v>
                </c:pt>
                <c:pt idx="176">
                  <c:v>40116</c:v>
                </c:pt>
                <c:pt idx="177">
                  <c:v>40123</c:v>
                </c:pt>
                <c:pt idx="178">
                  <c:v>40130</c:v>
                </c:pt>
                <c:pt idx="179">
                  <c:v>40137</c:v>
                </c:pt>
                <c:pt idx="180">
                  <c:v>40144</c:v>
                </c:pt>
                <c:pt idx="181">
                  <c:v>40151</c:v>
                </c:pt>
                <c:pt idx="182">
                  <c:v>40158</c:v>
                </c:pt>
                <c:pt idx="183">
                  <c:v>40165</c:v>
                </c:pt>
                <c:pt idx="184">
                  <c:v>40172</c:v>
                </c:pt>
                <c:pt idx="185">
                  <c:v>40179</c:v>
                </c:pt>
                <c:pt idx="186">
                  <c:v>40186</c:v>
                </c:pt>
                <c:pt idx="187">
                  <c:v>40193</c:v>
                </c:pt>
                <c:pt idx="188">
                  <c:v>40200</c:v>
                </c:pt>
                <c:pt idx="189">
                  <c:v>40207</c:v>
                </c:pt>
                <c:pt idx="190">
                  <c:v>40214</c:v>
                </c:pt>
                <c:pt idx="191">
                  <c:v>40221</c:v>
                </c:pt>
                <c:pt idx="192">
                  <c:v>40228</c:v>
                </c:pt>
                <c:pt idx="193">
                  <c:v>40235</c:v>
                </c:pt>
                <c:pt idx="194">
                  <c:v>40242</c:v>
                </c:pt>
                <c:pt idx="195">
                  <c:v>40249</c:v>
                </c:pt>
                <c:pt idx="196">
                  <c:v>40256</c:v>
                </c:pt>
                <c:pt idx="197">
                  <c:v>40263</c:v>
                </c:pt>
                <c:pt idx="198">
                  <c:v>40270</c:v>
                </c:pt>
                <c:pt idx="199">
                  <c:v>40277</c:v>
                </c:pt>
                <c:pt idx="200">
                  <c:v>40284</c:v>
                </c:pt>
                <c:pt idx="201">
                  <c:v>40291</c:v>
                </c:pt>
                <c:pt idx="202">
                  <c:v>40298</c:v>
                </c:pt>
                <c:pt idx="203">
                  <c:v>40305</c:v>
                </c:pt>
                <c:pt idx="204">
                  <c:v>40312</c:v>
                </c:pt>
                <c:pt idx="205">
                  <c:v>40319</c:v>
                </c:pt>
                <c:pt idx="206">
                  <c:v>40326</c:v>
                </c:pt>
                <c:pt idx="207">
                  <c:v>40333</c:v>
                </c:pt>
                <c:pt idx="208">
                  <c:v>40340</c:v>
                </c:pt>
                <c:pt idx="209">
                  <c:v>40347</c:v>
                </c:pt>
                <c:pt idx="210">
                  <c:v>40354</c:v>
                </c:pt>
                <c:pt idx="211">
                  <c:v>40361</c:v>
                </c:pt>
                <c:pt idx="212">
                  <c:v>40368</c:v>
                </c:pt>
                <c:pt idx="213">
                  <c:v>40375</c:v>
                </c:pt>
                <c:pt idx="214">
                  <c:v>40382</c:v>
                </c:pt>
                <c:pt idx="215">
                  <c:v>40389</c:v>
                </c:pt>
                <c:pt idx="216">
                  <c:v>40396</c:v>
                </c:pt>
                <c:pt idx="217">
                  <c:v>40403</c:v>
                </c:pt>
                <c:pt idx="218">
                  <c:v>40410</c:v>
                </c:pt>
                <c:pt idx="219">
                  <c:v>40417</c:v>
                </c:pt>
                <c:pt idx="220">
                  <c:v>40424</c:v>
                </c:pt>
                <c:pt idx="221">
                  <c:v>40431</c:v>
                </c:pt>
                <c:pt idx="222">
                  <c:v>40438</c:v>
                </c:pt>
                <c:pt idx="223">
                  <c:v>40445</c:v>
                </c:pt>
                <c:pt idx="224">
                  <c:v>40452</c:v>
                </c:pt>
                <c:pt idx="225">
                  <c:v>40459</c:v>
                </c:pt>
                <c:pt idx="226">
                  <c:v>40466</c:v>
                </c:pt>
                <c:pt idx="227">
                  <c:v>40473</c:v>
                </c:pt>
                <c:pt idx="228">
                  <c:v>40480</c:v>
                </c:pt>
                <c:pt idx="229">
                  <c:v>40487</c:v>
                </c:pt>
                <c:pt idx="230">
                  <c:v>40494</c:v>
                </c:pt>
                <c:pt idx="231">
                  <c:v>40501</c:v>
                </c:pt>
                <c:pt idx="232">
                  <c:v>40508</c:v>
                </c:pt>
                <c:pt idx="233">
                  <c:v>40515</c:v>
                </c:pt>
                <c:pt idx="234">
                  <c:v>40522</c:v>
                </c:pt>
                <c:pt idx="235">
                  <c:v>40529</c:v>
                </c:pt>
                <c:pt idx="236">
                  <c:v>40536</c:v>
                </c:pt>
                <c:pt idx="237">
                  <c:v>40543</c:v>
                </c:pt>
                <c:pt idx="238">
                  <c:v>40550</c:v>
                </c:pt>
                <c:pt idx="239">
                  <c:v>40557</c:v>
                </c:pt>
                <c:pt idx="240">
                  <c:v>40564</c:v>
                </c:pt>
                <c:pt idx="241">
                  <c:v>40571</c:v>
                </c:pt>
                <c:pt idx="242">
                  <c:v>40578</c:v>
                </c:pt>
                <c:pt idx="243">
                  <c:v>40585</c:v>
                </c:pt>
                <c:pt idx="244">
                  <c:v>40592</c:v>
                </c:pt>
                <c:pt idx="245">
                  <c:v>40599</c:v>
                </c:pt>
                <c:pt idx="246">
                  <c:v>40606</c:v>
                </c:pt>
                <c:pt idx="247">
                  <c:v>40613</c:v>
                </c:pt>
                <c:pt idx="248">
                  <c:v>40620</c:v>
                </c:pt>
                <c:pt idx="249">
                  <c:v>40627</c:v>
                </c:pt>
                <c:pt idx="250">
                  <c:v>40634</c:v>
                </c:pt>
                <c:pt idx="251">
                  <c:v>40641</c:v>
                </c:pt>
                <c:pt idx="252">
                  <c:v>40648</c:v>
                </c:pt>
                <c:pt idx="253">
                  <c:v>40655</c:v>
                </c:pt>
                <c:pt idx="254">
                  <c:v>40662</c:v>
                </c:pt>
                <c:pt idx="255">
                  <c:v>40669</c:v>
                </c:pt>
                <c:pt idx="256">
                  <c:v>40676</c:v>
                </c:pt>
                <c:pt idx="257">
                  <c:v>40683</c:v>
                </c:pt>
                <c:pt idx="258">
                  <c:v>40690</c:v>
                </c:pt>
                <c:pt idx="259">
                  <c:v>40697</c:v>
                </c:pt>
                <c:pt idx="260">
                  <c:v>40704</c:v>
                </c:pt>
                <c:pt idx="261">
                  <c:v>40711</c:v>
                </c:pt>
                <c:pt idx="262">
                  <c:v>40718</c:v>
                </c:pt>
                <c:pt idx="263">
                  <c:v>40725</c:v>
                </c:pt>
                <c:pt idx="264">
                  <c:v>40732</c:v>
                </c:pt>
                <c:pt idx="265">
                  <c:v>40739</c:v>
                </c:pt>
                <c:pt idx="266">
                  <c:v>40746</c:v>
                </c:pt>
                <c:pt idx="267">
                  <c:v>40753</c:v>
                </c:pt>
                <c:pt idx="268">
                  <c:v>40760</c:v>
                </c:pt>
                <c:pt idx="269">
                  <c:v>40767</c:v>
                </c:pt>
                <c:pt idx="270">
                  <c:v>40774</c:v>
                </c:pt>
                <c:pt idx="271">
                  <c:v>40781</c:v>
                </c:pt>
                <c:pt idx="272">
                  <c:v>40788</c:v>
                </c:pt>
                <c:pt idx="273">
                  <c:v>40795</c:v>
                </c:pt>
                <c:pt idx="274">
                  <c:v>40802</c:v>
                </c:pt>
                <c:pt idx="275">
                  <c:v>40809</c:v>
                </c:pt>
                <c:pt idx="276">
                  <c:v>40816</c:v>
                </c:pt>
                <c:pt idx="277">
                  <c:v>40823</c:v>
                </c:pt>
                <c:pt idx="278">
                  <c:v>40830</c:v>
                </c:pt>
                <c:pt idx="279">
                  <c:v>40837</c:v>
                </c:pt>
                <c:pt idx="280">
                  <c:v>40844</c:v>
                </c:pt>
                <c:pt idx="281">
                  <c:v>40851</c:v>
                </c:pt>
                <c:pt idx="282">
                  <c:v>40858</c:v>
                </c:pt>
                <c:pt idx="283">
                  <c:v>40865</c:v>
                </c:pt>
                <c:pt idx="284">
                  <c:v>40872</c:v>
                </c:pt>
                <c:pt idx="285">
                  <c:v>40879</c:v>
                </c:pt>
                <c:pt idx="286">
                  <c:v>40886</c:v>
                </c:pt>
                <c:pt idx="287">
                  <c:v>40893</c:v>
                </c:pt>
                <c:pt idx="288">
                  <c:v>40900</c:v>
                </c:pt>
                <c:pt idx="289">
                  <c:v>40907</c:v>
                </c:pt>
                <c:pt idx="290">
                  <c:v>40914</c:v>
                </c:pt>
                <c:pt idx="291">
                  <c:v>40921</c:v>
                </c:pt>
                <c:pt idx="292">
                  <c:v>40928</c:v>
                </c:pt>
                <c:pt idx="293">
                  <c:v>40935</c:v>
                </c:pt>
                <c:pt idx="294">
                  <c:v>40942</c:v>
                </c:pt>
                <c:pt idx="295">
                  <c:v>40949</c:v>
                </c:pt>
                <c:pt idx="296">
                  <c:v>40956</c:v>
                </c:pt>
                <c:pt idx="297">
                  <c:v>40963</c:v>
                </c:pt>
                <c:pt idx="298">
                  <c:v>40970</c:v>
                </c:pt>
                <c:pt idx="299">
                  <c:v>40977</c:v>
                </c:pt>
                <c:pt idx="300">
                  <c:v>40984</c:v>
                </c:pt>
                <c:pt idx="301">
                  <c:v>40991</c:v>
                </c:pt>
                <c:pt idx="302">
                  <c:v>40998</c:v>
                </c:pt>
                <c:pt idx="303">
                  <c:v>41005</c:v>
                </c:pt>
                <c:pt idx="304">
                  <c:v>41012</c:v>
                </c:pt>
                <c:pt idx="305">
                  <c:v>41019</c:v>
                </c:pt>
                <c:pt idx="306">
                  <c:v>41026</c:v>
                </c:pt>
                <c:pt idx="307">
                  <c:v>41033</c:v>
                </c:pt>
                <c:pt idx="308">
                  <c:v>41040</c:v>
                </c:pt>
                <c:pt idx="309">
                  <c:v>41047</c:v>
                </c:pt>
                <c:pt idx="310">
                  <c:v>41054</c:v>
                </c:pt>
                <c:pt idx="311">
                  <c:v>41061</c:v>
                </c:pt>
                <c:pt idx="312">
                  <c:v>41068</c:v>
                </c:pt>
                <c:pt idx="313">
                  <c:v>41075</c:v>
                </c:pt>
                <c:pt idx="314">
                  <c:v>41082</c:v>
                </c:pt>
                <c:pt idx="315">
                  <c:v>41089</c:v>
                </c:pt>
                <c:pt idx="316">
                  <c:v>41096</c:v>
                </c:pt>
                <c:pt idx="317">
                  <c:v>41103</c:v>
                </c:pt>
                <c:pt idx="318">
                  <c:v>41110</c:v>
                </c:pt>
                <c:pt idx="319">
                  <c:v>41117</c:v>
                </c:pt>
                <c:pt idx="320">
                  <c:v>41124</c:v>
                </c:pt>
                <c:pt idx="321">
                  <c:v>41131</c:v>
                </c:pt>
                <c:pt idx="322">
                  <c:v>41138</c:v>
                </c:pt>
                <c:pt idx="323">
                  <c:v>41145</c:v>
                </c:pt>
                <c:pt idx="324">
                  <c:v>41152</c:v>
                </c:pt>
                <c:pt idx="325">
                  <c:v>41159</c:v>
                </c:pt>
                <c:pt idx="326">
                  <c:v>41166</c:v>
                </c:pt>
                <c:pt idx="327">
                  <c:v>41173</c:v>
                </c:pt>
                <c:pt idx="328">
                  <c:v>41180</c:v>
                </c:pt>
                <c:pt idx="329">
                  <c:v>41187</c:v>
                </c:pt>
                <c:pt idx="330">
                  <c:v>41194</c:v>
                </c:pt>
                <c:pt idx="331">
                  <c:v>41201</c:v>
                </c:pt>
                <c:pt idx="332">
                  <c:v>41208</c:v>
                </c:pt>
                <c:pt idx="333">
                  <c:v>41215</c:v>
                </c:pt>
                <c:pt idx="334">
                  <c:v>41222</c:v>
                </c:pt>
                <c:pt idx="335">
                  <c:v>41229</c:v>
                </c:pt>
                <c:pt idx="336">
                  <c:v>41236</c:v>
                </c:pt>
                <c:pt idx="337">
                  <c:v>41243</c:v>
                </c:pt>
                <c:pt idx="338">
                  <c:v>41250</c:v>
                </c:pt>
                <c:pt idx="339">
                  <c:v>41257</c:v>
                </c:pt>
                <c:pt idx="340">
                  <c:v>41264</c:v>
                </c:pt>
                <c:pt idx="341">
                  <c:v>41271</c:v>
                </c:pt>
                <c:pt idx="342">
                  <c:v>41278</c:v>
                </c:pt>
                <c:pt idx="343">
                  <c:v>41285</c:v>
                </c:pt>
                <c:pt idx="344">
                  <c:v>41292</c:v>
                </c:pt>
                <c:pt idx="345">
                  <c:v>41299</c:v>
                </c:pt>
                <c:pt idx="346">
                  <c:v>41306</c:v>
                </c:pt>
                <c:pt idx="347">
                  <c:v>41313</c:v>
                </c:pt>
                <c:pt idx="348">
                  <c:v>41320</c:v>
                </c:pt>
                <c:pt idx="349">
                  <c:v>41327</c:v>
                </c:pt>
                <c:pt idx="350">
                  <c:v>41334</c:v>
                </c:pt>
                <c:pt idx="351">
                  <c:v>41341</c:v>
                </c:pt>
                <c:pt idx="352">
                  <c:v>41348</c:v>
                </c:pt>
                <c:pt idx="353">
                  <c:v>41355</c:v>
                </c:pt>
                <c:pt idx="354">
                  <c:v>41362</c:v>
                </c:pt>
                <c:pt idx="355">
                  <c:v>41369</c:v>
                </c:pt>
                <c:pt idx="356">
                  <c:v>41376</c:v>
                </c:pt>
                <c:pt idx="357">
                  <c:v>41383</c:v>
                </c:pt>
                <c:pt idx="358">
                  <c:v>41390</c:v>
                </c:pt>
                <c:pt idx="359">
                  <c:v>41397</c:v>
                </c:pt>
                <c:pt idx="360">
                  <c:v>41404</c:v>
                </c:pt>
                <c:pt idx="361">
                  <c:v>41411</c:v>
                </c:pt>
                <c:pt idx="362">
                  <c:v>41418</c:v>
                </c:pt>
                <c:pt idx="363">
                  <c:v>41425</c:v>
                </c:pt>
                <c:pt idx="364">
                  <c:v>41432</c:v>
                </c:pt>
                <c:pt idx="365">
                  <c:v>41439</c:v>
                </c:pt>
                <c:pt idx="366">
                  <c:v>41446</c:v>
                </c:pt>
                <c:pt idx="367">
                  <c:v>41453</c:v>
                </c:pt>
                <c:pt idx="368">
                  <c:v>41460</c:v>
                </c:pt>
                <c:pt idx="369">
                  <c:v>41467</c:v>
                </c:pt>
                <c:pt idx="370">
                  <c:v>41474</c:v>
                </c:pt>
                <c:pt idx="371">
                  <c:v>41481</c:v>
                </c:pt>
                <c:pt idx="372">
                  <c:v>41488</c:v>
                </c:pt>
                <c:pt idx="373">
                  <c:v>41495</c:v>
                </c:pt>
                <c:pt idx="374">
                  <c:v>41502</c:v>
                </c:pt>
                <c:pt idx="375">
                  <c:v>41509</c:v>
                </c:pt>
                <c:pt idx="376">
                  <c:v>41516</c:v>
                </c:pt>
                <c:pt idx="377">
                  <c:v>41523</c:v>
                </c:pt>
                <c:pt idx="378">
                  <c:v>41530</c:v>
                </c:pt>
                <c:pt idx="379">
                  <c:v>41537</c:v>
                </c:pt>
                <c:pt idx="380">
                  <c:v>41544</c:v>
                </c:pt>
                <c:pt idx="381">
                  <c:v>41551</c:v>
                </c:pt>
                <c:pt idx="382">
                  <c:v>41558</c:v>
                </c:pt>
                <c:pt idx="383">
                  <c:v>41565</c:v>
                </c:pt>
                <c:pt idx="384">
                  <c:v>41572</c:v>
                </c:pt>
                <c:pt idx="385">
                  <c:v>41579</c:v>
                </c:pt>
                <c:pt idx="386">
                  <c:v>41586</c:v>
                </c:pt>
                <c:pt idx="387">
                  <c:v>41593</c:v>
                </c:pt>
                <c:pt idx="388">
                  <c:v>41600</c:v>
                </c:pt>
                <c:pt idx="389">
                  <c:v>41607</c:v>
                </c:pt>
                <c:pt idx="390">
                  <c:v>41614</c:v>
                </c:pt>
                <c:pt idx="391">
                  <c:v>41621</c:v>
                </c:pt>
                <c:pt idx="392">
                  <c:v>41628</c:v>
                </c:pt>
                <c:pt idx="393">
                  <c:v>41635</c:v>
                </c:pt>
                <c:pt idx="394">
                  <c:v>41642</c:v>
                </c:pt>
                <c:pt idx="395">
                  <c:v>41649</c:v>
                </c:pt>
                <c:pt idx="396">
                  <c:v>41656</c:v>
                </c:pt>
                <c:pt idx="397">
                  <c:v>41663</c:v>
                </c:pt>
                <c:pt idx="398">
                  <c:v>41670</c:v>
                </c:pt>
                <c:pt idx="399">
                  <c:v>41677</c:v>
                </c:pt>
                <c:pt idx="400">
                  <c:v>41684</c:v>
                </c:pt>
                <c:pt idx="401">
                  <c:v>41691</c:v>
                </c:pt>
                <c:pt idx="402">
                  <c:v>41698</c:v>
                </c:pt>
                <c:pt idx="403">
                  <c:v>41705</c:v>
                </c:pt>
                <c:pt idx="404">
                  <c:v>41712</c:v>
                </c:pt>
                <c:pt idx="405">
                  <c:v>41719</c:v>
                </c:pt>
                <c:pt idx="406">
                  <c:v>41726</c:v>
                </c:pt>
                <c:pt idx="407">
                  <c:v>41733</c:v>
                </c:pt>
                <c:pt idx="408">
                  <c:v>41740</c:v>
                </c:pt>
                <c:pt idx="409">
                  <c:v>41747</c:v>
                </c:pt>
                <c:pt idx="410">
                  <c:v>41754</c:v>
                </c:pt>
                <c:pt idx="411">
                  <c:v>41761</c:v>
                </c:pt>
                <c:pt idx="412">
                  <c:v>41768</c:v>
                </c:pt>
                <c:pt idx="413">
                  <c:v>41775</c:v>
                </c:pt>
                <c:pt idx="414">
                  <c:v>41782</c:v>
                </c:pt>
                <c:pt idx="415">
                  <c:v>41789</c:v>
                </c:pt>
                <c:pt idx="416">
                  <c:v>41796</c:v>
                </c:pt>
                <c:pt idx="417">
                  <c:v>41803</c:v>
                </c:pt>
                <c:pt idx="418">
                  <c:v>41810</c:v>
                </c:pt>
                <c:pt idx="419">
                  <c:v>41817</c:v>
                </c:pt>
                <c:pt idx="420">
                  <c:v>41824</c:v>
                </c:pt>
                <c:pt idx="421">
                  <c:v>41831</c:v>
                </c:pt>
                <c:pt idx="422">
                  <c:v>41838</c:v>
                </c:pt>
                <c:pt idx="423">
                  <c:v>41845</c:v>
                </c:pt>
                <c:pt idx="424">
                  <c:v>41852</c:v>
                </c:pt>
                <c:pt idx="425">
                  <c:v>41859</c:v>
                </c:pt>
                <c:pt idx="426">
                  <c:v>41866</c:v>
                </c:pt>
                <c:pt idx="427">
                  <c:v>41873</c:v>
                </c:pt>
                <c:pt idx="428">
                  <c:v>41880</c:v>
                </c:pt>
                <c:pt idx="429">
                  <c:v>41887</c:v>
                </c:pt>
                <c:pt idx="430">
                  <c:v>41894</c:v>
                </c:pt>
                <c:pt idx="431">
                  <c:v>41901</c:v>
                </c:pt>
                <c:pt idx="432">
                  <c:v>41908</c:v>
                </c:pt>
                <c:pt idx="433">
                  <c:v>41915</c:v>
                </c:pt>
                <c:pt idx="434">
                  <c:v>41922</c:v>
                </c:pt>
                <c:pt idx="435">
                  <c:v>41929</c:v>
                </c:pt>
                <c:pt idx="436">
                  <c:v>41936</c:v>
                </c:pt>
                <c:pt idx="437">
                  <c:v>41943</c:v>
                </c:pt>
                <c:pt idx="438">
                  <c:v>41950</c:v>
                </c:pt>
                <c:pt idx="439">
                  <c:v>41957</c:v>
                </c:pt>
                <c:pt idx="440">
                  <c:v>41964</c:v>
                </c:pt>
                <c:pt idx="441">
                  <c:v>41971</c:v>
                </c:pt>
                <c:pt idx="442">
                  <c:v>41978</c:v>
                </c:pt>
                <c:pt idx="443">
                  <c:v>41985</c:v>
                </c:pt>
                <c:pt idx="444">
                  <c:v>41992</c:v>
                </c:pt>
                <c:pt idx="445">
                  <c:v>41999</c:v>
                </c:pt>
                <c:pt idx="446">
                  <c:v>42006</c:v>
                </c:pt>
                <c:pt idx="447">
                  <c:v>42013</c:v>
                </c:pt>
                <c:pt idx="448">
                  <c:v>42020</c:v>
                </c:pt>
                <c:pt idx="449">
                  <c:v>42027</c:v>
                </c:pt>
                <c:pt idx="450">
                  <c:v>42034</c:v>
                </c:pt>
                <c:pt idx="451">
                  <c:v>42041</c:v>
                </c:pt>
                <c:pt idx="452">
                  <c:v>42048</c:v>
                </c:pt>
                <c:pt idx="453">
                  <c:v>42055</c:v>
                </c:pt>
                <c:pt idx="454">
                  <c:v>42062</c:v>
                </c:pt>
                <c:pt idx="455">
                  <c:v>42069</c:v>
                </c:pt>
                <c:pt idx="456">
                  <c:v>42076</c:v>
                </c:pt>
                <c:pt idx="457">
                  <c:v>42083</c:v>
                </c:pt>
                <c:pt idx="458">
                  <c:v>42090</c:v>
                </c:pt>
                <c:pt idx="459">
                  <c:v>42097</c:v>
                </c:pt>
                <c:pt idx="460">
                  <c:v>42104</c:v>
                </c:pt>
                <c:pt idx="461">
                  <c:v>42111</c:v>
                </c:pt>
                <c:pt idx="462">
                  <c:v>42118</c:v>
                </c:pt>
                <c:pt idx="463">
                  <c:v>42125</c:v>
                </c:pt>
                <c:pt idx="464">
                  <c:v>42132</c:v>
                </c:pt>
                <c:pt idx="465">
                  <c:v>42139</c:v>
                </c:pt>
                <c:pt idx="466">
                  <c:v>42146</c:v>
                </c:pt>
                <c:pt idx="467">
                  <c:v>42153</c:v>
                </c:pt>
                <c:pt idx="468">
                  <c:v>42160</c:v>
                </c:pt>
                <c:pt idx="469">
                  <c:v>42167</c:v>
                </c:pt>
                <c:pt idx="470">
                  <c:v>42174</c:v>
                </c:pt>
                <c:pt idx="471">
                  <c:v>42181</c:v>
                </c:pt>
                <c:pt idx="472">
                  <c:v>42188</c:v>
                </c:pt>
                <c:pt idx="473">
                  <c:v>42195</c:v>
                </c:pt>
                <c:pt idx="474">
                  <c:v>42202</c:v>
                </c:pt>
                <c:pt idx="475">
                  <c:v>42209</c:v>
                </c:pt>
                <c:pt idx="476">
                  <c:v>42216</c:v>
                </c:pt>
                <c:pt idx="477">
                  <c:v>42223</c:v>
                </c:pt>
                <c:pt idx="478">
                  <c:v>42230</c:v>
                </c:pt>
                <c:pt idx="479">
                  <c:v>42237</c:v>
                </c:pt>
                <c:pt idx="480">
                  <c:v>42244</c:v>
                </c:pt>
                <c:pt idx="481">
                  <c:v>42251</c:v>
                </c:pt>
                <c:pt idx="482">
                  <c:v>42258</c:v>
                </c:pt>
                <c:pt idx="483">
                  <c:v>42265</c:v>
                </c:pt>
                <c:pt idx="484">
                  <c:v>42272</c:v>
                </c:pt>
                <c:pt idx="485">
                  <c:v>42279</c:v>
                </c:pt>
                <c:pt idx="486">
                  <c:v>42286</c:v>
                </c:pt>
                <c:pt idx="487">
                  <c:v>42293</c:v>
                </c:pt>
                <c:pt idx="488">
                  <c:v>42300</c:v>
                </c:pt>
                <c:pt idx="489">
                  <c:v>42307</c:v>
                </c:pt>
                <c:pt idx="490">
                  <c:v>42314</c:v>
                </c:pt>
                <c:pt idx="491">
                  <c:v>42321</c:v>
                </c:pt>
                <c:pt idx="492">
                  <c:v>42328</c:v>
                </c:pt>
                <c:pt idx="493">
                  <c:v>42335</c:v>
                </c:pt>
                <c:pt idx="494">
                  <c:v>42342</c:v>
                </c:pt>
                <c:pt idx="495">
                  <c:v>42349</c:v>
                </c:pt>
                <c:pt idx="496">
                  <c:v>42356</c:v>
                </c:pt>
                <c:pt idx="497">
                  <c:v>42363</c:v>
                </c:pt>
                <c:pt idx="498">
                  <c:v>42370</c:v>
                </c:pt>
                <c:pt idx="499">
                  <c:v>42377</c:v>
                </c:pt>
                <c:pt idx="500">
                  <c:v>42384</c:v>
                </c:pt>
                <c:pt idx="501">
                  <c:v>42391</c:v>
                </c:pt>
                <c:pt idx="502">
                  <c:v>42398</c:v>
                </c:pt>
                <c:pt idx="503">
                  <c:v>42405</c:v>
                </c:pt>
                <c:pt idx="504">
                  <c:v>42412</c:v>
                </c:pt>
                <c:pt idx="505">
                  <c:v>42419</c:v>
                </c:pt>
                <c:pt idx="506">
                  <c:v>42426</c:v>
                </c:pt>
                <c:pt idx="507">
                  <c:v>42433</c:v>
                </c:pt>
                <c:pt idx="508">
                  <c:v>42440</c:v>
                </c:pt>
                <c:pt idx="509">
                  <c:v>42447</c:v>
                </c:pt>
                <c:pt idx="510">
                  <c:v>42454</c:v>
                </c:pt>
                <c:pt idx="511">
                  <c:v>42461</c:v>
                </c:pt>
                <c:pt idx="512">
                  <c:v>42468</c:v>
                </c:pt>
                <c:pt idx="513">
                  <c:v>42475</c:v>
                </c:pt>
                <c:pt idx="514">
                  <c:v>42482</c:v>
                </c:pt>
                <c:pt idx="515">
                  <c:v>42489</c:v>
                </c:pt>
                <c:pt idx="516">
                  <c:v>42496</c:v>
                </c:pt>
                <c:pt idx="517">
                  <c:v>42503</c:v>
                </c:pt>
                <c:pt idx="518">
                  <c:v>42510</c:v>
                </c:pt>
                <c:pt idx="519">
                  <c:v>42517</c:v>
                </c:pt>
                <c:pt idx="520">
                  <c:v>42524</c:v>
                </c:pt>
                <c:pt idx="521">
                  <c:v>42531</c:v>
                </c:pt>
                <c:pt idx="522">
                  <c:v>42538</c:v>
                </c:pt>
                <c:pt idx="523">
                  <c:v>42545</c:v>
                </c:pt>
                <c:pt idx="524">
                  <c:v>42552</c:v>
                </c:pt>
                <c:pt idx="525">
                  <c:v>42559</c:v>
                </c:pt>
                <c:pt idx="526">
                  <c:v>42566</c:v>
                </c:pt>
                <c:pt idx="527">
                  <c:v>42573</c:v>
                </c:pt>
                <c:pt idx="528">
                  <c:v>42580</c:v>
                </c:pt>
                <c:pt idx="529">
                  <c:v>42587</c:v>
                </c:pt>
                <c:pt idx="530">
                  <c:v>42594</c:v>
                </c:pt>
                <c:pt idx="531">
                  <c:v>42601</c:v>
                </c:pt>
                <c:pt idx="532">
                  <c:v>42608</c:v>
                </c:pt>
                <c:pt idx="533">
                  <c:v>42615</c:v>
                </c:pt>
                <c:pt idx="534">
                  <c:v>42622</c:v>
                </c:pt>
                <c:pt idx="535">
                  <c:v>42629</c:v>
                </c:pt>
                <c:pt idx="536">
                  <c:v>42636</c:v>
                </c:pt>
                <c:pt idx="537">
                  <c:v>42643</c:v>
                </c:pt>
                <c:pt idx="538">
                  <c:v>42650</c:v>
                </c:pt>
                <c:pt idx="539">
                  <c:v>42657</c:v>
                </c:pt>
                <c:pt idx="540">
                  <c:v>42664</c:v>
                </c:pt>
                <c:pt idx="541">
                  <c:v>42671</c:v>
                </c:pt>
                <c:pt idx="542">
                  <c:v>42678</c:v>
                </c:pt>
                <c:pt idx="543">
                  <c:v>42685</c:v>
                </c:pt>
                <c:pt idx="544">
                  <c:v>42692</c:v>
                </c:pt>
                <c:pt idx="545">
                  <c:v>42699</c:v>
                </c:pt>
                <c:pt idx="546">
                  <c:v>42706</c:v>
                </c:pt>
                <c:pt idx="547">
                  <c:v>42713</c:v>
                </c:pt>
                <c:pt idx="548">
                  <c:v>42720</c:v>
                </c:pt>
                <c:pt idx="549">
                  <c:v>42727</c:v>
                </c:pt>
                <c:pt idx="550">
                  <c:v>42734</c:v>
                </c:pt>
                <c:pt idx="551">
                  <c:v>42741</c:v>
                </c:pt>
                <c:pt idx="552">
                  <c:v>42748</c:v>
                </c:pt>
                <c:pt idx="553">
                  <c:v>42755</c:v>
                </c:pt>
                <c:pt idx="554">
                  <c:v>42762</c:v>
                </c:pt>
                <c:pt idx="555">
                  <c:v>42769</c:v>
                </c:pt>
                <c:pt idx="556">
                  <c:v>42776</c:v>
                </c:pt>
                <c:pt idx="557">
                  <c:v>42783</c:v>
                </c:pt>
                <c:pt idx="558">
                  <c:v>42790</c:v>
                </c:pt>
                <c:pt idx="559">
                  <c:v>42797</c:v>
                </c:pt>
                <c:pt idx="560">
                  <c:v>42804</c:v>
                </c:pt>
                <c:pt idx="561">
                  <c:v>42811</c:v>
                </c:pt>
                <c:pt idx="562">
                  <c:v>42818</c:v>
                </c:pt>
                <c:pt idx="563">
                  <c:v>42825</c:v>
                </c:pt>
                <c:pt idx="564">
                  <c:v>42832</c:v>
                </c:pt>
                <c:pt idx="565">
                  <c:v>42839</c:v>
                </c:pt>
                <c:pt idx="566">
                  <c:v>42846</c:v>
                </c:pt>
                <c:pt idx="567">
                  <c:v>42853</c:v>
                </c:pt>
                <c:pt idx="568">
                  <c:v>42860</c:v>
                </c:pt>
                <c:pt idx="569">
                  <c:v>42867</c:v>
                </c:pt>
                <c:pt idx="570">
                  <c:v>42874</c:v>
                </c:pt>
                <c:pt idx="571">
                  <c:v>42881</c:v>
                </c:pt>
                <c:pt idx="572">
                  <c:v>42888</c:v>
                </c:pt>
                <c:pt idx="573">
                  <c:v>42895</c:v>
                </c:pt>
                <c:pt idx="574">
                  <c:v>42902</c:v>
                </c:pt>
                <c:pt idx="575">
                  <c:v>42909</c:v>
                </c:pt>
                <c:pt idx="576">
                  <c:v>42916</c:v>
                </c:pt>
                <c:pt idx="577">
                  <c:v>42923</c:v>
                </c:pt>
                <c:pt idx="578">
                  <c:v>42930</c:v>
                </c:pt>
                <c:pt idx="579">
                  <c:v>42937</c:v>
                </c:pt>
                <c:pt idx="580">
                  <c:v>42944</c:v>
                </c:pt>
                <c:pt idx="581">
                  <c:v>42951</c:v>
                </c:pt>
                <c:pt idx="582">
                  <c:v>42958</c:v>
                </c:pt>
                <c:pt idx="583">
                  <c:v>42965</c:v>
                </c:pt>
                <c:pt idx="584">
                  <c:v>42972</c:v>
                </c:pt>
                <c:pt idx="585">
                  <c:v>42979</c:v>
                </c:pt>
                <c:pt idx="586">
                  <c:v>42986</c:v>
                </c:pt>
                <c:pt idx="587">
                  <c:v>42993</c:v>
                </c:pt>
                <c:pt idx="588">
                  <c:v>43000</c:v>
                </c:pt>
                <c:pt idx="589">
                  <c:v>43007</c:v>
                </c:pt>
                <c:pt idx="590">
                  <c:v>43014</c:v>
                </c:pt>
                <c:pt idx="591">
                  <c:v>43021</c:v>
                </c:pt>
                <c:pt idx="592">
                  <c:v>43028</c:v>
                </c:pt>
                <c:pt idx="593">
                  <c:v>43035</c:v>
                </c:pt>
                <c:pt idx="594">
                  <c:v>43042</c:v>
                </c:pt>
                <c:pt idx="595">
                  <c:v>43049</c:v>
                </c:pt>
                <c:pt idx="596">
                  <c:v>43056</c:v>
                </c:pt>
                <c:pt idx="597">
                  <c:v>43063</c:v>
                </c:pt>
                <c:pt idx="598">
                  <c:v>43070</c:v>
                </c:pt>
                <c:pt idx="599">
                  <c:v>43077</c:v>
                </c:pt>
                <c:pt idx="600">
                  <c:v>43084</c:v>
                </c:pt>
                <c:pt idx="601">
                  <c:v>43091</c:v>
                </c:pt>
                <c:pt idx="602">
                  <c:v>43098</c:v>
                </c:pt>
                <c:pt idx="603">
                  <c:v>43105</c:v>
                </c:pt>
                <c:pt idx="604">
                  <c:v>43112</c:v>
                </c:pt>
                <c:pt idx="605">
                  <c:v>43119</c:v>
                </c:pt>
                <c:pt idx="606">
                  <c:v>43126</c:v>
                </c:pt>
                <c:pt idx="607">
                  <c:v>43133</c:v>
                </c:pt>
                <c:pt idx="608">
                  <c:v>43140</c:v>
                </c:pt>
                <c:pt idx="609">
                  <c:v>43147</c:v>
                </c:pt>
                <c:pt idx="610">
                  <c:v>43154</c:v>
                </c:pt>
                <c:pt idx="611">
                  <c:v>43161</c:v>
                </c:pt>
                <c:pt idx="612">
                  <c:v>43168</c:v>
                </c:pt>
                <c:pt idx="613">
                  <c:v>43175</c:v>
                </c:pt>
                <c:pt idx="614">
                  <c:v>43182</c:v>
                </c:pt>
                <c:pt idx="615">
                  <c:v>43189</c:v>
                </c:pt>
                <c:pt idx="616">
                  <c:v>43196</c:v>
                </c:pt>
                <c:pt idx="617">
                  <c:v>43203</c:v>
                </c:pt>
                <c:pt idx="618">
                  <c:v>43210</c:v>
                </c:pt>
                <c:pt idx="619">
                  <c:v>43217</c:v>
                </c:pt>
                <c:pt idx="620">
                  <c:v>43224</c:v>
                </c:pt>
                <c:pt idx="621">
                  <c:v>43231</c:v>
                </c:pt>
                <c:pt idx="622">
                  <c:v>43238</c:v>
                </c:pt>
                <c:pt idx="623">
                  <c:v>43245</c:v>
                </c:pt>
                <c:pt idx="624">
                  <c:v>43252</c:v>
                </c:pt>
                <c:pt idx="625">
                  <c:v>43259</c:v>
                </c:pt>
                <c:pt idx="626">
                  <c:v>43266</c:v>
                </c:pt>
                <c:pt idx="627">
                  <c:v>43273</c:v>
                </c:pt>
                <c:pt idx="628">
                  <c:v>43280</c:v>
                </c:pt>
                <c:pt idx="629">
                  <c:v>43287</c:v>
                </c:pt>
                <c:pt idx="630">
                  <c:v>43294</c:v>
                </c:pt>
                <c:pt idx="631">
                  <c:v>43301</c:v>
                </c:pt>
                <c:pt idx="632">
                  <c:v>43308</c:v>
                </c:pt>
                <c:pt idx="633">
                  <c:v>43315</c:v>
                </c:pt>
                <c:pt idx="634">
                  <c:v>43322</c:v>
                </c:pt>
                <c:pt idx="635">
                  <c:v>43329</c:v>
                </c:pt>
                <c:pt idx="636">
                  <c:v>43336</c:v>
                </c:pt>
                <c:pt idx="637">
                  <c:v>43343</c:v>
                </c:pt>
                <c:pt idx="638">
                  <c:v>43350</c:v>
                </c:pt>
                <c:pt idx="639">
                  <c:v>43357</c:v>
                </c:pt>
                <c:pt idx="640">
                  <c:v>43364</c:v>
                </c:pt>
                <c:pt idx="641">
                  <c:v>43371</c:v>
                </c:pt>
                <c:pt idx="642">
                  <c:v>43378</c:v>
                </c:pt>
                <c:pt idx="643">
                  <c:v>43385</c:v>
                </c:pt>
                <c:pt idx="644">
                  <c:v>43392</c:v>
                </c:pt>
                <c:pt idx="645">
                  <c:v>43399</c:v>
                </c:pt>
                <c:pt idx="646">
                  <c:v>43406</c:v>
                </c:pt>
                <c:pt idx="647">
                  <c:v>43413</c:v>
                </c:pt>
                <c:pt idx="648">
                  <c:v>43420</c:v>
                </c:pt>
                <c:pt idx="649">
                  <c:v>43427</c:v>
                </c:pt>
                <c:pt idx="650">
                  <c:v>43434</c:v>
                </c:pt>
                <c:pt idx="651">
                  <c:v>43441</c:v>
                </c:pt>
                <c:pt idx="652">
                  <c:v>43448</c:v>
                </c:pt>
                <c:pt idx="653">
                  <c:v>43455</c:v>
                </c:pt>
                <c:pt idx="654">
                  <c:v>43462</c:v>
                </c:pt>
                <c:pt idx="655">
                  <c:v>43469</c:v>
                </c:pt>
                <c:pt idx="656">
                  <c:v>43476</c:v>
                </c:pt>
                <c:pt idx="657">
                  <c:v>43483</c:v>
                </c:pt>
                <c:pt idx="658">
                  <c:v>43490</c:v>
                </c:pt>
                <c:pt idx="659">
                  <c:v>43497</c:v>
                </c:pt>
                <c:pt idx="660">
                  <c:v>43504</c:v>
                </c:pt>
                <c:pt idx="661">
                  <c:v>43511</c:v>
                </c:pt>
                <c:pt idx="662">
                  <c:v>43518</c:v>
                </c:pt>
                <c:pt idx="663">
                  <c:v>43525</c:v>
                </c:pt>
                <c:pt idx="664">
                  <c:v>43532</c:v>
                </c:pt>
                <c:pt idx="665">
                  <c:v>43539</c:v>
                </c:pt>
                <c:pt idx="666">
                  <c:v>43546</c:v>
                </c:pt>
                <c:pt idx="667">
                  <c:v>43553</c:v>
                </c:pt>
                <c:pt idx="668">
                  <c:v>43560</c:v>
                </c:pt>
                <c:pt idx="669">
                  <c:v>43567</c:v>
                </c:pt>
                <c:pt idx="670">
                  <c:v>43574</c:v>
                </c:pt>
                <c:pt idx="671">
                  <c:v>43581</c:v>
                </c:pt>
                <c:pt idx="672">
                  <c:v>43588</c:v>
                </c:pt>
                <c:pt idx="673">
                  <c:v>43595</c:v>
                </c:pt>
                <c:pt idx="674">
                  <c:v>43602</c:v>
                </c:pt>
                <c:pt idx="675">
                  <c:v>43609</c:v>
                </c:pt>
                <c:pt idx="676">
                  <c:v>43616</c:v>
                </c:pt>
                <c:pt idx="677">
                  <c:v>43623</c:v>
                </c:pt>
                <c:pt idx="678">
                  <c:v>43630</c:v>
                </c:pt>
                <c:pt idx="679">
                  <c:v>43637</c:v>
                </c:pt>
                <c:pt idx="680">
                  <c:v>43644</c:v>
                </c:pt>
                <c:pt idx="681">
                  <c:v>43651</c:v>
                </c:pt>
                <c:pt idx="682">
                  <c:v>43658</c:v>
                </c:pt>
                <c:pt idx="683">
                  <c:v>43665</c:v>
                </c:pt>
                <c:pt idx="684">
                  <c:v>43672</c:v>
                </c:pt>
                <c:pt idx="685">
                  <c:v>43679</c:v>
                </c:pt>
                <c:pt idx="686">
                  <c:v>43686</c:v>
                </c:pt>
                <c:pt idx="687">
                  <c:v>43693</c:v>
                </c:pt>
                <c:pt idx="688">
                  <c:v>43700</c:v>
                </c:pt>
                <c:pt idx="689">
                  <c:v>43707</c:v>
                </c:pt>
                <c:pt idx="690">
                  <c:v>43714</c:v>
                </c:pt>
                <c:pt idx="691">
                  <c:v>43721</c:v>
                </c:pt>
                <c:pt idx="692">
                  <c:v>43728</c:v>
                </c:pt>
                <c:pt idx="693">
                  <c:v>43735</c:v>
                </c:pt>
                <c:pt idx="694">
                  <c:v>43742</c:v>
                </c:pt>
                <c:pt idx="695">
                  <c:v>43749</c:v>
                </c:pt>
                <c:pt idx="696">
                  <c:v>43756</c:v>
                </c:pt>
                <c:pt idx="697">
                  <c:v>43763</c:v>
                </c:pt>
                <c:pt idx="698">
                  <c:v>43770</c:v>
                </c:pt>
                <c:pt idx="699">
                  <c:v>43777</c:v>
                </c:pt>
                <c:pt idx="700">
                  <c:v>43784</c:v>
                </c:pt>
                <c:pt idx="701">
                  <c:v>43791</c:v>
                </c:pt>
                <c:pt idx="702">
                  <c:v>43798</c:v>
                </c:pt>
                <c:pt idx="703">
                  <c:v>43805</c:v>
                </c:pt>
                <c:pt idx="704">
                  <c:v>43812</c:v>
                </c:pt>
                <c:pt idx="705">
                  <c:v>43819</c:v>
                </c:pt>
                <c:pt idx="706">
                  <c:v>43826</c:v>
                </c:pt>
                <c:pt idx="707">
                  <c:v>43833</c:v>
                </c:pt>
                <c:pt idx="708">
                  <c:v>43840</c:v>
                </c:pt>
                <c:pt idx="709">
                  <c:v>43847</c:v>
                </c:pt>
                <c:pt idx="710">
                  <c:v>43854</c:v>
                </c:pt>
                <c:pt idx="711">
                  <c:v>43861</c:v>
                </c:pt>
                <c:pt idx="712">
                  <c:v>43868</c:v>
                </c:pt>
                <c:pt idx="713">
                  <c:v>43875</c:v>
                </c:pt>
                <c:pt idx="714">
                  <c:v>43882</c:v>
                </c:pt>
                <c:pt idx="715">
                  <c:v>43889</c:v>
                </c:pt>
                <c:pt idx="716">
                  <c:v>43896</c:v>
                </c:pt>
                <c:pt idx="717">
                  <c:v>43903</c:v>
                </c:pt>
                <c:pt idx="718">
                  <c:v>43910</c:v>
                </c:pt>
                <c:pt idx="719">
                  <c:v>43917</c:v>
                </c:pt>
                <c:pt idx="720">
                  <c:v>43924</c:v>
                </c:pt>
                <c:pt idx="721">
                  <c:v>43931</c:v>
                </c:pt>
                <c:pt idx="722">
                  <c:v>43938</c:v>
                </c:pt>
                <c:pt idx="723">
                  <c:v>43945</c:v>
                </c:pt>
                <c:pt idx="724">
                  <c:v>43952</c:v>
                </c:pt>
                <c:pt idx="725">
                  <c:v>43959</c:v>
                </c:pt>
                <c:pt idx="726">
                  <c:v>43966</c:v>
                </c:pt>
                <c:pt idx="727">
                  <c:v>43973</c:v>
                </c:pt>
                <c:pt idx="728">
                  <c:v>43980</c:v>
                </c:pt>
                <c:pt idx="729">
                  <c:v>43987</c:v>
                </c:pt>
                <c:pt idx="730">
                  <c:v>43994</c:v>
                </c:pt>
                <c:pt idx="731">
                  <c:v>44001</c:v>
                </c:pt>
                <c:pt idx="732">
                  <c:v>44008</c:v>
                </c:pt>
                <c:pt idx="733">
                  <c:v>44015</c:v>
                </c:pt>
                <c:pt idx="734">
                  <c:v>44022</c:v>
                </c:pt>
                <c:pt idx="735">
                  <c:v>44029</c:v>
                </c:pt>
                <c:pt idx="736">
                  <c:v>44036</c:v>
                </c:pt>
                <c:pt idx="737">
                  <c:v>44043</c:v>
                </c:pt>
                <c:pt idx="738">
                  <c:v>44050</c:v>
                </c:pt>
                <c:pt idx="739">
                  <c:v>44057</c:v>
                </c:pt>
                <c:pt idx="740">
                  <c:v>44064</c:v>
                </c:pt>
                <c:pt idx="741">
                  <c:v>44071</c:v>
                </c:pt>
                <c:pt idx="742">
                  <c:v>44078</c:v>
                </c:pt>
                <c:pt idx="743">
                  <c:v>44085</c:v>
                </c:pt>
                <c:pt idx="744">
                  <c:v>44092</c:v>
                </c:pt>
                <c:pt idx="745">
                  <c:v>44099</c:v>
                </c:pt>
                <c:pt idx="746">
                  <c:v>44106</c:v>
                </c:pt>
                <c:pt idx="747">
                  <c:v>44113</c:v>
                </c:pt>
                <c:pt idx="748">
                  <c:v>44120</c:v>
                </c:pt>
                <c:pt idx="749">
                  <c:v>44127</c:v>
                </c:pt>
                <c:pt idx="750">
                  <c:v>44134</c:v>
                </c:pt>
                <c:pt idx="751">
                  <c:v>44141</c:v>
                </c:pt>
                <c:pt idx="752">
                  <c:v>44148</c:v>
                </c:pt>
                <c:pt idx="753">
                  <c:v>44155</c:v>
                </c:pt>
                <c:pt idx="754">
                  <c:v>44162</c:v>
                </c:pt>
                <c:pt idx="755">
                  <c:v>44169</c:v>
                </c:pt>
                <c:pt idx="756">
                  <c:v>44176</c:v>
                </c:pt>
                <c:pt idx="757">
                  <c:v>44183</c:v>
                </c:pt>
                <c:pt idx="758">
                  <c:v>44190</c:v>
                </c:pt>
                <c:pt idx="759">
                  <c:v>44197</c:v>
                </c:pt>
                <c:pt idx="760">
                  <c:v>44204</c:v>
                </c:pt>
                <c:pt idx="761">
                  <c:v>44211</c:v>
                </c:pt>
                <c:pt idx="762">
                  <c:v>44218</c:v>
                </c:pt>
                <c:pt idx="763">
                  <c:v>44225</c:v>
                </c:pt>
                <c:pt idx="764">
                  <c:v>44232</c:v>
                </c:pt>
                <c:pt idx="765">
                  <c:v>44239</c:v>
                </c:pt>
                <c:pt idx="766">
                  <c:v>44246</c:v>
                </c:pt>
                <c:pt idx="767">
                  <c:v>44253</c:v>
                </c:pt>
                <c:pt idx="768">
                  <c:v>44260</c:v>
                </c:pt>
                <c:pt idx="769">
                  <c:v>44267</c:v>
                </c:pt>
                <c:pt idx="770">
                  <c:v>44274</c:v>
                </c:pt>
                <c:pt idx="771">
                  <c:v>44281</c:v>
                </c:pt>
                <c:pt idx="772">
                  <c:v>44288</c:v>
                </c:pt>
                <c:pt idx="773">
                  <c:v>44295</c:v>
                </c:pt>
                <c:pt idx="774">
                  <c:v>44302</c:v>
                </c:pt>
                <c:pt idx="775">
                  <c:v>44309</c:v>
                </c:pt>
                <c:pt idx="776">
                  <c:v>44316</c:v>
                </c:pt>
                <c:pt idx="777">
                  <c:v>44323</c:v>
                </c:pt>
                <c:pt idx="778">
                  <c:v>44330</c:v>
                </c:pt>
                <c:pt idx="779">
                  <c:v>44337</c:v>
                </c:pt>
                <c:pt idx="780">
                  <c:v>44344</c:v>
                </c:pt>
                <c:pt idx="781">
                  <c:v>44351</c:v>
                </c:pt>
                <c:pt idx="782">
                  <c:v>44358</c:v>
                </c:pt>
                <c:pt idx="783">
                  <c:v>44365</c:v>
                </c:pt>
                <c:pt idx="784">
                  <c:v>44372</c:v>
                </c:pt>
                <c:pt idx="785">
                  <c:v>44379</c:v>
                </c:pt>
                <c:pt idx="786">
                  <c:v>44386</c:v>
                </c:pt>
                <c:pt idx="787">
                  <c:v>44393</c:v>
                </c:pt>
                <c:pt idx="788">
                  <c:v>44400</c:v>
                </c:pt>
                <c:pt idx="789">
                  <c:v>44407</c:v>
                </c:pt>
                <c:pt idx="790">
                  <c:v>44414</c:v>
                </c:pt>
                <c:pt idx="791">
                  <c:v>44421</c:v>
                </c:pt>
                <c:pt idx="792">
                  <c:v>44428</c:v>
                </c:pt>
                <c:pt idx="793">
                  <c:v>44435</c:v>
                </c:pt>
                <c:pt idx="794">
                  <c:v>44442</c:v>
                </c:pt>
                <c:pt idx="795">
                  <c:v>44449</c:v>
                </c:pt>
                <c:pt idx="796">
                  <c:v>44456</c:v>
                </c:pt>
                <c:pt idx="797">
                  <c:v>44463</c:v>
                </c:pt>
                <c:pt idx="798">
                  <c:v>44470</c:v>
                </c:pt>
                <c:pt idx="799">
                  <c:v>44477</c:v>
                </c:pt>
                <c:pt idx="800">
                  <c:v>44484</c:v>
                </c:pt>
                <c:pt idx="801">
                  <c:v>44491</c:v>
                </c:pt>
                <c:pt idx="802">
                  <c:v>44498</c:v>
                </c:pt>
                <c:pt idx="803">
                  <c:v>44505</c:v>
                </c:pt>
                <c:pt idx="804">
                  <c:v>44512</c:v>
                </c:pt>
                <c:pt idx="805">
                  <c:v>44519</c:v>
                </c:pt>
                <c:pt idx="806">
                  <c:v>44526</c:v>
                </c:pt>
                <c:pt idx="807">
                  <c:v>44533</c:v>
                </c:pt>
                <c:pt idx="808">
                  <c:v>44540</c:v>
                </c:pt>
                <c:pt idx="809">
                  <c:v>44547</c:v>
                </c:pt>
                <c:pt idx="810">
                  <c:v>44554</c:v>
                </c:pt>
                <c:pt idx="811">
                  <c:v>44561</c:v>
                </c:pt>
                <c:pt idx="812">
                  <c:v>44568</c:v>
                </c:pt>
                <c:pt idx="813">
                  <c:v>44575</c:v>
                </c:pt>
                <c:pt idx="814">
                  <c:v>44582</c:v>
                </c:pt>
                <c:pt idx="815">
                  <c:v>44589</c:v>
                </c:pt>
                <c:pt idx="816">
                  <c:v>44596</c:v>
                </c:pt>
                <c:pt idx="817">
                  <c:v>44603</c:v>
                </c:pt>
                <c:pt idx="818">
                  <c:v>44610</c:v>
                </c:pt>
                <c:pt idx="819">
                  <c:v>44617</c:v>
                </c:pt>
                <c:pt idx="820">
                  <c:v>44624</c:v>
                </c:pt>
                <c:pt idx="821">
                  <c:v>44631</c:v>
                </c:pt>
                <c:pt idx="822">
                  <c:v>44638</c:v>
                </c:pt>
                <c:pt idx="823">
                  <c:v>44645</c:v>
                </c:pt>
                <c:pt idx="824">
                  <c:v>44652</c:v>
                </c:pt>
                <c:pt idx="825">
                  <c:v>44659</c:v>
                </c:pt>
                <c:pt idx="826">
                  <c:v>44666</c:v>
                </c:pt>
                <c:pt idx="827">
                  <c:v>44673</c:v>
                </c:pt>
                <c:pt idx="828">
                  <c:v>44680</c:v>
                </c:pt>
                <c:pt idx="829">
                  <c:v>44687</c:v>
                </c:pt>
                <c:pt idx="830">
                  <c:v>44694</c:v>
                </c:pt>
                <c:pt idx="831">
                  <c:v>44701</c:v>
                </c:pt>
                <c:pt idx="832">
                  <c:v>44708</c:v>
                </c:pt>
                <c:pt idx="833">
                  <c:v>44715</c:v>
                </c:pt>
                <c:pt idx="834">
                  <c:v>44722</c:v>
                </c:pt>
                <c:pt idx="835">
                  <c:v>44729</c:v>
                </c:pt>
                <c:pt idx="836">
                  <c:v>44736</c:v>
                </c:pt>
                <c:pt idx="837">
                  <c:v>44743</c:v>
                </c:pt>
                <c:pt idx="838">
                  <c:v>44750</c:v>
                </c:pt>
                <c:pt idx="839">
                  <c:v>44757</c:v>
                </c:pt>
                <c:pt idx="840">
                  <c:v>44764</c:v>
                </c:pt>
                <c:pt idx="841">
                  <c:v>44771</c:v>
                </c:pt>
                <c:pt idx="842">
                  <c:v>44778</c:v>
                </c:pt>
                <c:pt idx="843">
                  <c:v>44785</c:v>
                </c:pt>
              </c:numCache>
            </c:numRef>
          </c:cat>
          <c:val>
            <c:numRef>
              <c:f>Hoja1!$Q$2:$Q$845</c:f>
              <c:numCache>
                <c:formatCode>General</c:formatCode>
                <c:ptCount val="844"/>
                <c:pt idx="0">
                  <c:v>2.0990000000000002</c:v>
                </c:pt>
                <c:pt idx="1">
                  <c:v>2.0739999999999998</c:v>
                </c:pt>
                <c:pt idx="2">
                  <c:v>2.1030000000000002</c:v>
                </c:pt>
                <c:pt idx="3">
                  <c:v>2.169</c:v>
                </c:pt>
                <c:pt idx="4">
                  <c:v>2.198</c:v>
                </c:pt>
                <c:pt idx="5">
                  <c:v>2.194</c:v>
                </c:pt>
                <c:pt idx="6">
                  <c:v>2.2570000000000001</c:v>
                </c:pt>
                <c:pt idx="7">
                  <c:v>2.37</c:v>
                </c:pt>
                <c:pt idx="8">
                  <c:v>2.302</c:v>
                </c:pt>
                <c:pt idx="9">
                  <c:v>2.1869999999999998</c:v>
                </c:pt>
                <c:pt idx="10">
                  <c:v>2.2639999999999998</c:v>
                </c:pt>
                <c:pt idx="11">
                  <c:v>2.1080000000000001</c:v>
                </c:pt>
                <c:pt idx="12">
                  <c:v>1.9590000000000001</c:v>
                </c:pt>
                <c:pt idx="13">
                  <c:v>1.7709999999999999</c:v>
                </c:pt>
                <c:pt idx="14">
                  <c:v>1.72</c:v>
                </c:pt>
                <c:pt idx="15">
                  <c:v>1.7709999999999999</c:v>
                </c:pt>
                <c:pt idx="16">
                  <c:v>1.7609999999999999</c:v>
                </c:pt>
                <c:pt idx="17">
                  <c:v>1.794</c:v>
                </c:pt>
                <c:pt idx="18">
                  <c:v>1.8420000000000001</c:v>
                </c:pt>
                <c:pt idx="19">
                  <c:v>1.804</c:v>
                </c:pt>
                <c:pt idx="20">
                  <c:v>1.7210000000000001</c:v>
                </c:pt>
                <c:pt idx="21">
                  <c:v>1.7929999999999999</c:v>
                </c:pt>
                <c:pt idx="22">
                  <c:v>1.8009999999999999</c:v>
                </c:pt>
                <c:pt idx="23">
                  <c:v>1.8320000000000001</c:v>
                </c:pt>
                <c:pt idx="24">
                  <c:v>1.917</c:v>
                </c:pt>
                <c:pt idx="25">
                  <c:v>1.9179999999999999</c:v>
                </c:pt>
                <c:pt idx="26">
                  <c:v>1.845</c:v>
                </c:pt>
                <c:pt idx="27">
                  <c:v>1.802</c:v>
                </c:pt>
                <c:pt idx="28">
                  <c:v>1.7150000000000001</c:v>
                </c:pt>
                <c:pt idx="29">
                  <c:v>1.6830000000000001</c:v>
                </c:pt>
                <c:pt idx="30">
                  <c:v>1.61</c:v>
                </c:pt>
                <c:pt idx="31">
                  <c:v>1.5569999999999999</c:v>
                </c:pt>
                <c:pt idx="32">
                  <c:v>1.6319999999999999</c:v>
                </c:pt>
                <c:pt idx="33">
                  <c:v>1.7130000000000001</c:v>
                </c:pt>
                <c:pt idx="34">
                  <c:v>1.7589999999999999</c:v>
                </c:pt>
                <c:pt idx="35">
                  <c:v>1.71</c:v>
                </c:pt>
                <c:pt idx="36">
                  <c:v>1.7569999999999999</c:v>
                </c:pt>
                <c:pt idx="37">
                  <c:v>1.857</c:v>
                </c:pt>
                <c:pt idx="38">
                  <c:v>1.871</c:v>
                </c:pt>
                <c:pt idx="39">
                  <c:v>1.839</c:v>
                </c:pt>
                <c:pt idx="40">
                  <c:v>1.8540000000000001</c:v>
                </c:pt>
                <c:pt idx="41">
                  <c:v>2.0070000000000001</c:v>
                </c:pt>
                <c:pt idx="42">
                  <c:v>2.0459999999999998</c:v>
                </c:pt>
                <c:pt idx="43">
                  <c:v>2.09</c:v>
                </c:pt>
                <c:pt idx="44">
                  <c:v>2.0059999999999998</c:v>
                </c:pt>
                <c:pt idx="45">
                  <c:v>2.0670000000000002</c:v>
                </c:pt>
                <c:pt idx="46">
                  <c:v>2.0179999999999998</c:v>
                </c:pt>
                <c:pt idx="47">
                  <c:v>1.9990000000000001</c:v>
                </c:pt>
                <c:pt idx="48">
                  <c:v>2.0619999999999998</c:v>
                </c:pt>
                <c:pt idx="49">
                  <c:v>2.0990000000000002</c:v>
                </c:pt>
                <c:pt idx="50">
                  <c:v>2.056</c:v>
                </c:pt>
                <c:pt idx="51">
                  <c:v>2.0830000000000002</c:v>
                </c:pt>
                <c:pt idx="52">
                  <c:v>2.0880000000000001</c:v>
                </c:pt>
                <c:pt idx="53">
                  <c:v>2.1680000000000001</c:v>
                </c:pt>
                <c:pt idx="54">
                  <c:v>2.1459999999999999</c:v>
                </c:pt>
                <c:pt idx="55">
                  <c:v>2.1789999999999998</c:v>
                </c:pt>
                <c:pt idx="56">
                  <c:v>2.169</c:v>
                </c:pt>
                <c:pt idx="57">
                  <c:v>2.129</c:v>
                </c:pt>
                <c:pt idx="58">
                  <c:v>2.1070000000000002</c:v>
                </c:pt>
                <c:pt idx="59">
                  <c:v>2.149</c:v>
                </c:pt>
                <c:pt idx="60">
                  <c:v>2.0550000000000002</c:v>
                </c:pt>
                <c:pt idx="61">
                  <c:v>2.1</c:v>
                </c:pt>
                <c:pt idx="62">
                  <c:v>2.0870000000000002</c:v>
                </c:pt>
                <c:pt idx="63">
                  <c:v>2.1619999999999999</c:v>
                </c:pt>
                <c:pt idx="64">
                  <c:v>2.25</c:v>
                </c:pt>
                <c:pt idx="65">
                  <c:v>2.3170000000000002</c:v>
                </c:pt>
                <c:pt idx="66">
                  <c:v>2.3690000000000002</c:v>
                </c:pt>
                <c:pt idx="67">
                  <c:v>2.33</c:v>
                </c:pt>
                <c:pt idx="68">
                  <c:v>2.3050000000000002</c:v>
                </c:pt>
                <c:pt idx="69">
                  <c:v>2.3319999999999999</c:v>
                </c:pt>
                <c:pt idx="70">
                  <c:v>2.4510000000000001</c:v>
                </c:pt>
                <c:pt idx="71">
                  <c:v>2.4860000000000002</c:v>
                </c:pt>
                <c:pt idx="72">
                  <c:v>2.605</c:v>
                </c:pt>
                <c:pt idx="73">
                  <c:v>2.7090000000000001</c:v>
                </c:pt>
                <c:pt idx="74">
                  <c:v>2.6480000000000001</c:v>
                </c:pt>
                <c:pt idx="75">
                  <c:v>2.7690000000000001</c:v>
                </c:pt>
                <c:pt idx="76">
                  <c:v>2.7069999999999999</c:v>
                </c:pt>
                <c:pt idx="77">
                  <c:v>2.6030000000000002</c:v>
                </c:pt>
                <c:pt idx="78">
                  <c:v>2.6179999999999999</c:v>
                </c:pt>
                <c:pt idx="79">
                  <c:v>2.6280000000000001</c:v>
                </c:pt>
                <c:pt idx="80">
                  <c:v>2.6720000000000002</c:v>
                </c:pt>
                <c:pt idx="81">
                  <c:v>2.7189999999999999</c:v>
                </c:pt>
                <c:pt idx="82">
                  <c:v>2.6019999999999999</c:v>
                </c:pt>
                <c:pt idx="83">
                  <c:v>2.5720000000000001</c:v>
                </c:pt>
                <c:pt idx="84">
                  <c:v>2.5219999999999998</c:v>
                </c:pt>
                <c:pt idx="85">
                  <c:v>2.5459999999999998</c:v>
                </c:pt>
                <c:pt idx="86">
                  <c:v>2.5339999999999998</c:v>
                </c:pt>
                <c:pt idx="87">
                  <c:v>2.7360000000000002</c:v>
                </c:pt>
                <c:pt idx="88">
                  <c:v>2.9079999999999999</c:v>
                </c:pt>
                <c:pt idx="89">
                  <c:v>3.0030000000000001</c:v>
                </c:pt>
                <c:pt idx="90">
                  <c:v>3.1360000000000001</c:v>
                </c:pt>
                <c:pt idx="91">
                  <c:v>3.36</c:v>
                </c:pt>
                <c:pt idx="92">
                  <c:v>3.2810000000000001</c:v>
                </c:pt>
                <c:pt idx="93">
                  <c:v>3.2410000000000001</c:v>
                </c:pt>
                <c:pt idx="94">
                  <c:v>3.1970000000000001</c:v>
                </c:pt>
                <c:pt idx="95">
                  <c:v>3.4860000000000002</c:v>
                </c:pt>
                <c:pt idx="96">
                  <c:v>3.5910000000000002</c:v>
                </c:pt>
                <c:pt idx="97">
                  <c:v>3.4809999999999999</c:v>
                </c:pt>
                <c:pt idx="98">
                  <c:v>3.4079999999999999</c:v>
                </c:pt>
                <c:pt idx="99">
                  <c:v>3.661</c:v>
                </c:pt>
                <c:pt idx="100">
                  <c:v>3.8420000000000001</c:v>
                </c:pt>
                <c:pt idx="101">
                  <c:v>4.0590000000000002</c:v>
                </c:pt>
                <c:pt idx="102">
                  <c:v>3.9</c:v>
                </c:pt>
                <c:pt idx="103">
                  <c:v>3.8119999999999998</c:v>
                </c:pt>
                <c:pt idx="104">
                  <c:v>3.9649999999999999</c:v>
                </c:pt>
                <c:pt idx="105">
                  <c:v>3.859</c:v>
                </c:pt>
                <c:pt idx="106">
                  <c:v>3.9020000000000001</c:v>
                </c:pt>
                <c:pt idx="107">
                  <c:v>4.0449999999999999</c:v>
                </c:pt>
                <c:pt idx="108">
                  <c:v>3.9870000000000001</c:v>
                </c:pt>
                <c:pt idx="109">
                  <c:v>3.92</c:v>
                </c:pt>
                <c:pt idx="110">
                  <c:v>3.6859999999999999</c:v>
                </c:pt>
                <c:pt idx="111">
                  <c:v>3.5819999999999999</c:v>
                </c:pt>
                <c:pt idx="112">
                  <c:v>3.323</c:v>
                </c:pt>
                <c:pt idx="113">
                  <c:v>3.18</c:v>
                </c:pt>
                <c:pt idx="114">
                  <c:v>3.2490000000000001</c:v>
                </c:pt>
                <c:pt idx="115">
                  <c:v>3.2890000000000001</c:v>
                </c:pt>
                <c:pt idx="116">
                  <c:v>3.1259999999999999</c:v>
                </c:pt>
                <c:pt idx="117">
                  <c:v>3.0150000000000001</c:v>
                </c:pt>
                <c:pt idx="118">
                  <c:v>2.9369999999999998</c:v>
                </c:pt>
                <c:pt idx="119">
                  <c:v>3.133</c:v>
                </c:pt>
                <c:pt idx="120">
                  <c:v>2.923</c:v>
                </c:pt>
                <c:pt idx="121">
                  <c:v>2.605</c:v>
                </c:pt>
                <c:pt idx="122">
                  <c:v>2.379</c:v>
                </c:pt>
                <c:pt idx="123">
                  <c:v>2.2200000000000002</c:v>
                </c:pt>
                <c:pt idx="124">
                  <c:v>2.085</c:v>
                </c:pt>
                <c:pt idx="125">
                  <c:v>2.101</c:v>
                </c:pt>
                <c:pt idx="126">
                  <c:v>1.9730000000000001</c:v>
                </c:pt>
                <c:pt idx="127">
                  <c:v>1.8129999999999999</c:v>
                </c:pt>
                <c:pt idx="128">
                  <c:v>1.778</c:v>
                </c:pt>
                <c:pt idx="129">
                  <c:v>1.5740000000000001</c:v>
                </c:pt>
                <c:pt idx="130">
                  <c:v>1.4530000000000001</c:v>
                </c:pt>
                <c:pt idx="131">
                  <c:v>1.446</c:v>
                </c:pt>
                <c:pt idx="132">
                  <c:v>1.306</c:v>
                </c:pt>
                <c:pt idx="133">
                  <c:v>1.3759999999999999</c:v>
                </c:pt>
                <c:pt idx="134">
                  <c:v>1.6</c:v>
                </c:pt>
                <c:pt idx="135">
                  <c:v>1.5109999999999999</c:v>
                </c:pt>
                <c:pt idx="136">
                  <c:v>1.413</c:v>
                </c:pt>
                <c:pt idx="137">
                  <c:v>1.4419999999999999</c:v>
                </c:pt>
                <c:pt idx="138">
                  <c:v>1.3740000000000001</c:v>
                </c:pt>
                <c:pt idx="139">
                  <c:v>1.3480000000000001</c:v>
                </c:pt>
                <c:pt idx="140">
                  <c:v>1.21</c:v>
                </c:pt>
                <c:pt idx="141">
                  <c:v>1.2709999999999999</c:v>
                </c:pt>
                <c:pt idx="142">
                  <c:v>1.218</c:v>
                </c:pt>
                <c:pt idx="143">
                  <c:v>1.2230000000000001</c:v>
                </c:pt>
                <c:pt idx="144">
                  <c:v>1.345</c:v>
                </c:pt>
                <c:pt idx="145">
                  <c:v>1.5289999999999999</c:v>
                </c:pt>
                <c:pt idx="146">
                  <c:v>1.4630000000000001</c:v>
                </c:pt>
                <c:pt idx="147">
                  <c:v>1.498</c:v>
                </c:pt>
                <c:pt idx="148">
                  <c:v>1.49</c:v>
                </c:pt>
                <c:pt idx="149">
                  <c:v>1.4019999999999999</c:v>
                </c:pt>
                <c:pt idx="150">
                  <c:v>1.3819999999999999</c:v>
                </c:pt>
                <c:pt idx="151">
                  <c:v>1.478</c:v>
                </c:pt>
                <c:pt idx="152">
                  <c:v>1.498</c:v>
                </c:pt>
                <c:pt idx="153">
                  <c:v>1.5349999999999999</c:v>
                </c:pt>
                <c:pt idx="154">
                  <c:v>1.6120000000000001</c:v>
                </c:pt>
                <c:pt idx="155">
                  <c:v>1.786</c:v>
                </c:pt>
                <c:pt idx="156">
                  <c:v>1.847</c:v>
                </c:pt>
                <c:pt idx="157">
                  <c:v>1.857</c:v>
                </c:pt>
                <c:pt idx="158">
                  <c:v>1.79</c:v>
                </c:pt>
                <c:pt idx="159">
                  <c:v>1.782</c:v>
                </c:pt>
                <c:pt idx="160">
                  <c:v>1.603</c:v>
                </c:pt>
                <c:pt idx="161">
                  <c:v>1.6359999999999999</c:v>
                </c:pt>
                <c:pt idx="162">
                  <c:v>1.802</c:v>
                </c:pt>
                <c:pt idx="163">
                  <c:v>1.8380000000000001</c:v>
                </c:pt>
                <c:pt idx="164">
                  <c:v>1.9650000000000001</c:v>
                </c:pt>
                <c:pt idx="165">
                  <c:v>1.9319999999999999</c:v>
                </c:pt>
                <c:pt idx="166">
                  <c:v>1.919</c:v>
                </c:pt>
                <c:pt idx="167">
                  <c:v>1.911</c:v>
                </c:pt>
                <c:pt idx="168">
                  <c:v>1.788</c:v>
                </c:pt>
                <c:pt idx="169">
                  <c:v>1.8069999999999999</c:v>
                </c:pt>
                <c:pt idx="170">
                  <c:v>1.83</c:v>
                </c:pt>
                <c:pt idx="171">
                  <c:v>1.7709999999999999</c:v>
                </c:pt>
                <c:pt idx="172">
                  <c:v>1.81</c:v>
                </c:pt>
                <c:pt idx="173">
                  <c:v>1.859</c:v>
                </c:pt>
                <c:pt idx="174">
                  <c:v>1.9830000000000001</c:v>
                </c:pt>
                <c:pt idx="175">
                  <c:v>2.089</c:v>
                </c:pt>
                <c:pt idx="176">
                  <c:v>2.048</c:v>
                </c:pt>
                <c:pt idx="177">
                  <c:v>2.024</c:v>
                </c:pt>
                <c:pt idx="178">
                  <c:v>1.992</c:v>
                </c:pt>
                <c:pt idx="179">
                  <c:v>2.008</c:v>
                </c:pt>
                <c:pt idx="180">
                  <c:v>1.9630000000000001</c:v>
                </c:pt>
                <c:pt idx="181">
                  <c:v>2.0129999999999999</c:v>
                </c:pt>
                <c:pt idx="182">
                  <c:v>1.923</c:v>
                </c:pt>
                <c:pt idx="183">
                  <c:v>1.9179999999999999</c:v>
                </c:pt>
                <c:pt idx="184">
                  <c:v>1.9650000000000001</c:v>
                </c:pt>
                <c:pt idx="185">
                  <c:v>2.1080000000000001</c:v>
                </c:pt>
                <c:pt idx="186">
                  <c:v>2.19</c:v>
                </c:pt>
                <c:pt idx="187">
                  <c:v>2.0979999999999999</c:v>
                </c:pt>
                <c:pt idx="188">
                  <c:v>1.994</c:v>
                </c:pt>
                <c:pt idx="189">
                  <c:v>1.9650000000000001</c:v>
                </c:pt>
                <c:pt idx="190">
                  <c:v>2.0019999999999998</c:v>
                </c:pt>
                <c:pt idx="191">
                  <c:v>1.974</c:v>
                </c:pt>
                <c:pt idx="192">
                  <c:v>2.077</c:v>
                </c:pt>
                <c:pt idx="193">
                  <c:v>2.0950000000000002</c:v>
                </c:pt>
                <c:pt idx="194">
                  <c:v>2.1389999999999998</c:v>
                </c:pt>
                <c:pt idx="195">
                  <c:v>2.16</c:v>
                </c:pt>
                <c:pt idx="196">
                  <c:v>2.1619999999999999</c:v>
                </c:pt>
                <c:pt idx="197">
                  <c:v>2.1480000000000001</c:v>
                </c:pt>
                <c:pt idx="198">
                  <c:v>2.2250000000000001</c:v>
                </c:pt>
                <c:pt idx="199">
                  <c:v>2.2959999999999998</c:v>
                </c:pt>
                <c:pt idx="200">
                  <c:v>2.2730000000000001</c:v>
                </c:pt>
                <c:pt idx="201">
                  <c:v>2.2599999999999998</c:v>
                </c:pt>
                <c:pt idx="202">
                  <c:v>2.3069999999999999</c:v>
                </c:pt>
                <c:pt idx="203">
                  <c:v>2.2770000000000001</c:v>
                </c:pt>
                <c:pt idx="204">
                  <c:v>2.218</c:v>
                </c:pt>
                <c:pt idx="205">
                  <c:v>2.0219999999999998</c:v>
                </c:pt>
                <c:pt idx="206">
                  <c:v>2.0249999999999999</c:v>
                </c:pt>
                <c:pt idx="207">
                  <c:v>2.0710000000000002</c:v>
                </c:pt>
                <c:pt idx="208">
                  <c:v>2.0710000000000002</c:v>
                </c:pt>
                <c:pt idx="209">
                  <c:v>2.157</c:v>
                </c:pt>
                <c:pt idx="210">
                  <c:v>2.1440000000000001</c:v>
                </c:pt>
                <c:pt idx="211">
                  <c:v>2.032</c:v>
                </c:pt>
                <c:pt idx="212">
                  <c:v>2.0470000000000002</c:v>
                </c:pt>
                <c:pt idx="213">
                  <c:v>2.0819999999999999</c:v>
                </c:pt>
                <c:pt idx="214">
                  <c:v>2.0880000000000001</c:v>
                </c:pt>
                <c:pt idx="215">
                  <c:v>2.0859999999999999</c:v>
                </c:pt>
                <c:pt idx="216">
                  <c:v>2.2290000000000001</c:v>
                </c:pt>
                <c:pt idx="217">
                  <c:v>2.141</c:v>
                </c:pt>
                <c:pt idx="218">
                  <c:v>2.0699999999999998</c:v>
                </c:pt>
                <c:pt idx="219">
                  <c:v>2.0640000000000001</c:v>
                </c:pt>
                <c:pt idx="220">
                  <c:v>2.113</c:v>
                </c:pt>
                <c:pt idx="221">
                  <c:v>2.1459999999999999</c:v>
                </c:pt>
                <c:pt idx="222">
                  <c:v>2.1760000000000002</c:v>
                </c:pt>
                <c:pt idx="223">
                  <c:v>2.1760000000000002</c:v>
                </c:pt>
                <c:pt idx="224">
                  <c:v>2.258</c:v>
                </c:pt>
                <c:pt idx="225">
                  <c:v>2.335</c:v>
                </c:pt>
                <c:pt idx="226">
                  <c:v>2.31</c:v>
                </c:pt>
                <c:pt idx="227">
                  <c:v>2.2749999999999999</c:v>
                </c:pt>
                <c:pt idx="228">
                  <c:v>2.274</c:v>
                </c:pt>
                <c:pt idx="229">
                  <c:v>2.3660000000000001</c:v>
                </c:pt>
                <c:pt idx="230">
                  <c:v>2.4390000000000001</c:v>
                </c:pt>
                <c:pt idx="231">
                  <c:v>2.3359999999999999</c:v>
                </c:pt>
                <c:pt idx="232">
                  <c:v>2.3530000000000002</c:v>
                </c:pt>
                <c:pt idx="233">
                  <c:v>2.448</c:v>
                </c:pt>
                <c:pt idx="234">
                  <c:v>2.4750000000000001</c:v>
                </c:pt>
                <c:pt idx="235">
                  <c:v>2.4820000000000002</c:v>
                </c:pt>
                <c:pt idx="236">
                  <c:v>2.5270000000000001</c:v>
                </c:pt>
                <c:pt idx="237">
                  <c:v>2.5289999999999999</c:v>
                </c:pt>
                <c:pt idx="238">
                  <c:v>2.54</c:v>
                </c:pt>
                <c:pt idx="239">
                  <c:v>2.6509999999999998</c:v>
                </c:pt>
                <c:pt idx="240">
                  <c:v>2.68</c:v>
                </c:pt>
                <c:pt idx="241">
                  <c:v>2.681</c:v>
                </c:pt>
                <c:pt idx="242">
                  <c:v>2.782</c:v>
                </c:pt>
                <c:pt idx="243">
                  <c:v>2.7770000000000001</c:v>
                </c:pt>
                <c:pt idx="244">
                  <c:v>2.8079999999999998</c:v>
                </c:pt>
                <c:pt idx="245">
                  <c:v>2.968</c:v>
                </c:pt>
                <c:pt idx="246">
                  <c:v>3.1120000000000001</c:v>
                </c:pt>
                <c:pt idx="247">
                  <c:v>3.1240000000000001</c:v>
                </c:pt>
                <c:pt idx="248">
                  <c:v>3.1150000000000002</c:v>
                </c:pt>
                <c:pt idx="249">
                  <c:v>3.145</c:v>
                </c:pt>
                <c:pt idx="250">
                  <c:v>3.149</c:v>
                </c:pt>
                <c:pt idx="251">
                  <c:v>3.2789999999999999</c:v>
                </c:pt>
                <c:pt idx="252">
                  <c:v>3.2679999999999998</c:v>
                </c:pt>
                <c:pt idx="253">
                  <c:v>3.2509999999999999</c:v>
                </c:pt>
                <c:pt idx="254">
                  <c:v>3.2959999999999998</c:v>
                </c:pt>
                <c:pt idx="255">
                  <c:v>3.1320000000000001</c:v>
                </c:pt>
                <c:pt idx="256">
                  <c:v>3.0310000000000001</c:v>
                </c:pt>
                <c:pt idx="257">
                  <c:v>2.9550000000000001</c:v>
                </c:pt>
                <c:pt idx="258">
                  <c:v>3.0049999999999999</c:v>
                </c:pt>
                <c:pt idx="259">
                  <c:v>3.1080000000000001</c:v>
                </c:pt>
                <c:pt idx="260">
                  <c:v>3.1589999999999998</c:v>
                </c:pt>
                <c:pt idx="261">
                  <c:v>3.1160000000000001</c:v>
                </c:pt>
                <c:pt idx="262">
                  <c:v>2.9420000000000002</c:v>
                </c:pt>
                <c:pt idx="263">
                  <c:v>2.9590000000000001</c:v>
                </c:pt>
                <c:pt idx="264">
                  <c:v>3.1259999999999999</c:v>
                </c:pt>
                <c:pt idx="265">
                  <c:v>3.202</c:v>
                </c:pt>
                <c:pt idx="266">
                  <c:v>3.198</c:v>
                </c:pt>
                <c:pt idx="267">
                  <c:v>3.18</c:v>
                </c:pt>
                <c:pt idx="268">
                  <c:v>3.077</c:v>
                </c:pt>
                <c:pt idx="269">
                  <c:v>2.9079999999999999</c:v>
                </c:pt>
                <c:pt idx="270">
                  <c:v>2.9860000000000002</c:v>
                </c:pt>
                <c:pt idx="271">
                  <c:v>3.0089999999999999</c:v>
                </c:pt>
                <c:pt idx="272">
                  <c:v>3.097</c:v>
                </c:pt>
                <c:pt idx="273">
                  <c:v>3.0779999999999998</c:v>
                </c:pt>
                <c:pt idx="274">
                  <c:v>2.9990000000000001</c:v>
                </c:pt>
                <c:pt idx="275">
                  <c:v>2.9369999999999998</c:v>
                </c:pt>
                <c:pt idx="276">
                  <c:v>2.8860000000000001</c:v>
                </c:pt>
                <c:pt idx="277">
                  <c:v>2.87</c:v>
                </c:pt>
                <c:pt idx="278">
                  <c:v>3.004</c:v>
                </c:pt>
                <c:pt idx="279">
                  <c:v>3.0539999999999998</c:v>
                </c:pt>
                <c:pt idx="280">
                  <c:v>3.089</c:v>
                </c:pt>
                <c:pt idx="281">
                  <c:v>3.073</c:v>
                </c:pt>
                <c:pt idx="282">
                  <c:v>3.17</c:v>
                </c:pt>
                <c:pt idx="283">
                  <c:v>3.1379999999999999</c:v>
                </c:pt>
                <c:pt idx="284">
                  <c:v>3.0110000000000001</c:v>
                </c:pt>
                <c:pt idx="285">
                  <c:v>3.0289999999999999</c:v>
                </c:pt>
                <c:pt idx="286">
                  <c:v>2.9820000000000002</c:v>
                </c:pt>
                <c:pt idx="287">
                  <c:v>2.879</c:v>
                </c:pt>
                <c:pt idx="288">
                  <c:v>2.9049999999999998</c:v>
                </c:pt>
                <c:pt idx="289">
                  <c:v>2.9529999999999998</c:v>
                </c:pt>
                <c:pt idx="290">
                  <c:v>3.105</c:v>
                </c:pt>
                <c:pt idx="291">
                  <c:v>3.0939999999999999</c:v>
                </c:pt>
                <c:pt idx="292">
                  <c:v>3.0529999999999999</c:v>
                </c:pt>
                <c:pt idx="293">
                  <c:v>3.0720000000000001</c:v>
                </c:pt>
                <c:pt idx="294">
                  <c:v>3.0830000000000002</c:v>
                </c:pt>
                <c:pt idx="295">
                  <c:v>3.2130000000000001</c:v>
                </c:pt>
                <c:pt idx="296">
                  <c:v>3.21</c:v>
                </c:pt>
                <c:pt idx="297">
                  <c:v>3.31</c:v>
                </c:pt>
                <c:pt idx="298">
                  <c:v>3.2810000000000001</c:v>
                </c:pt>
                <c:pt idx="299">
                  <c:v>3.294</c:v>
                </c:pt>
                <c:pt idx="300">
                  <c:v>3.3279999999999998</c:v>
                </c:pt>
                <c:pt idx="301">
                  <c:v>3.2970000000000002</c:v>
                </c:pt>
                <c:pt idx="302">
                  <c:v>3.294</c:v>
                </c:pt>
                <c:pt idx="303">
                  <c:v>3.3029999999999999</c:v>
                </c:pt>
                <c:pt idx="304">
                  <c:v>3.2309999999999999</c:v>
                </c:pt>
                <c:pt idx="305">
                  <c:v>3.2050000000000001</c:v>
                </c:pt>
                <c:pt idx="306">
                  <c:v>3.24</c:v>
                </c:pt>
                <c:pt idx="307">
                  <c:v>3.1989999999999998</c:v>
                </c:pt>
                <c:pt idx="308">
                  <c:v>3.056</c:v>
                </c:pt>
                <c:pt idx="309">
                  <c:v>2.95</c:v>
                </c:pt>
                <c:pt idx="310">
                  <c:v>2.8980000000000001</c:v>
                </c:pt>
                <c:pt idx="311">
                  <c:v>2.7930000000000001</c:v>
                </c:pt>
                <c:pt idx="312">
                  <c:v>2.7250000000000001</c:v>
                </c:pt>
                <c:pt idx="313">
                  <c:v>2.7149999999999999</c:v>
                </c:pt>
                <c:pt idx="314">
                  <c:v>2.6909999999999998</c:v>
                </c:pt>
                <c:pt idx="315">
                  <c:v>2.7090000000000001</c:v>
                </c:pt>
                <c:pt idx="316">
                  <c:v>2.85</c:v>
                </c:pt>
                <c:pt idx="317">
                  <c:v>2.8940000000000001</c:v>
                </c:pt>
                <c:pt idx="318">
                  <c:v>2.984</c:v>
                </c:pt>
                <c:pt idx="319">
                  <c:v>2.9350000000000001</c:v>
                </c:pt>
                <c:pt idx="320">
                  <c:v>2.9670000000000001</c:v>
                </c:pt>
                <c:pt idx="321">
                  <c:v>3.1139999999999999</c:v>
                </c:pt>
                <c:pt idx="322">
                  <c:v>3.1960000000000002</c:v>
                </c:pt>
                <c:pt idx="323">
                  <c:v>3.2429999999999999</c:v>
                </c:pt>
                <c:pt idx="324">
                  <c:v>3.278</c:v>
                </c:pt>
                <c:pt idx="325">
                  <c:v>3.262</c:v>
                </c:pt>
                <c:pt idx="326">
                  <c:v>3.2839999999999998</c:v>
                </c:pt>
                <c:pt idx="327">
                  <c:v>3.18</c:v>
                </c:pt>
                <c:pt idx="328">
                  <c:v>3.198</c:v>
                </c:pt>
                <c:pt idx="329">
                  <c:v>3.2450000000000001</c:v>
                </c:pt>
                <c:pt idx="330">
                  <c:v>3.3220000000000001</c:v>
                </c:pt>
                <c:pt idx="331">
                  <c:v>3.274</c:v>
                </c:pt>
                <c:pt idx="332">
                  <c:v>3.1419999999999999</c:v>
                </c:pt>
                <c:pt idx="333">
                  <c:v>3.1539999999999999</c:v>
                </c:pt>
                <c:pt idx="334">
                  <c:v>3.1440000000000001</c:v>
                </c:pt>
                <c:pt idx="335">
                  <c:v>3.1709999999999998</c:v>
                </c:pt>
                <c:pt idx="336">
                  <c:v>3.2679999999999998</c:v>
                </c:pt>
                <c:pt idx="337">
                  <c:v>3.1760000000000002</c:v>
                </c:pt>
                <c:pt idx="338">
                  <c:v>3.0449999999999999</c:v>
                </c:pt>
                <c:pt idx="339">
                  <c:v>3.0539999999999998</c:v>
                </c:pt>
                <c:pt idx="340">
                  <c:v>3.0819999999999999</c:v>
                </c:pt>
                <c:pt idx="341">
                  <c:v>3.1059999999999999</c:v>
                </c:pt>
                <c:pt idx="342">
                  <c:v>3.07</c:v>
                </c:pt>
                <c:pt idx="343">
                  <c:v>3.0910000000000002</c:v>
                </c:pt>
                <c:pt idx="344">
                  <c:v>3.08</c:v>
                </c:pt>
                <c:pt idx="345">
                  <c:v>3.125</c:v>
                </c:pt>
                <c:pt idx="346">
                  <c:v>3.1680000000000001</c:v>
                </c:pt>
                <c:pt idx="347">
                  <c:v>3.2509999999999999</c:v>
                </c:pt>
                <c:pt idx="348">
                  <c:v>3.3039999999999998</c:v>
                </c:pt>
                <c:pt idx="349">
                  <c:v>3.24</c:v>
                </c:pt>
                <c:pt idx="350">
                  <c:v>3.1190000000000002</c:v>
                </c:pt>
                <c:pt idx="351">
                  <c:v>3.085</c:v>
                </c:pt>
                <c:pt idx="352">
                  <c:v>3.0449999999999999</c:v>
                </c:pt>
                <c:pt idx="353">
                  <c:v>2.988</c:v>
                </c:pt>
                <c:pt idx="354">
                  <c:v>3.0249999999999999</c:v>
                </c:pt>
                <c:pt idx="355">
                  <c:v>3.0390000000000001</c:v>
                </c:pt>
                <c:pt idx="356">
                  <c:v>2.9420000000000002</c:v>
                </c:pt>
                <c:pt idx="357">
                  <c:v>2.78</c:v>
                </c:pt>
                <c:pt idx="358">
                  <c:v>2.8530000000000002</c:v>
                </c:pt>
                <c:pt idx="359">
                  <c:v>2.859</c:v>
                </c:pt>
                <c:pt idx="360">
                  <c:v>2.9239999999999999</c:v>
                </c:pt>
                <c:pt idx="361">
                  <c:v>2.8980000000000001</c:v>
                </c:pt>
                <c:pt idx="362">
                  <c:v>2.8929999999999998</c:v>
                </c:pt>
                <c:pt idx="363">
                  <c:v>2.85</c:v>
                </c:pt>
                <c:pt idx="364">
                  <c:v>2.8690000000000002</c:v>
                </c:pt>
                <c:pt idx="365">
                  <c:v>2.9079999999999999</c:v>
                </c:pt>
                <c:pt idx="366">
                  <c:v>2.9239999999999999</c:v>
                </c:pt>
                <c:pt idx="367">
                  <c:v>2.8639999999999999</c:v>
                </c:pt>
                <c:pt idx="368">
                  <c:v>2.9340000000000002</c:v>
                </c:pt>
                <c:pt idx="369">
                  <c:v>2.9980000000000002</c:v>
                </c:pt>
                <c:pt idx="370">
                  <c:v>3.069</c:v>
                </c:pt>
                <c:pt idx="371">
                  <c:v>3.0459999999999998</c:v>
                </c:pt>
                <c:pt idx="372">
                  <c:v>3.05</c:v>
                </c:pt>
                <c:pt idx="373">
                  <c:v>2.988</c:v>
                </c:pt>
                <c:pt idx="374">
                  <c:v>3.0529999999999999</c:v>
                </c:pt>
                <c:pt idx="375">
                  <c:v>3.077</c:v>
                </c:pt>
                <c:pt idx="376">
                  <c:v>3.15</c:v>
                </c:pt>
                <c:pt idx="377">
                  <c:v>3.14</c:v>
                </c:pt>
                <c:pt idx="378">
                  <c:v>3.0990000000000002</c:v>
                </c:pt>
                <c:pt idx="379">
                  <c:v>3.0169999999999999</c:v>
                </c:pt>
                <c:pt idx="380">
                  <c:v>2.972</c:v>
                </c:pt>
                <c:pt idx="381">
                  <c:v>2.9870000000000001</c:v>
                </c:pt>
                <c:pt idx="382">
                  <c:v>3.0379999999999998</c:v>
                </c:pt>
                <c:pt idx="383">
                  <c:v>3.0249999999999999</c:v>
                </c:pt>
                <c:pt idx="384">
                  <c:v>2.952</c:v>
                </c:pt>
                <c:pt idx="385">
                  <c:v>2.95</c:v>
                </c:pt>
                <c:pt idx="386">
                  <c:v>2.8660000000000001</c:v>
                </c:pt>
                <c:pt idx="387">
                  <c:v>2.907</c:v>
                </c:pt>
                <c:pt idx="388">
                  <c:v>2.968</c:v>
                </c:pt>
                <c:pt idx="389">
                  <c:v>3.0419999999999998</c:v>
                </c:pt>
                <c:pt idx="390">
                  <c:v>3.052</c:v>
                </c:pt>
                <c:pt idx="391">
                  <c:v>3.0019999999999998</c:v>
                </c:pt>
                <c:pt idx="392">
                  <c:v>3.0139999999999998</c:v>
                </c:pt>
                <c:pt idx="393">
                  <c:v>3.1059999999999999</c:v>
                </c:pt>
                <c:pt idx="394">
                  <c:v>3.04</c:v>
                </c:pt>
                <c:pt idx="395">
                  <c:v>2.976</c:v>
                </c:pt>
                <c:pt idx="396">
                  <c:v>3.0339999999999998</c:v>
                </c:pt>
                <c:pt idx="397">
                  <c:v>3.2240000000000002</c:v>
                </c:pt>
                <c:pt idx="398">
                  <c:v>3.3039999999999998</c:v>
                </c:pt>
                <c:pt idx="399">
                  <c:v>3.3889999999999998</c:v>
                </c:pt>
                <c:pt idx="400">
                  <c:v>3.14</c:v>
                </c:pt>
                <c:pt idx="401">
                  <c:v>3.2130000000000001</c:v>
                </c:pt>
                <c:pt idx="402">
                  <c:v>3.1640000000000001</c:v>
                </c:pt>
                <c:pt idx="403">
                  <c:v>3.1139999999999999</c:v>
                </c:pt>
                <c:pt idx="404">
                  <c:v>3.0059999999999998</c:v>
                </c:pt>
                <c:pt idx="405">
                  <c:v>2.9279999999999999</c:v>
                </c:pt>
                <c:pt idx="406">
                  <c:v>2.9350000000000001</c:v>
                </c:pt>
                <c:pt idx="407">
                  <c:v>2.9049999999999998</c:v>
                </c:pt>
                <c:pt idx="408">
                  <c:v>2.9319999999999999</c:v>
                </c:pt>
                <c:pt idx="409">
                  <c:v>3.0009999999999999</c:v>
                </c:pt>
                <c:pt idx="410">
                  <c:v>3.0019999999999998</c:v>
                </c:pt>
                <c:pt idx="411">
                  <c:v>2.9449999999999998</c:v>
                </c:pt>
                <c:pt idx="412">
                  <c:v>2.9180000000000001</c:v>
                </c:pt>
                <c:pt idx="413">
                  <c:v>2.9540000000000002</c:v>
                </c:pt>
                <c:pt idx="414">
                  <c:v>2.9510000000000001</c:v>
                </c:pt>
                <c:pt idx="415">
                  <c:v>2.923</c:v>
                </c:pt>
                <c:pt idx="416">
                  <c:v>2.87</c:v>
                </c:pt>
                <c:pt idx="417">
                  <c:v>2.927</c:v>
                </c:pt>
                <c:pt idx="418">
                  <c:v>3.028</c:v>
                </c:pt>
                <c:pt idx="419">
                  <c:v>3.0219999999999998</c:v>
                </c:pt>
                <c:pt idx="420">
                  <c:v>2.944</c:v>
                </c:pt>
                <c:pt idx="421">
                  <c:v>2.87</c:v>
                </c:pt>
                <c:pt idx="422">
                  <c:v>2.855</c:v>
                </c:pt>
                <c:pt idx="423">
                  <c:v>2.8719999999999999</c:v>
                </c:pt>
                <c:pt idx="424">
                  <c:v>2.879</c:v>
                </c:pt>
                <c:pt idx="425">
                  <c:v>2.8730000000000002</c:v>
                </c:pt>
                <c:pt idx="426">
                  <c:v>2.8580000000000001</c:v>
                </c:pt>
                <c:pt idx="427">
                  <c:v>2.8210000000000002</c:v>
                </c:pt>
                <c:pt idx="428">
                  <c:v>2.847</c:v>
                </c:pt>
                <c:pt idx="429">
                  <c:v>2.8250000000000002</c:v>
                </c:pt>
                <c:pt idx="430">
                  <c:v>2.766</c:v>
                </c:pt>
                <c:pt idx="431">
                  <c:v>2.7240000000000002</c:v>
                </c:pt>
                <c:pt idx="432">
                  <c:v>2.6890000000000001</c:v>
                </c:pt>
                <c:pt idx="433">
                  <c:v>2.6539999999999999</c:v>
                </c:pt>
                <c:pt idx="434">
                  <c:v>2.577</c:v>
                </c:pt>
                <c:pt idx="435">
                  <c:v>2.492</c:v>
                </c:pt>
                <c:pt idx="436">
                  <c:v>2.4929999999999999</c:v>
                </c:pt>
                <c:pt idx="437">
                  <c:v>2.5030000000000001</c:v>
                </c:pt>
                <c:pt idx="438">
                  <c:v>2.4729999999999999</c:v>
                </c:pt>
                <c:pt idx="439">
                  <c:v>2.4529999999999998</c:v>
                </c:pt>
                <c:pt idx="440">
                  <c:v>2.419</c:v>
                </c:pt>
                <c:pt idx="441">
                  <c:v>2.363</c:v>
                </c:pt>
                <c:pt idx="442">
                  <c:v>2.177</c:v>
                </c:pt>
                <c:pt idx="443">
                  <c:v>2.0950000000000002</c:v>
                </c:pt>
                <c:pt idx="444">
                  <c:v>2.012</c:v>
                </c:pt>
                <c:pt idx="445">
                  <c:v>1.948</c:v>
                </c:pt>
                <c:pt idx="446">
                  <c:v>1.8360000000000001</c:v>
                </c:pt>
                <c:pt idx="447">
                  <c:v>1.7290000000000001</c:v>
                </c:pt>
                <c:pt idx="448">
                  <c:v>1.655</c:v>
                </c:pt>
                <c:pt idx="449">
                  <c:v>1.641</c:v>
                </c:pt>
                <c:pt idx="450">
                  <c:v>1.653</c:v>
                </c:pt>
                <c:pt idx="451">
                  <c:v>1.8180000000000001</c:v>
                </c:pt>
                <c:pt idx="452">
                  <c:v>1.9079999999999999</c:v>
                </c:pt>
                <c:pt idx="453">
                  <c:v>2.0609999999999999</c:v>
                </c:pt>
                <c:pt idx="454">
                  <c:v>2.1909999999999998</c:v>
                </c:pt>
                <c:pt idx="455">
                  <c:v>2.109</c:v>
                </c:pt>
                <c:pt idx="456">
                  <c:v>1.865</c:v>
                </c:pt>
                <c:pt idx="457">
                  <c:v>1.7609999999999999</c:v>
                </c:pt>
                <c:pt idx="458">
                  <c:v>1.744</c:v>
                </c:pt>
                <c:pt idx="459">
                  <c:v>1.7190000000000001</c:v>
                </c:pt>
                <c:pt idx="460">
                  <c:v>1.752</c:v>
                </c:pt>
                <c:pt idx="461">
                  <c:v>1.8560000000000001</c:v>
                </c:pt>
                <c:pt idx="462">
                  <c:v>1.8939999999999999</c:v>
                </c:pt>
                <c:pt idx="463">
                  <c:v>1.9490000000000001</c:v>
                </c:pt>
                <c:pt idx="464">
                  <c:v>1.9870000000000001</c:v>
                </c:pt>
                <c:pt idx="465">
                  <c:v>1.992</c:v>
                </c:pt>
                <c:pt idx="466">
                  <c:v>1.9630000000000001</c:v>
                </c:pt>
                <c:pt idx="467">
                  <c:v>1.9</c:v>
                </c:pt>
                <c:pt idx="468">
                  <c:v>1.897</c:v>
                </c:pt>
                <c:pt idx="469">
                  <c:v>1.9019999999999999</c:v>
                </c:pt>
                <c:pt idx="470">
                  <c:v>1.8859999999999999</c:v>
                </c:pt>
                <c:pt idx="471">
                  <c:v>1.8779999999999999</c:v>
                </c:pt>
                <c:pt idx="472">
                  <c:v>1.8420000000000001</c:v>
                </c:pt>
                <c:pt idx="473">
                  <c:v>1.714</c:v>
                </c:pt>
                <c:pt idx="474">
                  <c:v>1.68</c:v>
                </c:pt>
                <c:pt idx="475">
                  <c:v>1.657</c:v>
                </c:pt>
                <c:pt idx="476">
                  <c:v>1.5940000000000001</c:v>
                </c:pt>
                <c:pt idx="477">
                  <c:v>1.532</c:v>
                </c:pt>
                <c:pt idx="478">
                  <c:v>1.5629999999999999</c:v>
                </c:pt>
                <c:pt idx="479">
                  <c:v>1.502</c:v>
                </c:pt>
                <c:pt idx="480">
                  <c:v>1.4350000000000001</c:v>
                </c:pt>
                <c:pt idx="481">
                  <c:v>1.591</c:v>
                </c:pt>
                <c:pt idx="482">
                  <c:v>1.538</c:v>
                </c:pt>
                <c:pt idx="483">
                  <c:v>1.488</c:v>
                </c:pt>
                <c:pt idx="484">
                  <c:v>1.492</c:v>
                </c:pt>
                <c:pt idx="485">
                  <c:v>1.486</c:v>
                </c:pt>
                <c:pt idx="486">
                  <c:v>1.548</c:v>
                </c:pt>
                <c:pt idx="487">
                  <c:v>1.4490000000000001</c:v>
                </c:pt>
                <c:pt idx="488">
                  <c:v>1.4319999999999999</c:v>
                </c:pt>
                <c:pt idx="489">
                  <c:v>1.452</c:v>
                </c:pt>
                <c:pt idx="490">
                  <c:v>1.508</c:v>
                </c:pt>
                <c:pt idx="491">
                  <c:v>1.4279999999999999</c:v>
                </c:pt>
                <c:pt idx="492">
                  <c:v>1.3580000000000001</c:v>
                </c:pt>
                <c:pt idx="493">
                  <c:v>1.369</c:v>
                </c:pt>
                <c:pt idx="494">
                  <c:v>1.3140000000000001</c:v>
                </c:pt>
                <c:pt idx="495">
                  <c:v>1.1910000000000001</c:v>
                </c:pt>
                <c:pt idx="496">
                  <c:v>1.08</c:v>
                </c:pt>
                <c:pt idx="497">
                  <c:v>1.071</c:v>
                </c:pt>
                <c:pt idx="498">
                  <c:v>1.0580000000000001</c:v>
                </c:pt>
                <c:pt idx="499">
                  <c:v>1.056</c:v>
                </c:pt>
                <c:pt idx="500">
                  <c:v>0.94</c:v>
                </c:pt>
                <c:pt idx="501">
                  <c:v>0.90700000000000003</c:v>
                </c:pt>
                <c:pt idx="502">
                  <c:v>1.002</c:v>
                </c:pt>
                <c:pt idx="503">
                  <c:v>1.048</c:v>
                </c:pt>
                <c:pt idx="504">
                  <c:v>1.004</c:v>
                </c:pt>
                <c:pt idx="505">
                  <c:v>1.0469999999999999</c:v>
                </c:pt>
                <c:pt idx="506">
                  <c:v>1.0369999999999999</c:v>
                </c:pt>
                <c:pt idx="507">
                  <c:v>1.1020000000000001</c:v>
                </c:pt>
                <c:pt idx="508">
                  <c:v>1.2110000000000001</c:v>
                </c:pt>
                <c:pt idx="509">
                  <c:v>1.2210000000000001</c:v>
                </c:pt>
                <c:pt idx="510">
                  <c:v>1.2190000000000001</c:v>
                </c:pt>
                <c:pt idx="511">
                  <c:v>1.163</c:v>
                </c:pt>
                <c:pt idx="512">
                  <c:v>1.111</c:v>
                </c:pt>
                <c:pt idx="513">
                  <c:v>1.2470000000000001</c:v>
                </c:pt>
                <c:pt idx="514">
                  <c:v>1.294</c:v>
                </c:pt>
                <c:pt idx="515">
                  <c:v>1.361</c:v>
                </c:pt>
                <c:pt idx="516">
                  <c:v>1.3380000000000001</c:v>
                </c:pt>
                <c:pt idx="517">
                  <c:v>1.361</c:v>
                </c:pt>
                <c:pt idx="518">
                  <c:v>1.47</c:v>
                </c:pt>
                <c:pt idx="519">
                  <c:v>1.4950000000000001</c:v>
                </c:pt>
                <c:pt idx="520">
                  <c:v>1.49</c:v>
                </c:pt>
                <c:pt idx="521">
                  <c:v>1.5309999999999999</c:v>
                </c:pt>
                <c:pt idx="522">
                  <c:v>1.4730000000000001</c:v>
                </c:pt>
                <c:pt idx="523">
                  <c:v>1.4950000000000001</c:v>
                </c:pt>
                <c:pt idx="524">
                  <c:v>1.4670000000000001</c:v>
                </c:pt>
                <c:pt idx="525">
                  <c:v>1.431</c:v>
                </c:pt>
                <c:pt idx="526">
                  <c:v>1.401</c:v>
                </c:pt>
                <c:pt idx="527">
                  <c:v>1.351</c:v>
                </c:pt>
                <c:pt idx="528">
                  <c:v>1.272</c:v>
                </c:pt>
                <c:pt idx="529">
                  <c:v>1.2689999999999999</c:v>
                </c:pt>
                <c:pt idx="530">
                  <c:v>1.337</c:v>
                </c:pt>
                <c:pt idx="531">
                  <c:v>1.4770000000000001</c:v>
                </c:pt>
                <c:pt idx="532">
                  <c:v>1.4830000000000001</c:v>
                </c:pt>
                <c:pt idx="533">
                  <c:v>1.4219999999999999</c:v>
                </c:pt>
                <c:pt idx="534">
                  <c:v>1.413</c:v>
                </c:pt>
                <c:pt idx="535">
                  <c:v>1.397</c:v>
                </c:pt>
                <c:pt idx="536">
                  <c:v>1.411</c:v>
                </c:pt>
                <c:pt idx="537">
                  <c:v>1.4650000000000001</c:v>
                </c:pt>
                <c:pt idx="538">
                  <c:v>1.5669999999999999</c:v>
                </c:pt>
                <c:pt idx="539">
                  <c:v>1.5660000000000001</c:v>
                </c:pt>
                <c:pt idx="540">
                  <c:v>1.5589999999999999</c:v>
                </c:pt>
                <c:pt idx="541">
                  <c:v>1.56</c:v>
                </c:pt>
                <c:pt idx="542">
                  <c:v>1.4690000000000001</c:v>
                </c:pt>
                <c:pt idx="543">
                  <c:v>1.421</c:v>
                </c:pt>
                <c:pt idx="544">
                  <c:v>1.423</c:v>
                </c:pt>
                <c:pt idx="545">
                  <c:v>1.516</c:v>
                </c:pt>
                <c:pt idx="546">
                  <c:v>1.5609999999999999</c:v>
                </c:pt>
                <c:pt idx="547">
                  <c:v>1.605</c:v>
                </c:pt>
                <c:pt idx="548">
                  <c:v>1.633</c:v>
                </c:pt>
                <c:pt idx="549">
                  <c:v>1.64</c:v>
                </c:pt>
                <c:pt idx="550">
                  <c:v>1.69</c:v>
                </c:pt>
                <c:pt idx="551">
                  <c:v>1.6759999999999999</c:v>
                </c:pt>
                <c:pt idx="552">
                  <c:v>1.623</c:v>
                </c:pt>
                <c:pt idx="553">
                  <c:v>1.6120000000000001</c:v>
                </c:pt>
                <c:pt idx="554">
                  <c:v>1.5940000000000001</c:v>
                </c:pt>
                <c:pt idx="555">
                  <c:v>1.621</c:v>
                </c:pt>
                <c:pt idx="556">
                  <c:v>1.617</c:v>
                </c:pt>
                <c:pt idx="557">
                  <c:v>1.607</c:v>
                </c:pt>
                <c:pt idx="558">
                  <c:v>1.63</c:v>
                </c:pt>
                <c:pt idx="559">
                  <c:v>1.6060000000000001</c:v>
                </c:pt>
                <c:pt idx="560">
                  <c:v>1.552</c:v>
                </c:pt>
                <c:pt idx="561">
                  <c:v>1.498</c:v>
                </c:pt>
                <c:pt idx="562">
                  <c:v>1.4950000000000001</c:v>
                </c:pt>
                <c:pt idx="563">
                  <c:v>1.5349999999999999</c:v>
                </c:pt>
                <c:pt idx="564">
                  <c:v>1.59</c:v>
                </c:pt>
                <c:pt idx="565">
                  <c:v>1.645</c:v>
                </c:pt>
                <c:pt idx="566">
                  <c:v>1.5880000000000001</c:v>
                </c:pt>
                <c:pt idx="567">
                  <c:v>1.5209999999999999</c:v>
                </c:pt>
                <c:pt idx="568">
                  <c:v>1.456</c:v>
                </c:pt>
                <c:pt idx="569">
                  <c:v>1.47</c:v>
                </c:pt>
                <c:pt idx="570">
                  <c:v>1.5309999999999999</c:v>
                </c:pt>
                <c:pt idx="571">
                  <c:v>1.5840000000000001</c:v>
                </c:pt>
                <c:pt idx="572">
                  <c:v>1.518</c:v>
                </c:pt>
                <c:pt idx="573">
                  <c:v>1.4319999999999999</c:v>
                </c:pt>
                <c:pt idx="574">
                  <c:v>1.415</c:v>
                </c:pt>
                <c:pt idx="575">
                  <c:v>1.3740000000000001</c:v>
                </c:pt>
                <c:pt idx="576">
                  <c:v>1.4219999999999999</c:v>
                </c:pt>
                <c:pt idx="577">
                  <c:v>1.4650000000000001</c:v>
                </c:pt>
                <c:pt idx="578">
                  <c:v>1.4790000000000001</c:v>
                </c:pt>
                <c:pt idx="579">
                  <c:v>1.5249999999999999</c:v>
                </c:pt>
                <c:pt idx="580">
                  <c:v>1.585</c:v>
                </c:pt>
                <c:pt idx="581">
                  <c:v>1.6459999999999999</c:v>
                </c:pt>
                <c:pt idx="582">
                  <c:v>1.63</c:v>
                </c:pt>
                <c:pt idx="583">
                  <c:v>1.5920000000000001</c:v>
                </c:pt>
                <c:pt idx="584">
                  <c:v>1.6060000000000001</c:v>
                </c:pt>
                <c:pt idx="585">
                  <c:v>1.718</c:v>
                </c:pt>
                <c:pt idx="586">
                  <c:v>1.7869999999999999</c:v>
                </c:pt>
                <c:pt idx="587">
                  <c:v>1.7430000000000001</c:v>
                </c:pt>
                <c:pt idx="588">
                  <c:v>1.7989999999999999</c:v>
                </c:pt>
                <c:pt idx="589">
                  <c:v>1.837</c:v>
                </c:pt>
                <c:pt idx="590">
                  <c:v>1.764</c:v>
                </c:pt>
                <c:pt idx="591">
                  <c:v>1.77</c:v>
                </c:pt>
                <c:pt idx="592">
                  <c:v>1.802</c:v>
                </c:pt>
                <c:pt idx="593">
                  <c:v>1.8280000000000001</c:v>
                </c:pt>
                <c:pt idx="594">
                  <c:v>1.875</c:v>
                </c:pt>
                <c:pt idx="595">
                  <c:v>1.9279999999999999</c:v>
                </c:pt>
                <c:pt idx="596">
                  <c:v>1.909</c:v>
                </c:pt>
                <c:pt idx="597">
                  <c:v>1.9319999999999999</c:v>
                </c:pt>
                <c:pt idx="598">
                  <c:v>1.927</c:v>
                </c:pt>
                <c:pt idx="599">
                  <c:v>1.8939999999999999</c:v>
                </c:pt>
                <c:pt idx="600">
                  <c:v>1.9159999999999999</c:v>
                </c:pt>
                <c:pt idx="601">
                  <c:v>1.9390000000000001</c:v>
                </c:pt>
                <c:pt idx="602">
                  <c:v>2.0259999999999998</c:v>
                </c:pt>
                <c:pt idx="603">
                  <c:v>2.0699999999999998</c:v>
                </c:pt>
                <c:pt idx="604">
                  <c:v>2.0699999999999998</c:v>
                </c:pt>
                <c:pt idx="605">
                  <c:v>2.0649999999999999</c:v>
                </c:pt>
                <c:pt idx="606">
                  <c:v>2.0910000000000002</c:v>
                </c:pt>
                <c:pt idx="607">
                  <c:v>2.0739999999999998</c:v>
                </c:pt>
                <c:pt idx="608">
                  <c:v>1.944</c:v>
                </c:pt>
                <c:pt idx="609">
                  <c:v>1.8740000000000001</c:v>
                </c:pt>
                <c:pt idx="610">
                  <c:v>1.9350000000000001</c:v>
                </c:pt>
                <c:pt idx="611">
                  <c:v>1.917</c:v>
                </c:pt>
                <c:pt idx="612">
                  <c:v>1.8740000000000001</c:v>
                </c:pt>
                <c:pt idx="613">
                  <c:v>1.879</c:v>
                </c:pt>
                <c:pt idx="614">
                  <c:v>1.972</c:v>
                </c:pt>
                <c:pt idx="615">
                  <c:v>2.0169999999999999</c:v>
                </c:pt>
                <c:pt idx="616">
                  <c:v>1.98</c:v>
                </c:pt>
                <c:pt idx="617">
                  <c:v>2.0710000000000002</c:v>
                </c:pt>
                <c:pt idx="618">
                  <c:v>2.1</c:v>
                </c:pt>
                <c:pt idx="619">
                  <c:v>2.145</c:v>
                </c:pt>
                <c:pt idx="620">
                  <c:v>2.1469999999999998</c:v>
                </c:pt>
                <c:pt idx="621">
                  <c:v>2.2189999999999999</c:v>
                </c:pt>
                <c:pt idx="622">
                  <c:v>2.2810000000000001</c:v>
                </c:pt>
                <c:pt idx="623">
                  <c:v>2.27</c:v>
                </c:pt>
                <c:pt idx="624">
                  <c:v>2.2109999999999999</c:v>
                </c:pt>
                <c:pt idx="625">
                  <c:v>2.157</c:v>
                </c:pt>
                <c:pt idx="626">
                  <c:v>2.1469999999999998</c:v>
                </c:pt>
                <c:pt idx="627">
                  <c:v>2.113</c:v>
                </c:pt>
                <c:pt idx="628">
                  <c:v>2.1579999999999999</c:v>
                </c:pt>
                <c:pt idx="629">
                  <c:v>2.17</c:v>
                </c:pt>
                <c:pt idx="630">
                  <c:v>2.1539999999999999</c:v>
                </c:pt>
                <c:pt idx="631">
                  <c:v>2.0840000000000001</c:v>
                </c:pt>
                <c:pt idx="632">
                  <c:v>2.1469999999999998</c:v>
                </c:pt>
                <c:pt idx="633">
                  <c:v>2.1309999999999998</c:v>
                </c:pt>
                <c:pt idx="634">
                  <c:v>2.133</c:v>
                </c:pt>
                <c:pt idx="635">
                  <c:v>2.109</c:v>
                </c:pt>
                <c:pt idx="636">
                  <c:v>2.1560000000000001</c:v>
                </c:pt>
                <c:pt idx="637">
                  <c:v>2.2330000000000001</c:v>
                </c:pt>
                <c:pt idx="638">
                  <c:v>2.2309999999999999</c:v>
                </c:pt>
                <c:pt idx="639">
                  <c:v>2.2360000000000002</c:v>
                </c:pt>
                <c:pt idx="640">
                  <c:v>2.2250000000000001</c:v>
                </c:pt>
                <c:pt idx="641">
                  <c:v>2.3149999999999999</c:v>
                </c:pt>
                <c:pt idx="642">
                  <c:v>2.4060000000000001</c:v>
                </c:pt>
                <c:pt idx="643">
                  <c:v>2.37</c:v>
                </c:pt>
                <c:pt idx="644">
                  <c:v>2.3180000000000001</c:v>
                </c:pt>
                <c:pt idx="645">
                  <c:v>2.2770000000000001</c:v>
                </c:pt>
                <c:pt idx="646">
                  <c:v>2.2309999999999999</c:v>
                </c:pt>
                <c:pt idx="647">
                  <c:v>2.1890000000000001</c:v>
                </c:pt>
                <c:pt idx="648">
                  <c:v>2.0920000000000001</c:v>
                </c:pt>
                <c:pt idx="649">
                  <c:v>1.9990000000000001</c:v>
                </c:pt>
                <c:pt idx="650">
                  <c:v>1.857</c:v>
                </c:pt>
                <c:pt idx="651">
                  <c:v>1.885</c:v>
                </c:pt>
                <c:pt idx="652">
                  <c:v>1.8560000000000001</c:v>
                </c:pt>
                <c:pt idx="653">
                  <c:v>1.7729999999999999</c:v>
                </c:pt>
                <c:pt idx="654">
                  <c:v>1.718</c:v>
                </c:pt>
                <c:pt idx="655">
                  <c:v>1.7090000000000001</c:v>
                </c:pt>
                <c:pt idx="656">
                  <c:v>1.8560000000000001</c:v>
                </c:pt>
                <c:pt idx="657">
                  <c:v>1.8779999999999999</c:v>
                </c:pt>
                <c:pt idx="658">
                  <c:v>1.8839999999999999</c:v>
                </c:pt>
                <c:pt idx="659">
                  <c:v>1.879</c:v>
                </c:pt>
                <c:pt idx="660">
                  <c:v>1.903</c:v>
                </c:pt>
                <c:pt idx="661">
                  <c:v>1.9450000000000001</c:v>
                </c:pt>
                <c:pt idx="662">
                  <c:v>2.0150000000000001</c:v>
                </c:pt>
                <c:pt idx="663">
                  <c:v>2.0030000000000001</c:v>
                </c:pt>
                <c:pt idx="664">
                  <c:v>2.0110000000000001</c:v>
                </c:pt>
                <c:pt idx="665">
                  <c:v>1.984</c:v>
                </c:pt>
                <c:pt idx="666">
                  <c:v>1.978</c:v>
                </c:pt>
                <c:pt idx="667">
                  <c:v>1.9790000000000001</c:v>
                </c:pt>
                <c:pt idx="668">
                  <c:v>2.0139999999999998</c:v>
                </c:pt>
                <c:pt idx="669">
                  <c:v>2.0649999999999999</c:v>
                </c:pt>
                <c:pt idx="670">
                  <c:v>2.0739999999999998</c:v>
                </c:pt>
                <c:pt idx="671">
                  <c:v>2.0939999999999999</c:v>
                </c:pt>
                <c:pt idx="672">
                  <c:v>2.0720000000000001</c:v>
                </c:pt>
                <c:pt idx="673">
                  <c:v>2.0499999999999998</c:v>
                </c:pt>
                <c:pt idx="674">
                  <c:v>2.0760000000000001</c:v>
                </c:pt>
                <c:pt idx="675">
                  <c:v>2.0299999999999998</c:v>
                </c:pt>
                <c:pt idx="676">
                  <c:v>1.9390000000000001</c:v>
                </c:pt>
                <c:pt idx="677">
                  <c:v>1.8029999999999999</c:v>
                </c:pt>
                <c:pt idx="678">
                  <c:v>1.8</c:v>
                </c:pt>
                <c:pt idx="679">
                  <c:v>1.847</c:v>
                </c:pt>
                <c:pt idx="680">
                  <c:v>1.9330000000000001</c:v>
                </c:pt>
                <c:pt idx="681">
                  <c:v>1.91</c:v>
                </c:pt>
                <c:pt idx="682">
                  <c:v>1.9490000000000001</c:v>
                </c:pt>
                <c:pt idx="683">
                  <c:v>1.9019999999999999</c:v>
                </c:pt>
                <c:pt idx="684">
                  <c:v>1.905</c:v>
                </c:pt>
                <c:pt idx="685">
                  <c:v>1.909</c:v>
                </c:pt>
                <c:pt idx="686">
                  <c:v>1.8</c:v>
                </c:pt>
                <c:pt idx="687">
                  <c:v>1.8169999999999999</c:v>
                </c:pt>
                <c:pt idx="688">
                  <c:v>1.8340000000000001</c:v>
                </c:pt>
                <c:pt idx="689">
                  <c:v>1.831</c:v>
                </c:pt>
                <c:pt idx="690">
                  <c:v>1.857</c:v>
                </c:pt>
                <c:pt idx="691">
                  <c:v>1.909</c:v>
                </c:pt>
                <c:pt idx="692">
                  <c:v>2.0179999999999998</c:v>
                </c:pt>
                <c:pt idx="693">
                  <c:v>1.9630000000000001</c:v>
                </c:pt>
                <c:pt idx="694">
                  <c:v>1.8939999999999999</c:v>
                </c:pt>
                <c:pt idx="695">
                  <c:v>1.929</c:v>
                </c:pt>
                <c:pt idx="696">
                  <c:v>1.948</c:v>
                </c:pt>
                <c:pt idx="697">
                  <c:v>1.976</c:v>
                </c:pt>
                <c:pt idx="698">
                  <c:v>1.9330000000000001</c:v>
                </c:pt>
                <c:pt idx="699">
                  <c:v>1.94</c:v>
                </c:pt>
                <c:pt idx="700">
                  <c:v>1.927</c:v>
                </c:pt>
                <c:pt idx="701">
                  <c:v>1.913</c:v>
                </c:pt>
                <c:pt idx="702">
                  <c:v>1.9530000000000001</c:v>
                </c:pt>
                <c:pt idx="703">
                  <c:v>1.919</c:v>
                </c:pt>
                <c:pt idx="704">
                  <c:v>1.9570000000000001</c:v>
                </c:pt>
                <c:pt idx="705">
                  <c:v>2.024</c:v>
                </c:pt>
                <c:pt idx="706">
                  <c:v>2.0369999999999999</c:v>
                </c:pt>
                <c:pt idx="707">
                  <c:v>2.0369999999999999</c:v>
                </c:pt>
                <c:pt idx="708">
                  <c:v>1.9770000000000001</c:v>
                </c:pt>
                <c:pt idx="709">
                  <c:v>1.881</c:v>
                </c:pt>
                <c:pt idx="710">
                  <c:v>1.784</c:v>
                </c:pt>
                <c:pt idx="711">
                  <c:v>1.6619999999999999</c:v>
                </c:pt>
                <c:pt idx="712">
                  <c:v>1.6220000000000001</c:v>
                </c:pt>
                <c:pt idx="713">
                  <c:v>1.66</c:v>
                </c:pt>
                <c:pt idx="714">
                  <c:v>1.6910000000000001</c:v>
                </c:pt>
                <c:pt idx="715">
                  <c:v>1.5309999999999999</c:v>
                </c:pt>
                <c:pt idx="716">
                  <c:v>1.512</c:v>
                </c:pt>
                <c:pt idx="717">
                  <c:v>1.2050000000000001</c:v>
                </c:pt>
                <c:pt idx="718">
                  <c:v>1.0309999999999999</c:v>
                </c:pt>
                <c:pt idx="719">
                  <c:v>1.075</c:v>
                </c:pt>
                <c:pt idx="720">
                  <c:v>1.0249999999999999</c:v>
                </c:pt>
                <c:pt idx="721">
                  <c:v>1.026</c:v>
                </c:pt>
                <c:pt idx="722">
                  <c:v>0.96299999999999997</c:v>
                </c:pt>
                <c:pt idx="723">
                  <c:v>0.76400000000000001</c:v>
                </c:pt>
                <c:pt idx="724">
                  <c:v>0.69199999999999995</c:v>
                </c:pt>
                <c:pt idx="725">
                  <c:v>0.84699999999999998</c:v>
                </c:pt>
                <c:pt idx="726">
                  <c:v>0.85</c:v>
                </c:pt>
                <c:pt idx="727">
                  <c:v>0.95099999999999996</c:v>
                </c:pt>
                <c:pt idx="728">
                  <c:v>0.92800000000000005</c:v>
                </c:pt>
                <c:pt idx="729">
                  <c:v>1.026</c:v>
                </c:pt>
                <c:pt idx="730">
                  <c:v>1.089</c:v>
                </c:pt>
                <c:pt idx="731">
                  <c:v>1.1830000000000001</c:v>
                </c:pt>
                <c:pt idx="732">
                  <c:v>1.1779999999999999</c:v>
                </c:pt>
                <c:pt idx="733">
                  <c:v>1.194</c:v>
                </c:pt>
                <c:pt idx="734">
                  <c:v>1.2390000000000001</c:v>
                </c:pt>
                <c:pt idx="735">
                  <c:v>1.226</c:v>
                </c:pt>
                <c:pt idx="736">
                  <c:v>1.264</c:v>
                </c:pt>
                <c:pt idx="737">
                  <c:v>1.242</c:v>
                </c:pt>
                <c:pt idx="738">
                  <c:v>1.242</c:v>
                </c:pt>
                <c:pt idx="739">
                  <c:v>1.2290000000000001</c:v>
                </c:pt>
                <c:pt idx="740">
                  <c:v>1.2230000000000001</c:v>
                </c:pt>
                <c:pt idx="741">
                  <c:v>1.2190000000000001</c:v>
                </c:pt>
                <c:pt idx="742">
                  <c:v>1.1659999999999999</c:v>
                </c:pt>
                <c:pt idx="743">
                  <c:v>1.077</c:v>
                </c:pt>
                <c:pt idx="744">
                  <c:v>1.125</c:v>
                </c:pt>
                <c:pt idx="745">
                  <c:v>1.117</c:v>
                </c:pt>
                <c:pt idx="746">
                  <c:v>1.1240000000000001</c:v>
                </c:pt>
                <c:pt idx="747">
                  <c:v>1.1759999999999999</c:v>
                </c:pt>
                <c:pt idx="748">
                  <c:v>1.1830000000000001</c:v>
                </c:pt>
                <c:pt idx="749">
                  <c:v>1.1579999999999999</c:v>
                </c:pt>
                <c:pt idx="750">
                  <c:v>1.117</c:v>
                </c:pt>
                <c:pt idx="751">
                  <c:v>1.1439999999999999</c:v>
                </c:pt>
                <c:pt idx="752">
                  <c:v>1.226</c:v>
                </c:pt>
                <c:pt idx="753">
                  <c:v>1.258</c:v>
                </c:pt>
                <c:pt idx="754">
                  <c:v>1.359</c:v>
                </c:pt>
                <c:pt idx="755">
                  <c:v>1.3680000000000001</c:v>
                </c:pt>
                <c:pt idx="756">
                  <c:v>1.413</c:v>
                </c:pt>
                <c:pt idx="757">
                  <c:v>1.4790000000000001</c:v>
                </c:pt>
                <c:pt idx="758">
                  <c:v>1.4790000000000001</c:v>
                </c:pt>
                <c:pt idx="759">
                  <c:v>1.478</c:v>
                </c:pt>
                <c:pt idx="760">
                  <c:v>1.5249999999999999</c:v>
                </c:pt>
                <c:pt idx="761">
                  <c:v>1.5920000000000001</c:v>
                </c:pt>
                <c:pt idx="762">
                  <c:v>1.587</c:v>
                </c:pt>
                <c:pt idx="763">
                  <c:v>1.597</c:v>
                </c:pt>
                <c:pt idx="764">
                  <c:v>1.69</c:v>
                </c:pt>
                <c:pt idx="765">
                  <c:v>1.7569999999999999</c:v>
                </c:pt>
                <c:pt idx="766">
                  <c:v>1.827</c:v>
                </c:pt>
                <c:pt idx="767">
                  <c:v>1.885</c:v>
                </c:pt>
                <c:pt idx="768">
                  <c:v>1.865</c:v>
                </c:pt>
                <c:pt idx="769">
                  <c:v>1.927</c:v>
                </c:pt>
                <c:pt idx="770">
                  <c:v>1.873</c:v>
                </c:pt>
                <c:pt idx="771">
                  <c:v>1.7849999999999999</c:v>
                </c:pt>
                <c:pt idx="772">
                  <c:v>1.798</c:v>
                </c:pt>
                <c:pt idx="773">
                  <c:v>1.8</c:v>
                </c:pt>
                <c:pt idx="774">
                  <c:v>1.861</c:v>
                </c:pt>
                <c:pt idx="775">
                  <c:v>1.8720000000000001</c:v>
                </c:pt>
                <c:pt idx="776">
                  <c:v>1.92</c:v>
                </c:pt>
                <c:pt idx="777">
                  <c:v>1.9930000000000001</c:v>
                </c:pt>
                <c:pt idx="778">
                  <c:v>2.0409999999999999</c:v>
                </c:pt>
                <c:pt idx="779">
                  <c:v>2.02</c:v>
                </c:pt>
                <c:pt idx="780">
                  <c:v>2.044</c:v>
                </c:pt>
                <c:pt idx="781">
                  <c:v>2.1030000000000002</c:v>
                </c:pt>
                <c:pt idx="782">
                  <c:v>2.129</c:v>
                </c:pt>
                <c:pt idx="783">
                  <c:v>2.0960000000000001</c:v>
                </c:pt>
                <c:pt idx="784">
                  <c:v>2.149</c:v>
                </c:pt>
                <c:pt idx="785">
                  <c:v>2.14</c:v>
                </c:pt>
                <c:pt idx="786">
                  <c:v>2.1219999999999999</c:v>
                </c:pt>
                <c:pt idx="787">
                  <c:v>2.1339999999999999</c:v>
                </c:pt>
                <c:pt idx="788">
                  <c:v>2.069</c:v>
                </c:pt>
                <c:pt idx="789">
                  <c:v>2.1669999999999998</c:v>
                </c:pt>
                <c:pt idx="790">
                  <c:v>2.1019999999999999</c:v>
                </c:pt>
                <c:pt idx="791">
                  <c:v>2.0790000000000002</c:v>
                </c:pt>
                <c:pt idx="792">
                  <c:v>1.99</c:v>
                </c:pt>
                <c:pt idx="793">
                  <c:v>2.0720000000000001</c:v>
                </c:pt>
                <c:pt idx="794">
                  <c:v>2.1429999999999998</c:v>
                </c:pt>
                <c:pt idx="795">
                  <c:v>2.1269999999999998</c:v>
                </c:pt>
                <c:pt idx="796">
                  <c:v>2.19</c:v>
                </c:pt>
                <c:pt idx="797">
                  <c:v>2.2170000000000001</c:v>
                </c:pt>
                <c:pt idx="798">
                  <c:v>2.323</c:v>
                </c:pt>
                <c:pt idx="799">
                  <c:v>2.4670000000000001</c:v>
                </c:pt>
                <c:pt idx="800">
                  <c:v>2.5550000000000002</c:v>
                </c:pt>
                <c:pt idx="801">
                  <c:v>2.5680000000000001</c:v>
                </c:pt>
                <c:pt idx="802">
                  <c:v>2.5289999999999999</c:v>
                </c:pt>
                <c:pt idx="803">
                  <c:v>2.464</c:v>
                </c:pt>
                <c:pt idx="804">
                  <c:v>2.4609999999999999</c:v>
                </c:pt>
                <c:pt idx="805">
                  <c:v>2.3780000000000001</c:v>
                </c:pt>
                <c:pt idx="806">
                  <c:v>2.363</c:v>
                </c:pt>
                <c:pt idx="807">
                  <c:v>2.0960000000000001</c:v>
                </c:pt>
                <c:pt idx="808">
                  <c:v>2.2349999999999999</c:v>
                </c:pt>
                <c:pt idx="809">
                  <c:v>2.2330000000000001</c:v>
                </c:pt>
                <c:pt idx="810">
                  <c:v>2.2730000000000001</c:v>
                </c:pt>
                <c:pt idx="811">
                  <c:v>2.3620000000000001</c:v>
                </c:pt>
                <c:pt idx="812">
                  <c:v>2.44</c:v>
                </c:pt>
                <c:pt idx="813">
                  <c:v>2.5920000000000001</c:v>
                </c:pt>
                <c:pt idx="814">
                  <c:v>2.681</c:v>
                </c:pt>
                <c:pt idx="815">
                  <c:v>2.734</c:v>
                </c:pt>
                <c:pt idx="816">
                  <c:v>2.7909999999999999</c:v>
                </c:pt>
                <c:pt idx="817">
                  <c:v>2.907</c:v>
                </c:pt>
                <c:pt idx="818">
                  <c:v>2.8809999999999998</c:v>
                </c:pt>
                <c:pt idx="819">
                  <c:v>2.855</c:v>
                </c:pt>
                <c:pt idx="820">
                  <c:v>3.5</c:v>
                </c:pt>
                <c:pt idx="821">
                  <c:v>3.8769999999999998</c:v>
                </c:pt>
                <c:pt idx="822">
                  <c:v>3.4089999999999998</c:v>
                </c:pt>
                <c:pt idx="823">
                  <c:v>4.1559999999999997</c:v>
                </c:pt>
                <c:pt idx="824">
                  <c:v>3.7290000000000001</c:v>
                </c:pt>
                <c:pt idx="825">
                  <c:v>3.7040000000000002</c:v>
                </c:pt>
                <c:pt idx="826">
                  <c:v>3.7589999999999999</c:v>
                </c:pt>
                <c:pt idx="827">
                  <c:v>4.0910000000000002</c:v>
                </c:pt>
                <c:pt idx="828">
                  <c:v>4.6849999999999996</c:v>
                </c:pt>
                <c:pt idx="829">
                  <c:v>4.9770000000000003</c:v>
                </c:pt>
                <c:pt idx="830">
                  <c:v>5.2119999999999997</c:v>
                </c:pt>
                <c:pt idx="831">
                  <c:v>4.5119999999999996</c:v>
                </c:pt>
                <c:pt idx="832">
                  <c:v>4.0119999999999996</c:v>
                </c:pt>
                <c:pt idx="833">
                  <c:v>4.2489999999999997</c:v>
                </c:pt>
                <c:pt idx="834">
                  <c:v>4.4400000000000004</c:v>
                </c:pt>
                <c:pt idx="835">
                  <c:v>4.4880000000000004</c:v>
                </c:pt>
                <c:pt idx="836">
                  <c:v>4.391</c:v>
                </c:pt>
                <c:pt idx="837">
                  <c:v>4.0839999999999996</c:v>
                </c:pt>
                <c:pt idx="838">
                  <c:v>3.6659999999999999</c:v>
                </c:pt>
                <c:pt idx="839">
                  <c:v>3.778</c:v>
                </c:pt>
                <c:pt idx="840">
                  <c:v>3.6339999999999999</c:v>
                </c:pt>
                <c:pt idx="841">
                  <c:v>3.633</c:v>
                </c:pt>
                <c:pt idx="842">
                  <c:v>3.3860000000000001</c:v>
                </c:pt>
                <c:pt idx="843">
                  <c:v>3.3820000000000001</c:v>
                </c:pt>
              </c:numCache>
            </c:numRef>
          </c:val>
          <c:smooth val="0"/>
          <c:extLst>
            <c:ext xmlns:c16="http://schemas.microsoft.com/office/drawing/2014/chart" uri="{C3380CC4-5D6E-409C-BE32-E72D297353CC}">
              <c16:uniqueId val="{00000003-2957-9744-99C6-E4EE6DA4F0E1}"/>
            </c:ext>
          </c:extLst>
        </c:ser>
        <c:ser>
          <c:idx val="5"/>
          <c:order val="5"/>
          <c:tx>
            <c:strRef>
              <c:f>Hoja1!$R$1</c:f>
              <c:strCache>
                <c:ptCount val="1"/>
                <c:pt idx="0">
                  <c:v>Kerosene</c:v>
                </c:pt>
              </c:strCache>
            </c:strRef>
          </c:tx>
          <c:spPr>
            <a:ln w="22225" cap="rnd">
              <a:solidFill>
                <a:schemeClr val="accent6"/>
              </a:solidFill>
              <a:round/>
            </a:ln>
            <a:effectLst/>
          </c:spPr>
          <c:marker>
            <c:symbol val="none"/>
          </c:marker>
          <c:cat>
            <c:numRef>
              <c:f>Hoja1!$L$2:$L$845</c:f>
              <c:numCache>
                <c:formatCode>m/d/yy</c:formatCode>
                <c:ptCount val="844"/>
                <c:pt idx="0">
                  <c:v>38884</c:v>
                </c:pt>
                <c:pt idx="1">
                  <c:v>38891</c:v>
                </c:pt>
                <c:pt idx="2">
                  <c:v>38898</c:v>
                </c:pt>
                <c:pt idx="3">
                  <c:v>38905</c:v>
                </c:pt>
                <c:pt idx="4">
                  <c:v>38912</c:v>
                </c:pt>
                <c:pt idx="5">
                  <c:v>38919</c:v>
                </c:pt>
                <c:pt idx="6">
                  <c:v>38926</c:v>
                </c:pt>
                <c:pt idx="7">
                  <c:v>38933</c:v>
                </c:pt>
                <c:pt idx="8">
                  <c:v>38940</c:v>
                </c:pt>
                <c:pt idx="9">
                  <c:v>38947</c:v>
                </c:pt>
                <c:pt idx="10">
                  <c:v>38954</c:v>
                </c:pt>
                <c:pt idx="11">
                  <c:v>38961</c:v>
                </c:pt>
                <c:pt idx="12">
                  <c:v>38968</c:v>
                </c:pt>
                <c:pt idx="13">
                  <c:v>38975</c:v>
                </c:pt>
                <c:pt idx="14">
                  <c:v>38982</c:v>
                </c:pt>
                <c:pt idx="15">
                  <c:v>38989</c:v>
                </c:pt>
                <c:pt idx="16">
                  <c:v>38996</c:v>
                </c:pt>
                <c:pt idx="17">
                  <c:v>39003</c:v>
                </c:pt>
                <c:pt idx="18">
                  <c:v>39010</c:v>
                </c:pt>
                <c:pt idx="19">
                  <c:v>39017</c:v>
                </c:pt>
                <c:pt idx="20">
                  <c:v>39024</c:v>
                </c:pt>
                <c:pt idx="21">
                  <c:v>39031</c:v>
                </c:pt>
                <c:pt idx="22">
                  <c:v>39038</c:v>
                </c:pt>
                <c:pt idx="23">
                  <c:v>39045</c:v>
                </c:pt>
                <c:pt idx="24">
                  <c:v>39052</c:v>
                </c:pt>
                <c:pt idx="25">
                  <c:v>39059</c:v>
                </c:pt>
                <c:pt idx="26">
                  <c:v>39066</c:v>
                </c:pt>
                <c:pt idx="27">
                  <c:v>39073</c:v>
                </c:pt>
                <c:pt idx="28">
                  <c:v>39080</c:v>
                </c:pt>
                <c:pt idx="29">
                  <c:v>39087</c:v>
                </c:pt>
                <c:pt idx="30">
                  <c:v>39094</c:v>
                </c:pt>
                <c:pt idx="31">
                  <c:v>39101</c:v>
                </c:pt>
                <c:pt idx="32">
                  <c:v>39108</c:v>
                </c:pt>
                <c:pt idx="33">
                  <c:v>39115</c:v>
                </c:pt>
                <c:pt idx="34">
                  <c:v>39122</c:v>
                </c:pt>
                <c:pt idx="35">
                  <c:v>39129</c:v>
                </c:pt>
                <c:pt idx="36">
                  <c:v>39136</c:v>
                </c:pt>
                <c:pt idx="37">
                  <c:v>39143</c:v>
                </c:pt>
                <c:pt idx="38">
                  <c:v>39150</c:v>
                </c:pt>
                <c:pt idx="39">
                  <c:v>39157</c:v>
                </c:pt>
                <c:pt idx="40">
                  <c:v>39164</c:v>
                </c:pt>
                <c:pt idx="41">
                  <c:v>39171</c:v>
                </c:pt>
                <c:pt idx="42">
                  <c:v>39178</c:v>
                </c:pt>
                <c:pt idx="43">
                  <c:v>39185</c:v>
                </c:pt>
                <c:pt idx="44">
                  <c:v>39192</c:v>
                </c:pt>
                <c:pt idx="45">
                  <c:v>39199</c:v>
                </c:pt>
                <c:pt idx="46">
                  <c:v>39206</c:v>
                </c:pt>
                <c:pt idx="47">
                  <c:v>39213</c:v>
                </c:pt>
                <c:pt idx="48">
                  <c:v>39220</c:v>
                </c:pt>
                <c:pt idx="49">
                  <c:v>39227</c:v>
                </c:pt>
                <c:pt idx="50">
                  <c:v>39234</c:v>
                </c:pt>
                <c:pt idx="51">
                  <c:v>39241</c:v>
                </c:pt>
                <c:pt idx="52">
                  <c:v>39248</c:v>
                </c:pt>
                <c:pt idx="53">
                  <c:v>39255</c:v>
                </c:pt>
                <c:pt idx="54">
                  <c:v>39262</c:v>
                </c:pt>
                <c:pt idx="55">
                  <c:v>39269</c:v>
                </c:pt>
                <c:pt idx="56">
                  <c:v>39276</c:v>
                </c:pt>
                <c:pt idx="57">
                  <c:v>39283</c:v>
                </c:pt>
                <c:pt idx="58">
                  <c:v>39290</c:v>
                </c:pt>
                <c:pt idx="59">
                  <c:v>39297</c:v>
                </c:pt>
                <c:pt idx="60">
                  <c:v>39304</c:v>
                </c:pt>
                <c:pt idx="61">
                  <c:v>39311</c:v>
                </c:pt>
                <c:pt idx="62">
                  <c:v>39318</c:v>
                </c:pt>
                <c:pt idx="63">
                  <c:v>39325</c:v>
                </c:pt>
                <c:pt idx="64">
                  <c:v>39332</c:v>
                </c:pt>
                <c:pt idx="65">
                  <c:v>39339</c:v>
                </c:pt>
                <c:pt idx="66">
                  <c:v>39346</c:v>
                </c:pt>
                <c:pt idx="67">
                  <c:v>39353</c:v>
                </c:pt>
                <c:pt idx="68">
                  <c:v>39360</c:v>
                </c:pt>
                <c:pt idx="69">
                  <c:v>39367</c:v>
                </c:pt>
                <c:pt idx="70">
                  <c:v>39374</c:v>
                </c:pt>
                <c:pt idx="71">
                  <c:v>39381</c:v>
                </c:pt>
                <c:pt idx="72">
                  <c:v>39388</c:v>
                </c:pt>
                <c:pt idx="73">
                  <c:v>39395</c:v>
                </c:pt>
                <c:pt idx="74">
                  <c:v>39402</c:v>
                </c:pt>
                <c:pt idx="75">
                  <c:v>39409</c:v>
                </c:pt>
                <c:pt idx="76">
                  <c:v>39416</c:v>
                </c:pt>
                <c:pt idx="77">
                  <c:v>39423</c:v>
                </c:pt>
                <c:pt idx="78">
                  <c:v>39430</c:v>
                </c:pt>
                <c:pt idx="79">
                  <c:v>39437</c:v>
                </c:pt>
                <c:pt idx="80">
                  <c:v>39444</c:v>
                </c:pt>
                <c:pt idx="81">
                  <c:v>39451</c:v>
                </c:pt>
                <c:pt idx="82">
                  <c:v>39458</c:v>
                </c:pt>
                <c:pt idx="83">
                  <c:v>39465</c:v>
                </c:pt>
                <c:pt idx="84">
                  <c:v>39472</c:v>
                </c:pt>
                <c:pt idx="85">
                  <c:v>39479</c:v>
                </c:pt>
                <c:pt idx="86">
                  <c:v>39486</c:v>
                </c:pt>
                <c:pt idx="87">
                  <c:v>39493</c:v>
                </c:pt>
                <c:pt idx="88">
                  <c:v>39500</c:v>
                </c:pt>
                <c:pt idx="89">
                  <c:v>39507</c:v>
                </c:pt>
                <c:pt idx="90">
                  <c:v>39514</c:v>
                </c:pt>
                <c:pt idx="91">
                  <c:v>39521</c:v>
                </c:pt>
                <c:pt idx="92">
                  <c:v>39528</c:v>
                </c:pt>
                <c:pt idx="93">
                  <c:v>39535</c:v>
                </c:pt>
                <c:pt idx="94">
                  <c:v>39542</c:v>
                </c:pt>
                <c:pt idx="95">
                  <c:v>39549</c:v>
                </c:pt>
                <c:pt idx="96">
                  <c:v>39556</c:v>
                </c:pt>
                <c:pt idx="97">
                  <c:v>39563</c:v>
                </c:pt>
                <c:pt idx="98">
                  <c:v>39570</c:v>
                </c:pt>
                <c:pt idx="99">
                  <c:v>39577</c:v>
                </c:pt>
                <c:pt idx="100">
                  <c:v>39584</c:v>
                </c:pt>
                <c:pt idx="101">
                  <c:v>39591</c:v>
                </c:pt>
                <c:pt idx="102">
                  <c:v>39598</c:v>
                </c:pt>
                <c:pt idx="103">
                  <c:v>39605</c:v>
                </c:pt>
                <c:pt idx="104">
                  <c:v>39612</c:v>
                </c:pt>
                <c:pt idx="105">
                  <c:v>39619</c:v>
                </c:pt>
                <c:pt idx="106">
                  <c:v>39626</c:v>
                </c:pt>
                <c:pt idx="107">
                  <c:v>39633</c:v>
                </c:pt>
                <c:pt idx="108">
                  <c:v>39640</c:v>
                </c:pt>
                <c:pt idx="109">
                  <c:v>39647</c:v>
                </c:pt>
                <c:pt idx="110">
                  <c:v>39654</c:v>
                </c:pt>
                <c:pt idx="111">
                  <c:v>39661</c:v>
                </c:pt>
                <c:pt idx="112">
                  <c:v>39668</c:v>
                </c:pt>
                <c:pt idx="113">
                  <c:v>39675</c:v>
                </c:pt>
                <c:pt idx="114">
                  <c:v>39682</c:v>
                </c:pt>
                <c:pt idx="115">
                  <c:v>39689</c:v>
                </c:pt>
                <c:pt idx="116">
                  <c:v>39696</c:v>
                </c:pt>
                <c:pt idx="117">
                  <c:v>39703</c:v>
                </c:pt>
                <c:pt idx="118">
                  <c:v>39710</c:v>
                </c:pt>
                <c:pt idx="119">
                  <c:v>39717</c:v>
                </c:pt>
                <c:pt idx="120">
                  <c:v>39724</c:v>
                </c:pt>
                <c:pt idx="121">
                  <c:v>39731</c:v>
                </c:pt>
                <c:pt idx="122">
                  <c:v>39738</c:v>
                </c:pt>
                <c:pt idx="123">
                  <c:v>39745</c:v>
                </c:pt>
                <c:pt idx="124">
                  <c:v>39752</c:v>
                </c:pt>
                <c:pt idx="125">
                  <c:v>39759</c:v>
                </c:pt>
                <c:pt idx="126">
                  <c:v>39766</c:v>
                </c:pt>
                <c:pt idx="127">
                  <c:v>39773</c:v>
                </c:pt>
                <c:pt idx="128">
                  <c:v>39780</c:v>
                </c:pt>
                <c:pt idx="129">
                  <c:v>39787</c:v>
                </c:pt>
                <c:pt idx="130">
                  <c:v>39794</c:v>
                </c:pt>
                <c:pt idx="131">
                  <c:v>39801</c:v>
                </c:pt>
                <c:pt idx="132">
                  <c:v>39808</c:v>
                </c:pt>
                <c:pt idx="133">
                  <c:v>39815</c:v>
                </c:pt>
                <c:pt idx="134">
                  <c:v>39822</c:v>
                </c:pt>
                <c:pt idx="135">
                  <c:v>39829</c:v>
                </c:pt>
                <c:pt idx="136">
                  <c:v>39836</c:v>
                </c:pt>
                <c:pt idx="137">
                  <c:v>39843</c:v>
                </c:pt>
                <c:pt idx="138">
                  <c:v>39850</c:v>
                </c:pt>
                <c:pt idx="139">
                  <c:v>39857</c:v>
                </c:pt>
                <c:pt idx="140">
                  <c:v>39864</c:v>
                </c:pt>
                <c:pt idx="141">
                  <c:v>39871</c:v>
                </c:pt>
                <c:pt idx="142">
                  <c:v>39878</c:v>
                </c:pt>
                <c:pt idx="143">
                  <c:v>39885</c:v>
                </c:pt>
                <c:pt idx="144">
                  <c:v>39892</c:v>
                </c:pt>
                <c:pt idx="145">
                  <c:v>39899</c:v>
                </c:pt>
                <c:pt idx="146">
                  <c:v>39906</c:v>
                </c:pt>
                <c:pt idx="147">
                  <c:v>39913</c:v>
                </c:pt>
                <c:pt idx="148">
                  <c:v>39920</c:v>
                </c:pt>
                <c:pt idx="149">
                  <c:v>39927</c:v>
                </c:pt>
                <c:pt idx="150">
                  <c:v>39934</c:v>
                </c:pt>
                <c:pt idx="151">
                  <c:v>39941</c:v>
                </c:pt>
                <c:pt idx="152">
                  <c:v>39948</c:v>
                </c:pt>
                <c:pt idx="153">
                  <c:v>39955</c:v>
                </c:pt>
                <c:pt idx="154">
                  <c:v>39962</c:v>
                </c:pt>
                <c:pt idx="155">
                  <c:v>39969</c:v>
                </c:pt>
                <c:pt idx="156">
                  <c:v>39976</c:v>
                </c:pt>
                <c:pt idx="157">
                  <c:v>39983</c:v>
                </c:pt>
                <c:pt idx="158">
                  <c:v>39990</c:v>
                </c:pt>
                <c:pt idx="159">
                  <c:v>39997</c:v>
                </c:pt>
                <c:pt idx="160">
                  <c:v>40004</c:v>
                </c:pt>
                <c:pt idx="161">
                  <c:v>40011</c:v>
                </c:pt>
                <c:pt idx="162">
                  <c:v>40018</c:v>
                </c:pt>
                <c:pt idx="163">
                  <c:v>40025</c:v>
                </c:pt>
                <c:pt idx="164">
                  <c:v>40032</c:v>
                </c:pt>
                <c:pt idx="165">
                  <c:v>40039</c:v>
                </c:pt>
                <c:pt idx="166">
                  <c:v>40046</c:v>
                </c:pt>
                <c:pt idx="167">
                  <c:v>40053</c:v>
                </c:pt>
                <c:pt idx="168">
                  <c:v>40060</c:v>
                </c:pt>
                <c:pt idx="169">
                  <c:v>40067</c:v>
                </c:pt>
                <c:pt idx="170">
                  <c:v>40074</c:v>
                </c:pt>
                <c:pt idx="171">
                  <c:v>40081</c:v>
                </c:pt>
                <c:pt idx="172">
                  <c:v>40088</c:v>
                </c:pt>
                <c:pt idx="173">
                  <c:v>40095</c:v>
                </c:pt>
                <c:pt idx="174">
                  <c:v>40102</c:v>
                </c:pt>
                <c:pt idx="175">
                  <c:v>40109</c:v>
                </c:pt>
                <c:pt idx="176">
                  <c:v>40116</c:v>
                </c:pt>
                <c:pt idx="177">
                  <c:v>40123</c:v>
                </c:pt>
                <c:pt idx="178">
                  <c:v>40130</c:v>
                </c:pt>
                <c:pt idx="179">
                  <c:v>40137</c:v>
                </c:pt>
                <c:pt idx="180">
                  <c:v>40144</c:v>
                </c:pt>
                <c:pt idx="181">
                  <c:v>40151</c:v>
                </c:pt>
                <c:pt idx="182">
                  <c:v>40158</c:v>
                </c:pt>
                <c:pt idx="183">
                  <c:v>40165</c:v>
                </c:pt>
                <c:pt idx="184">
                  <c:v>40172</c:v>
                </c:pt>
                <c:pt idx="185">
                  <c:v>40179</c:v>
                </c:pt>
                <c:pt idx="186">
                  <c:v>40186</c:v>
                </c:pt>
                <c:pt idx="187">
                  <c:v>40193</c:v>
                </c:pt>
                <c:pt idx="188">
                  <c:v>40200</c:v>
                </c:pt>
                <c:pt idx="189">
                  <c:v>40207</c:v>
                </c:pt>
                <c:pt idx="190">
                  <c:v>40214</c:v>
                </c:pt>
                <c:pt idx="191">
                  <c:v>40221</c:v>
                </c:pt>
                <c:pt idx="192">
                  <c:v>40228</c:v>
                </c:pt>
                <c:pt idx="193">
                  <c:v>40235</c:v>
                </c:pt>
                <c:pt idx="194">
                  <c:v>40242</c:v>
                </c:pt>
                <c:pt idx="195">
                  <c:v>40249</c:v>
                </c:pt>
                <c:pt idx="196">
                  <c:v>40256</c:v>
                </c:pt>
                <c:pt idx="197">
                  <c:v>40263</c:v>
                </c:pt>
                <c:pt idx="198">
                  <c:v>40270</c:v>
                </c:pt>
                <c:pt idx="199">
                  <c:v>40277</c:v>
                </c:pt>
                <c:pt idx="200">
                  <c:v>40284</c:v>
                </c:pt>
                <c:pt idx="201">
                  <c:v>40291</c:v>
                </c:pt>
                <c:pt idx="202">
                  <c:v>40298</c:v>
                </c:pt>
                <c:pt idx="203">
                  <c:v>40305</c:v>
                </c:pt>
                <c:pt idx="204">
                  <c:v>40312</c:v>
                </c:pt>
                <c:pt idx="205">
                  <c:v>40319</c:v>
                </c:pt>
                <c:pt idx="206">
                  <c:v>40326</c:v>
                </c:pt>
                <c:pt idx="207">
                  <c:v>40333</c:v>
                </c:pt>
                <c:pt idx="208">
                  <c:v>40340</c:v>
                </c:pt>
                <c:pt idx="209">
                  <c:v>40347</c:v>
                </c:pt>
                <c:pt idx="210">
                  <c:v>40354</c:v>
                </c:pt>
                <c:pt idx="211">
                  <c:v>40361</c:v>
                </c:pt>
                <c:pt idx="212">
                  <c:v>40368</c:v>
                </c:pt>
                <c:pt idx="213">
                  <c:v>40375</c:v>
                </c:pt>
                <c:pt idx="214">
                  <c:v>40382</c:v>
                </c:pt>
                <c:pt idx="215">
                  <c:v>40389</c:v>
                </c:pt>
                <c:pt idx="216">
                  <c:v>40396</c:v>
                </c:pt>
                <c:pt idx="217">
                  <c:v>40403</c:v>
                </c:pt>
                <c:pt idx="218">
                  <c:v>40410</c:v>
                </c:pt>
                <c:pt idx="219">
                  <c:v>40417</c:v>
                </c:pt>
                <c:pt idx="220">
                  <c:v>40424</c:v>
                </c:pt>
                <c:pt idx="221">
                  <c:v>40431</c:v>
                </c:pt>
                <c:pt idx="222">
                  <c:v>40438</c:v>
                </c:pt>
                <c:pt idx="223">
                  <c:v>40445</c:v>
                </c:pt>
                <c:pt idx="224">
                  <c:v>40452</c:v>
                </c:pt>
                <c:pt idx="225">
                  <c:v>40459</c:v>
                </c:pt>
                <c:pt idx="226">
                  <c:v>40466</c:v>
                </c:pt>
                <c:pt idx="227">
                  <c:v>40473</c:v>
                </c:pt>
                <c:pt idx="228">
                  <c:v>40480</c:v>
                </c:pt>
                <c:pt idx="229">
                  <c:v>40487</c:v>
                </c:pt>
                <c:pt idx="230">
                  <c:v>40494</c:v>
                </c:pt>
                <c:pt idx="231">
                  <c:v>40501</c:v>
                </c:pt>
                <c:pt idx="232">
                  <c:v>40508</c:v>
                </c:pt>
                <c:pt idx="233">
                  <c:v>40515</c:v>
                </c:pt>
                <c:pt idx="234">
                  <c:v>40522</c:v>
                </c:pt>
                <c:pt idx="235">
                  <c:v>40529</c:v>
                </c:pt>
                <c:pt idx="236">
                  <c:v>40536</c:v>
                </c:pt>
                <c:pt idx="237">
                  <c:v>40543</c:v>
                </c:pt>
                <c:pt idx="238">
                  <c:v>40550</c:v>
                </c:pt>
                <c:pt idx="239">
                  <c:v>40557</c:v>
                </c:pt>
                <c:pt idx="240">
                  <c:v>40564</c:v>
                </c:pt>
                <c:pt idx="241">
                  <c:v>40571</c:v>
                </c:pt>
                <c:pt idx="242">
                  <c:v>40578</c:v>
                </c:pt>
                <c:pt idx="243">
                  <c:v>40585</c:v>
                </c:pt>
                <c:pt idx="244">
                  <c:v>40592</c:v>
                </c:pt>
                <c:pt idx="245">
                  <c:v>40599</c:v>
                </c:pt>
                <c:pt idx="246">
                  <c:v>40606</c:v>
                </c:pt>
                <c:pt idx="247">
                  <c:v>40613</c:v>
                </c:pt>
                <c:pt idx="248">
                  <c:v>40620</c:v>
                </c:pt>
                <c:pt idx="249">
                  <c:v>40627</c:v>
                </c:pt>
                <c:pt idx="250">
                  <c:v>40634</c:v>
                </c:pt>
                <c:pt idx="251">
                  <c:v>40641</c:v>
                </c:pt>
                <c:pt idx="252">
                  <c:v>40648</c:v>
                </c:pt>
                <c:pt idx="253">
                  <c:v>40655</c:v>
                </c:pt>
                <c:pt idx="254">
                  <c:v>40662</c:v>
                </c:pt>
                <c:pt idx="255">
                  <c:v>40669</c:v>
                </c:pt>
                <c:pt idx="256">
                  <c:v>40676</c:v>
                </c:pt>
                <c:pt idx="257">
                  <c:v>40683</c:v>
                </c:pt>
                <c:pt idx="258">
                  <c:v>40690</c:v>
                </c:pt>
                <c:pt idx="259">
                  <c:v>40697</c:v>
                </c:pt>
                <c:pt idx="260">
                  <c:v>40704</c:v>
                </c:pt>
                <c:pt idx="261">
                  <c:v>40711</c:v>
                </c:pt>
                <c:pt idx="262">
                  <c:v>40718</c:v>
                </c:pt>
                <c:pt idx="263">
                  <c:v>40725</c:v>
                </c:pt>
                <c:pt idx="264">
                  <c:v>40732</c:v>
                </c:pt>
                <c:pt idx="265">
                  <c:v>40739</c:v>
                </c:pt>
                <c:pt idx="266">
                  <c:v>40746</c:v>
                </c:pt>
                <c:pt idx="267">
                  <c:v>40753</c:v>
                </c:pt>
                <c:pt idx="268">
                  <c:v>40760</c:v>
                </c:pt>
                <c:pt idx="269">
                  <c:v>40767</c:v>
                </c:pt>
                <c:pt idx="270">
                  <c:v>40774</c:v>
                </c:pt>
                <c:pt idx="271">
                  <c:v>40781</c:v>
                </c:pt>
                <c:pt idx="272">
                  <c:v>40788</c:v>
                </c:pt>
                <c:pt idx="273">
                  <c:v>40795</c:v>
                </c:pt>
                <c:pt idx="274">
                  <c:v>40802</c:v>
                </c:pt>
                <c:pt idx="275">
                  <c:v>40809</c:v>
                </c:pt>
                <c:pt idx="276">
                  <c:v>40816</c:v>
                </c:pt>
                <c:pt idx="277">
                  <c:v>40823</c:v>
                </c:pt>
                <c:pt idx="278">
                  <c:v>40830</c:v>
                </c:pt>
                <c:pt idx="279">
                  <c:v>40837</c:v>
                </c:pt>
                <c:pt idx="280">
                  <c:v>40844</c:v>
                </c:pt>
                <c:pt idx="281">
                  <c:v>40851</c:v>
                </c:pt>
                <c:pt idx="282">
                  <c:v>40858</c:v>
                </c:pt>
                <c:pt idx="283">
                  <c:v>40865</c:v>
                </c:pt>
                <c:pt idx="284">
                  <c:v>40872</c:v>
                </c:pt>
                <c:pt idx="285">
                  <c:v>40879</c:v>
                </c:pt>
                <c:pt idx="286">
                  <c:v>40886</c:v>
                </c:pt>
                <c:pt idx="287">
                  <c:v>40893</c:v>
                </c:pt>
                <c:pt idx="288">
                  <c:v>40900</c:v>
                </c:pt>
                <c:pt idx="289">
                  <c:v>40907</c:v>
                </c:pt>
                <c:pt idx="290">
                  <c:v>40914</c:v>
                </c:pt>
                <c:pt idx="291">
                  <c:v>40921</c:v>
                </c:pt>
                <c:pt idx="292">
                  <c:v>40928</c:v>
                </c:pt>
                <c:pt idx="293">
                  <c:v>40935</c:v>
                </c:pt>
                <c:pt idx="294">
                  <c:v>40942</c:v>
                </c:pt>
                <c:pt idx="295">
                  <c:v>40949</c:v>
                </c:pt>
                <c:pt idx="296">
                  <c:v>40956</c:v>
                </c:pt>
                <c:pt idx="297">
                  <c:v>40963</c:v>
                </c:pt>
                <c:pt idx="298">
                  <c:v>40970</c:v>
                </c:pt>
                <c:pt idx="299">
                  <c:v>40977</c:v>
                </c:pt>
                <c:pt idx="300">
                  <c:v>40984</c:v>
                </c:pt>
                <c:pt idx="301">
                  <c:v>40991</c:v>
                </c:pt>
                <c:pt idx="302">
                  <c:v>40998</c:v>
                </c:pt>
                <c:pt idx="303">
                  <c:v>41005</c:v>
                </c:pt>
                <c:pt idx="304">
                  <c:v>41012</c:v>
                </c:pt>
                <c:pt idx="305">
                  <c:v>41019</c:v>
                </c:pt>
                <c:pt idx="306">
                  <c:v>41026</c:v>
                </c:pt>
                <c:pt idx="307">
                  <c:v>41033</c:v>
                </c:pt>
                <c:pt idx="308">
                  <c:v>41040</c:v>
                </c:pt>
                <c:pt idx="309">
                  <c:v>41047</c:v>
                </c:pt>
                <c:pt idx="310">
                  <c:v>41054</c:v>
                </c:pt>
                <c:pt idx="311">
                  <c:v>41061</c:v>
                </c:pt>
                <c:pt idx="312">
                  <c:v>41068</c:v>
                </c:pt>
                <c:pt idx="313">
                  <c:v>41075</c:v>
                </c:pt>
                <c:pt idx="314">
                  <c:v>41082</c:v>
                </c:pt>
                <c:pt idx="315">
                  <c:v>41089</c:v>
                </c:pt>
                <c:pt idx="316">
                  <c:v>41096</c:v>
                </c:pt>
                <c:pt idx="317">
                  <c:v>41103</c:v>
                </c:pt>
                <c:pt idx="318">
                  <c:v>41110</c:v>
                </c:pt>
                <c:pt idx="319">
                  <c:v>41117</c:v>
                </c:pt>
                <c:pt idx="320">
                  <c:v>41124</c:v>
                </c:pt>
                <c:pt idx="321">
                  <c:v>41131</c:v>
                </c:pt>
                <c:pt idx="322">
                  <c:v>41138</c:v>
                </c:pt>
                <c:pt idx="323">
                  <c:v>41145</c:v>
                </c:pt>
                <c:pt idx="324">
                  <c:v>41152</c:v>
                </c:pt>
                <c:pt idx="325">
                  <c:v>41159</c:v>
                </c:pt>
                <c:pt idx="326">
                  <c:v>41166</c:v>
                </c:pt>
                <c:pt idx="327">
                  <c:v>41173</c:v>
                </c:pt>
                <c:pt idx="328">
                  <c:v>41180</c:v>
                </c:pt>
                <c:pt idx="329">
                  <c:v>41187</c:v>
                </c:pt>
                <c:pt idx="330">
                  <c:v>41194</c:v>
                </c:pt>
                <c:pt idx="331">
                  <c:v>41201</c:v>
                </c:pt>
                <c:pt idx="332">
                  <c:v>41208</c:v>
                </c:pt>
                <c:pt idx="333">
                  <c:v>41215</c:v>
                </c:pt>
                <c:pt idx="334">
                  <c:v>41222</c:v>
                </c:pt>
                <c:pt idx="335">
                  <c:v>41229</c:v>
                </c:pt>
                <c:pt idx="336">
                  <c:v>41236</c:v>
                </c:pt>
                <c:pt idx="337">
                  <c:v>41243</c:v>
                </c:pt>
                <c:pt idx="338">
                  <c:v>41250</c:v>
                </c:pt>
                <c:pt idx="339">
                  <c:v>41257</c:v>
                </c:pt>
                <c:pt idx="340">
                  <c:v>41264</c:v>
                </c:pt>
                <c:pt idx="341">
                  <c:v>41271</c:v>
                </c:pt>
                <c:pt idx="342">
                  <c:v>41278</c:v>
                </c:pt>
                <c:pt idx="343">
                  <c:v>41285</c:v>
                </c:pt>
                <c:pt idx="344">
                  <c:v>41292</c:v>
                </c:pt>
                <c:pt idx="345">
                  <c:v>41299</c:v>
                </c:pt>
                <c:pt idx="346">
                  <c:v>41306</c:v>
                </c:pt>
                <c:pt idx="347">
                  <c:v>41313</c:v>
                </c:pt>
                <c:pt idx="348">
                  <c:v>41320</c:v>
                </c:pt>
                <c:pt idx="349">
                  <c:v>41327</c:v>
                </c:pt>
                <c:pt idx="350">
                  <c:v>41334</c:v>
                </c:pt>
                <c:pt idx="351">
                  <c:v>41341</c:v>
                </c:pt>
                <c:pt idx="352">
                  <c:v>41348</c:v>
                </c:pt>
                <c:pt idx="353">
                  <c:v>41355</c:v>
                </c:pt>
                <c:pt idx="354">
                  <c:v>41362</c:v>
                </c:pt>
                <c:pt idx="355">
                  <c:v>41369</c:v>
                </c:pt>
                <c:pt idx="356">
                  <c:v>41376</c:v>
                </c:pt>
                <c:pt idx="357">
                  <c:v>41383</c:v>
                </c:pt>
                <c:pt idx="358">
                  <c:v>41390</c:v>
                </c:pt>
                <c:pt idx="359">
                  <c:v>41397</c:v>
                </c:pt>
                <c:pt idx="360">
                  <c:v>41404</c:v>
                </c:pt>
                <c:pt idx="361">
                  <c:v>41411</c:v>
                </c:pt>
                <c:pt idx="362">
                  <c:v>41418</c:v>
                </c:pt>
                <c:pt idx="363">
                  <c:v>41425</c:v>
                </c:pt>
                <c:pt idx="364">
                  <c:v>41432</c:v>
                </c:pt>
                <c:pt idx="365">
                  <c:v>41439</c:v>
                </c:pt>
                <c:pt idx="366">
                  <c:v>41446</c:v>
                </c:pt>
                <c:pt idx="367">
                  <c:v>41453</c:v>
                </c:pt>
                <c:pt idx="368">
                  <c:v>41460</c:v>
                </c:pt>
                <c:pt idx="369">
                  <c:v>41467</c:v>
                </c:pt>
                <c:pt idx="370">
                  <c:v>41474</c:v>
                </c:pt>
                <c:pt idx="371">
                  <c:v>41481</c:v>
                </c:pt>
                <c:pt idx="372">
                  <c:v>41488</c:v>
                </c:pt>
                <c:pt idx="373">
                  <c:v>41495</c:v>
                </c:pt>
                <c:pt idx="374">
                  <c:v>41502</c:v>
                </c:pt>
                <c:pt idx="375">
                  <c:v>41509</c:v>
                </c:pt>
                <c:pt idx="376">
                  <c:v>41516</c:v>
                </c:pt>
                <c:pt idx="377">
                  <c:v>41523</c:v>
                </c:pt>
                <c:pt idx="378">
                  <c:v>41530</c:v>
                </c:pt>
                <c:pt idx="379">
                  <c:v>41537</c:v>
                </c:pt>
                <c:pt idx="380">
                  <c:v>41544</c:v>
                </c:pt>
                <c:pt idx="381">
                  <c:v>41551</c:v>
                </c:pt>
                <c:pt idx="382">
                  <c:v>41558</c:v>
                </c:pt>
                <c:pt idx="383">
                  <c:v>41565</c:v>
                </c:pt>
                <c:pt idx="384">
                  <c:v>41572</c:v>
                </c:pt>
                <c:pt idx="385">
                  <c:v>41579</c:v>
                </c:pt>
                <c:pt idx="386">
                  <c:v>41586</c:v>
                </c:pt>
                <c:pt idx="387">
                  <c:v>41593</c:v>
                </c:pt>
                <c:pt idx="388">
                  <c:v>41600</c:v>
                </c:pt>
                <c:pt idx="389">
                  <c:v>41607</c:v>
                </c:pt>
                <c:pt idx="390">
                  <c:v>41614</c:v>
                </c:pt>
                <c:pt idx="391">
                  <c:v>41621</c:v>
                </c:pt>
                <c:pt idx="392">
                  <c:v>41628</c:v>
                </c:pt>
                <c:pt idx="393">
                  <c:v>41635</c:v>
                </c:pt>
                <c:pt idx="394">
                  <c:v>41642</c:v>
                </c:pt>
                <c:pt idx="395">
                  <c:v>41649</c:v>
                </c:pt>
                <c:pt idx="396">
                  <c:v>41656</c:v>
                </c:pt>
                <c:pt idx="397">
                  <c:v>41663</c:v>
                </c:pt>
                <c:pt idx="398">
                  <c:v>41670</c:v>
                </c:pt>
                <c:pt idx="399">
                  <c:v>41677</c:v>
                </c:pt>
                <c:pt idx="400">
                  <c:v>41684</c:v>
                </c:pt>
                <c:pt idx="401">
                  <c:v>41691</c:v>
                </c:pt>
                <c:pt idx="402">
                  <c:v>41698</c:v>
                </c:pt>
                <c:pt idx="403">
                  <c:v>41705</c:v>
                </c:pt>
                <c:pt idx="404">
                  <c:v>41712</c:v>
                </c:pt>
                <c:pt idx="405">
                  <c:v>41719</c:v>
                </c:pt>
                <c:pt idx="406">
                  <c:v>41726</c:v>
                </c:pt>
                <c:pt idx="407">
                  <c:v>41733</c:v>
                </c:pt>
                <c:pt idx="408">
                  <c:v>41740</c:v>
                </c:pt>
                <c:pt idx="409">
                  <c:v>41747</c:v>
                </c:pt>
                <c:pt idx="410">
                  <c:v>41754</c:v>
                </c:pt>
                <c:pt idx="411">
                  <c:v>41761</c:v>
                </c:pt>
                <c:pt idx="412">
                  <c:v>41768</c:v>
                </c:pt>
                <c:pt idx="413">
                  <c:v>41775</c:v>
                </c:pt>
                <c:pt idx="414">
                  <c:v>41782</c:v>
                </c:pt>
                <c:pt idx="415">
                  <c:v>41789</c:v>
                </c:pt>
                <c:pt idx="416">
                  <c:v>41796</c:v>
                </c:pt>
                <c:pt idx="417">
                  <c:v>41803</c:v>
                </c:pt>
                <c:pt idx="418">
                  <c:v>41810</c:v>
                </c:pt>
                <c:pt idx="419">
                  <c:v>41817</c:v>
                </c:pt>
                <c:pt idx="420">
                  <c:v>41824</c:v>
                </c:pt>
                <c:pt idx="421">
                  <c:v>41831</c:v>
                </c:pt>
                <c:pt idx="422">
                  <c:v>41838</c:v>
                </c:pt>
                <c:pt idx="423">
                  <c:v>41845</c:v>
                </c:pt>
                <c:pt idx="424">
                  <c:v>41852</c:v>
                </c:pt>
                <c:pt idx="425">
                  <c:v>41859</c:v>
                </c:pt>
                <c:pt idx="426">
                  <c:v>41866</c:v>
                </c:pt>
                <c:pt idx="427">
                  <c:v>41873</c:v>
                </c:pt>
                <c:pt idx="428">
                  <c:v>41880</c:v>
                </c:pt>
                <c:pt idx="429">
                  <c:v>41887</c:v>
                </c:pt>
                <c:pt idx="430">
                  <c:v>41894</c:v>
                </c:pt>
                <c:pt idx="431">
                  <c:v>41901</c:v>
                </c:pt>
                <c:pt idx="432">
                  <c:v>41908</c:v>
                </c:pt>
                <c:pt idx="433">
                  <c:v>41915</c:v>
                </c:pt>
                <c:pt idx="434">
                  <c:v>41922</c:v>
                </c:pt>
                <c:pt idx="435">
                  <c:v>41929</c:v>
                </c:pt>
                <c:pt idx="436">
                  <c:v>41936</c:v>
                </c:pt>
                <c:pt idx="437">
                  <c:v>41943</c:v>
                </c:pt>
                <c:pt idx="438">
                  <c:v>41950</c:v>
                </c:pt>
                <c:pt idx="439">
                  <c:v>41957</c:v>
                </c:pt>
                <c:pt idx="440">
                  <c:v>41964</c:v>
                </c:pt>
                <c:pt idx="441">
                  <c:v>41971</c:v>
                </c:pt>
                <c:pt idx="442">
                  <c:v>41978</c:v>
                </c:pt>
                <c:pt idx="443">
                  <c:v>41985</c:v>
                </c:pt>
                <c:pt idx="444">
                  <c:v>41992</c:v>
                </c:pt>
                <c:pt idx="445">
                  <c:v>41999</c:v>
                </c:pt>
                <c:pt idx="446">
                  <c:v>42006</c:v>
                </c:pt>
                <c:pt idx="447">
                  <c:v>42013</c:v>
                </c:pt>
                <c:pt idx="448">
                  <c:v>42020</c:v>
                </c:pt>
                <c:pt idx="449">
                  <c:v>42027</c:v>
                </c:pt>
                <c:pt idx="450">
                  <c:v>42034</c:v>
                </c:pt>
                <c:pt idx="451">
                  <c:v>42041</c:v>
                </c:pt>
                <c:pt idx="452">
                  <c:v>42048</c:v>
                </c:pt>
                <c:pt idx="453">
                  <c:v>42055</c:v>
                </c:pt>
                <c:pt idx="454">
                  <c:v>42062</c:v>
                </c:pt>
                <c:pt idx="455">
                  <c:v>42069</c:v>
                </c:pt>
                <c:pt idx="456">
                  <c:v>42076</c:v>
                </c:pt>
                <c:pt idx="457">
                  <c:v>42083</c:v>
                </c:pt>
                <c:pt idx="458">
                  <c:v>42090</c:v>
                </c:pt>
                <c:pt idx="459">
                  <c:v>42097</c:v>
                </c:pt>
                <c:pt idx="460">
                  <c:v>42104</c:v>
                </c:pt>
                <c:pt idx="461">
                  <c:v>42111</c:v>
                </c:pt>
                <c:pt idx="462">
                  <c:v>42118</c:v>
                </c:pt>
                <c:pt idx="463">
                  <c:v>42125</c:v>
                </c:pt>
                <c:pt idx="464">
                  <c:v>42132</c:v>
                </c:pt>
                <c:pt idx="465">
                  <c:v>42139</c:v>
                </c:pt>
                <c:pt idx="466">
                  <c:v>42146</c:v>
                </c:pt>
                <c:pt idx="467">
                  <c:v>42153</c:v>
                </c:pt>
                <c:pt idx="468">
                  <c:v>42160</c:v>
                </c:pt>
                <c:pt idx="469">
                  <c:v>42167</c:v>
                </c:pt>
                <c:pt idx="470">
                  <c:v>42174</c:v>
                </c:pt>
                <c:pt idx="471">
                  <c:v>42181</c:v>
                </c:pt>
                <c:pt idx="472">
                  <c:v>42188</c:v>
                </c:pt>
                <c:pt idx="473">
                  <c:v>42195</c:v>
                </c:pt>
                <c:pt idx="474">
                  <c:v>42202</c:v>
                </c:pt>
                <c:pt idx="475">
                  <c:v>42209</c:v>
                </c:pt>
                <c:pt idx="476">
                  <c:v>42216</c:v>
                </c:pt>
                <c:pt idx="477">
                  <c:v>42223</c:v>
                </c:pt>
                <c:pt idx="478">
                  <c:v>42230</c:v>
                </c:pt>
                <c:pt idx="479">
                  <c:v>42237</c:v>
                </c:pt>
                <c:pt idx="480">
                  <c:v>42244</c:v>
                </c:pt>
                <c:pt idx="481">
                  <c:v>42251</c:v>
                </c:pt>
                <c:pt idx="482">
                  <c:v>42258</c:v>
                </c:pt>
                <c:pt idx="483">
                  <c:v>42265</c:v>
                </c:pt>
                <c:pt idx="484">
                  <c:v>42272</c:v>
                </c:pt>
                <c:pt idx="485">
                  <c:v>42279</c:v>
                </c:pt>
                <c:pt idx="486">
                  <c:v>42286</c:v>
                </c:pt>
                <c:pt idx="487">
                  <c:v>42293</c:v>
                </c:pt>
                <c:pt idx="488">
                  <c:v>42300</c:v>
                </c:pt>
                <c:pt idx="489">
                  <c:v>42307</c:v>
                </c:pt>
                <c:pt idx="490">
                  <c:v>42314</c:v>
                </c:pt>
                <c:pt idx="491">
                  <c:v>42321</c:v>
                </c:pt>
                <c:pt idx="492">
                  <c:v>42328</c:v>
                </c:pt>
                <c:pt idx="493">
                  <c:v>42335</c:v>
                </c:pt>
                <c:pt idx="494">
                  <c:v>42342</c:v>
                </c:pt>
                <c:pt idx="495">
                  <c:v>42349</c:v>
                </c:pt>
                <c:pt idx="496">
                  <c:v>42356</c:v>
                </c:pt>
                <c:pt idx="497">
                  <c:v>42363</c:v>
                </c:pt>
                <c:pt idx="498">
                  <c:v>42370</c:v>
                </c:pt>
                <c:pt idx="499">
                  <c:v>42377</c:v>
                </c:pt>
                <c:pt idx="500">
                  <c:v>42384</c:v>
                </c:pt>
                <c:pt idx="501">
                  <c:v>42391</c:v>
                </c:pt>
                <c:pt idx="502">
                  <c:v>42398</c:v>
                </c:pt>
                <c:pt idx="503">
                  <c:v>42405</c:v>
                </c:pt>
                <c:pt idx="504">
                  <c:v>42412</c:v>
                </c:pt>
                <c:pt idx="505">
                  <c:v>42419</c:v>
                </c:pt>
                <c:pt idx="506">
                  <c:v>42426</c:v>
                </c:pt>
                <c:pt idx="507">
                  <c:v>42433</c:v>
                </c:pt>
                <c:pt idx="508">
                  <c:v>42440</c:v>
                </c:pt>
                <c:pt idx="509">
                  <c:v>42447</c:v>
                </c:pt>
                <c:pt idx="510">
                  <c:v>42454</c:v>
                </c:pt>
                <c:pt idx="511">
                  <c:v>42461</c:v>
                </c:pt>
                <c:pt idx="512">
                  <c:v>42468</c:v>
                </c:pt>
                <c:pt idx="513">
                  <c:v>42475</c:v>
                </c:pt>
                <c:pt idx="514">
                  <c:v>42482</c:v>
                </c:pt>
                <c:pt idx="515">
                  <c:v>42489</c:v>
                </c:pt>
                <c:pt idx="516">
                  <c:v>42496</c:v>
                </c:pt>
                <c:pt idx="517">
                  <c:v>42503</c:v>
                </c:pt>
                <c:pt idx="518">
                  <c:v>42510</c:v>
                </c:pt>
                <c:pt idx="519">
                  <c:v>42517</c:v>
                </c:pt>
                <c:pt idx="520">
                  <c:v>42524</c:v>
                </c:pt>
                <c:pt idx="521">
                  <c:v>42531</c:v>
                </c:pt>
                <c:pt idx="522">
                  <c:v>42538</c:v>
                </c:pt>
                <c:pt idx="523">
                  <c:v>42545</c:v>
                </c:pt>
                <c:pt idx="524">
                  <c:v>42552</c:v>
                </c:pt>
                <c:pt idx="525">
                  <c:v>42559</c:v>
                </c:pt>
                <c:pt idx="526">
                  <c:v>42566</c:v>
                </c:pt>
                <c:pt idx="527">
                  <c:v>42573</c:v>
                </c:pt>
                <c:pt idx="528">
                  <c:v>42580</c:v>
                </c:pt>
                <c:pt idx="529">
                  <c:v>42587</c:v>
                </c:pt>
                <c:pt idx="530">
                  <c:v>42594</c:v>
                </c:pt>
                <c:pt idx="531">
                  <c:v>42601</c:v>
                </c:pt>
                <c:pt idx="532">
                  <c:v>42608</c:v>
                </c:pt>
                <c:pt idx="533">
                  <c:v>42615</c:v>
                </c:pt>
                <c:pt idx="534">
                  <c:v>42622</c:v>
                </c:pt>
                <c:pt idx="535">
                  <c:v>42629</c:v>
                </c:pt>
                <c:pt idx="536">
                  <c:v>42636</c:v>
                </c:pt>
                <c:pt idx="537">
                  <c:v>42643</c:v>
                </c:pt>
                <c:pt idx="538">
                  <c:v>42650</c:v>
                </c:pt>
                <c:pt idx="539">
                  <c:v>42657</c:v>
                </c:pt>
                <c:pt idx="540">
                  <c:v>42664</c:v>
                </c:pt>
                <c:pt idx="541">
                  <c:v>42671</c:v>
                </c:pt>
                <c:pt idx="542">
                  <c:v>42678</c:v>
                </c:pt>
                <c:pt idx="543">
                  <c:v>42685</c:v>
                </c:pt>
                <c:pt idx="544">
                  <c:v>42692</c:v>
                </c:pt>
                <c:pt idx="545">
                  <c:v>42699</c:v>
                </c:pt>
                <c:pt idx="546">
                  <c:v>42706</c:v>
                </c:pt>
                <c:pt idx="547">
                  <c:v>42713</c:v>
                </c:pt>
                <c:pt idx="548">
                  <c:v>42720</c:v>
                </c:pt>
                <c:pt idx="549">
                  <c:v>42727</c:v>
                </c:pt>
                <c:pt idx="550">
                  <c:v>42734</c:v>
                </c:pt>
                <c:pt idx="551">
                  <c:v>42741</c:v>
                </c:pt>
                <c:pt idx="552">
                  <c:v>42748</c:v>
                </c:pt>
                <c:pt idx="553">
                  <c:v>42755</c:v>
                </c:pt>
                <c:pt idx="554">
                  <c:v>42762</c:v>
                </c:pt>
                <c:pt idx="555">
                  <c:v>42769</c:v>
                </c:pt>
                <c:pt idx="556">
                  <c:v>42776</c:v>
                </c:pt>
                <c:pt idx="557">
                  <c:v>42783</c:v>
                </c:pt>
                <c:pt idx="558">
                  <c:v>42790</c:v>
                </c:pt>
                <c:pt idx="559">
                  <c:v>42797</c:v>
                </c:pt>
                <c:pt idx="560">
                  <c:v>42804</c:v>
                </c:pt>
                <c:pt idx="561">
                  <c:v>42811</c:v>
                </c:pt>
                <c:pt idx="562">
                  <c:v>42818</c:v>
                </c:pt>
                <c:pt idx="563">
                  <c:v>42825</c:v>
                </c:pt>
                <c:pt idx="564">
                  <c:v>42832</c:v>
                </c:pt>
                <c:pt idx="565">
                  <c:v>42839</c:v>
                </c:pt>
                <c:pt idx="566">
                  <c:v>42846</c:v>
                </c:pt>
                <c:pt idx="567">
                  <c:v>42853</c:v>
                </c:pt>
                <c:pt idx="568">
                  <c:v>42860</c:v>
                </c:pt>
                <c:pt idx="569">
                  <c:v>42867</c:v>
                </c:pt>
                <c:pt idx="570">
                  <c:v>42874</c:v>
                </c:pt>
                <c:pt idx="571">
                  <c:v>42881</c:v>
                </c:pt>
                <c:pt idx="572">
                  <c:v>42888</c:v>
                </c:pt>
                <c:pt idx="573">
                  <c:v>42895</c:v>
                </c:pt>
                <c:pt idx="574">
                  <c:v>42902</c:v>
                </c:pt>
                <c:pt idx="575">
                  <c:v>42909</c:v>
                </c:pt>
                <c:pt idx="576">
                  <c:v>42916</c:v>
                </c:pt>
                <c:pt idx="577">
                  <c:v>42923</c:v>
                </c:pt>
                <c:pt idx="578">
                  <c:v>42930</c:v>
                </c:pt>
                <c:pt idx="579">
                  <c:v>42937</c:v>
                </c:pt>
                <c:pt idx="580">
                  <c:v>42944</c:v>
                </c:pt>
                <c:pt idx="581">
                  <c:v>42951</c:v>
                </c:pt>
                <c:pt idx="582">
                  <c:v>42958</c:v>
                </c:pt>
                <c:pt idx="583">
                  <c:v>42965</c:v>
                </c:pt>
                <c:pt idx="584">
                  <c:v>42972</c:v>
                </c:pt>
                <c:pt idx="585">
                  <c:v>42979</c:v>
                </c:pt>
                <c:pt idx="586">
                  <c:v>42986</c:v>
                </c:pt>
                <c:pt idx="587">
                  <c:v>42993</c:v>
                </c:pt>
                <c:pt idx="588">
                  <c:v>43000</c:v>
                </c:pt>
                <c:pt idx="589">
                  <c:v>43007</c:v>
                </c:pt>
                <c:pt idx="590">
                  <c:v>43014</c:v>
                </c:pt>
                <c:pt idx="591">
                  <c:v>43021</c:v>
                </c:pt>
                <c:pt idx="592">
                  <c:v>43028</c:v>
                </c:pt>
                <c:pt idx="593">
                  <c:v>43035</c:v>
                </c:pt>
                <c:pt idx="594">
                  <c:v>43042</c:v>
                </c:pt>
                <c:pt idx="595">
                  <c:v>43049</c:v>
                </c:pt>
                <c:pt idx="596">
                  <c:v>43056</c:v>
                </c:pt>
                <c:pt idx="597">
                  <c:v>43063</c:v>
                </c:pt>
                <c:pt idx="598">
                  <c:v>43070</c:v>
                </c:pt>
                <c:pt idx="599">
                  <c:v>43077</c:v>
                </c:pt>
                <c:pt idx="600">
                  <c:v>43084</c:v>
                </c:pt>
                <c:pt idx="601">
                  <c:v>43091</c:v>
                </c:pt>
                <c:pt idx="602">
                  <c:v>43098</c:v>
                </c:pt>
                <c:pt idx="603">
                  <c:v>43105</c:v>
                </c:pt>
                <c:pt idx="604">
                  <c:v>43112</c:v>
                </c:pt>
                <c:pt idx="605">
                  <c:v>43119</c:v>
                </c:pt>
                <c:pt idx="606">
                  <c:v>43126</c:v>
                </c:pt>
                <c:pt idx="607">
                  <c:v>43133</c:v>
                </c:pt>
                <c:pt idx="608">
                  <c:v>43140</c:v>
                </c:pt>
                <c:pt idx="609">
                  <c:v>43147</c:v>
                </c:pt>
                <c:pt idx="610">
                  <c:v>43154</c:v>
                </c:pt>
                <c:pt idx="611">
                  <c:v>43161</c:v>
                </c:pt>
                <c:pt idx="612">
                  <c:v>43168</c:v>
                </c:pt>
                <c:pt idx="613">
                  <c:v>43175</c:v>
                </c:pt>
                <c:pt idx="614">
                  <c:v>43182</c:v>
                </c:pt>
                <c:pt idx="615">
                  <c:v>43189</c:v>
                </c:pt>
                <c:pt idx="616">
                  <c:v>43196</c:v>
                </c:pt>
                <c:pt idx="617">
                  <c:v>43203</c:v>
                </c:pt>
                <c:pt idx="618">
                  <c:v>43210</c:v>
                </c:pt>
                <c:pt idx="619">
                  <c:v>43217</c:v>
                </c:pt>
                <c:pt idx="620">
                  <c:v>43224</c:v>
                </c:pt>
                <c:pt idx="621">
                  <c:v>43231</c:v>
                </c:pt>
                <c:pt idx="622">
                  <c:v>43238</c:v>
                </c:pt>
                <c:pt idx="623">
                  <c:v>43245</c:v>
                </c:pt>
                <c:pt idx="624">
                  <c:v>43252</c:v>
                </c:pt>
                <c:pt idx="625">
                  <c:v>43259</c:v>
                </c:pt>
                <c:pt idx="626">
                  <c:v>43266</c:v>
                </c:pt>
                <c:pt idx="627">
                  <c:v>43273</c:v>
                </c:pt>
                <c:pt idx="628">
                  <c:v>43280</c:v>
                </c:pt>
                <c:pt idx="629">
                  <c:v>43287</c:v>
                </c:pt>
                <c:pt idx="630">
                  <c:v>43294</c:v>
                </c:pt>
                <c:pt idx="631">
                  <c:v>43301</c:v>
                </c:pt>
                <c:pt idx="632">
                  <c:v>43308</c:v>
                </c:pt>
                <c:pt idx="633">
                  <c:v>43315</c:v>
                </c:pt>
                <c:pt idx="634">
                  <c:v>43322</c:v>
                </c:pt>
                <c:pt idx="635">
                  <c:v>43329</c:v>
                </c:pt>
                <c:pt idx="636">
                  <c:v>43336</c:v>
                </c:pt>
                <c:pt idx="637">
                  <c:v>43343</c:v>
                </c:pt>
                <c:pt idx="638">
                  <c:v>43350</c:v>
                </c:pt>
                <c:pt idx="639">
                  <c:v>43357</c:v>
                </c:pt>
                <c:pt idx="640">
                  <c:v>43364</c:v>
                </c:pt>
                <c:pt idx="641">
                  <c:v>43371</c:v>
                </c:pt>
                <c:pt idx="642">
                  <c:v>43378</c:v>
                </c:pt>
                <c:pt idx="643">
                  <c:v>43385</c:v>
                </c:pt>
                <c:pt idx="644">
                  <c:v>43392</c:v>
                </c:pt>
                <c:pt idx="645">
                  <c:v>43399</c:v>
                </c:pt>
                <c:pt idx="646">
                  <c:v>43406</c:v>
                </c:pt>
                <c:pt idx="647">
                  <c:v>43413</c:v>
                </c:pt>
                <c:pt idx="648">
                  <c:v>43420</c:v>
                </c:pt>
                <c:pt idx="649">
                  <c:v>43427</c:v>
                </c:pt>
                <c:pt idx="650">
                  <c:v>43434</c:v>
                </c:pt>
                <c:pt idx="651">
                  <c:v>43441</c:v>
                </c:pt>
                <c:pt idx="652">
                  <c:v>43448</c:v>
                </c:pt>
                <c:pt idx="653">
                  <c:v>43455</c:v>
                </c:pt>
                <c:pt idx="654">
                  <c:v>43462</c:v>
                </c:pt>
                <c:pt idx="655">
                  <c:v>43469</c:v>
                </c:pt>
                <c:pt idx="656">
                  <c:v>43476</c:v>
                </c:pt>
                <c:pt idx="657">
                  <c:v>43483</c:v>
                </c:pt>
                <c:pt idx="658">
                  <c:v>43490</c:v>
                </c:pt>
                <c:pt idx="659">
                  <c:v>43497</c:v>
                </c:pt>
                <c:pt idx="660">
                  <c:v>43504</c:v>
                </c:pt>
                <c:pt idx="661">
                  <c:v>43511</c:v>
                </c:pt>
                <c:pt idx="662">
                  <c:v>43518</c:v>
                </c:pt>
                <c:pt idx="663">
                  <c:v>43525</c:v>
                </c:pt>
                <c:pt idx="664">
                  <c:v>43532</c:v>
                </c:pt>
                <c:pt idx="665">
                  <c:v>43539</c:v>
                </c:pt>
                <c:pt idx="666">
                  <c:v>43546</c:v>
                </c:pt>
                <c:pt idx="667">
                  <c:v>43553</c:v>
                </c:pt>
                <c:pt idx="668">
                  <c:v>43560</c:v>
                </c:pt>
                <c:pt idx="669">
                  <c:v>43567</c:v>
                </c:pt>
                <c:pt idx="670">
                  <c:v>43574</c:v>
                </c:pt>
                <c:pt idx="671">
                  <c:v>43581</c:v>
                </c:pt>
                <c:pt idx="672">
                  <c:v>43588</c:v>
                </c:pt>
                <c:pt idx="673">
                  <c:v>43595</c:v>
                </c:pt>
                <c:pt idx="674">
                  <c:v>43602</c:v>
                </c:pt>
                <c:pt idx="675">
                  <c:v>43609</c:v>
                </c:pt>
                <c:pt idx="676">
                  <c:v>43616</c:v>
                </c:pt>
                <c:pt idx="677">
                  <c:v>43623</c:v>
                </c:pt>
                <c:pt idx="678">
                  <c:v>43630</c:v>
                </c:pt>
                <c:pt idx="679">
                  <c:v>43637</c:v>
                </c:pt>
                <c:pt idx="680">
                  <c:v>43644</c:v>
                </c:pt>
                <c:pt idx="681">
                  <c:v>43651</c:v>
                </c:pt>
                <c:pt idx="682">
                  <c:v>43658</c:v>
                </c:pt>
                <c:pt idx="683">
                  <c:v>43665</c:v>
                </c:pt>
                <c:pt idx="684">
                  <c:v>43672</c:v>
                </c:pt>
                <c:pt idx="685">
                  <c:v>43679</c:v>
                </c:pt>
                <c:pt idx="686">
                  <c:v>43686</c:v>
                </c:pt>
                <c:pt idx="687">
                  <c:v>43693</c:v>
                </c:pt>
                <c:pt idx="688">
                  <c:v>43700</c:v>
                </c:pt>
                <c:pt idx="689">
                  <c:v>43707</c:v>
                </c:pt>
                <c:pt idx="690">
                  <c:v>43714</c:v>
                </c:pt>
                <c:pt idx="691">
                  <c:v>43721</c:v>
                </c:pt>
                <c:pt idx="692">
                  <c:v>43728</c:v>
                </c:pt>
                <c:pt idx="693">
                  <c:v>43735</c:v>
                </c:pt>
                <c:pt idx="694">
                  <c:v>43742</c:v>
                </c:pt>
                <c:pt idx="695">
                  <c:v>43749</c:v>
                </c:pt>
                <c:pt idx="696">
                  <c:v>43756</c:v>
                </c:pt>
                <c:pt idx="697">
                  <c:v>43763</c:v>
                </c:pt>
                <c:pt idx="698">
                  <c:v>43770</c:v>
                </c:pt>
                <c:pt idx="699">
                  <c:v>43777</c:v>
                </c:pt>
                <c:pt idx="700">
                  <c:v>43784</c:v>
                </c:pt>
                <c:pt idx="701">
                  <c:v>43791</c:v>
                </c:pt>
                <c:pt idx="702">
                  <c:v>43798</c:v>
                </c:pt>
                <c:pt idx="703">
                  <c:v>43805</c:v>
                </c:pt>
                <c:pt idx="704">
                  <c:v>43812</c:v>
                </c:pt>
                <c:pt idx="705">
                  <c:v>43819</c:v>
                </c:pt>
                <c:pt idx="706">
                  <c:v>43826</c:v>
                </c:pt>
                <c:pt idx="707">
                  <c:v>43833</c:v>
                </c:pt>
                <c:pt idx="708">
                  <c:v>43840</c:v>
                </c:pt>
                <c:pt idx="709">
                  <c:v>43847</c:v>
                </c:pt>
                <c:pt idx="710">
                  <c:v>43854</c:v>
                </c:pt>
                <c:pt idx="711">
                  <c:v>43861</c:v>
                </c:pt>
                <c:pt idx="712">
                  <c:v>43868</c:v>
                </c:pt>
                <c:pt idx="713">
                  <c:v>43875</c:v>
                </c:pt>
                <c:pt idx="714">
                  <c:v>43882</c:v>
                </c:pt>
                <c:pt idx="715">
                  <c:v>43889</c:v>
                </c:pt>
                <c:pt idx="716">
                  <c:v>43896</c:v>
                </c:pt>
                <c:pt idx="717">
                  <c:v>43903</c:v>
                </c:pt>
                <c:pt idx="718">
                  <c:v>43910</c:v>
                </c:pt>
                <c:pt idx="719">
                  <c:v>43917</c:v>
                </c:pt>
                <c:pt idx="720">
                  <c:v>43924</c:v>
                </c:pt>
                <c:pt idx="721">
                  <c:v>43931</c:v>
                </c:pt>
                <c:pt idx="722">
                  <c:v>43938</c:v>
                </c:pt>
                <c:pt idx="723">
                  <c:v>43945</c:v>
                </c:pt>
                <c:pt idx="724">
                  <c:v>43952</c:v>
                </c:pt>
                <c:pt idx="725">
                  <c:v>43959</c:v>
                </c:pt>
                <c:pt idx="726">
                  <c:v>43966</c:v>
                </c:pt>
                <c:pt idx="727">
                  <c:v>43973</c:v>
                </c:pt>
                <c:pt idx="728">
                  <c:v>43980</c:v>
                </c:pt>
                <c:pt idx="729">
                  <c:v>43987</c:v>
                </c:pt>
                <c:pt idx="730">
                  <c:v>43994</c:v>
                </c:pt>
                <c:pt idx="731">
                  <c:v>44001</c:v>
                </c:pt>
                <c:pt idx="732">
                  <c:v>44008</c:v>
                </c:pt>
                <c:pt idx="733">
                  <c:v>44015</c:v>
                </c:pt>
                <c:pt idx="734">
                  <c:v>44022</c:v>
                </c:pt>
                <c:pt idx="735">
                  <c:v>44029</c:v>
                </c:pt>
                <c:pt idx="736">
                  <c:v>44036</c:v>
                </c:pt>
                <c:pt idx="737">
                  <c:v>44043</c:v>
                </c:pt>
                <c:pt idx="738">
                  <c:v>44050</c:v>
                </c:pt>
                <c:pt idx="739">
                  <c:v>44057</c:v>
                </c:pt>
                <c:pt idx="740">
                  <c:v>44064</c:v>
                </c:pt>
                <c:pt idx="741">
                  <c:v>44071</c:v>
                </c:pt>
                <c:pt idx="742">
                  <c:v>44078</c:v>
                </c:pt>
                <c:pt idx="743">
                  <c:v>44085</c:v>
                </c:pt>
                <c:pt idx="744">
                  <c:v>44092</c:v>
                </c:pt>
                <c:pt idx="745">
                  <c:v>44099</c:v>
                </c:pt>
                <c:pt idx="746">
                  <c:v>44106</c:v>
                </c:pt>
                <c:pt idx="747">
                  <c:v>44113</c:v>
                </c:pt>
                <c:pt idx="748">
                  <c:v>44120</c:v>
                </c:pt>
                <c:pt idx="749">
                  <c:v>44127</c:v>
                </c:pt>
                <c:pt idx="750">
                  <c:v>44134</c:v>
                </c:pt>
                <c:pt idx="751">
                  <c:v>44141</c:v>
                </c:pt>
                <c:pt idx="752">
                  <c:v>44148</c:v>
                </c:pt>
                <c:pt idx="753">
                  <c:v>44155</c:v>
                </c:pt>
                <c:pt idx="754">
                  <c:v>44162</c:v>
                </c:pt>
                <c:pt idx="755">
                  <c:v>44169</c:v>
                </c:pt>
                <c:pt idx="756">
                  <c:v>44176</c:v>
                </c:pt>
                <c:pt idx="757">
                  <c:v>44183</c:v>
                </c:pt>
                <c:pt idx="758">
                  <c:v>44190</c:v>
                </c:pt>
                <c:pt idx="759">
                  <c:v>44197</c:v>
                </c:pt>
                <c:pt idx="760">
                  <c:v>44204</c:v>
                </c:pt>
                <c:pt idx="761">
                  <c:v>44211</c:v>
                </c:pt>
                <c:pt idx="762">
                  <c:v>44218</c:v>
                </c:pt>
                <c:pt idx="763">
                  <c:v>44225</c:v>
                </c:pt>
                <c:pt idx="764">
                  <c:v>44232</c:v>
                </c:pt>
                <c:pt idx="765">
                  <c:v>44239</c:v>
                </c:pt>
                <c:pt idx="766">
                  <c:v>44246</c:v>
                </c:pt>
                <c:pt idx="767">
                  <c:v>44253</c:v>
                </c:pt>
                <c:pt idx="768">
                  <c:v>44260</c:v>
                </c:pt>
                <c:pt idx="769">
                  <c:v>44267</c:v>
                </c:pt>
                <c:pt idx="770">
                  <c:v>44274</c:v>
                </c:pt>
                <c:pt idx="771">
                  <c:v>44281</c:v>
                </c:pt>
                <c:pt idx="772">
                  <c:v>44288</c:v>
                </c:pt>
                <c:pt idx="773">
                  <c:v>44295</c:v>
                </c:pt>
                <c:pt idx="774">
                  <c:v>44302</c:v>
                </c:pt>
                <c:pt idx="775">
                  <c:v>44309</c:v>
                </c:pt>
                <c:pt idx="776">
                  <c:v>44316</c:v>
                </c:pt>
                <c:pt idx="777">
                  <c:v>44323</c:v>
                </c:pt>
                <c:pt idx="778">
                  <c:v>44330</c:v>
                </c:pt>
                <c:pt idx="779">
                  <c:v>44337</c:v>
                </c:pt>
                <c:pt idx="780">
                  <c:v>44344</c:v>
                </c:pt>
                <c:pt idx="781">
                  <c:v>44351</c:v>
                </c:pt>
                <c:pt idx="782">
                  <c:v>44358</c:v>
                </c:pt>
                <c:pt idx="783">
                  <c:v>44365</c:v>
                </c:pt>
                <c:pt idx="784">
                  <c:v>44372</c:v>
                </c:pt>
                <c:pt idx="785">
                  <c:v>44379</c:v>
                </c:pt>
                <c:pt idx="786">
                  <c:v>44386</c:v>
                </c:pt>
                <c:pt idx="787">
                  <c:v>44393</c:v>
                </c:pt>
                <c:pt idx="788">
                  <c:v>44400</c:v>
                </c:pt>
                <c:pt idx="789">
                  <c:v>44407</c:v>
                </c:pt>
                <c:pt idx="790">
                  <c:v>44414</c:v>
                </c:pt>
                <c:pt idx="791">
                  <c:v>44421</c:v>
                </c:pt>
                <c:pt idx="792">
                  <c:v>44428</c:v>
                </c:pt>
                <c:pt idx="793">
                  <c:v>44435</c:v>
                </c:pt>
                <c:pt idx="794">
                  <c:v>44442</c:v>
                </c:pt>
                <c:pt idx="795">
                  <c:v>44449</c:v>
                </c:pt>
                <c:pt idx="796">
                  <c:v>44456</c:v>
                </c:pt>
                <c:pt idx="797">
                  <c:v>44463</c:v>
                </c:pt>
                <c:pt idx="798">
                  <c:v>44470</c:v>
                </c:pt>
                <c:pt idx="799">
                  <c:v>44477</c:v>
                </c:pt>
                <c:pt idx="800">
                  <c:v>44484</c:v>
                </c:pt>
                <c:pt idx="801">
                  <c:v>44491</c:v>
                </c:pt>
                <c:pt idx="802">
                  <c:v>44498</c:v>
                </c:pt>
                <c:pt idx="803">
                  <c:v>44505</c:v>
                </c:pt>
                <c:pt idx="804">
                  <c:v>44512</c:v>
                </c:pt>
                <c:pt idx="805">
                  <c:v>44519</c:v>
                </c:pt>
                <c:pt idx="806">
                  <c:v>44526</c:v>
                </c:pt>
                <c:pt idx="807">
                  <c:v>44533</c:v>
                </c:pt>
                <c:pt idx="808">
                  <c:v>44540</c:v>
                </c:pt>
                <c:pt idx="809">
                  <c:v>44547</c:v>
                </c:pt>
                <c:pt idx="810">
                  <c:v>44554</c:v>
                </c:pt>
                <c:pt idx="811">
                  <c:v>44561</c:v>
                </c:pt>
                <c:pt idx="812">
                  <c:v>44568</c:v>
                </c:pt>
                <c:pt idx="813">
                  <c:v>44575</c:v>
                </c:pt>
                <c:pt idx="814">
                  <c:v>44582</c:v>
                </c:pt>
                <c:pt idx="815">
                  <c:v>44589</c:v>
                </c:pt>
                <c:pt idx="816">
                  <c:v>44596</c:v>
                </c:pt>
                <c:pt idx="817">
                  <c:v>44603</c:v>
                </c:pt>
                <c:pt idx="818">
                  <c:v>44610</c:v>
                </c:pt>
                <c:pt idx="819">
                  <c:v>44617</c:v>
                </c:pt>
                <c:pt idx="820">
                  <c:v>44624</c:v>
                </c:pt>
                <c:pt idx="821">
                  <c:v>44631</c:v>
                </c:pt>
                <c:pt idx="822">
                  <c:v>44638</c:v>
                </c:pt>
                <c:pt idx="823">
                  <c:v>44645</c:v>
                </c:pt>
                <c:pt idx="824">
                  <c:v>44652</c:v>
                </c:pt>
                <c:pt idx="825">
                  <c:v>44659</c:v>
                </c:pt>
                <c:pt idx="826">
                  <c:v>44666</c:v>
                </c:pt>
                <c:pt idx="827">
                  <c:v>44673</c:v>
                </c:pt>
                <c:pt idx="828">
                  <c:v>44680</c:v>
                </c:pt>
                <c:pt idx="829">
                  <c:v>44687</c:v>
                </c:pt>
                <c:pt idx="830">
                  <c:v>44694</c:v>
                </c:pt>
                <c:pt idx="831">
                  <c:v>44701</c:v>
                </c:pt>
                <c:pt idx="832">
                  <c:v>44708</c:v>
                </c:pt>
                <c:pt idx="833">
                  <c:v>44715</c:v>
                </c:pt>
                <c:pt idx="834">
                  <c:v>44722</c:v>
                </c:pt>
                <c:pt idx="835">
                  <c:v>44729</c:v>
                </c:pt>
                <c:pt idx="836">
                  <c:v>44736</c:v>
                </c:pt>
                <c:pt idx="837">
                  <c:v>44743</c:v>
                </c:pt>
                <c:pt idx="838">
                  <c:v>44750</c:v>
                </c:pt>
                <c:pt idx="839">
                  <c:v>44757</c:v>
                </c:pt>
                <c:pt idx="840">
                  <c:v>44764</c:v>
                </c:pt>
                <c:pt idx="841">
                  <c:v>44771</c:v>
                </c:pt>
                <c:pt idx="842">
                  <c:v>44778</c:v>
                </c:pt>
                <c:pt idx="843">
                  <c:v>44785</c:v>
                </c:pt>
              </c:numCache>
            </c:numRef>
          </c:cat>
          <c:val>
            <c:numRef>
              <c:f>Hoja1!$R$2:$R$845</c:f>
              <c:numCache>
                <c:formatCode>General</c:formatCode>
                <c:ptCount val="844"/>
                <c:pt idx="0">
                  <c:v>2.0920000000000001</c:v>
                </c:pt>
                <c:pt idx="1">
                  <c:v>2.0190000000000001</c:v>
                </c:pt>
                <c:pt idx="2">
                  <c:v>2.0459999999999998</c:v>
                </c:pt>
                <c:pt idx="3">
                  <c:v>2.1240000000000001</c:v>
                </c:pt>
                <c:pt idx="4">
                  <c:v>2.1440000000000001</c:v>
                </c:pt>
                <c:pt idx="5">
                  <c:v>2.1749999999999998</c:v>
                </c:pt>
                <c:pt idx="6">
                  <c:v>2.1589999999999998</c:v>
                </c:pt>
                <c:pt idx="7">
                  <c:v>2.226</c:v>
                </c:pt>
                <c:pt idx="8">
                  <c:v>2.1560000000000001</c:v>
                </c:pt>
                <c:pt idx="9">
                  <c:v>2.085</c:v>
                </c:pt>
                <c:pt idx="10">
                  <c:v>2.1440000000000001</c:v>
                </c:pt>
                <c:pt idx="11">
                  <c:v>2.0379999999999998</c:v>
                </c:pt>
                <c:pt idx="12">
                  <c:v>1.9510000000000001</c:v>
                </c:pt>
                <c:pt idx="13">
                  <c:v>1.7390000000000001</c:v>
                </c:pt>
                <c:pt idx="14">
                  <c:v>1.718</c:v>
                </c:pt>
                <c:pt idx="15">
                  <c:v>1.821</c:v>
                </c:pt>
                <c:pt idx="16">
                  <c:v>1.7390000000000001</c:v>
                </c:pt>
                <c:pt idx="17">
                  <c:v>1.766</c:v>
                </c:pt>
                <c:pt idx="18">
                  <c:v>1.7529999999999999</c:v>
                </c:pt>
                <c:pt idx="19">
                  <c:v>1.73</c:v>
                </c:pt>
                <c:pt idx="20">
                  <c:v>1.657</c:v>
                </c:pt>
                <c:pt idx="21">
                  <c:v>1.718</c:v>
                </c:pt>
                <c:pt idx="22">
                  <c:v>1.7050000000000001</c:v>
                </c:pt>
                <c:pt idx="23">
                  <c:v>1.754</c:v>
                </c:pt>
                <c:pt idx="24">
                  <c:v>1.8480000000000001</c:v>
                </c:pt>
                <c:pt idx="25">
                  <c:v>1.8779999999999999</c:v>
                </c:pt>
                <c:pt idx="26">
                  <c:v>1.83</c:v>
                </c:pt>
                <c:pt idx="27">
                  <c:v>1.768</c:v>
                </c:pt>
                <c:pt idx="28">
                  <c:v>1.7250000000000001</c:v>
                </c:pt>
                <c:pt idx="29">
                  <c:v>1.669</c:v>
                </c:pt>
                <c:pt idx="30">
                  <c:v>1.599</c:v>
                </c:pt>
                <c:pt idx="31">
                  <c:v>1.643</c:v>
                </c:pt>
                <c:pt idx="32">
                  <c:v>1.673</c:v>
                </c:pt>
                <c:pt idx="33">
                  <c:v>1.7210000000000001</c:v>
                </c:pt>
                <c:pt idx="34">
                  <c:v>1.7470000000000001</c:v>
                </c:pt>
                <c:pt idx="35">
                  <c:v>1.6970000000000001</c:v>
                </c:pt>
                <c:pt idx="36">
                  <c:v>1.7350000000000001</c:v>
                </c:pt>
                <c:pt idx="37">
                  <c:v>1.827</c:v>
                </c:pt>
                <c:pt idx="38">
                  <c:v>1.8129999999999999</c:v>
                </c:pt>
                <c:pt idx="39">
                  <c:v>1.796</c:v>
                </c:pt>
                <c:pt idx="40">
                  <c:v>1.81</c:v>
                </c:pt>
                <c:pt idx="41">
                  <c:v>1.9630000000000001</c:v>
                </c:pt>
                <c:pt idx="42">
                  <c:v>2.0129999999999999</c:v>
                </c:pt>
                <c:pt idx="43">
                  <c:v>2.056</c:v>
                </c:pt>
                <c:pt idx="44">
                  <c:v>2.0169999999999999</c:v>
                </c:pt>
                <c:pt idx="45">
                  <c:v>2.052</c:v>
                </c:pt>
                <c:pt idx="46">
                  <c:v>2.024</c:v>
                </c:pt>
                <c:pt idx="47">
                  <c:v>2.0129999999999999</c:v>
                </c:pt>
                <c:pt idx="48">
                  <c:v>2.0550000000000002</c:v>
                </c:pt>
                <c:pt idx="49">
                  <c:v>2.0920000000000001</c:v>
                </c:pt>
                <c:pt idx="50">
                  <c:v>2.0449999999999999</c:v>
                </c:pt>
                <c:pt idx="51">
                  <c:v>2.085</c:v>
                </c:pt>
                <c:pt idx="52">
                  <c:v>2.0859999999999999</c:v>
                </c:pt>
                <c:pt idx="53">
                  <c:v>2.1429999999999998</c:v>
                </c:pt>
                <c:pt idx="54">
                  <c:v>2.0870000000000002</c:v>
                </c:pt>
                <c:pt idx="55">
                  <c:v>2.1379999999999999</c:v>
                </c:pt>
                <c:pt idx="56">
                  <c:v>2.1539999999999999</c:v>
                </c:pt>
                <c:pt idx="57">
                  <c:v>2.1219999999999999</c:v>
                </c:pt>
                <c:pt idx="58">
                  <c:v>2.1190000000000002</c:v>
                </c:pt>
                <c:pt idx="59">
                  <c:v>2.1509999999999998</c:v>
                </c:pt>
                <c:pt idx="60">
                  <c:v>2.0449999999999999</c:v>
                </c:pt>
                <c:pt idx="61">
                  <c:v>2.0939999999999999</c:v>
                </c:pt>
                <c:pt idx="62">
                  <c:v>2.0779999999999998</c:v>
                </c:pt>
                <c:pt idx="63">
                  <c:v>2.1219999999999999</c:v>
                </c:pt>
                <c:pt idx="64">
                  <c:v>2.181</c:v>
                </c:pt>
                <c:pt idx="65">
                  <c:v>2.2589999999999999</c:v>
                </c:pt>
                <c:pt idx="66">
                  <c:v>2.3159999999999998</c:v>
                </c:pt>
                <c:pt idx="67">
                  <c:v>2.2879999999999998</c:v>
                </c:pt>
                <c:pt idx="68">
                  <c:v>2.2869999999999999</c:v>
                </c:pt>
                <c:pt idx="69">
                  <c:v>2.2759999999999998</c:v>
                </c:pt>
                <c:pt idx="70">
                  <c:v>2.395</c:v>
                </c:pt>
                <c:pt idx="71">
                  <c:v>2.427</c:v>
                </c:pt>
                <c:pt idx="72">
                  <c:v>2.5750000000000002</c:v>
                </c:pt>
                <c:pt idx="73">
                  <c:v>2.6920000000000002</c:v>
                </c:pt>
                <c:pt idx="74">
                  <c:v>2.6339999999999999</c:v>
                </c:pt>
                <c:pt idx="75">
                  <c:v>2.74</c:v>
                </c:pt>
                <c:pt idx="76">
                  <c:v>2.6640000000000001</c:v>
                </c:pt>
                <c:pt idx="77">
                  <c:v>2.56</c:v>
                </c:pt>
                <c:pt idx="78">
                  <c:v>2.601</c:v>
                </c:pt>
                <c:pt idx="79">
                  <c:v>2.589</c:v>
                </c:pt>
                <c:pt idx="80">
                  <c:v>2.649</c:v>
                </c:pt>
                <c:pt idx="81">
                  <c:v>2.7210000000000001</c:v>
                </c:pt>
                <c:pt idx="82">
                  <c:v>2.617</c:v>
                </c:pt>
                <c:pt idx="83">
                  <c:v>2.593</c:v>
                </c:pt>
                <c:pt idx="84">
                  <c:v>2.532</c:v>
                </c:pt>
                <c:pt idx="85">
                  <c:v>2.5619999999999998</c:v>
                </c:pt>
                <c:pt idx="86">
                  <c:v>2.5310000000000001</c:v>
                </c:pt>
                <c:pt idx="87">
                  <c:v>2.72</c:v>
                </c:pt>
                <c:pt idx="88">
                  <c:v>2.843</c:v>
                </c:pt>
                <c:pt idx="89">
                  <c:v>2.8879999999999999</c:v>
                </c:pt>
                <c:pt idx="90">
                  <c:v>3.0259999999999998</c:v>
                </c:pt>
                <c:pt idx="91">
                  <c:v>3.2170000000000001</c:v>
                </c:pt>
                <c:pt idx="92">
                  <c:v>3.222</c:v>
                </c:pt>
                <c:pt idx="93">
                  <c:v>3.0649999999999999</c:v>
                </c:pt>
                <c:pt idx="94">
                  <c:v>3.081</c:v>
                </c:pt>
                <c:pt idx="95">
                  <c:v>3.3519999999999999</c:v>
                </c:pt>
                <c:pt idx="96">
                  <c:v>3.4649999999999999</c:v>
                </c:pt>
                <c:pt idx="97">
                  <c:v>3.492</c:v>
                </c:pt>
                <c:pt idx="98">
                  <c:v>3.347</c:v>
                </c:pt>
                <c:pt idx="99">
                  <c:v>3.581</c:v>
                </c:pt>
                <c:pt idx="100">
                  <c:v>3.7509999999999999</c:v>
                </c:pt>
                <c:pt idx="101">
                  <c:v>3.9689999999999999</c:v>
                </c:pt>
                <c:pt idx="102">
                  <c:v>3.8450000000000002</c:v>
                </c:pt>
                <c:pt idx="103">
                  <c:v>3.782</c:v>
                </c:pt>
                <c:pt idx="104">
                  <c:v>3.9460000000000002</c:v>
                </c:pt>
                <c:pt idx="105">
                  <c:v>3.8490000000000002</c:v>
                </c:pt>
                <c:pt idx="106">
                  <c:v>3.9079999999999999</c:v>
                </c:pt>
                <c:pt idx="107">
                  <c:v>4.109</c:v>
                </c:pt>
                <c:pt idx="108">
                  <c:v>4.05</c:v>
                </c:pt>
                <c:pt idx="109">
                  <c:v>3.952</c:v>
                </c:pt>
                <c:pt idx="110">
                  <c:v>3.722</c:v>
                </c:pt>
                <c:pt idx="111">
                  <c:v>3.5990000000000002</c:v>
                </c:pt>
                <c:pt idx="112">
                  <c:v>3.331</c:v>
                </c:pt>
                <c:pt idx="113">
                  <c:v>3.1480000000000001</c:v>
                </c:pt>
                <c:pt idx="114">
                  <c:v>3.2330000000000001</c:v>
                </c:pt>
                <c:pt idx="115">
                  <c:v>3.319</c:v>
                </c:pt>
                <c:pt idx="116">
                  <c:v>3.2240000000000002</c:v>
                </c:pt>
                <c:pt idx="117">
                  <c:v>3.714</c:v>
                </c:pt>
                <c:pt idx="118">
                  <c:v>3.4689999999999999</c:v>
                </c:pt>
                <c:pt idx="119">
                  <c:v>3.2370000000000001</c:v>
                </c:pt>
                <c:pt idx="120">
                  <c:v>2.8650000000000002</c:v>
                </c:pt>
                <c:pt idx="121">
                  <c:v>2.5150000000000001</c:v>
                </c:pt>
                <c:pt idx="122">
                  <c:v>2.2909999999999999</c:v>
                </c:pt>
                <c:pt idx="123">
                  <c:v>2.137</c:v>
                </c:pt>
                <c:pt idx="124">
                  <c:v>2.0169999999999999</c:v>
                </c:pt>
                <c:pt idx="125">
                  <c:v>2.048</c:v>
                </c:pt>
                <c:pt idx="126">
                  <c:v>1.929</c:v>
                </c:pt>
                <c:pt idx="127">
                  <c:v>1.7569999999999999</c:v>
                </c:pt>
                <c:pt idx="128">
                  <c:v>1.76</c:v>
                </c:pt>
                <c:pt idx="129">
                  <c:v>1.536</c:v>
                </c:pt>
                <c:pt idx="130">
                  <c:v>1.33</c:v>
                </c:pt>
                <c:pt idx="131">
                  <c:v>1.3480000000000001</c:v>
                </c:pt>
                <c:pt idx="132">
                  <c:v>1.3129999999999999</c:v>
                </c:pt>
                <c:pt idx="133">
                  <c:v>1.361</c:v>
                </c:pt>
                <c:pt idx="134">
                  <c:v>1.58</c:v>
                </c:pt>
                <c:pt idx="135">
                  <c:v>1.4990000000000001</c:v>
                </c:pt>
                <c:pt idx="136">
                  <c:v>1.379</c:v>
                </c:pt>
                <c:pt idx="137">
                  <c:v>1.393</c:v>
                </c:pt>
                <c:pt idx="138">
                  <c:v>1.329</c:v>
                </c:pt>
                <c:pt idx="139">
                  <c:v>1.2909999999999999</c:v>
                </c:pt>
                <c:pt idx="140">
                  <c:v>1.17</c:v>
                </c:pt>
                <c:pt idx="141">
                  <c:v>1.2290000000000001</c:v>
                </c:pt>
                <c:pt idx="142">
                  <c:v>1.161</c:v>
                </c:pt>
                <c:pt idx="143">
                  <c:v>1.1679999999999999</c:v>
                </c:pt>
                <c:pt idx="144">
                  <c:v>1.2609999999999999</c:v>
                </c:pt>
                <c:pt idx="145">
                  <c:v>1.452</c:v>
                </c:pt>
                <c:pt idx="146">
                  <c:v>1.38</c:v>
                </c:pt>
                <c:pt idx="147">
                  <c:v>1.413</c:v>
                </c:pt>
                <c:pt idx="148">
                  <c:v>1.411</c:v>
                </c:pt>
                <c:pt idx="149">
                  <c:v>1.327</c:v>
                </c:pt>
                <c:pt idx="150">
                  <c:v>1.3140000000000001</c:v>
                </c:pt>
                <c:pt idx="151">
                  <c:v>1.4319999999999999</c:v>
                </c:pt>
                <c:pt idx="152">
                  <c:v>1.464</c:v>
                </c:pt>
                <c:pt idx="153">
                  <c:v>1.5109999999999999</c:v>
                </c:pt>
                <c:pt idx="154">
                  <c:v>1.5860000000000001</c:v>
                </c:pt>
                <c:pt idx="155">
                  <c:v>1.756</c:v>
                </c:pt>
                <c:pt idx="156">
                  <c:v>1.821</c:v>
                </c:pt>
                <c:pt idx="157">
                  <c:v>1.8440000000000001</c:v>
                </c:pt>
                <c:pt idx="158">
                  <c:v>1.796</c:v>
                </c:pt>
                <c:pt idx="159">
                  <c:v>1.778</c:v>
                </c:pt>
                <c:pt idx="160">
                  <c:v>1.6120000000000001</c:v>
                </c:pt>
                <c:pt idx="161">
                  <c:v>1.629</c:v>
                </c:pt>
                <c:pt idx="162">
                  <c:v>1.7929999999999999</c:v>
                </c:pt>
                <c:pt idx="163">
                  <c:v>1.7989999999999999</c:v>
                </c:pt>
                <c:pt idx="164">
                  <c:v>1.9159999999999999</c:v>
                </c:pt>
                <c:pt idx="165">
                  <c:v>1.895</c:v>
                </c:pt>
                <c:pt idx="166">
                  <c:v>1.88</c:v>
                </c:pt>
                <c:pt idx="167">
                  <c:v>1.8680000000000001</c:v>
                </c:pt>
                <c:pt idx="168">
                  <c:v>1.7330000000000001</c:v>
                </c:pt>
                <c:pt idx="169">
                  <c:v>1.744</c:v>
                </c:pt>
                <c:pt idx="170">
                  <c:v>1.7849999999999999</c:v>
                </c:pt>
                <c:pt idx="171">
                  <c:v>1.7490000000000001</c:v>
                </c:pt>
                <c:pt idx="172">
                  <c:v>1.754</c:v>
                </c:pt>
                <c:pt idx="173">
                  <c:v>1.8120000000000001</c:v>
                </c:pt>
                <c:pt idx="174">
                  <c:v>1.95</c:v>
                </c:pt>
                <c:pt idx="175">
                  <c:v>2.0539999999999998</c:v>
                </c:pt>
                <c:pt idx="176">
                  <c:v>2.0150000000000001</c:v>
                </c:pt>
                <c:pt idx="177">
                  <c:v>2.0019999999999998</c:v>
                </c:pt>
                <c:pt idx="178">
                  <c:v>1.972</c:v>
                </c:pt>
                <c:pt idx="179">
                  <c:v>1.9990000000000001</c:v>
                </c:pt>
                <c:pt idx="180">
                  <c:v>1.9630000000000001</c:v>
                </c:pt>
                <c:pt idx="181">
                  <c:v>2.0059999999999998</c:v>
                </c:pt>
                <c:pt idx="182">
                  <c:v>1.9330000000000001</c:v>
                </c:pt>
                <c:pt idx="183">
                  <c:v>1.9430000000000001</c:v>
                </c:pt>
                <c:pt idx="184">
                  <c:v>1.96</c:v>
                </c:pt>
                <c:pt idx="185">
                  <c:v>2.0739999999999998</c:v>
                </c:pt>
                <c:pt idx="186">
                  <c:v>2.17</c:v>
                </c:pt>
                <c:pt idx="187">
                  <c:v>2.0960000000000001</c:v>
                </c:pt>
                <c:pt idx="188">
                  <c:v>1.994</c:v>
                </c:pt>
                <c:pt idx="189">
                  <c:v>1.9379999999999999</c:v>
                </c:pt>
                <c:pt idx="190">
                  <c:v>1.956</c:v>
                </c:pt>
                <c:pt idx="191">
                  <c:v>1.929</c:v>
                </c:pt>
                <c:pt idx="192">
                  <c:v>2.0310000000000001</c:v>
                </c:pt>
                <c:pt idx="193">
                  <c:v>2.0499999999999998</c:v>
                </c:pt>
                <c:pt idx="194">
                  <c:v>2.0910000000000002</c:v>
                </c:pt>
                <c:pt idx="195">
                  <c:v>2.1120000000000001</c:v>
                </c:pt>
                <c:pt idx="196">
                  <c:v>2.1040000000000001</c:v>
                </c:pt>
                <c:pt idx="197">
                  <c:v>2.0939999999999999</c:v>
                </c:pt>
                <c:pt idx="198">
                  <c:v>2.1819999999999999</c:v>
                </c:pt>
                <c:pt idx="199">
                  <c:v>2.2629999999999999</c:v>
                </c:pt>
                <c:pt idx="200">
                  <c:v>2.2370000000000001</c:v>
                </c:pt>
                <c:pt idx="201">
                  <c:v>2.206</c:v>
                </c:pt>
                <c:pt idx="202">
                  <c:v>2.2650000000000001</c:v>
                </c:pt>
                <c:pt idx="203">
                  <c:v>2.198</c:v>
                </c:pt>
                <c:pt idx="204">
                  <c:v>2.1259999999999999</c:v>
                </c:pt>
                <c:pt idx="205">
                  <c:v>1.9550000000000001</c:v>
                </c:pt>
                <c:pt idx="206">
                  <c:v>1.9730000000000001</c:v>
                </c:pt>
                <c:pt idx="207">
                  <c:v>2.016</c:v>
                </c:pt>
                <c:pt idx="208">
                  <c:v>2.0150000000000001</c:v>
                </c:pt>
                <c:pt idx="209">
                  <c:v>2.1059999999999999</c:v>
                </c:pt>
                <c:pt idx="210">
                  <c:v>2.0960000000000001</c:v>
                </c:pt>
                <c:pt idx="211">
                  <c:v>1.988</c:v>
                </c:pt>
                <c:pt idx="212">
                  <c:v>1.9930000000000001</c:v>
                </c:pt>
                <c:pt idx="213">
                  <c:v>2.0339999999999998</c:v>
                </c:pt>
                <c:pt idx="214">
                  <c:v>2.0449999999999999</c:v>
                </c:pt>
                <c:pt idx="215">
                  <c:v>2.044</c:v>
                </c:pt>
                <c:pt idx="216">
                  <c:v>2.1779999999999999</c:v>
                </c:pt>
                <c:pt idx="217">
                  <c:v>2.0910000000000002</c:v>
                </c:pt>
                <c:pt idx="218">
                  <c:v>2.0510000000000002</c:v>
                </c:pt>
                <c:pt idx="219">
                  <c:v>2.0329999999999999</c:v>
                </c:pt>
                <c:pt idx="220">
                  <c:v>2.0499999999999998</c:v>
                </c:pt>
                <c:pt idx="221">
                  <c:v>2.0880000000000001</c:v>
                </c:pt>
                <c:pt idx="222">
                  <c:v>2.1150000000000002</c:v>
                </c:pt>
                <c:pt idx="223">
                  <c:v>2.1150000000000002</c:v>
                </c:pt>
                <c:pt idx="224">
                  <c:v>2.194</c:v>
                </c:pt>
                <c:pt idx="225">
                  <c:v>2.262</c:v>
                </c:pt>
                <c:pt idx="226">
                  <c:v>2.25</c:v>
                </c:pt>
                <c:pt idx="227">
                  <c:v>2.23</c:v>
                </c:pt>
                <c:pt idx="228">
                  <c:v>2.246</c:v>
                </c:pt>
                <c:pt idx="229">
                  <c:v>2.3119999999999998</c:v>
                </c:pt>
                <c:pt idx="230">
                  <c:v>2.3919999999999999</c:v>
                </c:pt>
                <c:pt idx="231">
                  <c:v>2.286</c:v>
                </c:pt>
                <c:pt idx="232">
                  <c:v>2.294</c:v>
                </c:pt>
                <c:pt idx="233">
                  <c:v>2.3820000000000001</c:v>
                </c:pt>
                <c:pt idx="234">
                  <c:v>2.423</c:v>
                </c:pt>
                <c:pt idx="235">
                  <c:v>2.4449999999999998</c:v>
                </c:pt>
                <c:pt idx="236">
                  <c:v>2.4769999999999999</c:v>
                </c:pt>
                <c:pt idx="237">
                  <c:v>2.4929999999999999</c:v>
                </c:pt>
                <c:pt idx="238">
                  <c:v>2.5099999999999998</c:v>
                </c:pt>
                <c:pt idx="239">
                  <c:v>2.621</c:v>
                </c:pt>
                <c:pt idx="240">
                  <c:v>2.6589999999999998</c:v>
                </c:pt>
                <c:pt idx="241">
                  <c:v>2.669</c:v>
                </c:pt>
                <c:pt idx="242">
                  <c:v>2.7730000000000001</c:v>
                </c:pt>
                <c:pt idx="243">
                  <c:v>2.782</c:v>
                </c:pt>
                <c:pt idx="244">
                  <c:v>2.8159999999999998</c:v>
                </c:pt>
                <c:pt idx="245">
                  <c:v>2.9569999999999999</c:v>
                </c:pt>
                <c:pt idx="246">
                  <c:v>3.1259999999999999</c:v>
                </c:pt>
                <c:pt idx="247">
                  <c:v>3.1</c:v>
                </c:pt>
                <c:pt idx="248">
                  <c:v>3.097</c:v>
                </c:pt>
                <c:pt idx="249">
                  <c:v>3.145</c:v>
                </c:pt>
                <c:pt idx="250">
                  <c:v>3.1459999999999999</c:v>
                </c:pt>
                <c:pt idx="251">
                  <c:v>3.2679999999999998</c:v>
                </c:pt>
                <c:pt idx="252">
                  <c:v>3.2490000000000001</c:v>
                </c:pt>
                <c:pt idx="253">
                  <c:v>3.2429999999999999</c:v>
                </c:pt>
                <c:pt idx="254">
                  <c:v>3.3149999999999999</c:v>
                </c:pt>
                <c:pt idx="255">
                  <c:v>3.1749999999999998</c:v>
                </c:pt>
                <c:pt idx="256">
                  <c:v>3.0910000000000002</c:v>
                </c:pt>
                <c:pt idx="257">
                  <c:v>3.02</c:v>
                </c:pt>
                <c:pt idx="258">
                  <c:v>3.0430000000000001</c:v>
                </c:pt>
                <c:pt idx="259">
                  <c:v>3.1219999999999999</c:v>
                </c:pt>
                <c:pt idx="260">
                  <c:v>3.1480000000000001</c:v>
                </c:pt>
                <c:pt idx="261">
                  <c:v>3.1150000000000002</c:v>
                </c:pt>
                <c:pt idx="262">
                  <c:v>2.93</c:v>
                </c:pt>
                <c:pt idx="263">
                  <c:v>2.9350000000000001</c:v>
                </c:pt>
                <c:pt idx="264">
                  <c:v>3.0790000000000002</c:v>
                </c:pt>
                <c:pt idx="265">
                  <c:v>3.137</c:v>
                </c:pt>
                <c:pt idx="266">
                  <c:v>3.1640000000000001</c:v>
                </c:pt>
                <c:pt idx="267">
                  <c:v>3.1629999999999998</c:v>
                </c:pt>
                <c:pt idx="268">
                  <c:v>3.0630000000000002</c:v>
                </c:pt>
                <c:pt idx="269">
                  <c:v>2.9049999999999998</c:v>
                </c:pt>
                <c:pt idx="270">
                  <c:v>2.992</c:v>
                </c:pt>
                <c:pt idx="271">
                  <c:v>3.0230000000000001</c:v>
                </c:pt>
                <c:pt idx="272">
                  <c:v>3.0819999999999999</c:v>
                </c:pt>
                <c:pt idx="273">
                  <c:v>3.0179999999999998</c:v>
                </c:pt>
                <c:pt idx="274">
                  <c:v>2.964</c:v>
                </c:pt>
                <c:pt idx="275">
                  <c:v>2.8969999999999998</c:v>
                </c:pt>
                <c:pt idx="276">
                  <c:v>2.8809999999999998</c:v>
                </c:pt>
                <c:pt idx="277">
                  <c:v>2.8570000000000002</c:v>
                </c:pt>
                <c:pt idx="278">
                  <c:v>2.9489999999999998</c:v>
                </c:pt>
                <c:pt idx="279">
                  <c:v>3.0030000000000001</c:v>
                </c:pt>
                <c:pt idx="280">
                  <c:v>3.0409999999999999</c:v>
                </c:pt>
                <c:pt idx="281">
                  <c:v>3.0270000000000001</c:v>
                </c:pt>
                <c:pt idx="282">
                  <c:v>3.1269999999999998</c:v>
                </c:pt>
                <c:pt idx="283">
                  <c:v>3.0939999999999999</c:v>
                </c:pt>
                <c:pt idx="284">
                  <c:v>2.9540000000000002</c:v>
                </c:pt>
                <c:pt idx="285">
                  <c:v>2.9740000000000002</c:v>
                </c:pt>
                <c:pt idx="286">
                  <c:v>2.9140000000000001</c:v>
                </c:pt>
                <c:pt idx="287">
                  <c:v>2.7909999999999999</c:v>
                </c:pt>
                <c:pt idx="288">
                  <c:v>2.847</c:v>
                </c:pt>
                <c:pt idx="289">
                  <c:v>2.9079999999999999</c:v>
                </c:pt>
                <c:pt idx="290">
                  <c:v>3.0750000000000002</c:v>
                </c:pt>
                <c:pt idx="291">
                  <c:v>3.1259999999999999</c:v>
                </c:pt>
                <c:pt idx="292">
                  <c:v>3.073</c:v>
                </c:pt>
                <c:pt idx="293">
                  <c:v>3.0739999999999998</c:v>
                </c:pt>
                <c:pt idx="294">
                  <c:v>3.089</c:v>
                </c:pt>
                <c:pt idx="295">
                  <c:v>3.202</c:v>
                </c:pt>
                <c:pt idx="296">
                  <c:v>3.1840000000000002</c:v>
                </c:pt>
                <c:pt idx="297">
                  <c:v>3.2919999999999998</c:v>
                </c:pt>
                <c:pt idx="298">
                  <c:v>3.2450000000000001</c:v>
                </c:pt>
                <c:pt idx="299">
                  <c:v>3.2490000000000001</c:v>
                </c:pt>
                <c:pt idx="300">
                  <c:v>3.2850000000000001</c:v>
                </c:pt>
                <c:pt idx="301">
                  <c:v>3.242</c:v>
                </c:pt>
                <c:pt idx="302">
                  <c:v>3.2549999999999999</c:v>
                </c:pt>
                <c:pt idx="303">
                  <c:v>3.2690000000000001</c:v>
                </c:pt>
                <c:pt idx="304">
                  <c:v>3.206</c:v>
                </c:pt>
                <c:pt idx="305">
                  <c:v>3.2090000000000001</c:v>
                </c:pt>
                <c:pt idx="306">
                  <c:v>3.2210000000000001</c:v>
                </c:pt>
                <c:pt idx="307">
                  <c:v>3.1880000000000002</c:v>
                </c:pt>
                <c:pt idx="308">
                  <c:v>3.0409999999999999</c:v>
                </c:pt>
                <c:pt idx="309">
                  <c:v>2.9449999999999998</c:v>
                </c:pt>
                <c:pt idx="310">
                  <c:v>2.883</c:v>
                </c:pt>
                <c:pt idx="311">
                  <c:v>2.7719999999999998</c:v>
                </c:pt>
                <c:pt idx="312">
                  <c:v>2.7029999999999998</c:v>
                </c:pt>
                <c:pt idx="313">
                  <c:v>2.68</c:v>
                </c:pt>
                <c:pt idx="314">
                  <c:v>2.657</c:v>
                </c:pt>
                <c:pt idx="315">
                  <c:v>2.6720000000000002</c:v>
                </c:pt>
                <c:pt idx="316">
                  <c:v>2.798</c:v>
                </c:pt>
                <c:pt idx="317">
                  <c:v>2.8519999999999999</c:v>
                </c:pt>
                <c:pt idx="318">
                  <c:v>2.9590000000000001</c:v>
                </c:pt>
                <c:pt idx="319">
                  <c:v>2.9260000000000002</c:v>
                </c:pt>
                <c:pt idx="320">
                  <c:v>2.9550000000000001</c:v>
                </c:pt>
                <c:pt idx="321">
                  <c:v>3.1120000000000001</c:v>
                </c:pt>
                <c:pt idx="322">
                  <c:v>3.1669999999999998</c:v>
                </c:pt>
                <c:pt idx="323">
                  <c:v>3.2</c:v>
                </c:pt>
                <c:pt idx="324">
                  <c:v>3.258</c:v>
                </c:pt>
                <c:pt idx="325">
                  <c:v>3.2269999999999999</c:v>
                </c:pt>
                <c:pt idx="326">
                  <c:v>3.2629999999999999</c:v>
                </c:pt>
                <c:pt idx="327">
                  <c:v>3.137</c:v>
                </c:pt>
                <c:pt idx="328">
                  <c:v>3.1440000000000001</c:v>
                </c:pt>
                <c:pt idx="329">
                  <c:v>3.1440000000000001</c:v>
                </c:pt>
                <c:pt idx="330">
                  <c:v>3.2069999999999999</c:v>
                </c:pt>
                <c:pt idx="331">
                  <c:v>3.153</c:v>
                </c:pt>
                <c:pt idx="332">
                  <c:v>3.0150000000000001</c:v>
                </c:pt>
                <c:pt idx="333">
                  <c:v>2.9510000000000001</c:v>
                </c:pt>
                <c:pt idx="334">
                  <c:v>2.9140000000000001</c:v>
                </c:pt>
                <c:pt idx="335">
                  <c:v>2.923</c:v>
                </c:pt>
                <c:pt idx="336">
                  <c:v>3.0390000000000001</c:v>
                </c:pt>
                <c:pt idx="337">
                  <c:v>3.0030000000000001</c:v>
                </c:pt>
                <c:pt idx="338">
                  <c:v>2.9279999999999999</c:v>
                </c:pt>
                <c:pt idx="339">
                  <c:v>2.883</c:v>
                </c:pt>
                <c:pt idx="340">
                  <c:v>2.9390000000000001</c:v>
                </c:pt>
                <c:pt idx="341">
                  <c:v>3.0150000000000001</c:v>
                </c:pt>
                <c:pt idx="342">
                  <c:v>2.99</c:v>
                </c:pt>
                <c:pt idx="343">
                  <c:v>3.0649999999999999</c:v>
                </c:pt>
                <c:pt idx="344">
                  <c:v>3.089</c:v>
                </c:pt>
                <c:pt idx="345">
                  <c:v>3.1259999999999999</c:v>
                </c:pt>
                <c:pt idx="346">
                  <c:v>3.1789999999999998</c:v>
                </c:pt>
                <c:pt idx="347">
                  <c:v>3.2469999999999999</c:v>
                </c:pt>
                <c:pt idx="348">
                  <c:v>3.2839999999999998</c:v>
                </c:pt>
                <c:pt idx="349">
                  <c:v>3.206</c:v>
                </c:pt>
                <c:pt idx="350">
                  <c:v>3.0870000000000002</c:v>
                </c:pt>
                <c:pt idx="351">
                  <c:v>3.012</c:v>
                </c:pt>
                <c:pt idx="352">
                  <c:v>2.992</c:v>
                </c:pt>
                <c:pt idx="353">
                  <c:v>2.9180000000000001</c:v>
                </c:pt>
                <c:pt idx="354">
                  <c:v>2.9380000000000002</c:v>
                </c:pt>
                <c:pt idx="355">
                  <c:v>2.9620000000000002</c:v>
                </c:pt>
                <c:pt idx="356">
                  <c:v>2.8780000000000001</c:v>
                </c:pt>
                <c:pt idx="357">
                  <c:v>2.6930000000000001</c:v>
                </c:pt>
                <c:pt idx="358">
                  <c:v>2.7309999999999999</c:v>
                </c:pt>
                <c:pt idx="359">
                  <c:v>2.6859999999999999</c:v>
                </c:pt>
                <c:pt idx="360">
                  <c:v>2.7480000000000002</c:v>
                </c:pt>
                <c:pt idx="361">
                  <c:v>2.7349999999999999</c:v>
                </c:pt>
                <c:pt idx="362">
                  <c:v>2.74</c:v>
                </c:pt>
                <c:pt idx="363">
                  <c:v>2.7120000000000002</c:v>
                </c:pt>
                <c:pt idx="364">
                  <c:v>2.7549999999999999</c:v>
                </c:pt>
                <c:pt idx="365">
                  <c:v>2.7869999999999999</c:v>
                </c:pt>
                <c:pt idx="366">
                  <c:v>2.7949999999999999</c:v>
                </c:pt>
                <c:pt idx="367">
                  <c:v>2.7370000000000001</c:v>
                </c:pt>
                <c:pt idx="368">
                  <c:v>2.8119999999999998</c:v>
                </c:pt>
                <c:pt idx="369">
                  <c:v>2.8849999999999998</c:v>
                </c:pt>
                <c:pt idx="370">
                  <c:v>2.9430000000000001</c:v>
                </c:pt>
                <c:pt idx="371">
                  <c:v>2.9039999999999999</c:v>
                </c:pt>
                <c:pt idx="372">
                  <c:v>2.944</c:v>
                </c:pt>
                <c:pt idx="373">
                  <c:v>2.9169999999999998</c:v>
                </c:pt>
                <c:pt idx="374">
                  <c:v>2.9929999999999999</c:v>
                </c:pt>
                <c:pt idx="375">
                  <c:v>3.0179999999999998</c:v>
                </c:pt>
                <c:pt idx="376">
                  <c:v>3.0960000000000001</c:v>
                </c:pt>
                <c:pt idx="377">
                  <c:v>3.036</c:v>
                </c:pt>
                <c:pt idx="378">
                  <c:v>2.9809999999999999</c:v>
                </c:pt>
                <c:pt idx="379">
                  <c:v>2.91</c:v>
                </c:pt>
                <c:pt idx="380">
                  <c:v>2.8490000000000002</c:v>
                </c:pt>
                <c:pt idx="381">
                  <c:v>2.8570000000000002</c:v>
                </c:pt>
                <c:pt idx="382">
                  <c:v>2.915</c:v>
                </c:pt>
                <c:pt idx="383">
                  <c:v>2.9020000000000001</c:v>
                </c:pt>
                <c:pt idx="384">
                  <c:v>2.8519999999999999</c:v>
                </c:pt>
                <c:pt idx="385">
                  <c:v>2.875</c:v>
                </c:pt>
                <c:pt idx="386">
                  <c:v>2.7530000000000001</c:v>
                </c:pt>
                <c:pt idx="387">
                  <c:v>2.7919999999999998</c:v>
                </c:pt>
                <c:pt idx="388">
                  <c:v>2.859</c:v>
                </c:pt>
                <c:pt idx="389">
                  <c:v>2.9420000000000002</c:v>
                </c:pt>
                <c:pt idx="390">
                  <c:v>2.952</c:v>
                </c:pt>
                <c:pt idx="391">
                  <c:v>2.9089999999999998</c:v>
                </c:pt>
                <c:pt idx="392">
                  <c:v>2.9279999999999999</c:v>
                </c:pt>
                <c:pt idx="393">
                  <c:v>3.0249999999999999</c:v>
                </c:pt>
                <c:pt idx="394">
                  <c:v>2.96</c:v>
                </c:pt>
                <c:pt idx="395">
                  <c:v>2.9079999999999999</c:v>
                </c:pt>
                <c:pt idx="396">
                  <c:v>2.9119999999999999</c:v>
                </c:pt>
                <c:pt idx="397">
                  <c:v>2.9409999999999998</c:v>
                </c:pt>
                <c:pt idx="398">
                  <c:v>2.93</c:v>
                </c:pt>
                <c:pt idx="399">
                  <c:v>2.8809999999999998</c:v>
                </c:pt>
                <c:pt idx="400">
                  <c:v>2.976</c:v>
                </c:pt>
                <c:pt idx="401">
                  <c:v>3.0470000000000002</c:v>
                </c:pt>
                <c:pt idx="402">
                  <c:v>2.972</c:v>
                </c:pt>
                <c:pt idx="403">
                  <c:v>2.992</c:v>
                </c:pt>
                <c:pt idx="404">
                  <c:v>2.895</c:v>
                </c:pt>
                <c:pt idx="405">
                  <c:v>2.8319999999999999</c:v>
                </c:pt>
                <c:pt idx="406">
                  <c:v>2.8479999999999999</c:v>
                </c:pt>
                <c:pt idx="407">
                  <c:v>2.8330000000000002</c:v>
                </c:pt>
                <c:pt idx="408">
                  <c:v>2.863</c:v>
                </c:pt>
                <c:pt idx="409">
                  <c:v>2.931</c:v>
                </c:pt>
                <c:pt idx="410">
                  <c:v>2.9350000000000001</c:v>
                </c:pt>
                <c:pt idx="411">
                  <c:v>2.8690000000000002</c:v>
                </c:pt>
                <c:pt idx="412">
                  <c:v>2.843</c:v>
                </c:pt>
                <c:pt idx="413">
                  <c:v>2.8889999999999998</c:v>
                </c:pt>
                <c:pt idx="414">
                  <c:v>2.8860000000000001</c:v>
                </c:pt>
                <c:pt idx="415">
                  <c:v>2.8530000000000002</c:v>
                </c:pt>
                <c:pt idx="416">
                  <c:v>2.7989999999999999</c:v>
                </c:pt>
                <c:pt idx="417">
                  <c:v>2.8490000000000002</c:v>
                </c:pt>
                <c:pt idx="418">
                  <c:v>2.9460000000000002</c:v>
                </c:pt>
                <c:pt idx="419">
                  <c:v>2.94</c:v>
                </c:pt>
                <c:pt idx="420">
                  <c:v>2.8450000000000002</c:v>
                </c:pt>
                <c:pt idx="421">
                  <c:v>2.7930000000000001</c:v>
                </c:pt>
                <c:pt idx="422">
                  <c:v>2.794</c:v>
                </c:pt>
                <c:pt idx="423">
                  <c:v>2.8290000000000002</c:v>
                </c:pt>
                <c:pt idx="424">
                  <c:v>2.8420000000000001</c:v>
                </c:pt>
                <c:pt idx="425">
                  <c:v>2.8380000000000001</c:v>
                </c:pt>
                <c:pt idx="426">
                  <c:v>2.84</c:v>
                </c:pt>
                <c:pt idx="427">
                  <c:v>2.8149999999999999</c:v>
                </c:pt>
                <c:pt idx="428">
                  <c:v>2.8660000000000001</c:v>
                </c:pt>
                <c:pt idx="429">
                  <c:v>2.8410000000000002</c:v>
                </c:pt>
                <c:pt idx="430">
                  <c:v>2.76</c:v>
                </c:pt>
                <c:pt idx="431">
                  <c:v>2.7050000000000001</c:v>
                </c:pt>
                <c:pt idx="432">
                  <c:v>2.6640000000000001</c:v>
                </c:pt>
                <c:pt idx="433">
                  <c:v>2.6259999999999999</c:v>
                </c:pt>
                <c:pt idx="434">
                  <c:v>2.5190000000000001</c:v>
                </c:pt>
                <c:pt idx="435">
                  <c:v>2.4279999999999999</c:v>
                </c:pt>
                <c:pt idx="436">
                  <c:v>2.4020000000000001</c:v>
                </c:pt>
                <c:pt idx="437">
                  <c:v>2.4039999999999999</c:v>
                </c:pt>
                <c:pt idx="438">
                  <c:v>2.395</c:v>
                </c:pt>
                <c:pt idx="439">
                  <c:v>2.3140000000000001</c:v>
                </c:pt>
                <c:pt idx="440">
                  <c:v>2.266</c:v>
                </c:pt>
                <c:pt idx="441">
                  <c:v>2.1909999999999998</c:v>
                </c:pt>
                <c:pt idx="442">
                  <c:v>2.0299999999999998</c:v>
                </c:pt>
                <c:pt idx="443">
                  <c:v>1.8720000000000001</c:v>
                </c:pt>
                <c:pt idx="444">
                  <c:v>1.7609999999999999</c:v>
                </c:pt>
                <c:pt idx="445">
                  <c:v>1.6339999999999999</c:v>
                </c:pt>
                <c:pt idx="446">
                  <c:v>1.5820000000000001</c:v>
                </c:pt>
                <c:pt idx="447">
                  <c:v>1.532</c:v>
                </c:pt>
                <c:pt idx="448">
                  <c:v>1.452</c:v>
                </c:pt>
                <c:pt idx="449">
                  <c:v>1.4850000000000001</c:v>
                </c:pt>
                <c:pt idx="450">
                  <c:v>1.4990000000000001</c:v>
                </c:pt>
                <c:pt idx="451">
                  <c:v>1.679</c:v>
                </c:pt>
                <c:pt idx="452">
                  <c:v>1.7649999999999999</c:v>
                </c:pt>
                <c:pt idx="453">
                  <c:v>1.8049999999999999</c:v>
                </c:pt>
                <c:pt idx="454">
                  <c:v>1.7789999999999999</c:v>
                </c:pt>
                <c:pt idx="455">
                  <c:v>1.7509999999999999</c:v>
                </c:pt>
                <c:pt idx="456">
                  <c:v>1.6439999999999999</c:v>
                </c:pt>
                <c:pt idx="457">
                  <c:v>1.569</c:v>
                </c:pt>
                <c:pt idx="458">
                  <c:v>1.569</c:v>
                </c:pt>
                <c:pt idx="459">
                  <c:v>1.575</c:v>
                </c:pt>
                <c:pt idx="460">
                  <c:v>1.613</c:v>
                </c:pt>
                <c:pt idx="461">
                  <c:v>1.7230000000000001</c:v>
                </c:pt>
                <c:pt idx="462">
                  <c:v>1.7509999999999999</c:v>
                </c:pt>
                <c:pt idx="463">
                  <c:v>1.806</c:v>
                </c:pt>
                <c:pt idx="464">
                  <c:v>1.88</c:v>
                </c:pt>
                <c:pt idx="465">
                  <c:v>1.8819999999999999</c:v>
                </c:pt>
                <c:pt idx="466">
                  <c:v>1.8360000000000001</c:v>
                </c:pt>
                <c:pt idx="467">
                  <c:v>1.7829999999999999</c:v>
                </c:pt>
                <c:pt idx="468">
                  <c:v>1.7649999999999999</c:v>
                </c:pt>
                <c:pt idx="469">
                  <c:v>1.746</c:v>
                </c:pt>
                <c:pt idx="470">
                  <c:v>1.732</c:v>
                </c:pt>
                <c:pt idx="471">
                  <c:v>1.698</c:v>
                </c:pt>
                <c:pt idx="472">
                  <c:v>1.696</c:v>
                </c:pt>
                <c:pt idx="473">
                  <c:v>1.575</c:v>
                </c:pt>
                <c:pt idx="474">
                  <c:v>1.5369999999999999</c:v>
                </c:pt>
                <c:pt idx="475">
                  <c:v>1.5229999999999999</c:v>
                </c:pt>
                <c:pt idx="476">
                  <c:v>1.4730000000000001</c:v>
                </c:pt>
                <c:pt idx="477">
                  <c:v>1.419</c:v>
                </c:pt>
                <c:pt idx="478">
                  <c:v>1.4390000000000001</c:v>
                </c:pt>
                <c:pt idx="479">
                  <c:v>1.3660000000000001</c:v>
                </c:pt>
                <c:pt idx="480">
                  <c:v>1.3089999999999999</c:v>
                </c:pt>
                <c:pt idx="481">
                  <c:v>1.45</c:v>
                </c:pt>
                <c:pt idx="482">
                  <c:v>1.41</c:v>
                </c:pt>
                <c:pt idx="483">
                  <c:v>1.3560000000000001</c:v>
                </c:pt>
                <c:pt idx="484">
                  <c:v>1.3839999999999999</c:v>
                </c:pt>
                <c:pt idx="485">
                  <c:v>1.3979999999999999</c:v>
                </c:pt>
                <c:pt idx="486">
                  <c:v>1.46</c:v>
                </c:pt>
                <c:pt idx="487">
                  <c:v>1.3540000000000001</c:v>
                </c:pt>
                <c:pt idx="488">
                  <c:v>1.36</c:v>
                </c:pt>
                <c:pt idx="489">
                  <c:v>1.3839999999999999</c:v>
                </c:pt>
                <c:pt idx="490">
                  <c:v>1.4259999999999999</c:v>
                </c:pt>
                <c:pt idx="491">
                  <c:v>1.3420000000000001</c:v>
                </c:pt>
                <c:pt idx="492">
                  <c:v>1.2709999999999999</c:v>
                </c:pt>
                <c:pt idx="493">
                  <c:v>1.2829999999999999</c:v>
                </c:pt>
                <c:pt idx="494">
                  <c:v>1.226</c:v>
                </c:pt>
                <c:pt idx="495">
                  <c:v>1.141</c:v>
                </c:pt>
                <c:pt idx="496">
                  <c:v>1.0069999999999999</c:v>
                </c:pt>
                <c:pt idx="497">
                  <c:v>1.0289999999999999</c:v>
                </c:pt>
                <c:pt idx="498">
                  <c:v>1.0269999999999999</c:v>
                </c:pt>
                <c:pt idx="499">
                  <c:v>0.999</c:v>
                </c:pt>
                <c:pt idx="500">
                  <c:v>0.89900000000000002</c:v>
                </c:pt>
                <c:pt idx="501">
                  <c:v>0.85399999999999998</c:v>
                </c:pt>
                <c:pt idx="502">
                  <c:v>0.94899999999999995</c:v>
                </c:pt>
                <c:pt idx="503">
                  <c:v>1.004</c:v>
                </c:pt>
                <c:pt idx="504">
                  <c:v>0.96699999999999997</c:v>
                </c:pt>
                <c:pt idx="505">
                  <c:v>0.98499999999999999</c:v>
                </c:pt>
                <c:pt idx="506">
                  <c:v>0.93300000000000005</c:v>
                </c:pt>
                <c:pt idx="507">
                  <c:v>1.0069999999999999</c:v>
                </c:pt>
                <c:pt idx="508">
                  <c:v>1.091</c:v>
                </c:pt>
                <c:pt idx="509">
                  <c:v>1.093</c:v>
                </c:pt>
                <c:pt idx="510">
                  <c:v>1.093</c:v>
                </c:pt>
                <c:pt idx="511">
                  <c:v>1.032</c:v>
                </c:pt>
                <c:pt idx="512">
                  <c:v>1.0189999999999999</c:v>
                </c:pt>
                <c:pt idx="513">
                  <c:v>1.147</c:v>
                </c:pt>
                <c:pt idx="514">
                  <c:v>1.17</c:v>
                </c:pt>
                <c:pt idx="515">
                  <c:v>1.2809999999999999</c:v>
                </c:pt>
                <c:pt idx="516">
                  <c:v>1.204</c:v>
                </c:pt>
                <c:pt idx="517">
                  <c:v>1.2370000000000001</c:v>
                </c:pt>
                <c:pt idx="518">
                  <c:v>1.3560000000000001</c:v>
                </c:pt>
                <c:pt idx="519">
                  <c:v>1.3720000000000001</c:v>
                </c:pt>
                <c:pt idx="520">
                  <c:v>1.369</c:v>
                </c:pt>
                <c:pt idx="521">
                  <c:v>1.4119999999999999</c:v>
                </c:pt>
                <c:pt idx="522">
                  <c:v>1.355</c:v>
                </c:pt>
                <c:pt idx="523">
                  <c:v>1.387</c:v>
                </c:pt>
                <c:pt idx="524">
                  <c:v>1.389</c:v>
                </c:pt>
                <c:pt idx="525">
                  <c:v>1.35</c:v>
                </c:pt>
                <c:pt idx="526">
                  <c:v>1.2929999999999999</c:v>
                </c:pt>
                <c:pt idx="527">
                  <c:v>1.2490000000000001</c:v>
                </c:pt>
                <c:pt idx="528">
                  <c:v>1.167</c:v>
                </c:pt>
                <c:pt idx="529">
                  <c:v>1.1579999999999999</c:v>
                </c:pt>
                <c:pt idx="530">
                  <c:v>1.226</c:v>
                </c:pt>
                <c:pt idx="531">
                  <c:v>1.359</c:v>
                </c:pt>
                <c:pt idx="532">
                  <c:v>1.393</c:v>
                </c:pt>
                <c:pt idx="533">
                  <c:v>1.333</c:v>
                </c:pt>
                <c:pt idx="534">
                  <c:v>1.319</c:v>
                </c:pt>
                <c:pt idx="535">
                  <c:v>1.3069999999999999</c:v>
                </c:pt>
                <c:pt idx="536">
                  <c:v>1.3049999999999999</c:v>
                </c:pt>
                <c:pt idx="537">
                  <c:v>1.361</c:v>
                </c:pt>
                <c:pt idx="538">
                  <c:v>1.4630000000000001</c:v>
                </c:pt>
                <c:pt idx="539">
                  <c:v>1.466</c:v>
                </c:pt>
                <c:pt idx="540">
                  <c:v>1.46</c:v>
                </c:pt>
                <c:pt idx="541">
                  <c:v>1.45</c:v>
                </c:pt>
                <c:pt idx="542">
                  <c:v>1.3680000000000001</c:v>
                </c:pt>
                <c:pt idx="543">
                  <c:v>1.319</c:v>
                </c:pt>
                <c:pt idx="544">
                  <c:v>1.3149999999999999</c:v>
                </c:pt>
                <c:pt idx="545">
                  <c:v>1.4039999999999999</c:v>
                </c:pt>
                <c:pt idx="546">
                  <c:v>1.4330000000000001</c:v>
                </c:pt>
                <c:pt idx="547">
                  <c:v>1.444</c:v>
                </c:pt>
                <c:pt idx="548">
                  <c:v>1.4870000000000001</c:v>
                </c:pt>
                <c:pt idx="549">
                  <c:v>1.496</c:v>
                </c:pt>
                <c:pt idx="550">
                  <c:v>1.5389999999999999</c:v>
                </c:pt>
                <c:pt idx="551">
                  <c:v>1.5389999999999999</c:v>
                </c:pt>
                <c:pt idx="552">
                  <c:v>1.506</c:v>
                </c:pt>
                <c:pt idx="553">
                  <c:v>1.5049999999999999</c:v>
                </c:pt>
                <c:pt idx="554">
                  <c:v>1.5129999999999999</c:v>
                </c:pt>
                <c:pt idx="555">
                  <c:v>1.518</c:v>
                </c:pt>
                <c:pt idx="556">
                  <c:v>1.5289999999999999</c:v>
                </c:pt>
                <c:pt idx="557">
                  <c:v>1.552</c:v>
                </c:pt>
                <c:pt idx="558">
                  <c:v>1.5660000000000001</c:v>
                </c:pt>
                <c:pt idx="559">
                  <c:v>1.5269999999999999</c:v>
                </c:pt>
                <c:pt idx="560">
                  <c:v>1.4850000000000001</c:v>
                </c:pt>
                <c:pt idx="561">
                  <c:v>1.401</c:v>
                </c:pt>
                <c:pt idx="562">
                  <c:v>1.409</c:v>
                </c:pt>
                <c:pt idx="563">
                  <c:v>1.45</c:v>
                </c:pt>
                <c:pt idx="564">
                  <c:v>1.512</c:v>
                </c:pt>
                <c:pt idx="565">
                  <c:v>1.5680000000000001</c:v>
                </c:pt>
                <c:pt idx="566">
                  <c:v>1.5109999999999999</c:v>
                </c:pt>
                <c:pt idx="567">
                  <c:v>1.448</c:v>
                </c:pt>
                <c:pt idx="568">
                  <c:v>1.3640000000000001</c:v>
                </c:pt>
                <c:pt idx="569">
                  <c:v>1.369</c:v>
                </c:pt>
                <c:pt idx="570">
                  <c:v>1.4259999999999999</c:v>
                </c:pt>
                <c:pt idx="571">
                  <c:v>1.478</c:v>
                </c:pt>
                <c:pt idx="572">
                  <c:v>1.4039999999999999</c:v>
                </c:pt>
                <c:pt idx="573">
                  <c:v>1.302</c:v>
                </c:pt>
                <c:pt idx="574">
                  <c:v>1.29</c:v>
                </c:pt>
                <c:pt idx="575">
                  <c:v>1.2549999999999999</c:v>
                </c:pt>
                <c:pt idx="576">
                  <c:v>1.3069999999999999</c:v>
                </c:pt>
                <c:pt idx="577">
                  <c:v>1.3520000000000001</c:v>
                </c:pt>
                <c:pt idx="578">
                  <c:v>1.361</c:v>
                </c:pt>
                <c:pt idx="579">
                  <c:v>1.425</c:v>
                </c:pt>
                <c:pt idx="580">
                  <c:v>1.4970000000000001</c:v>
                </c:pt>
                <c:pt idx="581">
                  <c:v>1.5509999999999999</c:v>
                </c:pt>
                <c:pt idx="582">
                  <c:v>1.536</c:v>
                </c:pt>
                <c:pt idx="583">
                  <c:v>1.5009999999999999</c:v>
                </c:pt>
                <c:pt idx="584">
                  <c:v>1.546</c:v>
                </c:pt>
                <c:pt idx="585">
                  <c:v>1.7589999999999999</c:v>
                </c:pt>
                <c:pt idx="586">
                  <c:v>1.954</c:v>
                </c:pt>
                <c:pt idx="587">
                  <c:v>1.774</c:v>
                </c:pt>
                <c:pt idx="588">
                  <c:v>1.724</c:v>
                </c:pt>
                <c:pt idx="589">
                  <c:v>1.7070000000000001</c:v>
                </c:pt>
                <c:pt idx="590">
                  <c:v>1.645</c:v>
                </c:pt>
                <c:pt idx="591">
                  <c:v>1.64</c:v>
                </c:pt>
                <c:pt idx="592">
                  <c:v>1.651</c:v>
                </c:pt>
                <c:pt idx="593">
                  <c:v>1.6759999999999999</c:v>
                </c:pt>
                <c:pt idx="594">
                  <c:v>1.706</c:v>
                </c:pt>
                <c:pt idx="595">
                  <c:v>1.7789999999999999</c:v>
                </c:pt>
                <c:pt idx="596">
                  <c:v>1.744</c:v>
                </c:pt>
                <c:pt idx="597">
                  <c:v>1.7749999999999999</c:v>
                </c:pt>
                <c:pt idx="598">
                  <c:v>1.782</c:v>
                </c:pt>
                <c:pt idx="599">
                  <c:v>1.768</c:v>
                </c:pt>
                <c:pt idx="600">
                  <c:v>1.8009999999999999</c:v>
                </c:pt>
                <c:pt idx="601">
                  <c:v>1.8149999999999999</c:v>
                </c:pt>
                <c:pt idx="602">
                  <c:v>1.891</c:v>
                </c:pt>
                <c:pt idx="603">
                  <c:v>1.923</c:v>
                </c:pt>
                <c:pt idx="604">
                  <c:v>1.946</c:v>
                </c:pt>
                <c:pt idx="605">
                  <c:v>1.9279999999999999</c:v>
                </c:pt>
                <c:pt idx="606">
                  <c:v>1.9950000000000001</c:v>
                </c:pt>
                <c:pt idx="607">
                  <c:v>1.9730000000000001</c:v>
                </c:pt>
                <c:pt idx="608">
                  <c:v>1.8440000000000001</c:v>
                </c:pt>
                <c:pt idx="609">
                  <c:v>1.7809999999999999</c:v>
                </c:pt>
                <c:pt idx="610">
                  <c:v>1.8520000000000001</c:v>
                </c:pt>
                <c:pt idx="611">
                  <c:v>1.861</c:v>
                </c:pt>
                <c:pt idx="612">
                  <c:v>1.81</c:v>
                </c:pt>
                <c:pt idx="613">
                  <c:v>1.7989999999999999</c:v>
                </c:pt>
                <c:pt idx="614">
                  <c:v>1.889</c:v>
                </c:pt>
                <c:pt idx="615">
                  <c:v>1.9490000000000001</c:v>
                </c:pt>
                <c:pt idx="616">
                  <c:v>1.919</c:v>
                </c:pt>
                <c:pt idx="617">
                  <c:v>2.0169999999999999</c:v>
                </c:pt>
                <c:pt idx="618">
                  <c:v>2.0350000000000001</c:v>
                </c:pt>
                <c:pt idx="619">
                  <c:v>2.073</c:v>
                </c:pt>
                <c:pt idx="620">
                  <c:v>2.0760000000000001</c:v>
                </c:pt>
                <c:pt idx="621">
                  <c:v>2.1480000000000001</c:v>
                </c:pt>
                <c:pt idx="622">
                  <c:v>2.202</c:v>
                </c:pt>
                <c:pt idx="623">
                  <c:v>2.1920000000000002</c:v>
                </c:pt>
                <c:pt idx="624">
                  <c:v>2.1379999999999999</c:v>
                </c:pt>
                <c:pt idx="625">
                  <c:v>2.105</c:v>
                </c:pt>
                <c:pt idx="626">
                  <c:v>2.097</c:v>
                </c:pt>
                <c:pt idx="627">
                  <c:v>2.0489999999999999</c:v>
                </c:pt>
                <c:pt idx="628">
                  <c:v>2.1</c:v>
                </c:pt>
                <c:pt idx="629">
                  <c:v>2.1120000000000001</c:v>
                </c:pt>
                <c:pt idx="630">
                  <c:v>2.1179999999999999</c:v>
                </c:pt>
                <c:pt idx="631">
                  <c:v>2.0419999999999998</c:v>
                </c:pt>
                <c:pt idx="632">
                  <c:v>2.11</c:v>
                </c:pt>
                <c:pt idx="633">
                  <c:v>2.1040000000000001</c:v>
                </c:pt>
                <c:pt idx="634">
                  <c:v>2.0960000000000001</c:v>
                </c:pt>
                <c:pt idx="635">
                  <c:v>2.0760000000000001</c:v>
                </c:pt>
                <c:pt idx="636">
                  <c:v>2.1190000000000002</c:v>
                </c:pt>
                <c:pt idx="637">
                  <c:v>2.1949999999999998</c:v>
                </c:pt>
                <c:pt idx="638">
                  <c:v>2.1829999999999998</c:v>
                </c:pt>
                <c:pt idx="639">
                  <c:v>2.1850000000000001</c:v>
                </c:pt>
                <c:pt idx="640">
                  <c:v>2.1539999999999999</c:v>
                </c:pt>
                <c:pt idx="641">
                  <c:v>2.2349999999999999</c:v>
                </c:pt>
                <c:pt idx="642">
                  <c:v>2.3199999999999998</c:v>
                </c:pt>
                <c:pt idx="643">
                  <c:v>2.2890000000000001</c:v>
                </c:pt>
                <c:pt idx="644">
                  <c:v>2.234</c:v>
                </c:pt>
                <c:pt idx="645">
                  <c:v>2.1960000000000002</c:v>
                </c:pt>
                <c:pt idx="646">
                  <c:v>2.1440000000000001</c:v>
                </c:pt>
                <c:pt idx="647">
                  <c:v>2.0979999999999999</c:v>
                </c:pt>
                <c:pt idx="648">
                  <c:v>1.974</c:v>
                </c:pt>
                <c:pt idx="649">
                  <c:v>1.889</c:v>
                </c:pt>
                <c:pt idx="650">
                  <c:v>1.7549999999999999</c:v>
                </c:pt>
                <c:pt idx="651">
                  <c:v>1.7849999999999999</c:v>
                </c:pt>
                <c:pt idx="652">
                  <c:v>1.7509999999999999</c:v>
                </c:pt>
                <c:pt idx="653">
                  <c:v>1.6659999999999999</c:v>
                </c:pt>
                <c:pt idx="654">
                  <c:v>1.6080000000000001</c:v>
                </c:pt>
                <c:pt idx="655">
                  <c:v>1.621</c:v>
                </c:pt>
                <c:pt idx="656">
                  <c:v>1.7929999999999999</c:v>
                </c:pt>
                <c:pt idx="657">
                  <c:v>1.8120000000000001</c:v>
                </c:pt>
                <c:pt idx="658">
                  <c:v>1.8220000000000001</c:v>
                </c:pt>
                <c:pt idx="659">
                  <c:v>1.8420000000000001</c:v>
                </c:pt>
                <c:pt idx="660">
                  <c:v>1.861</c:v>
                </c:pt>
                <c:pt idx="661">
                  <c:v>1.8959999999999999</c:v>
                </c:pt>
                <c:pt idx="662">
                  <c:v>1.978</c:v>
                </c:pt>
                <c:pt idx="663">
                  <c:v>1.9339999999999999</c:v>
                </c:pt>
                <c:pt idx="664">
                  <c:v>1.9059999999999999</c:v>
                </c:pt>
                <c:pt idx="665">
                  <c:v>1.893</c:v>
                </c:pt>
                <c:pt idx="666">
                  <c:v>1.9</c:v>
                </c:pt>
                <c:pt idx="667">
                  <c:v>1.903</c:v>
                </c:pt>
                <c:pt idx="668">
                  <c:v>1.9359999999999999</c:v>
                </c:pt>
                <c:pt idx="669">
                  <c:v>1.9810000000000001</c:v>
                </c:pt>
                <c:pt idx="670">
                  <c:v>1.982</c:v>
                </c:pt>
                <c:pt idx="671">
                  <c:v>2.0099999999999998</c:v>
                </c:pt>
                <c:pt idx="672">
                  <c:v>1.984</c:v>
                </c:pt>
                <c:pt idx="673">
                  <c:v>1.982</c:v>
                </c:pt>
                <c:pt idx="674">
                  <c:v>2.0219999999999998</c:v>
                </c:pt>
                <c:pt idx="675">
                  <c:v>1.978</c:v>
                </c:pt>
                <c:pt idx="676">
                  <c:v>1.8959999999999999</c:v>
                </c:pt>
                <c:pt idx="677">
                  <c:v>1.772</c:v>
                </c:pt>
                <c:pt idx="678">
                  <c:v>1.778</c:v>
                </c:pt>
                <c:pt idx="679">
                  <c:v>1.82</c:v>
                </c:pt>
                <c:pt idx="680">
                  <c:v>1.897</c:v>
                </c:pt>
                <c:pt idx="681">
                  <c:v>1.883</c:v>
                </c:pt>
                <c:pt idx="682">
                  <c:v>1.9490000000000001</c:v>
                </c:pt>
                <c:pt idx="683">
                  <c:v>1.903</c:v>
                </c:pt>
                <c:pt idx="684">
                  <c:v>1.9039999999999999</c:v>
                </c:pt>
                <c:pt idx="685">
                  <c:v>1.905</c:v>
                </c:pt>
                <c:pt idx="686">
                  <c:v>1.774</c:v>
                </c:pt>
                <c:pt idx="687">
                  <c:v>1.788</c:v>
                </c:pt>
                <c:pt idx="688">
                  <c:v>1.8109999999999999</c:v>
                </c:pt>
                <c:pt idx="689">
                  <c:v>1.806</c:v>
                </c:pt>
                <c:pt idx="690">
                  <c:v>1.8149999999999999</c:v>
                </c:pt>
                <c:pt idx="691">
                  <c:v>1.833</c:v>
                </c:pt>
                <c:pt idx="692">
                  <c:v>1.9410000000000001</c:v>
                </c:pt>
                <c:pt idx="693">
                  <c:v>1.911</c:v>
                </c:pt>
                <c:pt idx="694">
                  <c:v>1.839</c:v>
                </c:pt>
                <c:pt idx="695">
                  <c:v>1.86</c:v>
                </c:pt>
                <c:pt idx="696">
                  <c:v>1.861</c:v>
                </c:pt>
                <c:pt idx="697">
                  <c:v>1.8959999999999999</c:v>
                </c:pt>
                <c:pt idx="698">
                  <c:v>1.847</c:v>
                </c:pt>
                <c:pt idx="699">
                  <c:v>1.835</c:v>
                </c:pt>
                <c:pt idx="700">
                  <c:v>1.8149999999999999</c:v>
                </c:pt>
                <c:pt idx="701">
                  <c:v>1.788</c:v>
                </c:pt>
                <c:pt idx="702">
                  <c:v>1.853</c:v>
                </c:pt>
                <c:pt idx="703">
                  <c:v>1.821</c:v>
                </c:pt>
                <c:pt idx="704">
                  <c:v>1.843</c:v>
                </c:pt>
                <c:pt idx="705">
                  <c:v>1.9179999999999999</c:v>
                </c:pt>
                <c:pt idx="706">
                  <c:v>1.9650000000000001</c:v>
                </c:pt>
                <c:pt idx="707">
                  <c:v>1.9530000000000001</c:v>
                </c:pt>
                <c:pt idx="708">
                  <c:v>1.9019999999999999</c:v>
                </c:pt>
                <c:pt idx="709">
                  <c:v>1.796</c:v>
                </c:pt>
                <c:pt idx="710">
                  <c:v>1.704</c:v>
                </c:pt>
                <c:pt idx="711">
                  <c:v>1.589</c:v>
                </c:pt>
                <c:pt idx="712">
                  <c:v>1.4990000000000001</c:v>
                </c:pt>
                <c:pt idx="713">
                  <c:v>1.544</c:v>
                </c:pt>
                <c:pt idx="714">
                  <c:v>1.577</c:v>
                </c:pt>
                <c:pt idx="715">
                  <c:v>1.431</c:v>
                </c:pt>
                <c:pt idx="716">
                  <c:v>1.3919999999999999</c:v>
                </c:pt>
                <c:pt idx="717">
                  <c:v>1.026</c:v>
                </c:pt>
                <c:pt idx="718">
                  <c:v>0.77800000000000002</c:v>
                </c:pt>
                <c:pt idx="719">
                  <c:v>0.71399999999999997</c:v>
                </c:pt>
                <c:pt idx="720">
                  <c:v>0.71699999999999997</c:v>
                </c:pt>
                <c:pt idx="721">
                  <c:v>0.72899999999999998</c:v>
                </c:pt>
                <c:pt idx="722">
                  <c:v>0.66300000000000003</c:v>
                </c:pt>
                <c:pt idx="723">
                  <c:v>0.502</c:v>
                </c:pt>
                <c:pt idx="724">
                  <c:v>0.46100000000000002</c:v>
                </c:pt>
                <c:pt idx="725">
                  <c:v>0.53600000000000003</c:v>
                </c:pt>
                <c:pt idx="726">
                  <c:v>0.65</c:v>
                </c:pt>
                <c:pt idx="727">
                  <c:v>0.81100000000000005</c:v>
                </c:pt>
                <c:pt idx="728">
                  <c:v>0.81399999999999995</c:v>
                </c:pt>
                <c:pt idx="729">
                  <c:v>0.90100000000000002</c:v>
                </c:pt>
                <c:pt idx="730">
                  <c:v>0.95499999999999996</c:v>
                </c:pt>
                <c:pt idx="731">
                  <c:v>1.042</c:v>
                </c:pt>
                <c:pt idx="732">
                  <c:v>1.022</c:v>
                </c:pt>
                <c:pt idx="733">
                  <c:v>1.0229999999999999</c:v>
                </c:pt>
                <c:pt idx="734">
                  <c:v>1.073</c:v>
                </c:pt>
                <c:pt idx="735">
                  <c:v>1.0740000000000001</c:v>
                </c:pt>
                <c:pt idx="736">
                  <c:v>1.1060000000000001</c:v>
                </c:pt>
                <c:pt idx="737">
                  <c:v>1.1040000000000001</c:v>
                </c:pt>
                <c:pt idx="738">
                  <c:v>1.111</c:v>
                </c:pt>
                <c:pt idx="739">
                  <c:v>1.1100000000000001</c:v>
                </c:pt>
                <c:pt idx="740">
                  <c:v>1.1020000000000001</c:v>
                </c:pt>
                <c:pt idx="741">
                  <c:v>1.1279999999999999</c:v>
                </c:pt>
                <c:pt idx="742">
                  <c:v>1.0740000000000001</c:v>
                </c:pt>
                <c:pt idx="743">
                  <c:v>0.98399999999999999</c:v>
                </c:pt>
                <c:pt idx="744">
                  <c:v>1.0109999999999999</c:v>
                </c:pt>
                <c:pt idx="745">
                  <c:v>0.97299999999999998</c:v>
                </c:pt>
                <c:pt idx="746">
                  <c:v>0.995</c:v>
                </c:pt>
                <c:pt idx="747">
                  <c:v>1.0669999999999999</c:v>
                </c:pt>
                <c:pt idx="748">
                  <c:v>1.0760000000000001</c:v>
                </c:pt>
                <c:pt idx="749">
                  <c:v>1.06</c:v>
                </c:pt>
                <c:pt idx="750">
                  <c:v>1.012</c:v>
                </c:pt>
                <c:pt idx="751">
                  <c:v>1.05</c:v>
                </c:pt>
                <c:pt idx="752">
                  <c:v>1.1299999999999999</c:v>
                </c:pt>
                <c:pt idx="753">
                  <c:v>1.1359999999999999</c:v>
                </c:pt>
                <c:pt idx="754">
                  <c:v>1.2330000000000001</c:v>
                </c:pt>
                <c:pt idx="755">
                  <c:v>1.26</c:v>
                </c:pt>
                <c:pt idx="756">
                  <c:v>1.296</c:v>
                </c:pt>
                <c:pt idx="757">
                  <c:v>1.359</c:v>
                </c:pt>
                <c:pt idx="758">
                  <c:v>1.349</c:v>
                </c:pt>
                <c:pt idx="759">
                  <c:v>1.3480000000000001</c:v>
                </c:pt>
                <c:pt idx="760">
                  <c:v>1.373</c:v>
                </c:pt>
                <c:pt idx="761">
                  <c:v>1.4490000000000001</c:v>
                </c:pt>
                <c:pt idx="762">
                  <c:v>1.4379999999999999</c:v>
                </c:pt>
                <c:pt idx="763">
                  <c:v>1.4259999999999999</c:v>
                </c:pt>
                <c:pt idx="764">
                  <c:v>1.498</c:v>
                </c:pt>
                <c:pt idx="765">
                  <c:v>1.5680000000000001</c:v>
                </c:pt>
                <c:pt idx="766">
                  <c:v>1.633</c:v>
                </c:pt>
                <c:pt idx="767">
                  <c:v>1.7110000000000001</c:v>
                </c:pt>
                <c:pt idx="768">
                  <c:v>1.6850000000000001</c:v>
                </c:pt>
                <c:pt idx="769">
                  <c:v>1.7310000000000001</c:v>
                </c:pt>
                <c:pt idx="770">
                  <c:v>1.673</c:v>
                </c:pt>
                <c:pt idx="771">
                  <c:v>1.599</c:v>
                </c:pt>
                <c:pt idx="772">
                  <c:v>1.5980000000000001</c:v>
                </c:pt>
                <c:pt idx="773">
                  <c:v>1.639</c:v>
                </c:pt>
                <c:pt idx="774">
                  <c:v>1.6719999999999999</c:v>
                </c:pt>
                <c:pt idx="775">
                  <c:v>1.6719999999999999</c:v>
                </c:pt>
                <c:pt idx="776">
                  <c:v>1.704</c:v>
                </c:pt>
                <c:pt idx="777">
                  <c:v>1.748</c:v>
                </c:pt>
                <c:pt idx="778">
                  <c:v>1.768</c:v>
                </c:pt>
                <c:pt idx="779">
                  <c:v>1.732</c:v>
                </c:pt>
                <c:pt idx="780">
                  <c:v>1.762</c:v>
                </c:pt>
                <c:pt idx="781">
                  <c:v>1.8169999999999999</c:v>
                </c:pt>
                <c:pt idx="782">
                  <c:v>1.833</c:v>
                </c:pt>
                <c:pt idx="783">
                  <c:v>1.845</c:v>
                </c:pt>
                <c:pt idx="784">
                  <c:v>1.911</c:v>
                </c:pt>
                <c:pt idx="785">
                  <c:v>1.895</c:v>
                </c:pt>
                <c:pt idx="786">
                  <c:v>1.8720000000000001</c:v>
                </c:pt>
                <c:pt idx="787">
                  <c:v>1.9019999999999999</c:v>
                </c:pt>
                <c:pt idx="788">
                  <c:v>1.8420000000000001</c:v>
                </c:pt>
                <c:pt idx="789">
                  <c:v>1.9179999999999999</c:v>
                </c:pt>
                <c:pt idx="790">
                  <c:v>1.8320000000000001</c:v>
                </c:pt>
                <c:pt idx="791">
                  <c:v>1.819</c:v>
                </c:pt>
                <c:pt idx="792">
                  <c:v>1.7350000000000001</c:v>
                </c:pt>
                <c:pt idx="793">
                  <c:v>1.8420000000000001</c:v>
                </c:pt>
                <c:pt idx="794">
                  <c:v>1.927</c:v>
                </c:pt>
                <c:pt idx="795">
                  <c:v>1.91</c:v>
                </c:pt>
                <c:pt idx="796">
                  <c:v>1.996</c:v>
                </c:pt>
                <c:pt idx="797">
                  <c:v>2.0219999999999998</c:v>
                </c:pt>
                <c:pt idx="798">
                  <c:v>2.1429999999999998</c:v>
                </c:pt>
                <c:pt idx="799">
                  <c:v>2.2599999999999998</c:v>
                </c:pt>
                <c:pt idx="800">
                  <c:v>2.3290000000000002</c:v>
                </c:pt>
                <c:pt idx="801">
                  <c:v>2.3210000000000002</c:v>
                </c:pt>
                <c:pt idx="802">
                  <c:v>2.2999999999999998</c:v>
                </c:pt>
                <c:pt idx="803">
                  <c:v>2.2570000000000001</c:v>
                </c:pt>
                <c:pt idx="804">
                  <c:v>2.262</c:v>
                </c:pt>
                <c:pt idx="805">
                  <c:v>2.1800000000000002</c:v>
                </c:pt>
                <c:pt idx="806">
                  <c:v>2.1720000000000002</c:v>
                </c:pt>
                <c:pt idx="807">
                  <c:v>1.9179999999999999</c:v>
                </c:pt>
                <c:pt idx="808">
                  <c:v>2.0960000000000001</c:v>
                </c:pt>
                <c:pt idx="809">
                  <c:v>2.093</c:v>
                </c:pt>
                <c:pt idx="810">
                  <c:v>2.1070000000000002</c:v>
                </c:pt>
                <c:pt idx="811">
                  <c:v>2.1960000000000002</c:v>
                </c:pt>
                <c:pt idx="812">
                  <c:v>2.27</c:v>
                </c:pt>
                <c:pt idx="813">
                  <c:v>2.431</c:v>
                </c:pt>
                <c:pt idx="814">
                  <c:v>2.5249999999999999</c:v>
                </c:pt>
                <c:pt idx="815">
                  <c:v>2.5470000000000002</c:v>
                </c:pt>
                <c:pt idx="816">
                  <c:v>2.617</c:v>
                </c:pt>
                <c:pt idx="817">
                  <c:v>2.722</c:v>
                </c:pt>
                <c:pt idx="818">
                  <c:v>2.653</c:v>
                </c:pt>
                <c:pt idx="819">
                  <c:v>2.6779999999999999</c:v>
                </c:pt>
                <c:pt idx="820">
                  <c:v>3.2370000000000001</c:v>
                </c:pt>
                <c:pt idx="821">
                  <c:v>3.4750000000000001</c:v>
                </c:pt>
                <c:pt idx="822">
                  <c:v>3.1019999999999999</c:v>
                </c:pt>
                <c:pt idx="823">
                  <c:v>3.7690000000000001</c:v>
                </c:pt>
                <c:pt idx="824">
                  <c:v>3.79</c:v>
                </c:pt>
                <c:pt idx="825">
                  <c:v>3.5609999999999999</c:v>
                </c:pt>
                <c:pt idx="826">
                  <c:v>3.6040000000000001</c:v>
                </c:pt>
                <c:pt idx="827">
                  <c:v>3.859</c:v>
                </c:pt>
                <c:pt idx="828">
                  <c:v>4.6260000000000003</c:v>
                </c:pt>
                <c:pt idx="829">
                  <c:v>4.266</c:v>
                </c:pt>
                <c:pt idx="830">
                  <c:v>4.0419999999999998</c:v>
                </c:pt>
                <c:pt idx="831">
                  <c:v>3.6019999999999999</c:v>
                </c:pt>
                <c:pt idx="832">
                  <c:v>3.714</c:v>
                </c:pt>
                <c:pt idx="833">
                  <c:v>3.976</c:v>
                </c:pt>
                <c:pt idx="834">
                  <c:v>4.141</c:v>
                </c:pt>
                <c:pt idx="835">
                  <c:v>4.242</c:v>
                </c:pt>
                <c:pt idx="836">
                  <c:v>4.18</c:v>
                </c:pt>
                <c:pt idx="837">
                  <c:v>3.915</c:v>
                </c:pt>
                <c:pt idx="838">
                  <c:v>3.42</c:v>
                </c:pt>
                <c:pt idx="839">
                  <c:v>3.5569999999999999</c:v>
                </c:pt>
                <c:pt idx="840">
                  <c:v>3.4049999999999998</c:v>
                </c:pt>
                <c:pt idx="841">
                  <c:v>3.4569999999999999</c:v>
                </c:pt>
                <c:pt idx="842">
                  <c:v>3.129</c:v>
                </c:pt>
                <c:pt idx="843">
                  <c:v>3.1520000000000001</c:v>
                </c:pt>
              </c:numCache>
            </c:numRef>
          </c:val>
          <c:smooth val="0"/>
          <c:extLst>
            <c:ext xmlns:c16="http://schemas.microsoft.com/office/drawing/2014/chart" uri="{C3380CC4-5D6E-409C-BE32-E72D297353CC}">
              <c16:uniqueId val="{00000004-2957-9744-99C6-E4EE6DA4F0E1}"/>
            </c:ext>
          </c:extLst>
        </c:ser>
        <c:dLbls>
          <c:showLegendKey val="0"/>
          <c:showVal val="0"/>
          <c:showCatName val="0"/>
          <c:showSerName val="0"/>
          <c:showPercent val="0"/>
          <c:showBubbleSize val="0"/>
        </c:dLbls>
        <c:marker val="1"/>
        <c:smooth val="0"/>
        <c:axId val="1665273056"/>
        <c:axId val="1"/>
      </c:lineChart>
      <c:lineChart>
        <c:grouping val="standard"/>
        <c:varyColors val="0"/>
        <c:ser>
          <c:idx val="0"/>
          <c:order val="0"/>
          <c:tx>
            <c:strRef>
              <c:f>Hoja1!$M$1</c:f>
              <c:strCache>
                <c:ptCount val="1"/>
                <c:pt idx="0">
                  <c:v>WTI</c:v>
                </c:pt>
              </c:strCache>
            </c:strRef>
          </c:tx>
          <c:spPr>
            <a:ln w="28575" cap="rnd">
              <a:solidFill>
                <a:schemeClr val="tx1"/>
              </a:solidFill>
              <a:round/>
            </a:ln>
            <a:effectLst/>
          </c:spPr>
          <c:marker>
            <c:symbol val="none"/>
          </c:marker>
          <c:dPt>
            <c:idx val="654"/>
            <c:bubble3D val="0"/>
            <c:spPr>
              <a:ln w="22225" cap="rnd">
                <a:solidFill>
                  <a:schemeClr val="tx1"/>
                </a:solidFill>
                <a:round/>
              </a:ln>
              <a:effectLst/>
            </c:spPr>
            <c:extLst>
              <c:ext xmlns:c16="http://schemas.microsoft.com/office/drawing/2014/chart" uri="{C3380CC4-5D6E-409C-BE32-E72D297353CC}">
                <c16:uniqueId val="{00000006-2957-9744-99C6-E4EE6DA4F0E1}"/>
              </c:ext>
            </c:extLst>
          </c:dPt>
          <c:cat>
            <c:numRef>
              <c:f>Hoja1!$L$2:$L$845</c:f>
              <c:numCache>
                <c:formatCode>m/d/yy</c:formatCode>
                <c:ptCount val="844"/>
                <c:pt idx="0">
                  <c:v>38884</c:v>
                </c:pt>
                <c:pt idx="1">
                  <c:v>38891</c:v>
                </c:pt>
                <c:pt idx="2">
                  <c:v>38898</c:v>
                </c:pt>
                <c:pt idx="3">
                  <c:v>38905</c:v>
                </c:pt>
                <c:pt idx="4">
                  <c:v>38912</c:v>
                </c:pt>
                <c:pt idx="5">
                  <c:v>38919</c:v>
                </c:pt>
                <c:pt idx="6">
                  <c:v>38926</c:v>
                </c:pt>
                <c:pt idx="7">
                  <c:v>38933</c:v>
                </c:pt>
                <c:pt idx="8">
                  <c:v>38940</c:v>
                </c:pt>
                <c:pt idx="9">
                  <c:v>38947</c:v>
                </c:pt>
                <c:pt idx="10">
                  <c:v>38954</c:v>
                </c:pt>
                <c:pt idx="11">
                  <c:v>38961</c:v>
                </c:pt>
                <c:pt idx="12">
                  <c:v>38968</c:v>
                </c:pt>
                <c:pt idx="13">
                  <c:v>38975</c:v>
                </c:pt>
                <c:pt idx="14">
                  <c:v>38982</c:v>
                </c:pt>
                <c:pt idx="15">
                  <c:v>38989</c:v>
                </c:pt>
                <c:pt idx="16">
                  <c:v>38996</c:v>
                </c:pt>
                <c:pt idx="17">
                  <c:v>39003</c:v>
                </c:pt>
                <c:pt idx="18">
                  <c:v>39010</c:v>
                </c:pt>
                <c:pt idx="19">
                  <c:v>39017</c:v>
                </c:pt>
                <c:pt idx="20">
                  <c:v>39024</c:v>
                </c:pt>
                <c:pt idx="21">
                  <c:v>39031</c:v>
                </c:pt>
                <c:pt idx="22">
                  <c:v>39038</c:v>
                </c:pt>
                <c:pt idx="23">
                  <c:v>39045</c:v>
                </c:pt>
                <c:pt idx="24">
                  <c:v>39052</c:v>
                </c:pt>
                <c:pt idx="25">
                  <c:v>39059</c:v>
                </c:pt>
                <c:pt idx="26">
                  <c:v>39066</c:v>
                </c:pt>
                <c:pt idx="27">
                  <c:v>39073</c:v>
                </c:pt>
                <c:pt idx="28">
                  <c:v>39080</c:v>
                </c:pt>
                <c:pt idx="29">
                  <c:v>39087</c:v>
                </c:pt>
                <c:pt idx="30">
                  <c:v>39094</c:v>
                </c:pt>
                <c:pt idx="31">
                  <c:v>39101</c:v>
                </c:pt>
                <c:pt idx="32">
                  <c:v>39108</c:v>
                </c:pt>
                <c:pt idx="33">
                  <c:v>39115</c:v>
                </c:pt>
                <c:pt idx="34">
                  <c:v>39122</c:v>
                </c:pt>
                <c:pt idx="35">
                  <c:v>39129</c:v>
                </c:pt>
                <c:pt idx="36">
                  <c:v>39136</c:v>
                </c:pt>
                <c:pt idx="37">
                  <c:v>39143</c:v>
                </c:pt>
                <c:pt idx="38">
                  <c:v>39150</c:v>
                </c:pt>
                <c:pt idx="39">
                  <c:v>39157</c:v>
                </c:pt>
                <c:pt idx="40">
                  <c:v>39164</c:v>
                </c:pt>
                <c:pt idx="41">
                  <c:v>39171</c:v>
                </c:pt>
                <c:pt idx="42">
                  <c:v>39178</c:v>
                </c:pt>
                <c:pt idx="43">
                  <c:v>39185</c:v>
                </c:pt>
                <c:pt idx="44">
                  <c:v>39192</c:v>
                </c:pt>
                <c:pt idx="45">
                  <c:v>39199</c:v>
                </c:pt>
                <c:pt idx="46">
                  <c:v>39206</c:v>
                </c:pt>
                <c:pt idx="47">
                  <c:v>39213</c:v>
                </c:pt>
                <c:pt idx="48">
                  <c:v>39220</c:v>
                </c:pt>
                <c:pt idx="49">
                  <c:v>39227</c:v>
                </c:pt>
                <c:pt idx="50">
                  <c:v>39234</c:v>
                </c:pt>
                <c:pt idx="51">
                  <c:v>39241</c:v>
                </c:pt>
                <c:pt idx="52">
                  <c:v>39248</c:v>
                </c:pt>
                <c:pt idx="53">
                  <c:v>39255</c:v>
                </c:pt>
                <c:pt idx="54">
                  <c:v>39262</c:v>
                </c:pt>
                <c:pt idx="55">
                  <c:v>39269</c:v>
                </c:pt>
                <c:pt idx="56">
                  <c:v>39276</c:v>
                </c:pt>
                <c:pt idx="57">
                  <c:v>39283</c:v>
                </c:pt>
                <c:pt idx="58">
                  <c:v>39290</c:v>
                </c:pt>
                <c:pt idx="59">
                  <c:v>39297</c:v>
                </c:pt>
                <c:pt idx="60">
                  <c:v>39304</c:v>
                </c:pt>
                <c:pt idx="61">
                  <c:v>39311</c:v>
                </c:pt>
                <c:pt idx="62">
                  <c:v>39318</c:v>
                </c:pt>
                <c:pt idx="63">
                  <c:v>39325</c:v>
                </c:pt>
                <c:pt idx="64">
                  <c:v>39332</c:v>
                </c:pt>
                <c:pt idx="65">
                  <c:v>39339</c:v>
                </c:pt>
                <c:pt idx="66">
                  <c:v>39346</c:v>
                </c:pt>
                <c:pt idx="67">
                  <c:v>39353</c:v>
                </c:pt>
                <c:pt idx="68">
                  <c:v>39360</c:v>
                </c:pt>
                <c:pt idx="69">
                  <c:v>39367</c:v>
                </c:pt>
                <c:pt idx="70">
                  <c:v>39374</c:v>
                </c:pt>
                <c:pt idx="71">
                  <c:v>39381</c:v>
                </c:pt>
                <c:pt idx="72">
                  <c:v>39388</c:v>
                </c:pt>
                <c:pt idx="73">
                  <c:v>39395</c:v>
                </c:pt>
                <c:pt idx="74">
                  <c:v>39402</c:v>
                </c:pt>
                <c:pt idx="75">
                  <c:v>39409</c:v>
                </c:pt>
                <c:pt idx="76">
                  <c:v>39416</c:v>
                </c:pt>
                <c:pt idx="77">
                  <c:v>39423</c:v>
                </c:pt>
                <c:pt idx="78">
                  <c:v>39430</c:v>
                </c:pt>
                <c:pt idx="79">
                  <c:v>39437</c:v>
                </c:pt>
                <c:pt idx="80">
                  <c:v>39444</c:v>
                </c:pt>
                <c:pt idx="81">
                  <c:v>39451</c:v>
                </c:pt>
                <c:pt idx="82">
                  <c:v>39458</c:v>
                </c:pt>
                <c:pt idx="83">
                  <c:v>39465</c:v>
                </c:pt>
                <c:pt idx="84">
                  <c:v>39472</c:v>
                </c:pt>
                <c:pt idx="85">
                  <c:v>39479</c:v>
                </c:pt>
                <c:pt idx="86">
                  <c:v>39486</c:v>
                </c:pt>
                <c:pt idx="87">
                  <c:v>39493</c:v>
                </c:pt>
                <c:pt idx="88">
                  <c:v>39500</c:v>
                </c:pt>
                <c:pt idx="89">
                  <c:v>39507</c:v>
                </c:pt>
                <c:pt idx="90">
                  <c:v>39514</c:v>
                </c:pt>
                <c:pt idx="91">
                  <c:v>39521</c:v>
                </c:pt>
                <c:pt idx="92">
                  <c:v>39528</c:v>
                </c:pt>
                <c:pt idx="93">
                  <c:v>39535</c:v>
                </c:pt>
                <c:pt idx="94">
                  <c:v>39542</c:v>
                </c:pt>
                <c:pt idx="95">
                  <c:v>39549</c:v>
                </c:pt>
                <c:pt idx="96">
                  <c:v>39556</c:v>
                </c:pt>
                <c:pt idx="97">
                  <c:v>39563</c:v>
                </c:pt>
                <c:pt idx="98">
                  <c:v>39570</c:v>
                </c:pt>
                <c:pt idx="99">
                  <c:v>39577</c:v>
                </c:pt>
                <c:pt idx="100">
                  <c:v>39584</c:v>
                </c:pt>
                <c:pt idx="101">
                  <c:v>39591</c:v>
                </c:pt>
                <c:pt idx="102">
                  <c:v>39598</c:v>
                </c:pt>
                <c:pt idx="103">
                  <c:v>39605</c:v>
                </c:pt>
                <c:pt idx="104">
                  <c:v>39612</c:v>
                </c:pt>
                <c:pt idx="105">
                  <c:v>39619</c:v>
                </c:pt>
                <c:pt idx="106">
                  <c:v>39626</c:v>
                </c:pt>
                <c:pt idx="107">
                  <c:v>39633</c:v>
                </c:pt>
                <c:pt idx="108">
                  <c:v>39640</c:v>
                </c:pt>
                <c:pt idx="109">
                  <c:v>39647</c:v>
                </c:pt>
                <c:pt idx="110">
                  <c:v>39654</c:v>
                </c:pt>
                <c:pt idx="111">
                  <c:v>39661</c:v>
                </c:pt>
                <c:pt idx="112">
                  <c:v>39668</c:v>
                </c:pt>
                <c:pt idx="113">
                  <c:v>39675</c:v>
                </c:pt>
                <c:pt idx="114">
                  <c:v>39682</c:v>
                </c:pt>
                <c:pt idx="115">
                  <c:v>39689</c:v>
                </c:pt>
                <c:pt idx="116">
                  <c:v>39696</c:v>
                </c:pt>
                <c:pt idx="117">
                  <c:v>39703</c:v>
                </c:pt>
                <c:pt idx="118">
                  <c:v>39710</c:v>
                </c:pt>
                <c:pt idx="119">
                  <c:v>39717</c:v>
                </c:pt>
                <c:pt idx="120">
                  <c:v>39724</c:v>
                </c:pt>
                <c:pt idx="121">
                  <c:v>39731</c:v>
                </c:pt>
                <c:pt idx="122">
                  <c:v>39738</c:v>
                </c:pt>
                <c:pt idx="123">
                  <c:v>39745</c:v>
                </c:pt>
                <c:pt idx="124">
                  <c:v>39752</c:v>
                </c:pt>
                <c:pt idx="125">
                  <c:v>39759</c:v>
                </c:pt>
                <c:pt idx="126">
                  <c:v>39766</c:v>
                </c:pt>
                <c:pt idx="127">
                  <c:v>39773</c:v>
                </c:pt>
                <c:pt idx="128">
                  <c:v>39780</c:v>
                </c:pt>
                <c:pt idx="129">
                  <c:v>39787</c:v>
                </c:pt>
                <c:pt idx="130">
                  <c:v>39794</c:v>
                </c:pt>
                <c:pt idx="131">
                  <c:v>39801</c:v>
                </c:pt>
                <c:pt idx="132">
                  <c:v>39808</c:v>
                </c:pt>
                <c:pt idx="133">
                  <c:v>39815</c:v>
                </c:pt>
                <c:pt idx="134">
                  <c:v>39822</c:v>
                </c:pt>
                <c:pt idx="135">
                  <c:v>39829</c:v>
                </c:pt>
                <c:pt idx="136">
                  <c:v>39836</c:v>
                </c:pt>
                <c:pt idx="137">
                  <c:v>39843</c:v>
                </c:pt>
                <c:pt idx="138">
                  <c:v>39850</c:v>
                </c:pt>
                <c:pt idx="139">
                  <c:v>39857</c:v>
                </c:pt>
                <c:pt idx="140">
                  <c:v>39864</c:v>
                </c:pt>
                <c:pt idx="141">
                  <c:v>39871</c:v>
                </c:pt>
                <c:pt idx="142">
                  <c:v>39878</c:v>
                </c:pt>
                <c:pt idx="143">
                  <c:v>39885</c:v>
                </c:pt>
                <c:pt idx="144">
                  <c:v>39892</c:v>
                </c:pt>
                <c:pt idx="145">
                  <c:v>39899</c:v>
                </c:pt>
                <c:pt idx="146">
                  <c:v>39906</c:v>
                </c:pt>
                <c:pt idx="147">
                  <c:v>39913</c:v>
                </c:pt>
                <c:pt idx="148">
                  <c:v>39920</c:v>
                </c:pt>
                <c:pt idx="149">
                  <c:v>39927</c:v>
                </c:pt>
                <c:pt idx="150">
                  <c:v>39934</c:v>
                </c:pt>
                <c:pt idx="151">
                  <c:v>39941</c:v>
                </c:pt>
                <c:pt idx="152">
                  <c:v>39948</c:v>
                </c:pt>
                <c:pt idx="153">
                  <c:v>39955</c:v>
                </c:pt>
                <c:pt idx="154">
                  <c:v>39962</c:v>
                </c:pt>
                <c:pt idx="155">
                  <c:v>39969</c:v>
                </c:pt>
                <c:pt idx="156">
                  <c:v>39976</c:v>
                </c:pt>
                <c:pt idx="157">
                  <c:v>39983</c:v>
                </c:pt>
                <c:pt idx="158">
                  <c:v>39990</c:v>
                </c:pt>
                <c:pt idx="159">
                  <c:v>39997</c:v>
                </c:pt>
                <c:pt idx="160">
                  <c:v>40004</c:v>
                </c:pt>
                <c:pt idx="161">
                  <c:v>40011</c:v>
                </c:pt>
                <c:pt idx="162">
                  <c:v>40018</c:v>
                </c:pt>
                <c:pt idx="163">
                  <c:v>40025</c:v>
                </c:pt>
                <c:pt idx="164">
                  <c:v>40032</c:v>
                </c:pt>
                <c:pt idx="165">
                  <c:v>40039</c:v>
                </c:pt>
                <c:pt idx="166">
                  <c:v>40046</c:v>
                </c:pt>
                <c:pt idx="167">
                  <c:v>40053</c:v>
                </c:pt>
                <c:pt idx="168">
                  <c:v>40060</c:v>
                </c:pt>
                <c:pt idx="169">
                  <c:v>40067</c:v>
                </c:pt>
                <c:pt idx="170">
                  <c:v>40074</c:v>
                </c:pt>
                <c:pt idx="171">
                  <c:v>40081</c:v>
                </c:pt>
                <c:pt idx="172">
                  <c:v>40088</c:v>
                </c:pt>
                <c:pt idx="173">
                  <c:v>40095</c:v>
                </c:pt>
                <c:pt idx="174">
                  <c:v>40102</c:v>
                </c:pt>
                <c:pt idx="175">
                  <c:v>40109</c:v>
                </c:pt>
                <c:pt idx="176">
                  <c:v>40116</c:v>
                </c:pt>
                <c:pt idx="177">
                  <c:v>40123</c:v>
                </c:pt>
                <c:pt idx="178">
                  <c:v>40130</c:v>
                </c:pt>
                <c:pt idx="179">
                  <c:v>40137</c:v>
                </c:pt>
                <c:pt idx="180">
                  <c:v>40144</c:v>
                </c:pt>
                <c:pt idx="181">
                  <c:v>40151</c:v>
                </c:pt>
                <c:pt idx="182">
                  <c:v>40158</c:v>
                </c:pt>
                <c:pt idx="183">
                  <c:v>40165</c:v>
                </c:pt>
                <c:pt idx="184">
                  <c:v>40172</c:v>
                </c:pt>
                <c:pt idx="185">
                  <c:v>40179</c:v>
                </c:pt>
                <c:pt idx="186">
                  <c:v>40186</c:v>
                </c:pt>
                <c:pt idx="187">
                  <c:v>40193</c:v>
                </c:pt>
                <c:pt idx="188">
                  <c:v>40200</c:v>
                </c:pt>
                <c:pt idx="189">
                  <c:v>40207</c:v>
                </c:pt>
                <c:pt idx="190">
                  <c:v>40214</c:v>
                </c:pt>
                <c:pt idx="191">
                  <c:v>40221</c:v>
                </c:pt>
                <c:pt idx="192">
                  <c:v>40228</c:v>
                </c:pt>
                <c:pt idx="193">
                  <c:v>40235</c:v>
                </c:pt>
                <c:pt idx="194">
                  <c:v>40242</c:v>
                </c:pt>
                <c:pt idx="195">
                  <c:v>40249</c:v>
                </c:pt>
                <c:pt idx="196">
                  <c:v>40256</c:v>
                </c:pt>
                <c:pt idx="197">
                  <c:v>40263</c:v>
                </c:pt>
                <c:pt idx="198">
                  <c:v>40270</c:v>
                </c:pt>
                <c:pt idx="199">
                  <c:v>40277</c:v>
                </c:pt>
                <c:pt idx="200">
                  <c:v>40284</c:v>
                </c:pt>
                <c:pt idx="201">
                  <c:v>40291</c:v>
                </c:pt>
                <c:pt idx="202">
                  <c:v>40298</c:v>
                </c:pt>
                <c:pt idx="203">
                  <c:v>40305</c:v>
                </c:pt>
                <c:pt idx="204">
                  <c:v>40312</c:v>
                </c:pt>
                <c:pt idx="205">
                  <c:v>40319</c:v>
                </c:pt>
                <c:pt idx="206">
                  <c:v>40326</c:v>
                </c:pt>
                <c:pt idx="207">
                  <c:v>40333</c:v>
                </c:pt>
                <c:pt idx="208">
                  <c:v>40340</c:v>
                </c:pt>
                <c:pt idx="209">
                  <c:v>40347</c:v>
                </c:pt>
                <c:pt idx="210">
                  <c:v>40354</c:v>
                </c:pt>
                <c:pt idx="211">
                  <c:v>40361</c:v>
                </c:pt>
                <c:pt idx="212">
                  <c:v>40368</c:v>
                </c:pt>
                <c:pt idx="213">
                  <c:v>40375</c:v>
                </c:pt>
                <c:pt idx="214">
                  <c:v>40382</c:v>
                </c:pt>
                <c:pt idx="215">
                  <c:v>40389</c:v>
                </c:pt>
                <c:pt idx="216">
                  <c:v>40396</c:v>
                </c:pt>
                <c:pt idx="217">
                  <c:v>40403</c:v>
                </c:pt>
                <c:pt idx="218">
                  <c:v>40410</c:v>
                </c:pt>
                <c:pt idx="219">
                  <c:v>40417</c:v>
                </c:pt>
                <c:pt idx="220">
                  <c:v>40424</c:v>
                </c:pt>
                <c:pt idx="221">
                  <c:v>40431</c:v>
                </c:pt>
                <c:pt idx="222">
                  <c:v>40438</c:v>
                </c:pt>
                <c:pt idx="223">
                  <c:v>40445</c:v>
                </c:pt>
                <c:pt idx="224">
                  <c:v>40452</c:v>
                </c:pt>
                <c:pt idx="225">
                  <c:v>40459</c:v>
                </c:pt>
                <c:pt idx="226">
                  <c:v>40466</c:v>
                </c:pt>
                <c:pt idx="227">
                  <c:v>40473</c:v>
                </c:pt>
                <c:pt idx="228">
                  <c:v>40480</c:v>
                </c:pt>
                <c:pt idx="229">
                  <c:v>40487</c:v>
                </c:pt>
                <c:pt idx="230">
                  <c:v>40494</c:v>
                </c:pt>
                <c:pt idx="231">
                  <c:v>40501</c:v>
                </c:pt>
                <c:pt idx="232">
                  <c:v>40508</c:v>
                </c:pt>
                <c:pt idx="233">
                  <c:v>40515</c:v>
                </c:pt>
                <c:pt idx="234">
                  <c:v>40522</c:v>
                </c:pt>
                <c:pt idx="235">
                  <c:v>40529</c:v>
                </c:pt>
                <c:pt idx="236">
                  <c:v>40536</c:v>
                </c:pt>
                <c:pt idx="237">
                  <c:v>40543</c:v>
                </c:pt>
                <c:pt idx="238">
                  <c:v>40550</c:v>
                </c:pt>
                <c:pt idx="239">
                  <c:v>40557</c:v>
                </c:pt>
                <c:pt idx="240">
                  <c:v>40564</c:v>
                </c:pt>
                <c:pt idx="241">
                  <c:v>40571</c:v>
                </c:pt>
                <c:pt idx="242">
                  <c:v>40578</c:v>
                </c:pt>
                <c:pt idx="243">
                  <c:v>40585</c:v>
                </c:pt>
                <c:pt idx="244">
                  <c:v>40592</c:v>
                </c:pt>
                <c:pt idx="245">
                  <c:v>40599</c:v>
                </c:pt>
                <c:pt idx="246">
                  <c:v>40606</c:v>
                </c:pt>
                <c:pt idx="247">
                  <c:v>40613</c:v>
                </c:pt>
                <c:pt idx="248">
                  <c:v>40620</c:v>
                </c:pt>
                <c:pt idx="249">
                  <c:v>40627</c:v>
                </c:pt>
                <c:pt idx="250">
                  <c:v>40634</c:v>
                </c:pt>
                <c:pt idx="251">
                  <c:v>40641</c:v>
                </c:pt>
                <c:pt idx="252">
                  <c:v>40648</c:v>
                </c:pt>
                <c:pt idx="253">
                  <c:v>40655</c:v>
                </c:pt>
                <c:pt idx="254">
                  <c:v>40662</c:v>
                </c:pt>
                <c:pt idx="255">
                  <c:v>40669</c:v>
                </c:pt>
                <c:pt idx="256">
                  <c:v>40676</c:v>
                </c:pt>
                <c:pt idx="257">
                  <c:v>40683</c:v>
                </c:pt>
                <c:pt idx="258">
                  <c:v>40690</c:v>
                </c:pt>
                <c:pt idx="259">
                  <c:v>40697</c:v>
                </c:pt>
                <c:pt idx="260">
                  <c:v>40704</c:v>
                </c:pt>
                <c:pt idx="261">
                  <c:v>40711</c:v>
                </c:pt>
                <c:pt idx="262">
                  <c:v>40718</c:v>
                </c:pt>
                <c:pt idx="263">
                  <c:v>40725</c:v>
                </c:pt>
                <c:pt idx="264">
                  <c:v>40732</c:v>
                </c:pt>
                <c:pt idx="265">
                  <c:v>40739</c:v>
                </c:pt>
                <c:pt idx="266">
                  <c:v>40746</c:v>
                </c:pt>
                <c:pt idx="267">
                  <c:v>40753</c:v>
                </c:pt>
                <c:pt idx="268">
                  <c:v>40760</c:v>
                </c:pt>
                <c:pt idx="269">
                  <c:v>40767</c:v>
                </c:pt>
                <c:pt idx="270">
                  <c:v>40774</c:v>
                </c:pt>
                <c:pt idx="271">
                  <c:v>40781</c:v>
                </c:pt>
                <c:pt idx="272">
                  <c:v>40788</c:v>
                </c:pt>
                <c:pt idx="273">
                  <c:v>40795</c:v>
                </c:pt>
                <c:pt idx="274">
                  <c:v>40802</c:v>
                </c:pt>
                <c:pt idx="275">
                  <c:v>40809</c:v>
                </c:pt>
                <c:pt idx="276">
                  <c:v>40816</c:v>
                </c:pt>
                <c:pt idx="277">
                  <c:v>40823</c:v>
                </c:pt>
                <c:pt idx="278">
                  <c:v>40830</c:v>
                </c:pt>
                <c:pt idx="279">
                  <c:v>40837</c:v>
                </c:pt>
                <c:pt idx="280">
                  <c:v>40844</c:v>
                </c:pt>
                <c:pt idx="281">
                  <c:v>40851</c:v>
                </c:pt>
                <c:pt idx="282">
                  <c:v>40858</c:v>
                </c:pt>
                <c:pt idx="283">
                  <c:v>40865</c:v>
                </c:pt>
                <c:pt idx="284">
                  <c:v>40872</c:v>
                </c:pt>
                <c:pt idx="285">
                  <c:v>40879</c:v>
                </c:pt>
                <c:pt idx="286">
                  <c:v>40886</c:v>
                </c:pt>
                <c:pt idx="287">
                  <c:v>40893</c:v>
                </c:pt>
                <c:pt idx="288">
                  <c:v>40900</c:v>
                </c:pt>
                <c:pt idx="289">
                  <c:v>40907</c:v>
                </c:pt>
                <c:pt idx="290">
                  <c:v>40914</c:v>
                </c:pt>
                <c:pt idx="291">
                  <c:v>40921</c:v>
                </c:pt>
                <c:pt idx="292">
                  <c:v>40928</c:v>
                </c:pt>
                <c:pt idx="293">
                  <c:v>40935</c:v>
                </c:pt>
                <c:pt idx="294">
                  <c:v>40942</c:v>
                </c:pt>
                <c:pt idx="295">
                  <c:v>40949</c:v>
                </c:pt>
                <c:pt idx="296">
                  <c:v>40956</c:v>
                </c:pt>
                <c:pt idx="297">
                  <c:v>40963</c:v>
                </c:pt>
                <c:pt idx="298">
                  <c:v>40970</c:v>
                </c:pt>
                <c:pt idx="299">
                  <c:v>40977</c:v>
                </c:pt>
                <c:pt idx="300">
                  <c:v>40984</c:v>
                </c:pt>
                <c:pt idx="301">
                  <c:v>40991</c:v>
                </c:pt>
                <c:pt idx="302">
                  <c:v>40998</c:v>
                </c:pt>
                <c:pt idx="303">
                  <c:v>41005</c:v>
                </c:pt>
                <c:pt idx="304">
                  <c:v>41012</c:v>
                </c:pt>
                <c:pt idx="305">
                  <c:v>41019</c:v>
                </c:pt>
                <c:pt idx="306">
                  <c:v>41026</c:v>
                </c:pt>
                <c:pt idx="307">
                  <c:v>41033</c:v>
                </c:pt>
                <c:pt idx="308">
                  <c:v>41040</c:v>
                </c:pt>
                <c:pt idx="309">
                  <c:v>41047</c:v>
                </c:pt>
                <c:pt idx="310">
                  <c:v>41054</c:v>
                </c:pt>
                <c:pt idx="311">
                  <c:v>41061</c:v>
                </c:pt>
                <c:pt idx="312">
                  <c:v>41068</c:v>
                </c:pt>
                <c:pt idx="313">
                  <c:v>41075</c:v>
                </c:pt>
                <c:pt idx="314">
                  <c:v>41082</c:v>
                </c:pt>
                <c:pt idx="315">
                  <c:v>41089</c:v>
                </c:pt>
                <c:pt idx="316">
                  <c:v>41096</c:v>
                </c:pt>
                <c:pt idx="317">
                  <c:v>41103</c:v>
                </c:pt>
                <c:pt idx="318">
                  <c:v>41110</c:v>
                </c:pt>
                <c:pt idx="319">
                  <c:v>41117</c:v>
                </c:pt>
                <c:pt idx="320">
                  <c:v>41124</c:v>
                </c:pt>
                <c:pt idx="321">
                  <c:v>41131</c:v>
                </c:pt>
                <c:pt idx="322">
                  <c:v>41138</c:v>
                </c:pt>
                <c:pt idx="323">
                  <c:v>41145</c:v>
                </c:pt>
                <c:pt idx="324">
                  <c:v>41152</c:v>
                </c:pt>
                <c:pt idx="325">
                  <c:v>41159</c:v>
                </c:pt>
                <c:pt idx="326">
                  <c:v>41166</c:v>
                </c:pt>
                <c:pt idx="327">
                  <c:v>41173</c:v>
                </c:pt>
                <c:pt idx="328">
                  <c:v>41180</c:v>
                </c:pt>
                <c:pt idx="329">
                  <c:v>41187</c:v>
                </c:pt>
                <c:pt idx="330">
                  <c:v>41194</c:v>
                </c:pt>
                <c:pt idx="331">
                  <c:v>41201</c:v>
                </c:pt>
                <c:pt idx="332">
                  <c:v>41208</c:v>
                </c:pt>
                <c:pt idx="333">
                  <c:v>41215</c:v>
                </c:pt>
                <c:pt idx="334">
                  <c:v>41222</c:v>
                </c:pt>
                <c:pt idx="335">
                  <c:v>41229</c:v>
                </c:pt>
                <c:pt idx="336">
                  <c:v>41236</c:v>
                </c:pt>
                <c:pt idx="337">
                  <c:v>41243</c:v>
                </c:pt>
                <c:pt idx="338">
                  <c:v>41250</c:v>
                </c:pt>
                <c:pt idx="339">
                  <c:v>41257</c:v>
                </c:pt>
                <c:pt idx="340">
                  <c:v>41264</c:v>
                </c:pt>
                <c:pt idx="341">
                  <c:v>41271</c:v>
                </c:pt>
                <c:pt idx="342">
                  <c:v>41278</c:v>
                </c:pt>
                <c:pt idx="343">
                  <c:v>41285</c:v>
                </c:pt>
                <c:pt idx="344">
                  <c:v>41292</c:v>
                </c:pt>
                <c:pt idx="345">
                  <c:v>41299</c:v>
                </c:pt>
                <c:pt idx="346">
                  <c:v>41306</c:v>
                </c:pt>
                <c:pt idx="347">
                  <c:v>41313</c:v>
                </c:pt>
                <c:pt idx="348">
                  <c:v>41320</c:v>
                </c:pt>
                <c:pt idx="349">
                  <c:v>41327</c:v>
                </c:pt>
                <c:pt idx="350">
                  <c:v>41334</c:v>
                </c:pt>
                <c:pt idx="351">
                  <c:v>41341</c:v>
                </c:pt>
                <c:pt idx="352">
                  <c:v>41348</c:v>
                </c:pt>
                <c:pt idx="353">
                  <c:v>41355</c:v>
                </c:pt>
                <c:pt idx="354">
                  <c:v>41362</c:v>
                </c:pt>
                <c:pt idx="355">
                  <c:v>41369</c:v>
                </c:pt>
                <c:pt idx="356">
                  <c:v>41376</c:v>
                </c:pt>
                <c:pt idx="357">
                  <c:v>41383</c:v>
                </c:pt>
                <c:pt idx="358">
                  <c:v>41390</c:v>
                </c:pt>
                <c:pt idx="359">
                  <c:v>41397</c:v>
                </c:pt>
                <c:pt idx="360">
                  <c:v>41404</c:v>
                </c:pt>
                <c:pt idx="361">
                  <c:v>41411</c:v>
                </c:pt>
                <c:pt idx="362">
                  <c:v>41418</c:v>
                </c:pt>
                <c:pt idx="363">
                  <c:v>41425</c:v>
                </c:pt>
                <c:pt idx="364">
                  <c:v>41432</c:v>
                </c:pt>
                <c:pt idx="365">
                  <c:v>41439</c:v>
                </c:pt>
                <c:pt idx="366">
                  <c:v>41446</c:v>
                </c:pt>
                <c:pt idx="367">
                  <c:v>41453</c:v>
                </c:pt>
                <c:pt idx="368">
                  <c:v>41460</c:v>
                </c:pt>
                <c:pt idx="369">
                  <c:v>41467</c:v>
                </c:pt>
                <c:pt idx="370">
                  <c:v>41474</c:v>
                </c:pt>
                <c:pt idx="371">
                  <c:v>41481</c:v>
                </c:pt>
                <c:pt idx="372">
                  <c:v>41488</c:v>
                </c:pt>
                <c:pt idx="373">
                  <c:v>41495</c:v>
                </c:pt>
                <c:pt idx="374">
                  <c:v>41502</c:v>
                </c:pt>
                <c:pt idx="375">
                  <c:v>41509</c:v>
                </c:pt>
                <c:pt idx="376">
                  <c:v>41516</c:v>
                </c:pt>
                <c:pt idx="377">
                  <c:v>41523</c:v>
                </c:pt>
                <c:pt idx="378">
                  <c:v>41530</c:v>
                </c:pt>
                <c:pt idx="379">
                  <c:v>41537</c:v>
                </c:pt>
                <c:pt idx="380">
                  <c:v>41544</c:v>
                </c:pt>
                <c:pt idx="381">
                  <c:v>41551</c:v>
                </c:pt>
                <c:pt idx="382">
                  <c:v>41558</c:v>
                </c:pt>
                <c:pt idx="383">
                  <c:v>41565</c:v>
                </c:pt>
                <c:pt idx="384">
                  <c:v>41572</c:v>
                </c:pt>
                <c:pt idx="385">
                  <c:v>41579</c:v>
                </c:pt>
                <c:pt idx="386">
                  <c:v>41586</c:v>
                </c:pt>
                <c:pt idx="387">
                  <c:v>41593</c:v>
                </c:pt>
                <c:pt idx="388">
                  <c:v>41600</c:v>
                </c:pt>
                <c:pt idx="389">
                  <c:v>41607</c:v>
                </c:pt>
                <c:pt idx="390">
                  <c:v>41614</c:v>
                </c:pt>
                <c:pt idx="391">
                  <c:v>41621</c:v>
                </c:pt>
                <c:pt idx="392">
                  <c:v>41628</c:v>
                </c:pt>
                <c:pt idx="393">
                  <c:v>41635</c:v>
                </c:pt>
                <c:pt idx="394">
                  <c:v>41642</c:v>
                </c:pt>
                <c:pt idx="395">
                  <c:v>41649</c:v>
                </c:pt>
                <c:pt idx="396">
                  <c:v>41656</c:v>
                </c:pt>
                <c:pt idx="397">
                  <c:v>41663</c:v>
                </c:pt>
                <c:pt idx="398">
                  <c:v>41670</c:v>
                </c:pt>
                <c:pt idx="399">
                  <c:v>41677</c:v>
                </c:pt>
                <c:pt idx="400">
                  <c:v>41684</c:v>
                </c:pt>
                <c:pt idx="401">
                  <c:v>41691</c:v>
                </c:pt>
                <c:pt idx="402">
                  <c:v>41698</c:v>
                </c:pt>
                <c:pt idx="403">
                  <c:v>41705</c:v>
                </c:pt>
                <c:pt idx="404">
                  <c:v>41712</c:v>
                </c:pt>
                <c:pt idx="405">
                  <c:v>41719</c:v>
                </c:pt>
                <c:pt idx="406">
                  <c:v>41726</c:v>
                </c:pt>
                <c:pt idx="407">
                  <c:v>41733</c:v>
                </c:pt>
                <c:pt idx="408">
                  <c:v>41740</c:v>
                </c:pt>
                <c:pt idx="409">
                  <c:v>41747</c:v>
                </c:pt>
                <c:pt idx="410">
                  <c:v>41754</c:v>
                </c:pt>
                <c:pt idx="411">
                  <c:v>41761</c:v>
                </c:pt>
                <c:pt idx="412">
                  <c:v>41768</c:v>
                </c:pt>
                <c:pt idx="413">
                  <c:v>41775</c:v>
                </c:pt>
                <c:pt idx="414">
                  <c:v>41782</c:v>
                </c:pt>
                <c:pt idx="415">
                  <c:v>41789</c:v>
                </c:pt>
                <c:pt idx="416">
                  <c:v>41796</c:v>
                </c:pt>
                <c:pt idx="417">
                  <c:v>41803</c:v>
                </c:pt>
                <c:pt idx="418">
                  <c:v>41810</c:v>
                </c:pt>
                <c:pt idx="419">
                  <c:v>41817</c:v>
                </c:pt>
                <c:pt idx="420">
                  <c:v>41824</c:v>
                </c:pt>
                <c:pt idx="421">
                  <c:v>41831</c:v>
                </c:pt>
                <c:pt idx="422">
                  <c:v>41838</c:v>
                </c:pt>
                <c:pt idx="423">
                  <c:v>41845</c:v>
                </c:pt>
                <c:pt idx="424">
                  <c:v>41852</c:v>
                </c:pt>
                <c:pt idx="425">
                  <c:v>41859</c:v>
                </c:pt>
                <c:pt idx="426">
                  <c:v>41866</c:v>
                </c:pt>
                <c:pt idx="427">
                  <c:v>41873</c:v>
                </c:pt>
                <c:pt idx="428">
                  <c:v>41880</c:v>
                </c:pt>
                <c:pt idx="429">
                  <c:v>41887</c:v>
                </c:pt>
                <c:pt idx="430">
                  <c:v>41894</c:v>
                </c:pt>
                <c:pt idx="431">
                  <c:v>41901</c:v>
                </c:pt>
                <c:pt idx="432">
                  <c:v>41908</c:v>
                </c:pt>
                <c:pt idx="433">
                  <c:v>41915</c:v>
                </c:pt>
                <c:pt idx="434">
                  <c:v>41922</c:v>
                </c:pt>
                <c:pt idx="435">
                  <c:v>41929</c:v>
                </c:pt>
                <c:pt idx="436">
                  <c:v>41936</c:v>
                </c:pt>
                <c:pt idx="437">
                  <c:v>41943</c:v>
                </c:pt>
                <c:pt idx="438">
                  <c:v>41950</c:v>
                </c:pt>
                <c:pt idx="439">
                  <c:v>41957</c:v>
                </c:pt>
                <c:pt idx="440">
                  <c:v>41964</c:v>
                </c:pt>
                <c:pt idx="441">
                  <c:v>41971</c:v>
                </c:pt>
                <c:pt idx="442">
                  <c:v>41978</c:v>
                </c:pt>
                <c:pt idx="443">
                  <c:v>41985</c:v>
                </c:pt>
                <c:pt idx="444">
                  <c:v>41992</c:v>
                </c:pt>
                <c:pt idx="445">
                  <c:v>41999</c:v>
                </c:pt>
                <c:pt idx="446">
                  <c:v>42006</c:v>
                </c:pt>
                <c:pt idx="447">
                  <c:v>42013</c:v>
                </c:pt>
                <c:pt idx="448">
                  <c:v>42020</c:v>
                </c:pt>
                <c:pt idx="449">
                  <c:v>42027</c:v>
                </c:pt>
                <c:pt idx="450">
                  <c:v>42034</c:v>
                </c:pt>
                <c:pt idx="451">
                  <c:v>42041</c:v>
                </c:pt>
                <c:pt idx="452">
                  <c:v>42048</c:v>
                </c:pt>
                <c:pt idx="453">
                  <c:v>42055</c:v>
                </c:pt>
                <c:pt idx="454">
                  <c:v>42062</c:v>
                </c:pt>
                <c:pt idx="455">
                  <c:v>42069</c:v>
                </c:pt>
                <c:pt idx="456">
                  <c:v>42076</c:v>
                </c:pt>
                <c:pt idx="457">
                  <c:v>42083</c:v>
                </c:pt>
                <c:pt idx="458">
                  <c:v>42090</c:v>
                </c:pt>
                <c:pt idx="459">
                  <c:v>42097</c:v>
                </c:pt>
                <c:pt idx="460">
                  <c:v>42104</c:v>
                </c:pt>
                <c:pt idx="461">
                  <c:v>42111</c:v>
                </c:pt>
                <c:pt idx="462">
                  <c:v>42118</c:v>
                </c:pt>
                <c:pt idx="463">
                  <c:v>42125</c:v>
                </c:pt>
                <c:pt idx="464">
                  <c:v>42132</c:v>
                </c:pt>
                <c:pt idx="465">
                  <c:v>42139</c:v>
                </c:pt>
                <c:pt idx="466">
                  <c:v>42146</c:v>
                </c:pt>
                <c:pt idx="467">
                  <c:v>42153</c:v>
                </c:pt>
                <c:pt idx="468">
                  <c:v>42160</c:v>
                </c:pt>
                <c:pt idx="469">
                  <c:v>42167</c:v>
                </c:pt>
                <c:pt idx="470">
                  <c:v>42174</c:v>
                </c:pt>
                <c:pt idx="471">
                  <c:v>42181</c:v>
                </c:pt>
                <c:pt idx="472">
                  <c:v>42188</c:v>
                </c:pt>
                <c:pt idx="473">
                  <c:v>42195</c:v>
                </c:pt>
                <c:pt idx="474">
                  <c:v>42202</c:v>
                </c:pt>
                <c:pt idx="475">
                  <c:v>42209</c:v>
                </c:pt>
                <c:pt idx="476">
                  <c:v>42216</c:v>
                </c:pt>
                <c:pt idx="477">
                  <c:v>42223</c:v>
                </c:pt>
                <c:pt idx="478">
                  <c:v>42230</c:v>
                </c:pt>
                <c:pt idx="479">
                  <c:v>42237</c:v>
                </c:pt>
                <c:pt idx="480">
                  <c:v>42244</c:v>
                </c:pt>
                <c:pt idx="481">
                  <c:v>42251</c:v>
                </c:pt>
                <c:pt idx="482">
                  <c:v>42258</c:v>
                </c:pt>
                <c:pt idx="483">
                  <c:v>42265</c:v>
                </c:pt>
                <c:pt idx="484">
                  <c:v>42272</c:v>
                </c:pt>
                <c:pt idx="485">
                  <c:v>42279</c:v>
                </c:pt>
                <c:pt idx="486">
                  <c:v>42286</c:v>
                </c:pt>
                <c:pt idx="487">
                  <c:v>42293</c:v>
                </c:pt>
                <c:pt idx="488">
                  <c:v>42300</c:v>
                </c:pt>
                <c:pt idx="489">
                  <c:v>42307</c:v>
                </c:pt>
                <c:pt idx="490">
                  <c:v>42314</c:v>
                </c:pt>
                <c:pt idx="491">
                  <c:v>42321</c:v>
                </c:pt>
                <c:pt idx="492">
                  <c:v>42328</c:v>
                </c:pt>
                <c:pt idx="493">
                  <c:v>42335</c:v>
                </c:pt>
                <c:pt idx="494">
                  <c:v>42342</c:v>
                </c:pt>
                <c:pt idx="495">
                  <c:v>42349</c:v>
                </c:pt>
                <c:pt idx="496">
                  <c:v>42356</c:v>
                </c:pt>
                <c:pt idx="497">
                  <c:v>42363</c:v>
                </c:pt>
                <c:pt idx="498">
                  <c:v>42370</c:v>
                </c:pt>
                <c:pt idx="499">
                  <c:v>42377</c:v>
                </c:pt>
                <c:pt idx="500">
                  <c:v>42384</c:v>
                </c:pt>
                <c:pt idx="501">
                  <c:v>42391</c:v>
                </c:pt>
                <c:pt idx="502">
                  <c:v>42398</c:v>
                </c:pt>
                <c:pt idx="503">
                  <c:v>42405</c:v>
                </c:pt>
                <c:pt idx="504">
                  <c:v>42412</c:v>
                </c:pt>
                <c:pt idx="505">
                  <c:v>42419</c:v>
                </c:pt>
                <c:pt idx="506">
                  <c:v>42426</c:v>
                </c:pt>
                <c:pt idx="507">
                  <c:v>42433</c:v>
                </c:pt>
                <c:pt idx="508">
                  <c:v>42440</c:v>
                </c:pt>
                <c:pt idx="509">
                  <c:v>42447</c:v>
                </c:pt>
                <c:pt idx="510">
                  <c:v>42454</c:v>
                </c:pt>
                <c:pt idx="511">
                  <c:v>42461</c:v>
                </c:pt>
                <c:pt idx="512">
                  <c:v>42468</c:v>
                </c:pt>
                <c:pt idx="513">
                  <c:v>42475</c:v>
                </c:pt>
                <c:pt idx="514">
                  <c:v>42482</c:v>
                </c:pt>
                <c:pt idx="515">
                  <c:v>42489</c:v>
                </c:pt>
                <c:pt idx="516">
                  <c:v>42496</c:v>
                </c:pt>
                <c:pt idx="517">
                  <c:v>42503</c:v>
                </c:pt>
                <c:pt idx="518">
                  <c:v>42510</c:v>
                </c:pt>
                <c:pt idx="519">
                  <c:v>42517</c:v>
                </c:pt>
                <c:pt idx="520">
                  <c:v>42524</c:v>
                </c:pt>
                <c:pt idx="521">
                  <c:v>42531</c:v>
                </c:pt>
                <c:pt idx="522">
                  <c:v>42538</c:v>
                </c:pt>
                <c:pt idx="523">
                  <c:v>42545</c:v>
                </c:pt>
                <c:pt idx="524">
                  <c:v>42552</c:v>
                </c:pt>
                <c:pt idx="525">
                  <c:v>42559</c:v>
                </c:pt>
                <c:pt idx="526">
                  <c:v>42566</c:v>
                </c:pt>
                <c:pt idx="527">
                  <c:v>42573</c:v>
                </c:pt>
                <c:pt idx="528">
                  <c:v>42580</c:v>
                </c:pt>
                <c:pt idx="529">
                  <c:v>42587</c:v>
                </c:pt>
                <c:pt idx="530">
                  <c:v>42594</c:v>
                </c:pt>
                <c:pt idx="531">
                  <c:v>42601</c:v>
                </c:pt>
                <c:pt idx="532">
                  <c:v>42608</c:v>
                </c:pt>
                <c:pt idx="533">
                  <c:v>42615</c:v>
                </c:pt>
                <c:pt idx="534">
                  <c:v>42622</c:v>
                </c:pt>
                <c:pt idx="535">
                  <c:v>42629</c:v>
                </c:pt>
                <c:pt idx="536">
                  <c:v>42636</c:v>
                </c:pt>
                <c:pt idx="537">
                  <c:v>42643</c:v>
                </c:pt>
                <c:pt idx="538">
                  <c:v>42650</c:v>
                </c:pt>
                <c:pt idx="539">
                  <c:v>42657</c:v>
                </c:pt>
                <c:pt idx="540">
                  <c:v>42664</c:v>
                </c:pt>
                <c:pt idx="541">
                  <c:v>42671</c:v>
                </c:pt>
                <c:pt idx="542">
                  <c:v>42678</c:v>
                </c:pt>
                <c:pt idx="543">
                  <c:v>42685</c:v>
                </c:pt>
                <c:pt idx="544">
                  <c:v>42692</c:v>
                </c:pt>
                <c:pt idx="545">
                  <c:v>42699</c:v>
                </c:pt>
                <c:pt idx="546">
                  <c:v>42706</c:v>
                </c:pt>
                <c:pt idx="547">
                  <c:v>42713</c:v>
                </c:pt>
                <c:pt idx="548">
                  <c:v>42720</c:v>
                </c:pt>
                <c:pt idx="549">
                  <c:v>42727</c:v>
                </c:pt>
                <c:pt idx="550">
                  <c:v>42734</c:v>
                </c:pt>
                <c:pt idx="551">
                  <c:v>42741</c:v>
                </c:pt>
                <c:pt idx="552">
                  <c:v>42748</c:v>
                </c:pt>
                <c:pt idx="553">
                  <c:v>42755</c:v>
                </c:pt>
                <c:pt idx="554">
                  <c:v>42762</c:v>
                </c:pt>
                <c:pt idx="555">
                  <c:v>42769</c:v>
                </c:pt>
                <c:pt idx="556">
                  <c:v>42776</c:v>
                </c:pt>
                <c:pt idx="557">
                  <c:v>42783</c:v>
                </c:pt>
                <c:pt idx="558">
                  <c:v>42790</c:v>
                </c:pt>
                <c:pt idx="559">
                  <c:v>42797</c:v>
                </c:pt>
                <c:pt idx="560">
                  <c:v>42804</c:v>
                </c:pt>
                <c:pt idx="561">
                  <c:v>42811</c:v>
                </c:pt>
                <c:pt idx="562">
                  <c:v>42818</c:v>
                </c:pt>
                <c:pt idx="563">
                  <c:v>42825</c:v>
                </c:pt>
                <c:pt idx="564">
                  <c:v>42832</c:v>
                </c:pt>
                <c:pt idx="565">
                  <c:v>42839</c:v>
                </c:pt>
                <c:pt idx="566">
                  <c:v>42846</c:v>
                </c:pt>
                <c:pt idx="567">
                  <c:v>42853</c:v>
                </c:pt>
                <c:pt idx="568">
                  <c:v>42860</c:v>
                </c:pt>
                <c:pt idx="569">
                  <c:v>42867</c:v>
                </c:pt>
                <c:pt idx="570">
                  <c:v>42874</c:v>
                </c:pt>
                <c:pt idx="571">
                  <c:v>42881</c:v>
                </c:pt>
                <c:pt idx="572">
                  <c:v>42888</c:v>
                </c:pt>
                <c:pt idx="573">
                  <c:v>42895</c:v>
                </c:pt>
                <c:pt idx="574">
                  <c:v>42902</c:v>
                </c:pt>
                <c:pt idx="575">
                  <c:v>42909</c:v>
                </c:pt>
                <c:pt idx="576">
                  <c:v>42916</c:v>
                </c:pt>
                <c:pt idx="577">
                  <c:v>42923</c:v>
                </c:pt>
                <c:pt idx="578">
                  <c:v>42930</c:v>
                </c:pt>
                <c:pt idx="579">
                  <c:v>42937</c:v>
                </c:pt>
                <c:pt idx="580">
                  <c:v>42944</c:v>
                </c:pt>
                <c:pt idx="581">
                  <c:v>42951</c:v>
                </c:pt>
                <c:pt idx="582">
                  <c:v>42958</c:v>
                </c:pt>
                <c:pt idx="583">
                  <c:v>42965</c:v>
                </c:pt>
                <c:pt idx="584">
                  <c:v>42972</c:v>
                </c:pt>
                <c:pt idx="585">
                  <c:v>42979</c:v>
                </c:pt>
                <c:pt idx="586">
                  <c:v>42986</c:v>
                </c:pt>
                <c:pt idx="587">
                  <c:v>42993</c:v>
                </c:pt>
                <c:pt idx="588">
                  <c:v>43000</c:v>
                </c:pt>
                <c:pt idx="589">
                  <c:v>43007</c:v>
                </c:pt>
                <c:pt idx="590">
                  <c:v>43014</c:v>
                </c:pt>
                <c:pt idx="591">
                  <c:v>43021</c:v>
                </c:pt>
                <c:pt idx="592">
                  <c:v>43028</c:v>
                </c:pt>
                <c:pt idx="593">
                  <c:v>43035</c:v>
                </c:pt>
                <c:pt idx="594">
                  <c:v>43042</c:v>
                </c:pt>
                <c:pt idx="595">
                  <c:v>43049</c:v>
                </c:pt>
                <c:pt idx="596">
                  <c:v>43056</c:v>
                </c:pt>
                <c:pt idx="597">
                  <c:v>43063</c:v>
                </c:pt>
                <c:pt idx="598">
                  <c:v>43070</c:v>
                </c:pt>
                <c:pt idx="599">
                  <c:v>43077</c:v>
                </c:pt>
                <c:pt idx="600">
                  <c:v>43084</c:v>
                </c:pt>
                <c:pt idx="601">
                  <c:v>43091</c:v>
                </c:pt>
                <c:pt idx="602">
                  <c:v>43098</c:v>
                </c:pt>
                <c:pt idx="603">
                  <c:v>43105</c:v>
                </c:pt>
                <c:pt idx="604">
                  <c:v>43112</c:v>
                </c:pt>
                <c:pt idx="605">
                  <c:v>43119</c:v>
                </c:pt>
                <c:pt idx="606">
                  <c:v>43126</c:v>
                </c:pt>
                <c:pt idx="607">
                  <c:v>43133</c:v>
                </c:pt>
                <c:pt idx="608">
                  <c:v>43140</c:v>
                </c:pt>
                <c:pt idx="609">
                  <c:v>43147</c:v>
                </c:pt>
                <c:pt idx="610">
                  <c:v>43154</c:v>
                </c:pt>
                <c:pt idx="611">
                  <c:v>43161</c:v>
                </c:pt>
                <c:pt idx="612">
                  <c:v>43168</c:v>
                </c:pt>
                <c:pt idx="613">
                  <c:v>43175</c:v>
                </c:pt>
                <c:pt idx="614">
                  <c:v>43182</c:v>
                </c:pt>
                <c:pt idx="615">
                  <c:v>43189</c:v>
                </c:pt>
                <c:pt idx="616">
                  <c:v>43196</c:v>
                </c:pt>
                <c:pt idx="617">
                  <c:v>43203</c:v>
                </c:pt>
                <c:pt idx="618">
                  <c:v>43210</c:v>
                </c:pt>
                <c:pt idx="619">
                  <c:v>43217</c:v>
                </c:pt>
                <c:pt idx="620">
                  <c:v>43224</c:v>
                </c:pt>
                <c:pt idx="621">
                  <c:v>43231</c:v>
                </c:pt>
                <c:pt idx="622">
                  <c:v>43238</c:v>
                </c:pt>
                <c:pt idx="623">
                  <c:v>43245</c:v>
                </c:pt>
                <c:pt idx="624">
                  <c:v>43252</c:v>
                </c:pt>
                <c:pt idx="625">
                  <c:v>43259</c:v>
                </c:pt>
                <c:pt idx="626">
                  <c:v>43266</c:v>
                </c:pt>
                <c:pt idx="627">
                  <c:v>43273</c:v>
                </c:pt>
                <c:pt idx="628">
                  <c:v>43280</c:v>
                </c:pt>
                <c:pt idx="629">
                  <c:v>43287</c:v>
                </c:pt>
                <c:pt idx="630">
                  <c:v>43294</c:v>
                </c:pt>
                <c:pt idx="631">
                  <c:v>43301</c:v>
                </c:pt>
                <c:pt idx="632">
                  <c:v>43308</c:v>
                </c:pt>
                <c:pt idx="633">
                  <c:v>43315</c:v>
                </c:pt>
                <c:pt idx="634">
                  <c:v>43322</c:v>
                </c:pt>
                <c:pt idx="635">
                  <c:v>43329</c:v>
                </c:pt>
                <c:pt idx="636">
                  <c:v>43336</c:v>
                </c:pt>
                <c:pt idx="637">
                  <c:v>43343</c:v>
                </c:pt>
                <c:pt idx="638">
                  <c:v>43350</c:v>
                </c:pt>
                <c:pt idx="639">
                  <c:v>43357</c:v>
                </c:pt>
                <c:pt idx="640">
                  <c:v>43364</c:v>
                </c:pt>
                <c:pt idx="641">
                  <c:v>43371</c:v>
                </c:pt>
                <c:pt idx="642">
                  <c:v>43378</c:v>
                </c:pt>
                <c:pt idx="643">
                  <c:v>43385</c:v>
                </c:pt>
                <c:pt idx="644">
                  <c:v>43392</c:v>
                </c:pt>
                <c:pt idx="645">
                  <c:v>43399</c:v>
                </c:pt>
                <c:pt idx="646">
                  <c:v>43406</c:v>
                </c:pt>
                <c:pt idx="647">
                  <c:v>43413</c:v>
                </c:pt>
                <c:pt idx="648">
                  <c:v>43420</c:v>
                </c:pt>
                <c:pt idx="649">
                  <c:v>43427</c:v>
                </c:pt>
                <c:pt idx="650">
                  <c:v>43434</c:v>
                </c:pt>
                <c:pt idx="651">
                  <c:v>43441</c:v>
                </c:pt>
                <c:pt idx="652">
                  <c:v>43448</c:v>
                </c:pt>
                <c:pt idx="653">
                  <c:v>43455</c:v>
                </c:pt>
                <c:pt idx="654">
                  <c:v>43462</c:v>
                </c:pt>
                <c:pt idx="655">
                  <c:v>43469</c:v>
                </c:pt>
                <c:pt idx="656">
                  <c:v>43476</c:v>
                </c:pt>
                <c:pt idx="657">
                  <c:v>43483</c:v>
                </c:pt>
                <c:pt idx="658">
                  <c:v>43490</c:v>
                </c:pt>
                <c:pt idx="659">
                  <c:v>43497</c:v>
                </c:pt>
                <c:pt idx="660">
                  <c:v>43504</c:v>
                </c:pt>
                <c:pt idx="661">
                  <c:v>43511</c:v>
                </c:pt>
                <c:pt idx="662">
                  <c:v>43518</c:v>
                </c:pt>
                <c:pt idx="663">
                  <c:v>43525</c:v>
                </c:pt>
                <c:pt idx="664">
                  <c:v>43532</c:v>
                </c:pt>
                <c:pt idx="665">
                  <c:v>43539</c:v>
                </c:pt>
                <c:pt idx="666">
                  <c:v>43546</c:v>
                </c:pt>
                <c:pt idx="667">
                  <c:v>43553</c:v>
                </c:pt>
                <c:pt idx="668">
                  <c:v>43560</c:v>
                </c:pt>
                <c:pt idx="669">
                  <c:v>43567</c:v>
                </c:pt>
                <c:pt idx="670">
                  <c:v>43574</c:v>
                </c:pt>
                <c:pt idx="671">
                  <c:v>43581</c:v>
                </c:pt>
                <c:pt idx="672">
                  <c:v>43588</c:v>
                </c:pt>
                <c:pt idx="673">
                  <c:v>43595</c:v>
                </c:pt>
                <c:pt idx="674">
                  <c:v>43602</c:v>
                </c:pt>
                <c:pt idx="675">
                  <c:v>43609</c:v>
                </c:pt>
                <c:pt idx="676">
                  <c:v>43616</c:v>
                </c:pt>
                <c:pt idx="677">
                  <c:v>43623</c:v>
                </c:pt>
                <c:pt idx="678">
                  <c:v>43630</c:v>
                </c:pt>
                <c:pt idx="679">
                  <c:v>43637</c:v>
                </c:pt>
                <c:pt idx="680">
                  <c:v>43644</c:v>
                </c:pt>
                <c:pt idx="681">
                  <c:v>43651</c:v>
                </c:pt>
                <c:pt idx="682">
                  <c:v>43658</c:v>
                </c:pt>
                <c:pt idx="683">
                  <c:v>43665</c:v>
                </c:pt>
                <c:pt idx="684">
                  <c:v>43672</c:v>
                </c:pt>
                <c:pt idx="685">
                  <c:v>43679</c:v>
                </c:pt>
                <c:pt idx="686">
                  <c:v>43686</c:v>
                </c:pt>
                <c:pt idx="687">
                  <c:v>43693</c:v>
                </c:pt>
                <c:pt idx="688">
                  <c:v>43700</c:v>
                </c:pt>
                <c:pt idx="689">
                  <c:v>43707</c:v>
                </c:pt>
                <c:pt idx="690">
                  <c:v>43714</c:v>
                </c:pt>
                <c:pt idx="691">
                  <c:v>43721</c:v>
                </c:pt>
                <c:pt idx="692">
                  <c:v>43728</c:v>
                </c:pt>
                <c:pt idx="693">
                  <c:v>43735</c:v>
                </c:pt>
                <c:pt idx="694">
                  <c:v>43742</c:v>
                </c:pt>
                <c:pt idx="695">
                  <c:v>43749</c:v>
                </c:pt>
                <c:pt idx="696">
                  <c:v>43756</c:v>
                </c:pt>
                <c:pt idx="697">
                  <c:v>43763</c:v>
                </c:pt>
                <c:pt idx="698">
                  <c:v>43770</c:v>
                </c:pt>
                <c:pt idx="699">
                  <c:v>43777</c:v>
                </c:pt>
                <c:pt idx="700">
                  <c:v>43784</c:v>
                </c:pt>
                <c:pt idx="701">
                  <c:v>43791</c:v>
                </c:pt>
                <c:pt idx="702">
                  <c:v>43798</c:v>
                </c:pt>
                <c:pt idx="703">
                  <c:v>43805</c:v>
                </c:pt>
                <c:pt idx="704">
                  <c:v>43812</c:v>
                </c:pt>
                <c:pt idx="705">
                  <c:v>43819</c:v>
                </c:pt>
                <c:pt idx="706">
                  <c:v>43826</c:v>
                </c:pt>
                <c:pt idx="707">
                  <c:v>43833</c:v>
                </c:pt>
                <c:pt idx="708">
                  <c:v>43840</c:v>
                </c:pt>
                <c:pt idx="709">
                  <c:v>43847</c:v>
                </c:pt>
                <c:pt idx="710">
                  <c:v>43854</c:v>
                </c:pt>
                <c:pt idx="711">
                  <c:v>43861</c:v>
                </c:pt>
                <c:pt idx="712">
                  <c:v>43868</c:v>
                </c:pt>
                <c:pt idx="713">
                  <c:v>43875</c:v>
                </c:pt>
                <c:pt idx="714">
                  <c:v>43882</c:v>
                </c:pt>
                <c:pt idx="715">
                  <c:v>43889</c:v>
                </c:pt>
                <c:pt idx="716">
                  <c:v>43896</c:v>
                </c:pt>
                <c:pt idx="717">
                  <c:v>43903</c:v>
                </c:pt>
                <c:pt idx="718">
                  <c:v>43910</c:v>
                </c:pt>
                <c:pt idx="719">
                  <c:v>43917</c:v>
                </c:pt>
                <c:pt idx="720">
                  <c:v>43924</c:v>
                </c:pt>
                <c:pt idx="721">
                  <c:v>43931</c:v>
                </c:pt>
                <c:pt idx="722">
                  <c:v>43938</c:v>
                </c:pt>
                <c:pt idx="723">
                  <c:v>43945</c:v>
                </c:pt>
                <c:pt idx="724">
                  <c:v>43952</c:v>
                </c:pt>
                <c:pt idx="725">
                  <c:v>43959</c:v>
                </c:pt>
                <c:pt idx="726">
                  <c:v>43966</c:v>
                </c:pt>
                <c:pt idx="727">
                  <c:v>43973</c:v>
                </c:pt>
                <c:pt idx="728">
                  <c:v>43980</c:v>
                </c:pt>
                <c:pt idx="729">
                  <c:v>43987</c:v>
                </c:pt>
                <c:pt idx="730">
                  <c:v>43994</c:v>
                </c:pt>
                <c:pt idx="731">
                  <c:v>44001</c:v>
                </c:pt>
                <c:pt idx="732">
                  <c:v>44008</c:v>
                </c:pt>
                <c:pt idx="733">
                  <c:v>44015</c:v>
                </c:pt>
                <c:pt idx="734">
                  <c:v>44022</c:v>
                </c:pt>
                <c:pt idx="735">
                  <c:v>44029</c:v>
                </c:pt>
                <c:pt idx="736">
                  <c:v>44036</c:v>
                </c:pt>
                <c:pt idx="737">
                  <c:v>44043</c:v>
                </c:pt>
                <c:pt idx="738">
                  <c:v>44050</c:v>
                </c:pt>
                <c:pt idx="739">
                  <c:v>44057</c:v>
                </c:pt>
                <c:pt idx="740">
                  <c:v>44064</c:v>
                </c:pt>
                <c:pt idx="741">
                  <c:v>44071</c:v>
                </c:pt>
                <c:pt idx="742">
                  <c:v>44078</c:v>
                </c:pt>
                <c:pt idx="743">
                  <c:v>44085</c:v>
                </c:pt>
                <c:pt idx="744">
                  <c:v>44092</c:v>
                </c:pt>
                <c:pt idx="745">
                  <c:v>44099</c:v>
                </c:pt>
                <c:pt idx="746">
                  <c:v>44106</c:v>
                </c:pt>
                <c:pt idx="747">
                  <c:v>44113</c:v>
                </c:pt>
                <c:pt idx="748">
                  <c:v>44120</c:v>
                </c:pt>
                <c:pt idx="749">
                  <c:v>44127</c:v>
                </c:pt>
                <c:pt idx="750">
                  <c:v>44134</c:v>
                </c:pt>
                <c:pt idx="751">
                  <c:v>44141</c:v>
                </c:pt>
                <c:pt idx="752">
                  <c:v>44148</c:v>
                </c:pt>
                <c:pt idx="753">
                  <c:v>44155</c:v>
                </c:pt>
                <c:pt idx="754">
                  <c:v>44162</c:v>
                </c:pt>
                <c:pt idx="755">
                  <c:v>44169</c:v>
                </c:pt>
                <c:pt idx="756">
                  <c:v>44176</c:v>
                </c:pt>
                <c:pt idx="757">
                  <c:v>44183</c:v>
                </c:pt>
                <c:pt idx="758">
                  <c:v>44190</c:v>
                </c:pt>
                <c:pt idx="759">
                  <c:v>44197</c:v>
                </c:pt>
                <c:pt idx="760">
                  <c:v>44204</c:v>
                </c:pt>
                <c:pt idx="761">
                  <c:v>44211</c:v>
                </c:pt>
                <c:pt idx="762">
                  <c:v>44218</c:v>
                </c:pt>
                <c:pt idx="763">
                  <c:v>44225</c:v>
                </c:pt>
                <c:pt idx="764">
                  <c:v>44232</c:v>
                </c:pt>
                <c:pt idx="765">
                  <c:v>44239</c:v>
                </c:pt>
                <c:pt idx="766">
                  <c:v>44246</c:v>
                </c:pt>
                <c:pt idx="767">
                  <c:v>44253</c:v>
                </c:pt>
                <c:pt idx="768">
                  <c:v>44260</c:v>
                </c:pt>
                <c:pt idx="769">
                  <c:v>44267</c:v>
                </c:pt>
                <c:pt idx="770">
                  <c:v>44274</c:v>
                </c:pt>
                <c:pt idx="771">
                  <c:v>44281</c:v>
                </c:pt>
                <c:pt idx="772">
                  <c:v>44288</c:v>
                </c:pt>
                <c:pt idx="773">
                  <c:v>44295</c:v>
                </c:pt>
                <c:pt idx="774">
                  <c:v>44302</c:v>
                </c:pt>
                <c:pt idx="775">
                  <c:v>44309</c:v>
                </c:pt>
                <c:pt idx="776">
                  <c:v>44316</c:v>
                </c:pt>
                <c:pt idx="777">
                  <c:v>44323</c:v>
                </c:pt>
                <c:pt idx="778">
                  <c:v>44330</c:v>
                </c:pt>
                <c:pt idx="779">
                  <c:v>44337</c:v>
                </c:pt>
                <c:pt idx="780">
                  <c:v>44344</c:v>
                </c:pt>
                <c:pt idx="781">
                  <c:v>44351</c:v>
                </c:pt>
                <c:pt idx="782">
                  <c:v>44358</c:v>
                </c:pt>
                <c:pt idx="783">
                  <c:v>44365</c:v>
                </c:pt>
                <c:pt idx="784">
                  <c:v>44372</c:v>
                </c:pt>
                <c:pt idx="785">
                  <c:v>44379</c:v>
                </c:pt>
                <c:pt idx="786">
                  <c:v>44386</c:v>
                </c:pt>
                <c:pt idx="787">
                  <c:v>44393</c:v>
                </c:pt>
                <c:pt idx="788">
                  <c:v>44400</c:v>
                </c:pt>
                <c:pt idx="789">
                  <c:v>44407</c:v>
                </c:pt>
                <c:pt idx="790">
                  <c:v>44414</c:v>
                </c:pt>
                <c:pt idx="791">
                  <c:v>44421</c:v>
                </c:pt>
                <c:pt idx="792">
                  <c:v>44428</c:v>
                </c:pt>
                <c:pt idx="793">
                  <c:v>44435</c:v>
                </c:pt>
                <c:pt idx="794">
                  <c:v>44442</c:v>
                </c:pt>
                <c:pt idx="795">
                  <c:v>44449</c:v>
                </c:pt>
                <c:pt idx="796">
                  <c:v>44456</c:v>
                </c:pt>
                <c:pt idx="797">
                  <c:v>44463</c:v>
                </c:pt>
                <c:pt idx="798">
                  <c:v>44470</c:v>
                </c:pt>
                <c:pt idx="799">
                  <c:v>44477</c:v>
                </c:pt>
                <c:pt idx="800">
                  <c:v>44484</c:v>
                </c:pt>
                <c:pt idx="801">
                  <c:v>44491</c:v>
                </c:pt>
                <c:pt idx="802">
                  <c:v>44498</c:v>
                </c:pt>
                <c:pt idx="803">
                  <c:v>44505</c:v>
                </c:pt>
                <c:pt idx="804">
                  <c:v>44512</c:v>
                </c:pt>
                <c:pt idx="805">
                  <c:v>44519</c:v>
                </c:pt>
                <c:pt idx="806">
                  <c:v>44526</c:v>
                </c:pt>
                <c:pt idx="807">
                  <c:v>44533</c:v>
                </c:pt>
                <c:pt idx="808">
                  <c:v>44540</c:v>
                </c:pt>
                <c:pt idx="809">
                  <c:v>44547</c:v>
                </c:pt>
                <c:pt idx="810">
                  <c:v>44554</c:v>
                </c:pt>
                <c:pt idx="811">
                  <c:v>44561</c:v>
                </c:pt>
                <c:pt idx="812">
                  <c:v>44568</c:v>
                </c:pt>
                <c:pt idx="813">
                  <c:v>44575</c:v>
                </c:pt>
                <c:pt idx="814">
                  <c:v>44582</c:v>
                </c:pt>
                <c:pt idx="815">
                  <c:v>44589</c:v>
                </c:pt>
                <c:pt idx="816">
                  <c:v>44596</c:v>
                </c:pt>
                <c:pt idx="817">
                  <c:v>44603</c:v>
                </c:pt>
                <c:pt idx="818">
                  <c:v>44610</c:v>
                </c:pt>
                <c:pt idx="819">
                  <c:v>44617</c:v>
                </c:pt>
                <c:pt idx="820">
                  <c:v>44624</c:v>
                </c:pt>
                <c:pt idx="821">
                  <c:v>44631</c:v>
                </c:pt>
                <c:pt idx="822">
                  <c:v>44638</c:v>
                </c:pt>
                <c:pt idx="823">
                  <c:v>44645</c:v>
                </c:pt>
                <c:pt idx="824">
                  <c:v>44652</c:v>
                </c:pt>
                <c:pt idx="825">
                  <c:v>44659</c:v>
                </c:pt>
                <c:pt idx="826">
                  <c:v>44666</c:v>
                </c:pt>
                <c:pt idx="827">
                  <c:v>44673</c:v>
                </c:pt>
                <c:pt idx="828">
                  <c:v>44680</c:v>
                </c:pt>
                <c:pt idx="829">
                  <c:v>44687</c:v>
                </c:pt>
                <c:pt idx="830">
                  <c:v>44694</c:v>
                </c:pt>
                <c:pt idx="831">
                  <c:v>44701</c:v>
                </c:pt>
                <c:pt idx="832">
                  <c:v>44708</c:v>
                </c:pt>
                <c:pt idx="833">
                  <c:v>44715</c:v>
                </c:pt>
                <c:pt idx="834">
                  <c:v>44722</c:v>
                </c:pt>
                <c:pt idx="835">
                  <c:v>44729</c:v>
                </c:pt>
                <c:pt idx="836">
                  <c:v>44736</c:v>
                </c:pt>
                <c:pt idx="837">
                  <c:v>44743</c:v>
                </c:pt>
                <c:pt idx="838">
                  <c:v>44750</c:v>
                </c:pt>
                <c:pt idx="839">
                  <c:v>44757</c:v>
                </c:pt>
                <c:pt idx="840">
                  <c:v>44764</c:v>
                </c:pt>
                <c:pt idx="841">
                  <c:v>44771</c:v>
                </c:pt>
                <c:pt idx="842">
                  <c:v>44778</c:v>
                </c:pt>
                <c:pt idx="843">
                  <c:v>44785</c:v>
                </c:pt>
              </c:numCache>
            </c:numRef>
          </c:cat>
          <c:val>
            <c:numRef>
              <c:f>Hoja1!$M$2:$M$845</c:f>
              <c:numCache>
                <c:formatCode>General</c:formatCode>
                <c:ptCount val="844"/>
                <c:pt idx="0">
                  <c:v>69.48</c:v>
                </c:pt>
                <c:pt idx="1">
                  <c:v>69.94</c:v>
                </c:pt>
                <c:pt idx="2">
                  <c:v>72.650000000000006</c:v>
                </c:pt>
                <c:pt idx="3">
                  <c:v>74.650000000000006</c:v>
                </c:pt>
                <c:pt idx="4">
                  <c:v>75.209999999999994</c:v>
                </c:pt>
                <c:pt idx="5">
                  <c:v>73.98</c:v>
                </c:pt>
                <c:pt idx="6">
                  <c:v>73.87</c:v>
                </c:pt>
                <c:pt idx="7">
                  <c:v>75.2</c:v>
                </c:pt>
                <c:pt idx="8">
                  <c:v>75.63</c:v>
                </c:pt>
                <c:pt idx="9">
                  <c:v>71.790000000000006</c:v>
                </c:pt>
                <c:pt idx="10">
                  <c:v>72.12</c:v>
                </c:pt>
                <c:pt idx="11">
                  <c:v>70.010000000000005</c:v>
                </c:pt>
                <c:pt idx="12">
                  <c:v>67.53</c:v>
                </c:pt>
                <c:pt idx="13">
                  <c:v>63.98</c:v>
                </c:pt>
                <c:pt idx="14">
                  <c:v>61.4</c:v>
                </c:pt>
                <c:pt idx="15">
                  <c:v>61.94</c:v>
                </c:pt>
                <c:pt idx="16">
                  <c:v>59.77</c:v>
                </c:pt>
                <c:pt idx="17">
                  <c:v>58.58</c:v>
                </c:pt>
                <c:pt idx="18">
                  <c:v>58.48</c:v>
                </c:pt>
                <c:pt idx="19">
                  <c:v>58.88</c:v>
                </c:pt>
                <c:pt idx="20">
                  <c:v>58.55</c:v>
                </c:pt>
                <c:pt idx="21">
                  <c:v>59.96</c:v>
                </c:pt>
                <c:pt idx="22">
                  <c:v>57.56</c:v>
                </c:pt>
                <c:pt idx="23">
                  <c:v>57.24</c:v>
                </c:pt>
                <c:pt idx="24">
                  <c:v>62.02</c:v>
                </c:pt>
                <c:pt idx="25">
                  <c:v>62.32</c:v>
                </c:pt>
                <c:pt idx="26">
                  <c:v>61.91</c:v>
                </c:pt>
                <c:pt idx="27">
                  <c:v>62.4</c:v>
                </c:pt>
                <c:pt idx="28">
                  <c:v>60.66</c:v>
                </c:pt>
                <c:pt idx="29">
                  <c:v>57.76</c:v>
                </c:pt>
                <c:pt idx="30">
                  <c:v>54.11</c:v>
                </c:pt>
                <c:pt idx="31">
                  <c:v>51.51</c:v>
                </c:pt>
                <c:pt idx="32">
                  <c:v>53.57</c:v>
                </c:pt>
                <c:pt idx="33">
                  <c:v>57.11</c:v>
                </c:pt>
                <c:pt idx="34">
                  <c:v>58.99</c:v>
                </c:pt>
                <c:pt idx="35">
                  <c:v>58.41</c:v>
                </c:pt>
                <c:pt idx="36">
                  <c:v>59.57</c:v>
                </c:pt>
                <c:pt idx="37">
                  <c:v>61.64</c:v>
                </c:pt>
                <c:pt idx="38">
                  <c:v>60.85</c:v>
                </c:pt>
                <c:pt idx="39">
                  <c:v>57.94</c:v>
                </c:pt>
                <c:pt idx="40">
                  <c:v>58.26</c:v>
                </c:pt>
                <c:pt idx="41">
                  <c:v>64.180000000000007</c:v>
                </c:pt>
                <c:pt idx="42">
                  <c:v>64.819999999999993</c:v>
                </c:pt>
                <c:pt idx="43">
                  <c:v>62.58</c:v>
                </c:pt>
                <c:pt idx="44">
                  <c:v>63.06</c:v>
                </c:pt>
                <c:pt idx="45">
                  <c:v>65.260000000000005</c:v>
                </c:pt>
                <c:pt idx="46">
                  <c:v>63.82</c:v>
                </c:pt>
                <c:pt idx="47">
                  <c:v>61.9</c:v>
                </c:pt>
                <c:pt idx="48">
                  <c:v>63.61</c:v>
                </c:pt>
                <c:pt idx="49">
                  <c:v>64.89</c:v>
                </c:pt>
                <c:pt idx="50">
                  <c:v>63.94</c:v>
                </c:pt>
                <c:pt idx="51">
                  <c:v>65.900000000000006</c:v>
                </c:pt>
                <c:pt idx="52">
                  <c:v>66.62</c:v>
                </c:pt>
                <c:pt idx="53">
                  <c:v>68.78</c:v>
                </c:pt>
                <c:pt idx="54">
                  <c:v>69.13</c:v>
                </c:pt>
                <c:pt idx="55">
                  <c:v>71.78</c:v>
                </c:pt>
                <c:pt idx="56">
                  <c:v>72.790000000000006</c:v>
                </c:pt>
                <c:pt idx="57">
                  <c:v>74.92</c:v>
                </c:pt>
                <c:pt idx="58">
                  <c:v>75.150000000000006</c:v>
                </c:pt>
                <c:pt idx="59">
                  <c:v>76.75</c:v>
                </c:pt>
                <c:pt idx="60">
                  <c:v>71.92</c:v>
                </c:pt>
                <c:pt idx="61">
                  <c:v>72.05</c:v>
                </c:pt>
                <c:pt idx="62">
                  <c:v>70.19</c:v>
                </c:pt>
                <c:pt idx="63">
                  <c:v>72.930000000000007</c:v>
                </c:pt>
                <c:pt idx="64">
                  <c:v>75.959999999999994</c:v>
                </c:pt>
                <c:pt idx="65">
                  <c:v>78.95</c:v>
                </c:pt>
                <c:pt idx="66">
                  <c:v>82.26</c:v>
                </c:pt>
                <c:pt idx="67">
                  <c:v>81.7</c:v>
                </c:pt>
                <c:pt idx="68">
                  <c:v>80.59</c:v>
                </c:pt>
                <c:pt idx="69">
                  <c:v>81.459999999999994</c:v>
                </c:pt>
                <c:pt idx="70">
                  <c:v>87.8</c:v>
                </c:pt>
                <c:pt idx="71">
                  <c:v>89.23</c:v>
                </c:pt>
                <c:pt idx="72">
                  <c:v>93.46</c:v>
                </c:pt>
                <c:pt idx="73">
                  <c:v>95.81</c:v>
                </c:pt>
                <c:pt idx="74">
                  <c:v>93.56</c:v>
                </c:pt>
                <c:pt idx="75">
                  <c:v>97.93</c:v>
                </c:pt>
                <c:pt idx="76">
                  <c:v>92.47</c:v>
                </c:pt>
                <c:pt idx="77">
                  <c:v>88.71</c:v>
                </c:pt>
                <c:pt idx="78">
                  <c:v>91.18</c:v>
                </c:pt>
                <c:pt idx="79">
                  <c:v>91.16</c:v>
                </c:pt>
                <c:pt idx="80">
                  <c:v>95.64</c:v>
                </c:pt>
                <c:pt idx="81">
                  <c:v>98.17</c:v>
                </c:pt>
                <c:pt idx="82">
                  <c:v>94.76</c:v>
                </c:pt>
                <c:pt idx="83">
                  <c:v>91.51</c:v>
                </c:pt>
                <c:pt idx="84">
                  <c:v>89.41</c:v>
                </c:pt>
                <c:pt idx="85">
                  <c:v>91.14</c:v>
                </c:pt>
                <c:pt idx="86">
                  <c:v>89.08</c:v>
                </c:pt>
                <c:pt idx="87">
                  <c:v>94.13</c:v>
                </c:pt>
                <c:pt idx="88">
                  <c:v>99.61</c:v>
                </c:pt>
                <c:pt idx="89">
                  <c:v>100.84</c:v>
                </c:pt>
                <c:pt idx="90">
                  <c:v>103.44</c:v>
                </c:pt>
                <c:pt idx="91">
                  <c:v>109.35</c:v>
                </c:pt>
                <c:pt idx="92">
                  <c:v>105.28</c:v>
                </c:pt>
                <c:pt idx="93">
                  <c:v>104.49</c:v>
                </c:pt>
                <c:pt idx="94">
                  <c:v>103.46</c:v>
                </c:pt>
                <c:pt idx="95">
                  <c:v>109.71</c:v>
                </c:pt>
                <c:pt idx="96">
                  <c:v>114.33</c:v>
                </c:pt>
                <c:pt idx="97">
                  <c:v>118.53</c:v>
                </c:pt>
                <c:pt idx="98">
                  <c:v>115.42</c:v>
                </c:pt>
                <c:pt idx="99">
                  <c:v>123.01</c:v>
                </c:pt>
                <c:pt idx="100">
                  <c:v>124.96</c:v>
                </c:pt>
                <c:pt idx="101">
                  <c:v>130.13999999999999</c:v>
                </c:pt>
                <c:pt idx="102">
                  <c:v>128.47</c:v>
                </c:pt>
                <c:pt idx="103">
                  <c:v>128.16</c:v>
                </c:pt>
                <c:pt idx="104">
                  <c:v>134.80000000000001</c:v>
                </c:pt>
                <c:pt idx="105">
                  <c:v>134.34</c:v>
                </c:pt>
                <c:pt idx="106">
                  <c:v>137</c:v>
                </c:pt>
                <c:pt idx="107">
                  <c:v>142.52000000000001</c:v>
                </c:pt>
                <c:pt idx="108">
                  <c:v>139.94999999999999</c:v>
                </c:pt>
                <c:pt idx="109">
                  <c:v>135.37</c:v>
                </c:pt>
                <c:pt idx="110">
                  <c:v>125.92</c:v>
                </c:pt>
                <c:pt idx="111">
                  <c:v>124.57</c:v>
                </c:pt>
                <c:pt idx="112">
                  <c:v>118.8</c:v>
                </c:pt>
                <c:pt idx="113">
                  <c:v>114.4</c:v>
                </c:pt>
                <c:pt idx="114">
                  <c:v>115.7</c:v>
                </c:pt>
                <c:pt idx="115">
                  <c:v>116.09</c:v>
                </c:pt>
                <c:pt idx="116">
                  <c:v>108.37</c:v>
                </c:pt>
                <c:pt idx="117">
                  <c:v>102.88</c:v>
                </c:pt>
                <c:pt idx="118">
                  <c:v>97.19</c:v>
                </c:pt>
                <c:pt idx="119">
                  <c:v>111.12</c:v>
                </c:pt>
                <c:pt idx="120">
                  <c:v>96.59</c:v>
                </c:pt>
                <c:pt idx="121">
                  <c:v>86.24</c:v>
                </c:pt>
                <c:pt idx="122">
                  <c:v>75.19</c:v>
                </c:pt>
                <c:pt idx="123">
                  <c:v>68.56</c:v>
                </c:pt>
                <c:pt idx="124">
                  <c:v>65.209999999999994</c:v>
                </c:pt>
                <c:pt idx="125">
                  <c:v>64.31</c:v>
                </c:pt>
                <c:pt idx="126">
                  <c:v>58.6</c:v>
                </c:pt>
                <c:pt idx="127">
                  <c:v>52.26</c:v>
                </c:pt>
                <c:pt idx="128">
                  <c:v>53.27</c:v>
                </c:pt>
                <c:pt idx="129">
                  <c:v>45.6</c:v>
                </c:pt>
                <c:pt idx="130">
                  <c:v>44.57</c:v>
                </c:pt>
                <c:pt idx="131">
                  <c:v>39.700000000000003</c:v>
                </c:pt>
                <c:pt idx="132">
                  <c:v>32.979999999999997</c:v>
                </c:pt>
                <c:pt idx="133">
                  <c:v>42.4</c:v>
                </c:pt>
                <c:pt idx="134">
                  <c:v>44.46</c:v>
                </c:pt>
                <c:pt idx="135">
                  <c:v>36.729999999999997</c:v>
                </c:pt>
                <c:pt idx="136">
                  <c:v>42.15</c:v>
                </c:pt>
                <c:pt idx="137">
                  <c:v>42.7</c:v>
                </c:pt>
                <c:pt idx="138">
                  <c:v>40.78</c:v>
                </c:pt>
                <c:pt idx="139">
                  <c:v>36.94</c:v>
                </c:pt>
                <c:pt idx="140">
                  <c:v>37.15</c:v>
                </c:pt>
                <c:pt idx="141">
                  <c:v>41.1</c:v>
                </c:pt>
                <c:pt idx="142">
                  <c:v>43.18</c:v>
                </c:pt>
                <c:pt idx="143">
                  <c:v>45.66</c:v>
                </c:pt>
                <c:pt idx="144">
                  <c:v>49.49</c:v>
                </c:pt>
                <c:pt idx="145">
                  <c:v>52.99</c:v>
                </c:pt>
                <c:pt idx="146">
                  <c:v>50.34</c:v>
                </c:pt>
                <c:pt idx="147">
                  <c:v>50.46</c:v>
                </c:pt>
                <c:pt idx="148">
                  <c:v>49.86</c:v>
                </c:pt>
                <c:pt idx="149">
                  <c:v>47.8</c:v>
                </c:pt>
                <c:pt idx="150">
                  <c:v>50.2</c:v>
                </c:pt>
                <c:pt idx="151">
                  <c:v>55.96</c:v>
                </c:pt>
                <c:pt idx="152">
                  <c:v>57.94</c:v>
                </c:pt>
                <c:pt idx="153">
                  <c:v>60.32</c:v>
                </c:pt>
                <c:pt idx="154">
                  <c:v>64.319999999999993</c:v>
                </c:pt>
                <c:pt idx="155">
                  <c:v>68.11</c:v>
                </c:pt>
                <c:pt idx="156">
                  <c:v>70.849999999999994</c:v>
                </c:pt>
                <c:pt idx="157">
                  <c:v>70.62</c:v>
                </c:pt>
                <c:pt idx="158">
                  <c:v>68.58</c:v>
                </c:pt>
                <c:pt idx="159">
                  <c:v>69.319999999999993</c:v>
                </c:pt>
                <c:pt idx="160">
                  <c:v>61.48</c:v>
                </c:pt>
                <c:pt idx="161">
                  <c:v>61.29</c:v>
                </c:pt>
                <c:pt idx="162">
                  <c:v>65.28</c:v>
                </c:pt>
                <c:pt idx="163">
                  <c:v>67.03</c:v>
                </c:pt>
                <c:pt idx="164">
                  <c:v>71.58</c:v>
                </c:pt>
                <c:pt idx="165">
                  <c:v>69.64</c:v>
                </c:pt>
                <c:pt idx="166">
                  <c:v>70.8</c:v>
                </c:pt>
                <c:pt idx="167">
                  <c:v>72.37</c:v>
                </c:pt>
                <c:pt idx="168">
                  <c:v>68.39</c:v>
                </c:pt>
                <c:pt idx="169">
                  <c:v>70.91</c:v>
                </c:pt>
                <c:pt idx="170">
                  <c:v>71.319999999999993</c:v>
                </c:pt>
                <c:pt idx="171">
                  <c:v>68.33</c:v>
                </c:pt>
                <c:pt idx="172">
                  <c:v>68.84</c:v>
                </c:pt>
                <c:pt idx="173">
                  <c:v>70.8</c:v>
                </c:pt>
                <c:pt idx="174">
                  <c:v>75.73</c:v>
                </c:pt>
                <c:pt idx="175">
                  <c:v>80.06</c:v>
                </c:pt>
                <c:pt idx="176">
                  <c:v>78.47</c:v>
                </c:pt>
                <c:pt idx="177">
                  <c:v>79</c:v>
                </c:pt>
                <c:pt idx="178">
                  <c:v>78.239999999999995</c:v>
                </c:pt>
                <c:pt idx="179">
                  <c:v>78.37</c:v>
                </c:pt>
                <c:pt idx="180">
                  <c:v>76.14</c:v>
                </c:pt>
                <c:pt idx="181">
                  <c:v>76.81</c:v>
                </c:pt>
                <c:pt idx="182">
                  <c:v>71.510000000000005</c:v>
                </c:pt>
                <c:pt idx="183">
                  <c:v>71.72</c:v>
                </c:pt>
                <c:pt idx="184">
                  <c:v>74.760000000000005</c:v>
                </c:pt>
                <c:pt idx="185">
                  <c:v>79.069999999999993</c:v>
                </c:pt>
                <c:pt idx="186">
                  <c:v>82.34</c:v>
                </c:pt>
                <c:pt idx="187">
                  <c:v>80.06</c:v>
                </c:pt>
                <c:pt idx="188">
                  <c:v>76.62</c:v>
                </c:pt>
                <c:pt idx="189">
                  <c:v>73.94</c:v>
                </c:pt>
                <c:pt idx="190">
                  <c:v>74.569999999999993</c:v>
                </c:pt>
                <c:pt idx="191">
                  <c:v>73.88</c:v>
                </c:pt>
                <c:pt idx="192">
                  <c:v>78.25</c:v>
                </c:pt>
                <c:pt idx="193">
                  <c:v>79.22</c:v>
                </c:pt>
                <c:pt idx="194">
                  <c:v>80.19</c:v>
                </c:pt>
                <c:pt idx="195">
                  <c:v>81.760000000000005</c:v>
                </c:pt>
                <c:pt idx="196">
                  <c:v>81.44</c:v>
                </c:pt>
                <c:pt idx="197">
                  <c:v>80.650000000000006</c:v>
                </c:pt>
                <c:pt idx="198">
                  <c:v>83.01</c:v>
                </c:pt>
                <c:pt idx="199">
                  <c:v>85.66</c:v>
                </c:pt>
                <c:pt idx="200">
                  <c:v>84.34</c:v>
                </c:pt>
                <c:pt idx="201">
                  <c:v>82.9</c:v>
                </c:pt>
                <c:pt idx="202">
                  <c:v>84.22</c:v>
                </c:pt>
                <c:pt idx="203">
                  <c:v>80.239999999999995</c:v>
                </c:pt>
                <c:pt idx="204">
                  <c:v>74.98</c:v>
                </c:pt>
                <c:pt idx="205">
                  <c:v>69.14</c:v>
                </c:pt>
                <c:pt idx="206">
                  <c:v>70.62</c:v>
                </c:pt>
                <c:pt idx="207">
                  <c:v>72.91</c:v>
                </c:pt>
                <c:pt idx="208">
                  <c:v>73.44</c:v>
                </c:pt>
                <c:pt idx="209">
                  <c:v>76.7</c:v>
                </c:pt>
                <c:pt idx="210">
                  <c:v>77.06</c:v>
                </c:pt>
                <c:pt idx="211">
                  <c:v>74.959999999999994</c:v>
                </c:pt>
                <c:pt idx="212">
                  <c:v>74.39</c:v>
                </c:pt>
                <c:pt idx="213">
                  <c:v>76.349999999999994</c:v>
                </c:pt>
                <c:pt idx="214">
                  <c:v>77.56</c:v>
                </c:pt>
                <c:pt idx="215">
                  <c:v>78.12</c:v>
                </c:pt>
                <c:pt idx="216">
                  <c:v>81.790000000000006</c:v>
                </c:pt>
                <c:pt idx="217">
                  <c:v>78.17</c:v>
                </c:pt>
                <c:pt idx="218">
                  <c:v>74.84</c:v>
                </c:pt>
                <c:pt idx="219">
                  <c:v>72.91</c:v>
                </c:pt>
                <c:pt idx="220">
                  <c:v>74.02</c:v>
                </c:pt>
                <c:pt idx="221">
                  <c:v>74.819999999999993</c:v>
                </c:pt>
                <c:pt idx="222">
                  <c:v>75.62</c:v>
                </c:pt>
                <c:pt idx="223">
                  <c:v>73.760000000000005</c:v>
                </c:pt>
                <c:pt idx="224">
                  <c:v>78.41</c:v>
                </c:pt>
                <c:pt idx="225">
                  <c:v>82.29</c:v>
                </c:pt>
                <c:pt idx="226">
                  <c:v>82.16</c:v>
                </c:pt>
                <c:pt idx="227">
                  <c:v>81.150000000000006</c:v>
                </c:pt>
                <c:pt idx="228">
                  <c:v>82.03</c:v>
                </c:pt>
                <c:pt idx="229">
                  <c:v>84.93</c:v>
                </c:pt>
                <c:pt idx="230">
                  <c:v>86.91</c:v>
                </c:pt>
                <c:pt idx="231">
                  <c:v>82.23</c:v>
                </c:pt>
                <c:pt idx="232">
                  <c:v>82.28</c:v>
                </c:pt>
                <c:pt idx="233">
                  <c:v>86.75</c:v>
                </c:pt>
                <c:pt idx="234">
                  <c:v>88.5</c:v>
                </c:pt>
                <c:pt idx="235">
                  <c:v>88.27</c:v>
                </c:pt>
                <c:pt idx="236">
                  <c:v>89.66</c:v>
                </c:pt>
                <c:pt idx="237">
                  <c:v>90.97</c:v>
                </c:pt>
                <c:pt idx="238">
                  <c:v>89.54</c:v>
                </c:pt>
                <c:pt idx="239">
                  <c:v>91.02</c:v>
                </c:pt>
                <c:pt idx="240">
                  <c:v>89.75</c:v>
                </c:pt>
                <c:pt idx="241">
                  <c:v>86.11</c:v>
                </c:pt>
                <c:pt idx="242">
                  <c:v>89.52</c:v>
                </c:pt>
                <c:pt idx="243">
                  <c:v>85.51</c:v>
                </c:pt>
                <c:pt idx="244">
                  <c:v>84.13</c:v>
                </c:pt>
                <c:pt idx="245">
                  <c:v>95.26</c:v>
                </c:pt>
                <c:pt idx="246">
                  <c:v>101.05</c:v>
                </c:pt>
                <c:pt idx="247">
                  <c:v>103.74</c:v>
                </c:pt>
                <c:pt idx="248">
                  <c:v>99.79</c:v>
                </c:pt>
                <c:pt idx="249">
                  <c:v>104.41</c:v>
                </c:pt>
                <c:pt idx="250">
                  <c:v>105.08</c:v>
                </c:pt>
                <c:pt idx="251">
                  <c:v>109.29</c:v>
                </c:pt>
                <c:pt idx="252">
                  <c:v>107.75</c:v>
                </c:pt>
                <c:pt idx="253">
                  <c:v>109.11</c:v>
                </c:pt>
                <c:pt idx="254">
                  <c:v>112.3</c:v>
                </c:pt>
                <c:pt idx="255">
                  <c:v>105.84</c:v>
                </c:pt>
                <c:pt idx="256">
                  <c:v>99.87</c:v>
                </c:pt>
                <c:pt idx="257">
                  <c:v>97.99</c:v>
                </c:pt>
                <c:pt idx="258">
                  <c:v>99.55</c:v>
                </c:pt>
                <c:pt idx="259">
                  <c:v>100.92</c:v>
                </c:pt>
                <c:pt idx="260">
                  <c:v>100.05</c:v>
                </c:pt>
                <c:pt idx="261">
                  <c:v>95.87</c:v>
                </c:pt>
                <c:pt idx="262">
                  <c:v>92.7</c:v>
                </c:pt>
                <c:pt idx="263">
                  <c:v>93.7</c:v>
                </c:pt>
                <c:pt idx="264">
                  <c:v>97.12</c:v>
                </c:pt>
                <c:pt idx="265">
                  <c:v>96.72</c:v>
                </c:pt>
                <c:pt idx="266">
                  <c:v>98.01</c:v>
                </c:pt>
                <c:pt idx="267">
                  <c:v>97.83</c:v>
                </c:pt>
                <c:pt idx="268">
                  <c:v>90.85</c:v>
                </c:pt>
                <c:pt idx="269">
                  <c:v>82.86</c:v>
                </c:pt>
                <c:pt idx="270">
                  <c:v>85.36</c:v>
                </c:pt>
                <c:pt idx="271">
                  <c:v>85.06</c:v>
                </c:pt>
                <c:pt idx="272">
                  <c:v>88.07</c:v>
                </c:pt>
                <c:pt idx="273">
                  <c:v>87.91</c:v>
                </c:pt>
                <c:pt idx="274">
                  <c:v>88.93</c:v>
                </c:pt>
                <c:pt idx="275">
                  <c:v>83.65</c:v>
                </c:pt>
                <c:pt idx="276">
                  <c:v>81.180000000000007</c:v>
                </c:pt>
                <c:pt idx="277">
                  <c:v>79.430000000000007</c:v>
                </c:pt>
                <c:pt idx="278">
                  <c:v>85.35</c:v>
                </c:pt>
                <c:pt idx="279">
                  <c:v>86.82</c:v>
                </c:pt>
                <c:pt idx="280">
                  <c:v>92.32</c:v>
                </c:pt>
                <c:pt idx="281">
                  <c:v>93.24</c:v>
                </c:pt>
                <c:pt idx="282">
                  <c:v>96.97</c:v>
                </c:pt>
                <c:pt idx="283">
                  <c:v>99.32</c:v>
                </c:pt>
                <c:pt idx="284">
                  <c:v>96.89</c:v>
                </c:pt>
                <c:pt idx="285">
                  <c:v>99.91</c:v>
                </c:pt>
                <c:pt idx="286">
                  <c:v>100.08</c:v>
                </c:pt>
                <c:pt idx="287">
                  <c:v>96.06</c:v>
                </c:pt>
                <c:pt idx="288">
                  <c:v>97.74</c:v>
                </c:pt>
                <c:pt idx="289">
                  <c:v>99.81</c:v>
                </c:pt>
                <c:pt idx="290">
                  <c:v>102.39</c:v>
                </c:pt>
                <c:pt idx="291">
                  <c:v>100.43</c:v>
                </c:pt>
                <c:pt idx="292">
                  <c:v>99.95</c:v>
                </c:pt>
                <c:pt idx="293">
                  <c:v>99.35</c:v>
                </c:pt>
                <c:pt idx="294">
                  <c:v>97.8</c:v>
                </c:pt>
                <c:pt idx="295">
                  <c:v>98.56</c:v>
                </c:pt>
                <c:pt idx="296">
                  <c:v>101.73</c:v>
                </c:pt>
                <c:pt idx="297">
                  <c:v>107.18</c:v>
                </c:pt>
                <c:pt idx="298">
                  <c:v>107.52</c:v>
                </c:pt>
                <c:pt idx="299">
                  <c:v>106.32</c:v>
                </c:pt>
                <c:pt idx="300">
                  <c:v>106.15</c:v>
                </c:pt>
                <c:pt idx="301">
                  <c:v>106.41</c:v>
                </c:pt>
                <c:pt idx="302">
                  <c:v>105.12</c:v>
                </c:pt>
                <c:pt idx="303">
                  <c:v>103.52</c:v>
                </c:pt>
                <c:pt idx="304">
                  <c:v>102.55</c:v>
                </c:pt>
                <c:pt idx="305">
                  <c:v>103.15</c:v>
                </c:pt>
                <c:pt idx="306">
                  <c:v>103.78</c:v>
                </c:pt>
                <c:pt idx="307">
                  <c:v>103.47</c:v>
                </c:pt>
                <c:pt idx="308">
                  <c:v>96.98</c:v>
                </c:pt>
                <c:pt idx="309">
                  <c:v>93.11</c:v>
                </c:pt>
                <c:pt idx="310">
                  <c:v>90.88</c:v>
                </c:pt>
                <c:pt idx="311">
                  <c:v>87.06</c:v>
                </c:pt>
                <c:pt idx="312">
                  <c:v>84.43</c:v>
                </c:pt>
                <c:pt idx="313">
                  <c:v>83.27</c:v>
                </c:pt>
                <c:pt idx="314">
                  <c:v>81.11</c:v>
                </c:pt>
                <c:pt idx="315">
                  <c:v>80.23</c:v>
                </c:pt>
                <c:pt idx="316">
                  <c:v>85.74</c:v>
                </c:pt>
                <c:pt idx="317">
                  <c:v>85.78</c:v>
                </c:pt>
                <c:pt idx="318">
                  <c:v>90.34</c:v>
                </c:pt>
                <c:pt idx="319">
                  <c:v>88.88</c:v>
                </c:pt>
                <c:pt idx="320">
                  <c:v>89.1</c:v>
                </c:pt>
                <c:pt idx="321">
                  <c:v>93.14</c:v>
                </c:pt>
                <c:pt idx="322">
                  <c:v>94.43</c:v>
                </c:pt>
                <c:pt idx="323">
                  <c:v>96.22</c:v>
                </c:pt>
                <c:pt idx="324">
                  <c:v>95.68</c:v>
                </c:pt>
                <c:pt idx="325">
                  <c:v>95.68</c:v>
                </c:pt>
                <c:pt idx="326">
                  <c:v>97.56</c:v>
                </c:pt>
                <c:pt idx="327">
                  <c:v>93.7</c:v>
                </c:pt>
                <c:pt idx="328">
                  <c:v>91.35</c:v>
                </c:pt>
                <c:pt idx="329">
                  <c:v>90.81</c:v>
                </c:pt>
                <c:pt idx="330">
                  <c:v>91.42</c:v>
                </c:pt>
                <c:pt idx="331">
                  <c:v>91.59</c:v>
                </c:pt>
                <c:pt idx="332">
                  <c:v>86.35</c:v>
                </c:pt>
                <c:pt idx="333">
                  <c:v>85.87</c:v>
                </c:pt>
                <c:pt idx="334">
                  <c:v>85.98</c:v>
                </c:pt>
                <c:pt idx="335">
                  <c:v>85.87</c:v>
                </c:pt>
                <c:pt idx="336">
                  <c:v>87.4</c:v>
                </c:pt>
                <c:pt idx="337">
                  <c:v>87.27</c:v>
                </c:pt>
                <c:pt idx="338">
                  <c:v>87</c:v>
                </c:pt>
                <c:pt idx="339">
                  <c:v>85.71</c:v>
                </c:pt>
                <c:pt idx="340">
                  <c:v>88.24</c:v>
                </c:pt>
                <c:pt idx="341">
                  <c:v>90.14</c:v>
                </c:pt>
                <c:pt idx="342">
                  <c:v>92.77</c:v>
                </c:pt>
                <c:pt idx="343">
                  <c:v>93.38</c:v>
                </c:pt>
                <c:pt idx="344">
                  <c:v>94.58</c:v>
                </c:pt>
                <c:pt idx="345">
                  <c:v>95.41</c:v>
                </c:pt>
                <c:pt idx="346">
                  <c:v>97.33</c:v>
                </c:pt>
                <c:pt idx="347">
                  <c:v>96.18</c:v>
                </c:pt>
                <c:pt idx="348">
                  <c:v>96.95</c:v>
                </c:pt>
                <c:pt idx="349">
                  <c:v>94.38</c:v>
                </c:pt>
                <c:pt idx="350">
                  <c:v>92.19</c:v>
                </c:pt>
                <c:pt idx="351">
                  <c:v>91</c:v>
                </c:pt>
                <c:pt idx="352">
                  <c:v>92.7</c:v>
                </c:pt>
                <c:pt idx="353">
                  <c:v>93.05</c:v>
                </c:pt>
                <c:pt idx="354">
                  <c:v>96.08</c:v>
                </c:pt>
                <c:pt idx="355">
                  <c:v>95.07</c:v>
                </c:pt>
                <c:pt idx="356">
                  <c:v>93.36</c:v>
                </c:pt>
                <c:pt idx="357">
                  <c:v>88</c:v>
                </c:pt>
                <c:pt idx="358">
                  <c:v>91</c:v>
                </c:pt>
                <c:pt idx="359">
                  <c:v>93.4</c:v>
                </c:pt>
                <c:pt idx="360">
                  <c:v>95.84</c:v>
                </c:pt>
                <c:pt idx="361">
                  <c:v>94.65</c:v>
                </c:pt>
                <c:pt idx="362">
                  <c:v>94.76</c:v>
                </c:pt>
                <c:pt idx="363">
                  <c:v>93.32</c:v>
                </c:pt>
                <c:pt idx="364">
                  <c:v>94.25</c:v>
                </c:pt>
                <c:pt idx="365">
                  <c:v>96.36</c:v>
                </c:pt>
                <c:pt idx="366">
                  <c:v>96.65</c:v>
                </c:pt>
                <c:pt idx="367">
                  <c:v>95.83</c:v>
                </c:pt>
                <c:pt idx="368">
                  <c:v>100.65</c:v>
                </c:pt>
                <c:pt idx="369">
                  <c:v>104.7</c:v>
                </c:pt>
                <c:pt idx="370">
                  <c:v>106.88</c:v>
                </c:pt>
                <c:pt idx="371">
                  <c:v>105.88</c:v>
                </c:pt>
                <c:pt idx="372">
                  <c:v>105.54</c:v>
                </c:pt>
                <c:pt idx="373">
                  <c:v>105.17</c:v>
                </c:pt>
                <c:pt idx="374">
                  <c:v>106.97</c:v>
                </c:pt>
                <c:pt idx="375">
                  <c:v>105.48</c:v>
                </c:pt>
                <c:pt idx="376">
                  <c:v>108.33</c:v>
                </c:pt>
                <c:pt idx="377">
                  <c:v>108.77</c:v>
                </c:pt>
                <c:pt idx="378">
                  <c:v>108.36</c:v>
                </c:pt>
                <c:pt idx="379">
                  <c:v>106.22</c:v>
                </c:pt>
                <c:pt idx="380">
                  <c:v>103.1</c:v>
                </c:pt>
                <c:pt idx="381">
                  <c:v>103.14</c:v>
                </c:pt>
                <c:pt idx="382">
                  <c:v>102.7</c:v>
                </c:pt>
                <c:pt idx="383">
                  <c:v>101.51</c:v>
                </c:pt>
                <c:pt idx="384">
                  <c:v>97.57</c:v>
                </c:pt>
                <c:pt idx="385">
                  <c:v>96.94</c:v>
                </c:pt>
                <c:pt idx="386">
                  <c:v>94.31</c:v>
                </c:pt>
                <c:pt idx="387">
                  <c:v>93.94</c:v>
                </c:pt>
                <c:pt idx="388">
                  <c:v>93.92</c:v>
                </c:pt>
                <c:pt idx="389">
                  <c:v>92.97</c:v>
                </c:pt>
                <c:pt idx="390">
                  <c:v>96.21</c:v>
                </c:pt>
                <c:pt idx="391">
                  <c:v>97.23</c:v>
                </c:pt>
                <c:pt idx="392">
                  <c:v>97.85</c:v>
                </c:pt>
                <c:pt idx="393">
                  <c:v>99.15</c:v>
                </c:pt>
                <c:pt idx="394">
                  <c:v>96.47</c:v>
                </c:pt>
                <c:pt idx="395">
                  <c:v>92.42</c:v>
                </c:pt>
                <c:pt idx="396">
                  <c:v>92.98</c:v>
                </c:pt>
                <c:pt idx="397">
                  <c:v>96.19</c:v>
                </c:pt>
                <c:pt idx="398">
                  <c:v>97.29</c:v>
                </c:pt>
                <c:pt idx="399">
                  <c:v>97.78</c:v>
                </c:pt>
                <c:pt idx="400">
                  <c:v>100.21</c:v>
                </c:pt>
                <c:pt idx="401">
                  <c:v>102.93</c:v>
                </c:pt>
                <c:pt idx="402">
                  <c:v>102.77</c:v>
                </c:pt>
                <c:pt idx="403">
                  <c:v>103.07</c:v>
                </c:pt>
                <c:pt idx="404">
                  <c:v>99.55</c:v>
                </c:pt>
                <c:pt idx="405">
                  <c:v>99.77</c:v>
                </c:pt>
                <c:pt idx="406">
                  <c:v>100.66</c:v>
                </c:pt>
                <c:pt idx="407">
                  <c:v>100.46</c:v>
                </c:pt>
                <c:pt idx="408">
                  <c:v>102.72</c:v>
                </c:pt>
                <c:pt idx="409">
                  <c:v>103.95</c:v>
                </c:pt>
                <c:pt idx="410">
                  <c:v>102.11</c:v>
                </c:pt>
                <c:pt idx="411">
                  <c:v>100.51</c:v>
                </c:pt>
                <c:pt idx="412">
                  <c:v>100.29</c:v>
                </c:pt>
                <c:pt idx="413">
                  <c:v>101.92</c:v>
                </c:pt>
                <c:pt idx="414">
                  <c:v>103.82</c:v>
                </c:pt>
                <c:pt idx="415">
                  <c:v>103.95</c:v>
                </c:pt>
                <c:pt idx="416">
                  <c:v>103.23</c:v>
                </c:pt>
                <c:pt idx="417">
                  <c:v>105.97</c:v>
                </c:pt>
                <c:pt idx="418">
                  <c:v>107.23</c:v>
                </c:pt>
                <c:pt idx="419">
                  <c:v>106.69</c:v>
                </c:pt>
                <c:pt idx="420">
                  <c:v>105.52</c:v>
                </c:pt>
                <c:pt idx="421">
                  <c:v>103.25</c:v>
                </c:pt>
                <c:pt idx="422">
                  <c:v>102.37</c:v>
                </c:pt>
                <c:pt idx="423">
                  <c:v>104.35</c:v>
                </c:pt>
                <c:pt idx="424">
                  <c:v>102.19</c:v>
                </c:pt>
                <c:pt idx="425">
                  <c:v>97.5</c:v>
                </c:pt>
                <c:pt idx="426">
                  <c:v>97.17</c:v>
                </c:pt>
                <c:pt idx="427">
                  <c:v>94.95</c:v>
                </c:pt>
                <c:pt idx="428">
                  <c:v>96.25</c:v>
                </c:pt>
                <c:pt idx="429">
                  <c:v>94.06</c:v>
                </c:pt>
                <c:pt idx="430">
                  <c:v>92.43</c:v>
                </c:pt>
                <c:pt idx="431">
                  <c:v>93.52</c:v>
                </c:pt>
                <c:pt idx="432">
                  <c:v>93.15</c:v>
                </c:pt>
                <c:pt idx="433">
                  <c:v>91.44</c:v>
                </c:pt>
                <c:pt idx="434">
                  <c:v>87.63</c:v>
                </c:pt>
                <c:pt idx="435">
                  <c:v>82.88</c:v>
                </c:pt>
                <c:pt idx="436">
                  <c:v>82.12</c:v>
                </c:pt>
                <c:pt idx="437">
                  <c:v>81.290000000000006</c:v>
                </c:pt>
                <c:pt idx="438">
                  <c:v>78.239999999999995</c:v>
                </c:pt>
                <c:pt idx="439">
                  <c:v>76.5</c:v>
                </c:pt>
                <c:pt idx="440">
                  <c:v>75.38</c:v>
                </c:pt>
                <c:pt idx="441">
                  <c:v>72.36</c:v>
                </c:pt>
                <c:pt idx="442">
                  <c:v>67.180000000000007</c:v>
                </c:pt>
                <c:pt idx="443">
                  <c:v>61.14</c:v>
                </c:pt>
                <c:pt idx="444">
                  <c:v>55.89</c:v>
                </c:pt>
                <c:pt idx="445">
                  <c:v>55.58</c:v>
                </c:pt>
                <c:pt idx="446">
                  <c:v>53.44</c:v>
                </c:pt>
                <c:pt idx="447">
                  <c:v>48.77</c:v>
                </c:pt>
                <c:pt idx="448">
                  <c:v>47.07</c:v>
                </c:pt>
                <c:pt idx="449">
                  <c:v>46.46</c:v>
                </c:pt>
                <c:pt idx="450">
                  <c:v>45.32</c:v>
                </c:pt>
                <c:pt idx="451">
                  <c:v>50.58</c:v>
                </c:pt>
                <c:pt idx="452">
                  <c:v>51.14</c:v>
                </c:pt>
                <c:pt idx="453">
                  <c:v>51.69</c:v>
                </c:pt>
                <c:pt idx="454">
                  <c:v>49.16</c:v>
                </c:pt>
                <c:pt idx="455">
                  <c:v>50.38</c:v>
                </c:pt>
                <c:pt idx="456">
                  <c:v>47.69</c:v>
                </c:pt>
                <c:pt idx="457">
                  <c:v>44.39</c:v>
                </c:pt>
                <c:pt idx="458">
                  <c:v>48.68</c:v>
                </c:pt>
                <c:pt idx="459">
                  <c:v>48.91</c:v>
                </c:pt>
                <c:pt idx="460">
                  <c:v>51.78</c:v>
                </c:pt>
                <c:pt idx="461">
                  <c:v>54.78</c:v>
                </c:pt>
                <c:pt idx="462">
                  <c:v>56.14</c:v>
                </c:pt>
                <c:pt idx="463">
                  <c:v>57.98</c:v>
                </c:pt>
                <c:pt idx="464">
                  <c:v>59.73</c:v>
                </c:pt>
                <c:pt idx="465">
                  <c:v>60.01</c:v>
                </c:pt>
                <c:pt idx="466">
                  <c:v>58.95</c:v>
                </c:pt>
                <c:pt idx="467">
                  <c:v>58.19</c:v>
                </c:pt>
                <c:pt idx="468">
                  <c:v>59.66</c:v>
                </c:pt>
                <c:pt idx="469">
                  <c:v>60.07</c:v>
                </c:pt>
                <c:pt idx="470">
                  <c:v>59.89</c:v>
                </c:pt>
                <c:pt idx="471">
                  <c:v>60.01</c:v>
                </c:pt>
                <c:pt idx="472">
                  <c:v>57.92</c:v>
                </c:pt>
                <c:pt idx="473">
                  <c:v>52.38</c:v>
                </c:pt>
                <c:pt idx="474">
                  <c:v>51.68</c:v>
                </c:pt>
                <c:pt idx="475">
                  <c:v>49.21</c:v>
                </c:pt>
                <c:pt idx="476">
                  <c:v>47.91</c:v>
                </c:pt>
                <c:pt idx="477">
                  <c:v>44.94</c:v>
                </c:pt>
                <c:pt idx="478">
                  <c:v>43.2</c:v>
                </c:pt>
                <c:pt idx="479">
                  <c:v>41.34</c:v>
                </c:pt>
                <c:pt idx="480">
                  <c:v>40.729999999999997</c:v>
                </c:pt>
                <c:pt idx="481">
                  <c:v>46.73</c:v>
                </c:pt>
                <c:pt idx="482">
                  <c:v>45.16</c:v>
                </c:pt>
                <c:pt idx="483">
                  <c:v>45.48</c:v>
                </c:pt>
                <c:pt idx="484">
                  <c:v>45.57</c:v>
                </c:pt>
                <c:pt idx="485">
                  <c:v>45</c:v>
                </c:pt>
                <c:pt idx="486">
                  <c:v>48.36</c:v>
                </c:pt>
                <c:pt idx="487">
                  <c:v>46.82</c:v>
                </c:pt>
                <c:pt idx="488">
                  <c:v>45.16</c:v>
                </c:pt>
                <c:pt idx="489">
                  <c:v>44.99</c:v>
                </c:pt>
                <c:pt idx="490">
                  <c:v>45.98</c:v>
                </c:pt>
                <c:pt idx="491">
                  <c:v>42.7</c:v>
                </c:pt>
                <c:pt idx="492">
                  <c:v>40.619999999999997</c:v>
                </c:pt>
                <c:pt idx="493">
                  <c:v>40.49</c:v>
                </c:pt>
                <c:pt idx="494">
                  <c:v>40.4</c:v>
                </c:pt>
                <c:pt idx="495">
                  <c:v>36.93</c:v>
                </c:pt>
                <c:pt idx="496">
                  <c:v>35.78</c:v>
                </c:pt>
                <c:pt idx="497">
                  <c:v>36.26</c:v>
                </c:pt>
                <c:pt idx="498">
                  <c:v>36.99</c:v>
                </c:pt>
                <c:pt idx="499">
                  <c:v>34.65</c:v>
                </c:pt>
                <c:pt idx="500">
                  <c:v>30.59</c:v>
                </c:pt>
                <c:pt idx="501">
                  <c:v>29.19</c:v>
                </c:pt>
                <c:pt idx="502">
                  <c:v>31.81</c:v>
                </c:pt>
                <c:pt idx="503">
                  <c:v>31.26</c:v>
                </c:pt>
                <c:pt idx="504">
                  <c:v>28.14</c:v>
                </c:pt>
                <c:pt idx="505">
                  <c:v>30.02</c:v>
                </c:pt>
                <c:pt idx="506">
                  <c:v>31.32</c:v>
                </c:pt>
                <c:pt idx="507">
                  <c:v>34.43</c:v>
                </c:pt>
                <c:pt idx="508">
                  <c:v>37.69</c:v>
                </c:pt>
                <c:pt idx="509">
                  <c:v>38.32</c:v>
                </c:pt>
                <c:pt idx="510">
                  <c:v>39.450000000000003</c:v>
                </c:pt>
                <c:pt idx="511">
                  <c:v>36.82</c:v>
                </c:pt>
                <c:pt idx="512">
                  <c:v>36.72</c:v>
                </c:pt>
                <c:pt idx="513">
                  <c:v>41.23</c:v>
                </c:pt>
                <c:pt idx="514">
                  <c:v>41.86</c:v>
                </c:pt>
                <c:pt idx="515">
                  <c:v>44.3</c:v>
                </c:pt>
                <c:pt idx="516">
                  <c:v>44.22</c:v>
                </c:pt>
                <c:pt idx="517">
                  <c:v>45.44</c:v>
                </c:pt>
                <c:pt idx="518">
                  <c:v>47.99</c:v>
                </c:pt>
                <c:pt idx="519">
                  <c:v>48.72</c:v>
                </c:pt>
                <c:pt idx="520">
                  <c:v>49</c:v>
                </c:pt>
                <c:pt idx="521">
                  <c:v>50.18</c:v>
                </c:pt>
                <c:pt idx="522">
                  <c:v>47.89</c:v>
                </c:pt>
                <c:pt idx="523">
                  <c:v>48.71</c:v>
                </c:pt>
                <c:pt idx="524">
                  <c:v>48.17</c:v>
                </c:pt>
                <c:pt idx="525">
                  <c:v>46.17</c:v>
                </c:pt>
                <c:pt idx="526">
                  <c:v>45.6</c:v>
                </c:pt>
                <c:pt idx="527">
                  <c:v>44.44</c:v>
                </c:pt>
                <c:pt idx="528">
                  <c:v>41.83</c:v>
                </c:pt>
                <c:pt idx="529">
                  <c:v>40.82</c:v>
                </c:pt>
                <c:pt idx="530">
                  <c:v>43.11</c:v>
                </c:pt>
                <c:pt idx="531">
                  <c:v>47.16</c:v>
                </c:pt>
                <c:pt idx="532">
                  <c:v>47.05</c:v>
                </c:pt>
                <c:pt idx="533">
                  <c:v>45.11</c:v>
                </c:pt>
                <c:pt idx="534">
                  <c:v>45.96</c:v>
                </c:pt>
                <c:pt idx="535">
                  <c:v>44.34</c:v>
                </c:pt>
                <c:pt idx="536">
                  <c:v>44.59</c:v>
                </c:pt>
                <c:pt idx="537">
                  <c:v>46.55</c:v>
                </c:pt>
                <c:pt idx="538">
                  <c:v>49.48</c:v>
                </c:pt>
                <c:pt idx="539">
                  <c:v>50.29</c:v>
                </c:pt>
                <c:pt idx="540">
                  <c:v>50.56</c:v>
                </c:pt>
                <c:pt idx="541">
                  <c:v>49.36</c:v>
                </c:pt>
                <c:pt idx="542">
                  <c:v>45.51</c:v>
                </c:pt>
                <c:pt idx="543">
                  <c:v>44.61</c:v>
                </c:pt>
                <c:pt idx="544">
                  <c:v>45.15</c:v>
                </c:pt>
                <c:pt idx="545">
                  <c:v>47.25</c:v>
                </c:pt>
                <c:pt idx="546">
                  <c:v>48.63</c:v>
                </c:pt>
                <c:pt idx="547">
                  <c:v>50.97</c:v>
                </c:pt>
                <c:pt idx="548">
                  <c:v>51.91</c:v>
                </c:pt>
                <c:pt idx="549">
                  <c:v>51.95</c:v>
                </c:pt>
                <c:pt idx="550">
                  <c:v>53.6</c:v>
                </c:pt>
                <c:pt idx="551">
                  <c:v>53.34</c:v>
                </c:pt>
                <c:pt idx="552">
                  <c:v>52.07</c:v>
                </c:pt>
                <c:pt idx="553">
                  <c:v>51.82</c:v>
                </c:pt>
                <c:pt idx="554">
                  <c:v>52.74</c:v>
                </c:pt>
                <c:pt idx="555">
                  <c:v>53.33</c:v>
                </c:pt>
                <c:pt idx="556">
                  <c:v>52.88</c:v>
                </c:pt>
                <c:pt idx="557">
                  <c:v>53.22</c:v>
                </c:pt>
                <c:pt idx="558">
                  <c:v>54.03</c:v>
                </c:pt>
                <c:pt idx="559">
                  <c:v>53.56</c:v>
                </c:pt>
                <c:pt idx="560">
                  <c:v>50.5</c:v>
                </c:pt>
                <c:pt idx="561">
                  <c:v>48.03</c:v>
                </c:pt>
                <c:pt idx="562">
                  <c:v>47.28</c:v>
                </c:pt>
                <c:pt idx="563">
                  <c:v>49.14</c:v>
                </c:pt>
                <c:pt idx="564">
                  <c:v>51.26</c:v>
                </c:pt>
                <c:pt idx="565">
                  <c:v>53.19</c:v>
                </c:pt>
                <c:pt idx="566">
                  <c:v>51.09</c:v>
                </c:pt>
                <c:pt idx="567">
                  <c:v>49.12</c:v>
                </c:pt>
                <c:pt idx="568">
                  <c:v>47.21</c:v>
                </c:pt>
                <c:pt idx="569">
                  <c:v>47.04</c:v>
                </c:pt>
                <c:pt idx="570">
                  <c:v>49.24</c:v>
                </c:pt>
                <c:pt idx="571">
                  <c:v>50.21</c:v>
                </c:pt>
                <c:pt idx="572">
                  <c:v>48.48</c:v>
                </c:pt>
                <c:pt idx="573">
                  <c:v>46.57</c:v>
                </c:pt>
                <c:pt idx="574">
                  <c:v>45.3</c:v>
                </c:pt>
                <c:pt idx="575">
                  <c:v>43.09</c:v>
                </c:pt>
                <c:pt idx="576">
                  <c:v>44.63</c:v>
                </c:pt>
                <c:pt idx="577">
                  <c:v>44.96</c:v>
                </c:pt>
                <c:pt idx="578">
                  <c:v>45.51</c:v>
                </c:pt>
                <c:pt idx="579">
                  <c:v>46.41</c:v>
                </c:pt>
                <c:pt idx="580">
                  <c:v>48.27</c:v>
                </c:pt>
                <c:pt idx="581">
                  <c:v>49.52</c:v>
                </c:pt>
                <c:pt idx="582">
                  <c:v>49.08</c:v>
                </c:pt>
                <c:pt idx="583">
                  <c:v>47.52</c:v>
                </c:pt>
                <c:pt idx="584">
                  <c:v>47.68</c:v>
                </c:pt>
                <c:pt idx="585">
                  <c:v>46.68</c:v>
                </c:pt>
                <c:pt idx="586">
                  <c:v>48.58</c:v>
                </c:pt>
                <c:pt idx="587">
                  <c:v>49.07</c:v>
                </c:pt>
                <c:pt idx="588">
                  <c:v>50.12</c:v>
                </c:pt>
                <c:pt idx="589">
                  <c:v>51.77</c:v>
                </c:pt>
                <c:pt idx="590">
                  <c:v>50.23</c:v>
                </c:pt>
                <c:pt idx="591">
                  <c:v>50.77</c:v>
                </c:pt>
                <c:pt idx="592">
                  <c:v>51.74</c:v>
                </c:pt>
                <c:pt idx="593">
                  <c:v>52.51</c:v>
                </c:pt>
                <c:pt idx="594">
                  <c:v>54.59</c:v>
                </c:pt>
                <c:pt idx="595">
                  <c:v>57.05</c:v>
                </c:pt>
                <c:pt idx="596">
                  <c:v>55.81</c:v>
                </c:pt>
                <c:pt idx="597">
                  <c:v>57.47</c:v>
                </c:pt>
                <c:pt idx="598">
                  <c:v>57.81</c:v>
                </c:pt>
                <c:pt idx="599">
                  <c:v>56.92</c:v>
                </c:pt>
                <c:pt idx="600">
                  <c:v>57.17</c:v>
                </c:pt>
                <c:pt idx="601">
                  <c:v>57.87</c:v>
                </c:pt>
                <c:pt idx="602">
                  <c:v>59.88</c:v>
                </c:pt>
                <c:pt idx="603">
                  <c:v>61.36</c:v>
                </c:pt>
                <c:pt idx="604">
                  <c:v>63.26</c:v>
                </c:pt>
                <c:pt idx="605">
                  <c:v>63.77</c:v>
                </c:pt>
                <c:pt idx="606">
                  <c:v>65.14</c:v>
                </c:pt>
                <c:pt idx="607">
                  <c:v>65.319999999999993</c:v>
                </c:pt>
                <c:pt idx="608">
                  <c:v>62.01</c:v>
                </c:pt>
                <c:pt idx="609">
                  <c:v>60.56</c:v>
                </c:pt>
                <c:pt idx="610">
                  <c:v>62.47</c:v>
                </c:pt>
                <c:pt idx="611">
                  <c:v>62.07</c:v>
                </c:pt>
                <c:pt idx="612">
                  <c:v>61.65</c:v>
                </c:pt>
                <c:pt idx="613">
                  <c:v>61.28</c:v>
                </c:pt>
                <c:pt idx="614">
                  <c:v>64.11</c:v>
                </c:pt>
                <c:pt idx="615">
                  <c:v>64.97</c:v>
                </c:pt>
                <c:pt idx="616">
                  <c:v>63.07</c:v>
                </c:pt>
                <c:pt idx="617">
                  <c:v>66.02</c:v>
                </c:pt>
                <c:pt idx="618">
                  <c:v>67.55</c:v>
                </c:pt>
                <c:pt idx="619">
                  <c:v>67.91</c:v>
                </c:pt>
                <c:pt idx="620">
                  <c:v>68.38</c:v>
                </c:pt>
                <c:pt idx="621">
                  <c:v>70.56</c:v>
                </c:pt>
                <c:pt idx="622">
                  <c:v>71.3</c:v>
                </c:pt>
                <c:pt idx="623">
                  <c:v>70.98</c:v>
                </c:pt>
                <c:pt idx="624">
                  <c:v>66.959999999999994</c:v>
                </c:pt>
                <c:pt idx="625">
                  <c:v>65.349999999999994</c:v>
                </c:pt>
                <c:pt idx="626">
                  <c:v>66.209999999999994</c:v>
                </c:pt>
                <c:pt idx="627">
                  <c:v>66.319999999999993</c:v>
                </c:pt>
                <c:pt idx="628">
                  <c:v>74.03</c:v>
                </c:pt>
                <c:pt idx="629">
                  <c:v>73.73</c:v>
                </c:pt>
                <c:pt idx="630">
                  <c:v>71.959999999999994</c:v>
                </c:pt>
                <c:pt idx="631">
                  <c:v>68.95</c:v>
                </c:pt>
                <c:pt idx="632">
                  <c:v>70.010000000000005</c:v>
                </c:pt>
                <c:pt idx="633">
                  <c:v>69.459999999999994</c:v>
                </c:pt>
                <c:pt idx="634">
                  <c:v>67.900000000000006</c:v>
                </c:pt>
                <c:pt idx="635">
                  <c:v>66.150000000000006</c:v>
                </c:pt>
                <c:pt idx="636">
                  <c:v>68.099999999999994</c:v>
                </c:pt>
                <c:pt idx="637">
                  <c:v>69.66</c:v>
                </c:pt>
                <c:pt idx="638">
                  <c:v>68.510000000000005</c:v>
                </c:pt>
                <c:pt idx="639">
                  <c:v>68.959999999999994</c:v>
                </c:pt>
                <c:pt idx="640">
                  <c:v>70.28</c:v>
                </c:pt>
                <c:pt idx="641">
                  <c:v>72.84</c:v>
                </c:pt>
                <c:pt idx="642">
                  <c:v>75.13</c:v>
                </c:pt>
                <c:pt idx="643">
                  <c:v>72.959999999999994</c:v>
                </c:pt>
                <c:pt idx="644">
                  <c:v>70.239999999999995</c:v>
                </c:pt>
                <c:pt idx="645">
                  <c:v>67.430000000000007</c:v>
                </c:pt>
                <c:pt idx="646">
                  <c:v>65.06</c:v>
                </c:pt>
                <c:pt idx="647">
                  <c:v>61.57</c:v>
                </c:pt>
                <c:pt idx="648">
                  <c:v>56.92</c:v>
                </c:pt>
                <c:pt idx="649">
                  <c:v>54.99</c:v>
                </c:pt>
                <c:pt idx="650">
                  <c:v>51.01</c:v>
                </c:pt>
                <c:pt idx="651">
                  <c:v>52.63</c:v>
                </c:pt>
                <c:pt idx="652">
                  <c:v>51.54</c:v>
                </c:pt>
                <c:pt idx="653">
                  <c:v>46.98</c:v>
                </c:pt>
                <c:pt idx="654">
                  <c:v>45.22</c:v>
                </c:pt>
                <c:pt idx="655">
                  <c:v>47</c:v>
                </c:pt>
                <c:pt idx="656">
                  <c:v>50.78</c:v>
                </c:pt>
                <c:pt idx="657">
                  <c:v>51.92</c:v>
                </c:pt>
                <c:pt idx="658">
                  <c:v>52.88</c:v>
                </c:pt>
                <c:pt idx="659">
                  <c:v>53.63</c:v>
                </c:pt>
                <c:pt idx="660">
                  <c:v>53.53</c:v>
                </c:pt>
                <c:pt idx="661">
                  <c:v>53.88</c:v>
                </c:pt>
                <c:pt idx="662">
                  <c:v>56.74</c:v>
                </c:pt>
                <c:pt idx="663">
                  <c:v>56.12</c:v>
                </c:pt>
                <c:pt idx="664">
                  <c:v>56.35</c:v>
                </c:pt>
                <c:pt idx="665">
                  <c:v>57.81</c:v>
                </c:pt>
                <c:pt idx="666">
                  <c:v>59.44</c:v>
                </c:pt>
                <c:pt idx="667">
                  <c:v>59.49</c:v>
                </c:pt>
                <c:pt idx="668">
                  <c:v>62.36</c:v>
                </c:pt>
                <c:pt idx="669">
                  <c:v>64.099999999999994</c:v>
                </c:pt>
                <c:pt idx="670">
                  <c:v>63.8</c:v>
                </c:pt>
                <c:pt idx="671">
                  <c:v>65.28</c:v>
                </c:pt>
                <c:pt idx="672">
                  <c:v>62.9</c:v>
                </c:pt>
                <c:pt idx="673">
                  <c:v>61.81</c:v>
                </c:pt>
                <c:pt idx="674">
                  <c:v>62.1</c:v>
                </c:pt>
                <c:pt idx="675">
                  <c:v>60.72</c:v>
                </c:pt>
                <c:pt idx="676">
                  <c:v>56.93</c:v>
                </c:pt>
                <c:pt idx="677">
                  <c:v>52.97</c:v>
                </c:pt>
                <c:pt idx="678">
                  <c:v>52.52</c:v>
                </c:pt>
                <c:pt idx="679">
                  <c:v>54.75</c:v>
                </c:pt>
                <c:pt idx="680">
                  <c:v>58.38</c:v>
                </c:pt>
                <c:pt idx="681">
                  <c:v>57.32</c:v>
                </c:pt>
                <c:pt idx="682">
                  <c:v>59.02</c:v>
                </c:pt>
                <c:pt idx="683">
                  <c:v>56.74</c:v>
                </c:pt>
                <c:pt idx="684">
                  <c:v>56.05</c:v>
                </c:pt>
                <c:pt idx="685">
                  <c:v>56.55</c:v>
                </c:pt>
                <c:pt idx="686">
                  <c:v>53.28</c:v>
                </c:pt>
                <c:pt idx="687">
                  <c:v>55.31</c:v>
                </c:pt>
                <c:pt idx="688">
                  <c:v>55.5</c:v>
                </c:pt>
                <c:pt idx="689">
                  <c:v>55.21</c:v>
                </c:pt>
                <c:pt idx="690">
                  <c:v>55.73</c:v>
                </c:pt>
                <c:pt idx="691">
                  <c:v>56.16</c:v>
                </c:pt>
                <c:pt idx="692">
                  <c:v>59.33</c:v>
                </c:pt>
                <c:pt idx="693">
                  <c:v>56.9</c:v>
                </c:pt>
                <c:pt idx="694">
                  <c:v>53.12</c:v>
                </c:pt>
                <c:pt idx="695">
                  <c:v>53.27</c:v>
                </c:pt>
                <c:pt idx="696">
                  <c:v>53.49</c:v>
                </c:pt>
                <c:pt idx="697">
                  <c:v>55.2</c:v>
                </c:pt>
                <c:pt idx="698">
                  <c:v>55.17</c:v>
                </c:pt>
                <c:pt idx="699">
                  <c:v>56.69</c:v>
                </c:pt>
                <c:pt idx="700">
                  <c:v>56.85</c:v>
                </c:pt>
                <c:pt idx="701">
                  <c:v>56.9</c:v>
                </c:pt>
                <c:pt idx="702">
                  <c:v>58.07</c:v>
                </c:pt>
                <c:pt idx="703">
                  <c:v>57.64</c:v>
                </c:pt>
                <c:pt idx="704">
                  <c:v>59.25</c:v>
                </c:pt>
                <c:pt idx="705">
                  <c:v>60.75</c:v>
                </c:pt>
                <c:pt idx="706">
                  <c:v>61.29</c:v>
                </c:pt>
                <c:pt idx="707">
                  <c:v>62.09</c:v>
                </c:pt>
                <c:pt idx="708">
                  <c:v>60.84</c:v>
                </c:pt>
                <c:pt idx="709">
                  <c:v>58.29</c:v>
                </c:pt>
                <c:pt idx="710">
                  <c:v>56.15</c:v>
                </c:pt>
                <c:pt idx="711">
                  <c:v>52.7</c:v>
                </c:pt>
                <c:pt idx="712">
                  <c:v>50.36</c:v>
                </c:pt>
                <c:pt idx="713">
                  <c:v>50.83</c:v>
                </c:pt>
                <c:pt idx="714">
                  <c:v>53.14</c:v>
                </c:pt>
                <c:pt idx="715">
                  <c:v>48.36</c:v>
                </c:pt>
                <c:pt idx="716">
                  <c:v>45.57</c:v>
                </c:pt>
                <c:pt idx="717">
                  <c:v>32.39</c:v>
                </c:pt>
                <c:pt idx="718">
                  <c:v>24.19</c:v>
                </c:pt>
                <c:pt idx="719">
                  <c:v>19.440000000000001</c:v>
                </c:pt>
                <c:pt idx="720">
                  <c:v>21.69</c:v>
                </c:pt>
                <c:pt idx="721">
                  <c:v>24.41</c:v>
                </c:pt>
                <c:pt idx="722">
                  <c:v>20.12</c:v>
                </c:pt>
                <c:pt idx="723">
                  <c:v>3.32</c:v>
                </c:pt>
                <c:pt idx="724">
                  <c:v>15.71</c:v>
                </c:pt>
                <c:pt idx="725">
                  <c:v>23.46</c:v>
                </c:pt>
                <c:pt idx="726">
                  <c:v>26.4</c:v>
                </c:pt>
                <c:pt idx="727">
                  <c:v>33.1</c:v>
                </c:pt>
                <c:pt idx="728">
                  <c:v>34.19</c:v>
                </c:pt>
                <c:pt idx="729">
                  <c:v>37.32</c:v>
                </c:pt>
                <c:pt idx="730">
                  <c:v>37.869999999999997</c:v>
                </c:pt>
                <c:pt idx="731">
                  <c:v>38.35</c:v>
                </c:pt>
                <c:pt idx="732">
                  <c:v>39.22</c:v>
                </c:pt>
                <c:pt idx="733">
                  <c:v>39.85</c:v>
                </c:pt>
                <c:pt idx="734">
                  <c:v>40.44</c:v>
                </c:pt>
                <c:pt idx="735">
                  <c:v>40.57</c:v>
                </c:pt>
                <c:pt idx="736">
                  <c:v>41.34</c:v>
                </c:pt>
                <c:pt idx="737">
                  <c:v>40.69</c:v>
                </c:pt>
                <c:pt idx="738">
                  <c:v>41.57</c:v>
                </c:pt>
                <c:pt idx="739">
                  <c:v>42.08</c:v>
                </c:pt>
                <c:pt idx="740">
                  <c:v>42.73</c:v>
                </c:pt>
                <c:pt idx="741">
                  <c:v>42.93</c:v>
                </c:pt>
                <c:pt idx="742">
                  <c:v>41.84</c:v>
                </c:pt>
                <c:pt idx="743">
                  <c:v>37.380000000000003</c:v>
                </c:pt>
                <c:pt idx="744">
                  <c:v>39.549999999999997</c:v>
                </c:pt>
                <c:pt idx="745">
                  <c:v>39.78</c:v>
                </c:pt>
                <c:pt idx="746">
                  <c:v>38.99</c:v>
                </c:pt>
                <c:pt idx="747">
                  <c:v>40.19</c:v>
                </c:pt>
                <c:pt idx="748">
                  <c:v>40.33</c:v>
                </c:pt>
                <c:pt idx="749">
                  <c:v>40.43</c:v>
                </c:pt>
                <c:pt idx="750">
                  <c:v>37.32</c:v>
                </c:pt>
                <c:pt idx="751">
                  <c:v>37.71</c:v>
                </c:pt>
                <c:pt idx="752">
                  <c:v>40.659999999999997</c:v>
                </c:pt>
                <c:pt idx="753">
                  <c:v>41.52</c:v>
                </c:pt>
                <c:pt idx="754">
                  <c:v>44.4</c:v>
                </c:pt>
                <c:pt idx="755">
                  <c:v>45.37</c:v>
                </c:pt>
                <c:pt idx="756">
                  <c:v>46.04</c:v>
                </c:pt>
                <c:pt idx="757">
                  <c:v>47.97</c:v>
                </c:pt>
                <c:pt idx="758">
                  <c:v>47.73</c:v>
                </c:pt>
                <c:pt idx="759">
                  <c:v>47.98</c:v>
                </c:pt>
                <c:pt idx="760">
                  <c:v>50.09</c:v>
                </c:pt>
                <c:pt idx="761">
                  <c:v>52.75</c:v>
                </c:pt>
                <c:pt idx="762">
                  <c:v>52.82</c:v>
                </c:pt>
                <c:pt idx="763">
                  <c:v>52.52</c:v>
                </c:pt>
                <c:pt idx="764">
                  <c:v>55.39</c:v>
                </c:pt>
                <c:pt idx="765">
                  <c:v>58.54</c:v>
                </c:pt>
                <c:pt idx="766">
                  <c:v>60.17</c:v>
                </c:pt>
                <c:pt idx="767">
                  <c:v>62.3</c:v>
                </c:pt>
                <c:pt idx="768">
                  <c:v>62.29</c:v>
                </c:pt>
                <c:pt idx="769">
                  <c:v>65.02</c:v>
                </c:pt>
                <c:pt idx="770">
                  <c:v>63.22</c:v>
                </c:pt>
                <c:pt idx="771">
                  <c:v>59.95</c:v>
                </c:pt>
                <c:pt idx="772">
                  <c:v>60.66</c:v>
                </c:pt>
                <c:pt idx="773">
                  <c:v>59.35</c:v>
                </c:pt>
                <c:pt idx="774">
                  <c:v>61.93</c:v>
                </c:pt>
                <c:pt idx="775">
                  <c:v>62.18</c:v>
                </c:pt>
                <c:pt idx="776">
                  <c:v>63.47</c:v>
                </c:pt>
                <c:pt idx="777">
                  <c:v>65.099999999999994</c:v>
                </c:pt>
                <c:pt idx="778">
                  <c:v>65.069999999999993</c:v>
                </c:pt>
                <c:pt idx="779">
                  <c:v>64.11</c:v>
                </c:pt>
                <c:pt idx="780">
                  <c:v>66.400000000000006</c:v>
                </c:pt>
                <c:pt idx="781">
                  <c:v>68.739999999999995</c:v>
                </c:pt>
                <c:pt idx="782">
                  <c:v>70.11</c:v>
                </c:pt>
                <c:pt idx="783">
                  <c:v>71.55</c:v>
                </c:pt>
                <c:pt idx="784">
                  <c:v>73.48</c:v>
                </c:pt>
                <c:pt idx="785">
                  <c:v>74.069999999999993</c:v>
                </c:pt>
                <c:pt idx="786">
                  <c:v>73.349999999999994</c:v>
                </c:pt>
                <c:pt idx="787">
                  <c:v>73.19</c:v>
                </c:pt>
                <c:pt idx="788">
                  <c:v>69.680000000000007</c:v>
                </c:pt>
                <c:pt idx="789">
                  <c:v>72.75</c:v>
                </c:pt>
                <c:pt idx="790">
                  <c:v>69.5</c:v>
                </c:pt>
                <c:pt idx="791">
                  <c:v>68.33</c:v>
                </c:pt>
                <c:pt idx="792">
                  <c:v>65.05</c:v>
                </c:pt>
                <c:pt idx="793">
                  <c:v>67.59</c:v>
                </c:pt>
                <c:pt idx="794">
                  <c:v>69.150000000000006</c:v>
                </c:pt>
                <c:pt idx="795">
                  <c:v>68.98</c:v>
                </c:pt>
                <c:pt idx="796">
                  <c:v>71.69</c:v>
                </c:pt>
                <c:pt idx="797">
                  <c:v>72.180000000000007</c:v>
                </c:pt>
                <c:pt idx="798">
                  <c:v>75.45</c:v>
                </c:pt>
                <c:pt idx="799">
                  <c:v>78.5</c:v>
                </c:pt>
                <c:pt idx="800">
                  <c:v>81.180000000000007</c:v>
                </c:pt>
                <c:pt idx="801">
                  <c:v>83.48</c:v>
                </c:pt>
                <c:pt idx="802">
                  <c:v>83.84</c:v>
                </c:pt>
                <c:pt idx="803">
                  <c:v>81.790000000000006</c:v>
                </c:pt>
                <c:pt idx="804">
                  <c:v>81.93</c:v>
                </c:pt>
                <c:pt idx="805">
                  <c:v>78.989999999999995</c:v>
                </c:pt>
                <c:pt idx="806">
                  <c:v>77.790000000000006</c:v>
                </c:pt>
                <c:pt idx="807">
                  <c:v>66.89</c:v>
                </c:pt>
                <c:pt idx="808">
                  <c:v>71.31</c:v>
                </c:pt>
                <c:pt idx="809">
                  <c:v>71.180000000000007</c:v>
                </c:pt>
                <c:pt idx="810">
                  <c:v>71.63</c:v>
                </c:pt>
                <c:pt idx="811">
                  <c:v>76.05</c:v>
                </c:pt>
                <c:pt idx="812">
                  <c:v>77.86</c:v>
                </c:pt>
                <c:pt idx="813">
                  <c:v>81.52</c:v>
                </c:pt>
                <c:pt idx="814">
                  <c:v>85.93</c:v>
                </c:pt>
                <c:pt idx="815">
                  <c:v>86.94</c:v>
                </c:pt>
                <c:pt idx="816">
                  <c:v>89.6</c:v>
                </c:pt>
                <c:pt idx="817">
                  <c:v>90.61</c:v>
                </c:pt>
                <c:pt idx="818">
                  <c:v>92.89</c:v>
                </c:pt>
                <c:pt idx="819">
                  <c:v>92.18</c:v>
                </c:pt>
                <c:pt idx="820">
                  <c:v>106.8</c:v>
                </c:pt>
                <c:pt idx="821">
                  <c:v>113.39</c:v>
                </c:pt>
                <c:pt idx="822">
                  <c:v>100.43</c:v>
                </c:pt>
                <c:pt idx="823">
                  <c:v>113.69</c:v>
                </c:pt>
                <c:pt idx="824">
                  <c:v>103.89</c:v>
                </c:pt>
                <c:pt idx="825">
                  <c:v>99.21</c:v>
                </c:pt>
                <c:pt idx="826">
                  <c:v>101.46</c:v>
                </c:pt>
                <c:pt idx="827">
                  <c:v>104.02</c:v>
                </c:pt>
                <c:pt idx="828">
                  <c:v>102.85</c:v>
                </c:pt>
                <c:pt idx="829">
                  <c:v>106.69</c:v>
                </c:pt>
                <c:pt idx="830">
                  <c:v>105</c:v>
                </c:pt>
                <c:pt idx="831">
                  <c:v>112.18</c:v>
                </c:pt>
                <c:pt idx="832">
                  <c:v>113.38</c:v>
                </c:pt>
                <c:pt idx="833">
                  <c:v>116.37</c:v>
                </c:pt>
                <c:pt idx="834">
                  <c:v>120.43</c:v>
                </c:pt>
                <c:pt idx="835">
                  <c:v>116.46</c:v>
                </c:pt>
                <c:pt idx="836">
                  <c:v>107.88</c:v>
                </c:pt>
                <c:pt idx="837">
                  <c:v>110.96</c:v>
                </c:pt>
                <c:pt idx="838">
                  <c:v>103.32</c:v>
                </c:pt>
                <c:pt idx="839">
                  <c:v>99.92</c:v>
                </c:pt>
                <c:pt idx="840">
                  <c:v>102.24</c:v>
                </c:pt>
                <c:pt idx="841">
                  <c:v>99.6</c:v>
                </c:pt>
                <c:pt idx="842">
                  <c:v>94.01</c:v>
                </c:pt>
                <c:pt idx="843">
                  <c:v>94.65</c:v>
                </c:pt>
              </c:numCache>
            </c:numRef>
          </c:val>
          <c:smooth val="0"/>
          <c:extLst>
            <c:ext xmlns:c16="http://schemas.microsoft.com/office/drawing/2014/chart" uri="{C3380CC4-5D6E-409C-BE32-E72D297353CC}">
              <c16:uniqueId val="{00000007-2957-9744-99C6-E4EE6DA4F0E1}"/>
            </c:ext>
          </c:extLst>
        </c:ser>
        <c:dLbls>
          <c:showLegendKey val="0"/>
          <c:showVal val="0"/>
          <c:showCatName val="0"/>
          <c:showSerName val="0"/>
          <c:showPercent val="0"/>
          <c:showBubbleSize val="0"/>
        </c:dLbls>
        <c:marker val="1"/>
        <c:smooth val="0"/>
        <c:axId val="3"/>
        <c:axId val="4"/>
      </c:lineChart>
      <c:dateAx>
        <c:axId val="1665273056"/>
        <c:scaling>
          <c:orientation val="minMax"/>
        </c:scaling>
        <c:delete val="0"/>
        <c:axPos val="b"/>
        <c:numFmt formatCode="[$-C0A]mmm\-yy;@"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
        <c:crosses val="autoZero"/>
        <c:auto val="1"/>
        <c:lblOffset val="100"/>
        <c:baseTimeUnit val="days"/>
      </c:dateAx>
      <c:valAx>
        <c:axId val="1"/>
        <c:scaling>
          <c:orientation val="minMax"/>
        </c:scaling>
        <c:delete val="0"/>
        <c:axPos val="l"/>
        <c:majorGridlines>
          <c:spPr>
            <a:ln w="9525" cap="flat" cmpd="sng" algn="ctr">
              <a:solidFill>
                <a:schemeClr val="tx1">
                  <a:lumMod val="15000"/>
                  <a:lumOff val="85000"/>
                </a:schemeClr>
              </a:solidFill>
              <a:round/>
            </a:ln>
            <a:effectLst/>
          </c:spPr>
        </c:majorGridlines>
        <c:title>
          <c:tx>
            <c:rich>
              <a:bodyPr/>
              <a:lstStyle/>
              <a:p>
                <a:pPr>
                  <a:defRPr/>
                </a:pPr>
                <a:r>
                  <a:rPr lang="es-ES_tradnl" b="0"/>
                  <a:t>Dollars</a:t>
                </a:r>
                <a:r>
                  <a:rPr lang="es-ES_tradnl" b="0" baseline="0"/>
                  <a:t> per Gallon</a:t>
                </a:r>
                <a:endParaRPr lang="es-ES_tradnl" b="0"/>
              </a:p>
            </c:rich>
          </c:tx>
          <c:overlay val="0"/>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665273056"/>
        <c:crosses val="autoZero"/>
        <c:crossBetween val="between"/>
      </c:valAx>
      <c:dateAx>
        <c:axId val="3"/>
        <c:scaling>
          <c:orientation val="minMax"/>
        </c:scaling>
        <c:delete val="1"/>
        <c:axPos val="b"/>
        <c:numFmt formatCode="m/d/yy" sourceLinked="1"/>
        <c:majorTickMark val="out"/>
        <c:minorTickMark val="none"/>
        <c:tickLblPos val="nextTo"/>
        <c:crossAx val="4"/>
        <c:crosses val="autoZero"/>
        <c:auto val="1"/>
        <c:lblOffset val="100"/>
        <c:baseTimeUnit val="days"/>
      </c:dateAx>
      <c:valAx>
        <c:axId val="4"/>
        <c:scaling>
          <c:orientation val="minMax"/>
        </c:scaling>
        <c:delete val="0"/>
        <c:axPos val="r"/>
        <c:title>
          <c:tx>
            <c:rich>
              <a:bodyPr/>
              <a:lstStyle/>
              <a:p>
                <a:pPr>
                  <a:defRPr/>
                </a:pPr>
                <a:r>
                  <a:rPr lang="es-ES_tradnl" b="0"/>
                  <a:t>Dollars per</a:t>
                </a:r>
                <a:r>
                  <a:rPr lang="es-ES_tradnl" b="0" baseline="0"/>
                  <a:t> barrel</a:t>
                </a:r>
                <a:endParaRPr lang="es-ES_tradnl" b="0"/>
              </a:p>
            </c:rich>
          </c:tx>
          <c:overlay val="0"/>
        </c:title>
        <c:numFmt formatCode="General" sourceLinked="1"/>
        <c:majorTickMark val="out"/>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
        <c:crosses val="max"/>
        <c:crossBetween val="between"/>
      </c:valAx>
      <c:spPr>
        <a:noFill/>
        <a:ln w="25400">
          <a:noFill/>
        </a:ln>
      </c:spPr>
    </c:plotArea>
    <c:legend>
      <c:legendPos val="b"/>
      <c:overlay val="0"/>
      <c:spPr>
        <a:noFill/>
        <a:ln w="25400">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63FBE19-14F8-F54D-B961-9FF53735AC20}">
  <we:reference id="wa200001011" version="1.2.0.0" store="es-ES" storeType="OMEX"/>
  <we:alternateReferences>
    <we:reference id="wa200001011" version="1.2.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230FE3-A82E-8245-A40F-7ACF3464B4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12114</Words>
  <Characters>66627</Characters>
  <Application>Microsoft Office Word</Application>
  <DocSecurity>0</DocSecurity>
  <Lines>555</Lines>
  <Paragraphs>157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Jesús</dc:creator>
  <cp:keywords/>
  <dc:description/>
  <cp:lastModifiedBy>JOSE CARLOS VIDES GONZALEZ</cp:lastModifiedBy>
  <cp:revision>2</cp:revision>
  <dcterms:created xsi:type="dcterms:W3CDTF">2025-01-11T16:41:00Z</dcterms:created>
  <dcterms:modified xsi:type="dcterms:W3CDTF">2025-01-11T16:41:00Z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documentId_8387</vt:lpwstr>
  </property>
  <property fmtid="{D5CDD505-2E9C-101B-9397-08002B2CF9AE}" pid="3" name="grammarly_documentContext">
    <vt:lpwstr>{"goals":[],"domain":"general","emotions":[],"dialect":"british"}</vt:lpwstr>
  </property>
</Properties>
</file>