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1FAE13" w14:textId="77777777" w:rsidR="003477A1" w:rsidRDefault="003477A1" w:rsidP="006E4371">
      <w:pPr>
        <w:rPr>
          <w:b/>
          <w:bCs/>
          <w:sz w:val="28"/>
          <w:szCs w:val="28"/>
          <w:lang w:val="en-GB"/>
        </w:rPr>
      </w:pPr>
      <w:r w:rsidRPr="003477A1">
        <w:rPr>
          <w:b/>
          <w:bCs/>
          <w:sz w:val="28"/>
          <w:szCs w:val="28"/>
          <w:lang w:val="en-GB"/>
        </w:rPr>
        <w:t xml:space="preserve">Liquid−Liquid Equilibria for the System Acetone + </w:t>
      </w:r>
      <w:proofErr w:type="spellStart"/>
      <w:r w:rsidRPr="003477A1">
        <w:rPr>
          <w:b/>
          <w:bCs/>
          <w:sz w:val="28"/>
          <w:szCs w:val="28"/>
          <w:lang w:val="en-GB"/>
        </w:rPr>
        <w:t>Solketal</w:t>
      </w:r>
      <w:proofErr w:type="spellEnd"/>
      <w:r w:rsidRPr="003477A1">
        <w:rPr>
          <w:b/>
          <w:bCs/>
          <w:sz w:val="28"/>
          <w:szCs w:val="28"/>
          <w:lang w:val="en-GB"/>
        </w:rPr>
        <w:t xml:space="preserve"> + Glycerol at (303.2, 313.2, and 323.2) K</w:t>
      </w:r>
    </w:p>
    <w:p w14:paraId="7ADED538" w14:textId="21D8E461" w:rsidR="006E4371" w:rsidRPr="003477A1" w:rsidRDefault="003477A1" w:rsidP="006E4371">
      <w:pPr>
        <w:rPr>
          <w:lang w:val="en-GB"/>
        </w:rPr>
      </w:pPr>
      <w:r w:rsidRPr="003477A1">
        <w:rPr>
          <w:lang w:val="en-GB"/>
        </w:rPr>
        <w:t xml:space="preserve">Jesus Esteban†, Andreas J. Vorholt‡, Arno Behr‡, Miguel </w:t>
      </w:r>
      <w:proofErr w:type="spellStart"/>
      <w:r w:rsidRPr="003477A1">
        <w:rPr>
          <w:lang w:val="en-GB"/>
        </w:rPr>
        <w:t>Ladero</w:t>
      </w:r>
      <w:proofErr w:type="spellEnd"/>
      <w:r w:rsidRPr="003477A1">
        <w:rPr>
          <w:lang w:val="en-GB"/>
        </w:rPr>
        <w:t>†,*, and Felix Garcia-Ochoa†</w:t>
      </w:r>
    </w:p>
    <w:p w14:paraId="44144385" w14:textId="77777777" w:rsidR="003477A1" w:rsidRDefault="003477A1" w:rsidP="00120E3B">
      <w:pPr>
        <w:jc w:val="both"/>
        <w:rPr>
          <w:rFonts w:ascii="Segoe UI" w:hAnsi="Segoe UI" w:cs="Segoe UI"/>
          <w:spacing w:val="1"/>
          <w:lang w:val="en-GB"/>
        </w:rPr>
      </w:pPr>
      <w:r w:rsidRPr="003477A1">
        <w:rPr>
          <w:rFonts w:ascii="Segoe UI" w:hAnsi="Segoe UI" w:cs="Segoe UI"/>
          <w:spacing w:val="1"/>
          <w:lang w:val="en-GB"/>
        </w:rPr>
        <w:t xml:space="preserve">†Department of Chemical Engineering, College of Chemical Sciences, </w:t>
      </w:r>
      <w:proofErr w:type="spellStart"/>
      <w:r w:rsidRPr="003477A1">
        <w:rPr>
          <w:rFonts w:ascii="Segoe UI" w:hAnsi="Segoe UI" w:cs="Segoe UI"/>
          <w:spacing w:val="1"/>
          <w:lang w:val="en-GB"/>
        </w:rPr>
        <w:t>Complutense</w:t>
      </w:r>
      <w:proofErr w:type="spellEnd"/>
      <w:r w:rsidRPr="003477A1">
        <w:rPr>
          <w:rFonts w:ascii="Segoe UI" w:hAnsi="Segoe UI" w:cs="Segoe UI"/>
          <w:spacing w:val="1"/>
          <w:lang w:val="en-GB"/>
        </w:rPr>
        <w:t xml:space="preserve"> University of Madrid, 28040, Madrid, Spain</w:t>
      </w:r>
      <w:r w:rsidRPr="003477A1">
        <w:rPr>
          <w:rFonts w:ascii="Segoe UI" w:hAnsi="Segoe UI" w:cs="Segoe UI"/>
          <w:spacing w:val="1"/>
          <w:lang w:val="en-GB"/>
        </w:rPr>
        <w:br/>
        <w:t>‡Department of Bio- and Chemical Engineering, Technical University of Dortmund, 44227, Dortmund, Germany</w:t>
      </w:r>
    </w:p>
    <w:p w14:paraId="24A4529D" w14:textId="77777777" w:rsidR="003477A1" w:rsidRPr="003477A1" w:rsidRDefault="003477A1" w:rsidP="003477A1">
      <w:pPr>
        <w:jc w:val="both"/>
        <w:rPr>
          <w:rFonts w:ascii="Segoe UI" w:hAnsi="Segoe UI" w:cs="Segoe UI"/>
          <w:spacing w:val="1"/>
          <w:lang w:val="en-GB"/>
        </w:rPr>
      </w:pPr>
      <w:r w:rsidRPr="003477A1">
        <w:rPr>
          <w:rFonts w:ascii="Segoe UI" w:hAnsi="Segoe UI" w:cs="Segoe UI"/>
          <w:spacing w:val="1"/>
          <w:lang w:val="en-GB"/>
        </w:rPr>
        <w:t>Corresponding Author:</w:t>
      </w:r>
    </w:p>
    <w:p w14:paraId="366B8B46" w14:textId="4F022734" w:rsidR="003477A1" w:rsidRDefault="003477A1" w:rsidP="003477A1">
      <w:pPr>
        <w:jc w:val="both"/>
        <w:rPr>
          <w:rFonts w:ascii="Segoe UI" w:hAnsi="Segoe UI" w:cs="Segoe UI"/>
          <w:spacing w:val="1"/>
          <w:lang w:val="en-GB"/>
        </w:rPr>
      </w:pPr>
      <w:r w:rsidRPr="003477A1">
        <w:rPr>
          <w:rFonts w:ascii="Segoe UI" w:hAnsi="Segoe UI" w:cs="Segoe UI"/>
          <w:spacing w:val="1"/>
          <w:lang w:val="en-GB"/>
        </w:rPr>
        <w:t>*E-mail: mladero@quim.ucm.es. Tel.: +34-913944164. Fax: +34-913944179.</w:t>
      </w:r>
    </w:p>
    <w:p w14:paraId="68A51631" w14:textId="3C07DC50" w:rsidR="006E4371" w:rsidRPr="006E4371" w:rsidRDefault="006E4371" w:rsidP="00120E3B">
      <w:pPr>
        <w:jc w:val="both"/>
        <w:rPr>
          <w:b/>
          <w:bCs/>
          <w:lang w:val="en-GB"/>
        </w:rPr>
      </w:pPr>
      <w:r w:rsidRPr="006E4371">
        <w:rPr>
          <w:b/>
          <w:bCs/>
          <w:lang w:val="en-GB"/>
        </w:rPr>
        <w:t>ABSTRACT</w:t>
      </w:r>
    </w:p>
    <w:p w14:paraId="20514453" w14:textId="0A6FA06D" w:rsidR="006E4371" w:rsidRDefault="003477A1" w:rsidP="00573798">
      <w:pPr>
        <w:jc w:val="both"/>
        <w:rPr>
          <w:lang w:val="en-GB"/>
        </w:rPr>
      </w:pPr>
      <w:r w:rsidRPr="003477A1">
        <w:rPr>
          <w:lang w:val="en-GB"/>
        </w:rPr>
        <w:t xml:space="preserve">Experimental measurements of the liquid−liquid equilibrium of the ternary system consisting of acetone + </w:t>
      </w:r>
      <w:proofErr w:type="spellStart"/>
      <w:r w:rsidRPr="003477A1">
        <w:rPr>
          <w:lang w:val="en-GB"/>
        </w:rPr>
        <w:t>solketal</w:t>
      </w:r>
      <w:proofErr w:type="spellEnd"/>
      <w:r w:rsidRPr="003477A1">
        <w:rPr>
          <w:lang w:val="en-GB"/>
        </w:rPr>
        <w:t xml:space="preserve"> + glycerol were made. The conditions selected for this study were (303.2, 313.2, and 323.2) K at 101.3 kPa, relevant for the synthesis of </w:t>
      </w:r>
      <w:proofErr w:type="spellStart"/>
      <w:r w:rsidRPr="003477A1">
        <w:rPr>
          <w:lang w:val="en-GB"/>
        </w:rPr>
        <w:t>solketal</w:t>
      </w:r>
      <w:proofErr w:type="spellEnd"/>
      <w:r w:rsidRPr="003477A1">
        <w:rPr>
          <w:lang w:val="en-GB"/>
        </w:rPr>
        <w:t xml:space="preserve"> from glycerol and acetone through a </w:t>
      </w:r>
      <w:proofErr w:type="spellStart"/>
      <w:r w:rsidRPr="003477A1">
        <w:rPr>
          <w:lang w:val="en-GB"/>
        </w:rPr>
        <w:t>ketalization</w:t>
      </w:r>
      <w:proofErr w:type="spellEnd"/>
      <w:r w:rsidRPr="003477A1">
        <w:rPr>
          <w:lang w:val="en-GB"/>
        </w:rPr>
        <w:t xml:space="preserve"> reaction. The data obtained were correlated to the </w:t>
      </w:r>
      <w:proofErr w:type="spellStart"/>
      <w:r w:rsidRPr="003477A1">
        <w:rPr>
          <w:lang w:val="en-GB"/>
        </w:rPr>
        <w:t>nonrandom</w:t>
      </w:r>
      <w:proofErr w:type="spellEnd"/>
      <w:r w:rsidRPr="003477A1">
        <w:rPr>
          <w:lang w:val="en-GB"/>
        </w:rPr>
        <w:t xml:space="preserve"> two liquid (NRTL) model, and the binary interaction parameters of the ternary system were retrieved after the optimization of the </w:t>
      </w:r>
      <w:proofErr w:type="spellStart"/>
      <w:r w:rsidRPr="003477A1">
        <w:rPr>
          <w:lang w:val="en-GB"/>
        </w:rPr>
        <w:t>nonrandomness</w:t>
      </w:r>
      <w:proofErr w:type="spellEnd"/>
      <w:r w:rsidRPr="003477A1">
        <w:rPr>
          <w:lang w:val="en-GB"/>
        </w:rPr>
        <w:t xml:space="preserve"> binary interaction parameters. The liquid−liquid equilibrium data predicted by the NRTL model agreed adequately with the experimental results.</w:t>
      </w:r>
    </w:p>
    <w:p w14:paraId="3ECAAEAB" w14:textId="74BA1F8F" w:rsidR="003477A1" w:rsidRDefault="003477A1" w:rsidP="003477A1">
      <w:pPr>
        <w:jc w:val="both"/>
        <w:rPr>
          <w:lang w:val="en-GB"/>
        </w:rPr>
      </w:pPr>
      <w:r w:rsidRPr="003477A1">
        <w:rPr>
          <w:lang w:val="en-GB"/>
        </w:rPr>
        <w:t>Keywords:</w:t>
      </w:r>
      <w:r>
        <w:rPr>
          <w:lang w:val="en-GB"/>
        </w:rPr>
        <w:t xml:space="preserve"> </w:t>
      </w:r>
      <w:r w:rsidRPr="003477A1">
        <w:rPr>
          <w:lang w:val="en-GB"/>
        </w:rPr>
        <w:t xml:space="preserve">Liquid−liquid equilibrium; Acetone; </w:t>
      </w:r>
      <w:proofErr w:type="spellStart"/>
      <w:r w:rsidRPr="003477A1">
        <w:rPr>
          <w:lang w:val="en-GB"/>
        </w:rPr>
        <w:t>Solketal</w:t>
      </w:r>
      <w:proofErr w:type="spellEnd"/>
      <w:r w:rsidRPr="003477A1">
        <w:rPr>
          <w:lang w:val="en-GB"/>
        </w:rPr>
        <w:t xml:space="preserve">; Glycerol; NRTL model; Ternary system; </w:t>
      </w:r>
      <w:proofErr w:type="spellStart"/>
      <w:r w:rsidRPr="003477A1">
        <w:rPr>
          <w:lang w:val="en-GB"/>
        </w:rPr>
        <w:t>Ketalization</w:t>
      </w:r>
      <w:proofErr w:type="spellEnd"/>
      <w:r w:rsidRPr="003477A1">
        <w:rPr>
          <w:lang w:val="en-GB"/>
        </w:rPr>
        <w:t xml:space="preserve"> reaction; Binary interaction parameters; Experimental thermodynamics</w:t>
      </w:r>
    </w:p>
    <w:p w14:paraId="7118F242" w14:textId="77777777" w:rsidR="003477A1" w:rsidRPr="006E4371" w:rsidRDefault="003477A1" w:rsidP="00573798">
      <w:pPr>
        <w:jc w:val="both"/>
        <w:rPr>
          <w:lang w:val="en-GB"/>
        </w:rPr>
      </w:pPr>
    </w:p>
    <w:p w14:paraId="676DC1C4" w14:textId="2F0A9915" w:rsidR="006E4371" w:rsidRPr="0096519F" w:rsidRDefault="006E4371" w:rsidP="00573798">
      <w:pPr>
        <w:jc w:val="both"/>
        <w:rPr>
          <w:b/>
          <w:bCs/>
          <w:lang w:val="en-GB"/>
        </w:rPr>
      </w:pPr>
      <w:r w:rsidRPr="0096519F">
        <w:rPr>
          <w:b/>
          <w:bCs/>
          <w:lang w:val="en-GB"/>
        </w:rPr>
        <w:t>1. I</w:t>
      </w:r>
      <w:r w:rsidR="003477A1">
        <w:rPr>
          <w:b/>
          <w:bCs/>
          <w:lang w:val="en-GB"/>
        </w:rPr>
        <w:t>ntroduction</w:t>
      </w:r>
    </w:p>
    <w:p w14:paraId="0B54ECC9" w14:textId="3760F895" w:rsidR="003477A1" w:rsidRPr="003477A1" w:rsidRDefault="003477A1" w:rsidP="003477A1">
      <w:pPr>
        <w:jc w:val="both"/>
        <w:rPr>
          <w:lang w:val="en-GB"/>
        </w:rPr>
      </w:pPr>
      <w:r w:rsidRPr="003477A1">
        <w:rPr>
          <w:lang w:val="en-GB"/>
        </w:rPr>
        <w:t>Despite the fact that glycerol (</w:t>
      </w:r>
      <w:proofErr w:type="spellStart"/>
      <w:r w:rsidRPr="003477A1">
        <w:rPr>
          <w:lang w:val="en-GB"/>
        </w:rPr>
        <w:t>Gly</w:t>
      </w:r>
      <w:proofErr w:type="spellEnd"/>
      <w:r w:rsidRPr="003477A1">
        <w:rPr>
          <w:lang w:val="en-GB"/>
        </w:rPr>
        <w:t>) has been widely utilized throughout history in countless applications, the development of the biodiesel industry in the early years of this century has given rise to an overabundance that has caused its price to decline</w:t>
      </w:r>
      <w:r w:rsidRPr="003477A1">
        <w:rPr>
          <w:vertAlign w:val="superscript"/>
          <w:lang w:val="en-GB"/>
        </w:rPr>
        <w:t>1</w:t>
      </w:r>
      <w:r w:rsidRPr="003477A1">
        <w:rPr>
          <w:lang w:val="en-GB"/>
        </w:rPr>
        <w:t xml:space="preserve">. Subsequently, capitalization on its outstanding chemical properties has been made as a means to </w:t>
      </w:r>
      <w:proofErr w:type="spellStart"/>
      <w:r w:rsidRPr="003477A1">
        <w:rPr>
          <w:lang w:val="en-GB"/>
        </w:rPr>
        <w:t>valorize</w:t>
      </w:r>
      <w:proofErr w:type="spellEnd"/>
      <w:r w:rsidRPr="003477A1">
        <w:rPr>
          <w:lang w:val="en-GB"/>
        </w:rPr>
        <w:t xml:space="preserve"> it. The study of several syntheses using glycerol as a building block to yield value-added products has been undertaken.</w:t>
      </w:r>
      <w:r w:rsidRPr="003477A1">
        <w:rPr>
          <w:vertAlign w:val="superscript"/>
          <w:lang w:val="en-GB"/>
        </w:rPr>
        <w:t>2,3</w:t>
      </w:r>
    </w:p>
    <w:p w14:paraId="375239BB" w14:textId="23C2ADC5" w:rsidR="003477A1" w:rsidRPr="003477A1" w:rsidRDefault="003477A1" w:rsidP="003477A1">
      <w:pPr>
        <w:jc w:val="both"/>
        <w:rPr>
          <w:lang w:val="en-GB"/>
        </w:rPr>
      </w:pPr>
      <w:r w:rsidRPr="003477A1">
        <w:rPr>
          <w:lang w:val="en-GB"/>
        </w:rPr>
        <w:t>Among them, the production of 1,2-isopropylideneglycerol (</w:t>
      </w:r>
      <w:proofErr w:type="spellStart"/>
      <w:r w:rsidRPr="003477A1">
        <w:rPr>
          <w:lang w:val="en-GB"/>
        </w:rPr>
        <w:t>solketal</w:t>
      </w:r>
      <w:proofErr w:type="spellEnd"/>
      <w:r w:rsidRPr="003477A1">
        <w:rPr>
          <w:lang w:val="en-GB"/>
        </w:rPr>
        <w:t xml:space="preserve">, </w:t>
      </w:r>
      <w:proofErr w:type="spellStart"/>
      <w:r w:rsidRPr="003477A1">
        <w:rPr>
          <w:lang w:val="en-GB"/>
        </w:rPr>
        <w:t>Sk</w:t>
      </w:r>
      <w:proofErr w:type="spellEnd"/>
      <w:r w:rsidRPr="003477A1">
        <w:rPr>
          <w:lang w:val="en-GB"/>
        </w:rPr>
        <w:t>) has received increasing attention in the past few years. This compound has been put to use as a plasticizer, a green solvent, and stabilizing agent in pharmaceutical and food preparations.</w:t>
      </w:r>
      <w:r w:rsidRPr="003477A1">
        <w:rPr>
          <w:vertAlign w:val="superscript"/>
          <w:lang w:val="en-GB"/>
        </w:rPr>
        <w:t>4</w:t>
      </w:r>
      <w:r w:rsidRPr="003477A1">
        <w:rPr>
          <w:lang w:val="en-GB"/>
        </w:rPr>
        <w:t xml:space="preserve"> Additionally, the oxygenate nature of </w:t>
      </w:r>
      <w:proofErr w:type="spellStart"/>
      <w:r w:rsidRPr="003477A1">
        <w:rPr>
          <w:lang w:val="en-GB"/>
        </w:rPr>
        <w:t>Sk</w:t>
      </w:r>
      <w:proofErr w:type="spellEnd"/>
      <w:r w:rsidRPr="003477A1">
        <w:rPr>
          <w:lang w:val="en-GB"/>
        </w:rPr>
        <w:t xml:space="preserve"> has led to its use as a fuel additive. Certain performance parameters were enhanced in biodiesel </w:t>
      </w:r>
      <w:r w:rsidRPr="003477A1">
        <w:rPr>
          <w:lang w:val="en-GB"/>
        </w:rPr>
        <w:lastRenderedPageBreak/>
        <w:t xml:space="preserve">formulations, where </w:t>
      </w:r>
      <w:proofErr w:type="spellStart"/>
      <w:r w:rsidRPr="003477A1">
        <w:rPr>
          <w:lang w:val="en-GB"/>
        </w:rPr>
        <w:t>solketal</w:t>
      </w:r>
      <w:proofErr w:type="spellEnd"/>
      <w:r w:rsidRPr="003477A1">
        <w:rPr>
          <w:lang w:val="en-GB"/>
        </w:rPr>
        <w:t xml:space="preserve"> has been reported to improve viscosity, flash point, and oxidation stability.</w:t>
      </w:r>
      <w:r w:rsidRPr="003477A1">
        <w:rPr>
          <w:vertAlign w:val="superscript"/>
          <w:lang w:val="en-GB"/>
        </w:rPr>
        <w:t>5</w:t>
      </w:r>
      <w:r w:rsidRPr="003477A1">
        <w:rPr>
          <w:lang w:val="en-GB"/>
        </w:rPr>
        <w:t xml:space="preserve"> In gasoline, the inclusion of this ketal has upgraded the octane index and reduced gum formation.</w:t>
      </w:r>
      <w:r w:rsidRPr="003477A1">
        <w:rPr>
          <w:vertAlign w:val="superscript"/>
          <w:lang w:val="en-GB"/>
        </w:rPr>
        <w:t>6</w:t>
      </w:r>
      <w:r w:rsidRPr="003477A1">
        <w:rPr>
          <w:lang w:val="en-GB"/>
        </w:rPr>
        <w:t xml:space="preserve"> In addition, derivatives of </w:t>
      </w:r>
      <w:proofErr w:type="spellStart"/>
      <w:r w:rsidRPr="003477A1">
        <w:rPr>
          <w:lang w:val="en-GB"/>
        </w:rPr>
        <w:t>solketal</w:t>
      </w:r>
      <w:proofErr w:type="spellEnd"/>
      <w:r w:rsidRPr="003477A1">
        <w:rPr>
          <w:lang w:val="en-GB"/>
        </w:rPr>
        <w:t xml:space="preserve"> have been synthesized and studied as potential additives to fuels, such as ethers and methylesters.</w:t>
      </w:r>
      <w:r w:rsidRPr="003477A1">
        <w:rPr>
          <w:vertAlign w:val="superscript"/>
          <w:lang w:val="en-GB"/>
        </w:rPr>
        <w:t>7,8</w:t>
      </w:r>
      <w:r w:rsidRPr="003477A1">
        <w:rPr>
          <w:lang w:val="en-GB"/>
        </w:rPr>
        <w:t xml:space="preserve"> Additionally, the use of this compound as feedstock to further reactions has been explored, leading to chemicals of appreciated value in the pharmaceutical industry such as prostaglandins or certain β-blockers.</w:t>
      </w:r>
      <w:r w:rsidR="0043339A" w:rsidRPr="0043339A">
        <w:rPr>
          <w:vertAlign w:val="superscript"/>
          <w:lang w:val="en-GB"/>
        </w:rPr>
        <w:t>9,10</w:t>
      </w:r>
    </w:p>
    <w:p w14:paraId="4F756233" w14:textId="7F81419E" w:rsidR="003477A1" w:rsidRPr="003477A1" w:rsidRDefault="003477A1" w:rsidP="003477A1">
      <w:pPr>
        <w:jc w:val="both"/>
        <w:rPr>
          <w:lang w:val="en-GB"/>
        </w:rPr>
      </w:pPr>
      <w:r w:rsidRPr="003477A1">
        <w:rPr>
          <w:lang w:val="en-GB"/>
        </w:rPr>
        <w:t xml:space="preserve">Cyclic ketals are obtained by the </w:t>
      </w:r>
      <w:proofErr w:type="spellStart"/>
      <w:r w:rsidRPr="003477A1">
        <w:rPr>
          <w:lang w:val="en-GB"/>
        </w:rPr>
        <w:t>ketalization</w:t>
      </w:r>
      <w:proofErr w:type="spellEnd"/>
      <w:r w:rsidRPr="003477A1">
        <w:rPr>
          <w:lang w:val="en-GB"/>
        </w:rPr>
        <w:t xml:space="preserve"> reaction between polyols and carbonylic compounds. In this case, </w:t>
      </w:r>
      <w:proofErr w:type="spellStart"/>
      <w:r w:rsidRPr="003477A1">
        <w:rPr>
          <w:lang w:val="en-GB"/>
        </w:rPr>
        <w:t>solketal</w:t>
      </w:r>
      <w:proofErr w:type="spellEnd"/>
      <w:r w:rsidRPr="003477A1">
        <w:rPr>
          <w:lang w:val="en-GB"/>
        </w:rPr>
        <w:t xml:space="preserve"> is synthesized via the </w:t>
      </w:r>
      <w:proofErr w:type="spellStart"/>
      <w:r w:rsidRPr="003477A1">
        <w:rPr>
          <w:lang w:val="en-GB"/>
        </w:rPr>
        <w:t>ketalization</w:t>
      </w:r>
      <w:proofErr w:type="spellEnd"/>
      <w:r w:rsidRPr="003477A1">
        <w:rPr>
          <w:lang w:val="en-GB"/>
        </w:rPr>
        <w:t xml:space="preserve"> of glycerol and acetone, as schemed in Figure 1. What appears to be the key of this type of reaction is the presence of an acidic medium that can initialize the mechanism. Therefore, several acidic homogeneous catalysts like p-</w:t>
      </w:r>
      <w:proofErr w:type="spellStart"/>
      <w:r w:rsidRPr="003477A1">
        <w:rPr>
          <w:lang w:val="en-GB"/>
        </w:rPr>
        <w:t>toluenesulfonic</w:t>
      </w:r>
      <w:proofErr w:type="spellEnd"/>
      <w:r w:rsidRPr="003477A1">
        <w:rPr>
          <w:lang w:val="en-GB"/>
        </w:rPr>
        <w:t>, sulfuric, or hydrochloric acid have been utilized.</w:t>
      </w:r>
      <w:r w:rsidR="0043339A" w:rsidRPr="0043339A">
        <w:rPr>
          <w:vertAlign w:val="superscript"/>
          <w:lang w:val="en-GB"/>
        </w:rPr>
        <w:t>5,8,11</w:t>
      </w:r>
      <w:r w:rsidRPr="003477A1">
        <w:rPr>
          <w:lang w:val="en-GB"/>
        </w:rPr>
        <w:t xml:space="preserve"> Additionally, acid-functionalized solid catalysts have also been used to study this transformation, such as ion exchange resins,</w:t>
      </w:r>
      <w:r w:rsidR="00E46F71" w:rsidRPr="00E46F71">
        <w:rPr>
          <w:vertAlign w:val="superscript"/>
          <w:lang w:val="en-GB"/>
        </w:rPr>
        <w:t>12</w:t>
      </w:r>
      <w:r w:rsidRPr="003477A1">
        <w:rPr>
          <w:lang w:val="en-GB"/>
        </w:rPr>
        <w:t xml:space="preserve"> </w:t>
      </w:r>
      <w:proofErr w:type="spellStart"/>
      <w:r w:rsidRPr="003477A1">
        <w:rPr>
          <w:lang w:val="en-GB"/>
        </w:rPr>
        <w:t>heteropolyacids</w:t>
      </w:r>
      <w:proofErr w:type="spellEnd"/>
      <w:r w:rsidRPr="003477A1">
        <w:rPr>
          <w:lang w:val="en-GB"/>
        </w:rPr>
        <w:t xml:space="preserve"> immobilized on silica,</w:t>
      </w:r>
      <w:r w:rsidR="00E46F71" w:rsidRPr="00E46F71">
        <w:rPr>
          <w:vertAlign w:val="superscript"/>
          <w:lang w:val="en-GB"/>
        </w:rPr>
        <w:t>13</w:t>
      </w:r>
      <w:r w:rsidRPr="003477A1">
        <w:rPr>
          <w:lang w:val="en-GB"/>
        </w:rPr>
        <w:t xml:space="preserve"> and sulfonic acidified silicas. Several articles report on very assorted conditions under which this reaction was completed, ranging from temperatures above the boiling point of acetone</w:t>
      </w:r>
      <w:r w:rsidR="00E46F71" w:rsidRPr="00E46F71">
        <w:rPr>
          <w:vertAlign w:val="superscript"/>
          <w:lang w:val="en-GB"/>
        </w:rPr>
        <w:t>12,14</w:t>
      </w:r>
      <w:r w:rsidRPr="00E46F71">
        <w:rPr>
          <w:vertAlign w:val="superscript"/>
          <w:lang w:val="en-GB"/>
        </w:rPr>
        <w:t xml:space="preserve"> </w:t>
      </w:r>
      <w:r w:rsidRPr="003477A1">
        <w:rPr>
          <w:lang w:val="en-GB"/>
        </w:rPr>
        <w:t>to milder temperatures close to or slightly above 20−25 °</w:t>
      </w:r>
      <w:proofErr w:type="spellStart"/>
      <w:r w:rsidRPr="003477A1">
        <w:rPr>
          <w:lang w:val="en-GB"/>
        </w:rPr>
        <w:t>C at</w:t>
      </w:r>
      <w:proofErr w:type="spellEnd"/>
      <w:r w:rsidRPr="003477A1">
        <w:rPr>
          <w:lang w:val="en-GB"/>
        </w:rPr>
        <w:t xml:space="preserve"> atmospheric pressure.</w:t>
      </w:r>
      <w:r w:rsidR="00E46F71" w:rsidRPr="00E46F71">
        <w:rPr>
          <w:vertAlign w:val="superscript"/>
          <w:lang w:val="en-GB"/>
        </w:rPr>
        <w:t>11,13,15,16</w:t>
      </w:r>
    </w:p>
    <w:p w14:paraId="619E8450" w14:textId="458C3040" w:rsidR="003477A1" w:rsidRPr="003477A1" w:rsidRDefault="003477A1" w:rsidP="003477A1">
      <w:pPr>
        <w:jc w:val="both"/>
        <w:rPr>
          <w:lang w:val="en-GB"/>
        </w:rPr>
      </w:pPr>
      <w:r w:rsidRPr="003477A1">
        <w:rPr>
          <w:lang w:val="en-GB"/>
        </w:rPr>
        <w:t>While some work has already been published regarding kinetic and thermodynamic aspects of the synthesis of solketal,</w:t>
      </w:r>
      <w:r w:rsidR="00E46F71" w:rsidRPr="00E46F71">
        <w:rPr>
          <w:vertAlign w:val="superscript"/>
          <w:lang w:val="en-GB"/>
        </w:rPr>
        <w:t>17</w:t>
      </w:r>
      <w:r w:rsidRPr="003477A1">
        <w:rPr>
          <w:lang w:val="en-GB"/>
        </w:rPr>
        <w:t xml:space="preserve"> no efforts have been made concerning the physical equilibrium between glycerol, acetone, and </w:t>
      </w:r>
      <w:proofErr w:type="spellStart"/>
      <w:r w:rsidRPr="003477A1">
        <w:rPr>
          <w:lang w:val="en-GB"/>
        </w:rPr>
        <w:t>solketal</w:t>
      </w:r>
      <w:proofErr w:type="spellEnd"/>
      <w:r w:rsidRPr="003477A1">
        <w:rPr>
          <w:lang w:val="en-GB"/>
        </w:rPr>
        <w:t xml:space="preserve">. Thus, herein, we developed a study of the liquid−liquid equilibrium (LLE) existing in the ternary system featuring {Ac + </w:t>
      </w:r>
      <w:proofErr w:type="spellStart"/>
      <w:r w:rsidRPr="003477A1">
        <w:rPr>
          <w:lang w:val="en-GB"/>
        </w:rPr>
        <w:t>Sk</w:t>
      </w:r>
      <w:proofErr w:type="spellEnd"/>
      <w:r w:rsidRPr="003477A1">
        <w:rPr>
          <w:lang w:val="en-GB"/>
        </w:rPr>
        <w:t xml:space="preserve"> + </w:t>
      </w:r>
      <w:proofErr w:type="spellStart"/>
      <w:r w:rsidRPr="003477A1">
        <w:rPr>
          <w:lang w:val="en-GB"/>
        </w:rPr>
        <w:t>Gly</w:t>
      </w:r>
      <w:proofErr w:type="spellEnd"/>
      <w:r w:rsidRPr="003477A1">
        <w:rPr>
          <w:lang w:val="en-GB"/>
        </w:rPr>
        <w:t>} at mild conditions that have proven of interest for the reaction to take place: atmospheric pressure and temperatures of (303.2, 313.2, and 323.2) K.</w:t>
      </w:r>
    </w:p>
    <w:p w14:paraId="391DDC15" w14:textId="0059E857" w:rsidR="00120E3B" w:rsidRDefault="003477A1" w:rsidP="003477A1">
      <w:pPr>
        <w:jc w:val="both"/>
        <w:rPr>
          <w:lang w:val="en-GB"/>
        </w:rPr>
      </w:pPr>
      <w:r w:rsidRPr="003477A1">
        <w:rPr>
          <w:lang w:val="en-GB"/>
        </w:rPr>
        <w:t xml:space="preserve">Additionally, once the LLE experimental data had been acquired, fitting to the </w:t>
      </w:r>
      <w:proofErr w:type="spellStart"/>
      <w:r w:rsidRPr="003477A1">
        <w:rPr>
          <w:lang w:val="en-GB"/>
        </w:rPr>
        <w:t>nonrandom</w:t>
      </w:r>
      <w:proofErr w:type="spellEnd"/>
      <w:r w:rsidRPr="003477A1">
        <w:rPr>
          <w:lang w:val="en-GB"/>
        </w:rPr>
        <w:t xml:space="preserve"> two-liquid model (NRTL) was successfully realized and the corresponding binary interaction parameters were retrieved</w:t>
      </w:r>
    </w:p>
    <w:p w14:paraId="3F5A71B3" w14:textId="2D5B8938" w:rsidR="00573798" w:rsidRPr="0096519F" w:rsidRDefault="00573798" w:rsidP="00573798">
      <w:pPr>
        <w:jc w:val="both"/>
        <w:rPr>
          <w:b/>
          <w:bCs/>
          <w:lang w:val="en-GB"/>
        </w:rPr>
      </w:pPr>
      <w:r w:rsidRPr="0096519F">
        <w:rPr>
          <w:b/>
          <w:bCs/>
          <w:lang w:val="en-GB"/>
        </w:rPr>
        <w:t xml:space="preserve">2. </w:t>
      </w:r>
      <w:r w:rsidR="00E44069" w:rsidRPr="00E44069">
        <w:rPr>
          <w:b/>
          <w:bCs/>
          <w:lang w:val="en-GB"/>
        </w:rPr>
        <w:t>Experimental section</w:t>
      </w:r>
    </w:p>
    <w:p w14:paraId="0BC8B513" w14:textId="77777777" w:rsidR="00573798" w:rsidRPr="0096519F" w:rsidRDefault="00573798" w:rsidP="00573798">
      <w:pPr>
        <w:jc w:val="both"/>
        <w:rPr>
          <w:b/>
          <w:bCs/>
          <w:lang w:val="en-GB"/>
        </w:rPr>
      </w:pPr>
      <w:r w:rsidRPr="0096519F">
        <w:rPr>
          <w:b/>
          <w:bCs/>
          <w:lang w:val="en-GB"/>
        </w:rPr>
        <w:t>2.1. Materials</w:t>
      </w:r>
    </w:p>
    <w:p w14:paraId="50AD5B4E" w14:textId="77777777" w:rsidR="00E46F71" w:rsidRPr="00E46F71" w:rsidRDefault="00E46F71" w:rsidP="00E46F71">
      <w:pPr>
        <w:jc w:val="both"/>
        <w:rPr>
          <w:lang w:val="en-GB"/>
        </w:rPr>
      </w:pPr>
      <w:r w:rsidRPr="00E46F71">
        <w:rPr>
          <w:lang w:val="en-GB"/>
        </w:rPr>
        <w:t xml:space="preserve">The following chemicals were employed during the experimental process: extra pure glycerol (assay grade 99.88%, purity checked by 1H NMR analysis = 99.88%) from Fischer Chemical; </w:t>
      </w:r>
      <w:proofErr w:type="spellStart"/>
      <w:r w:rsidRPr="00E46F71">
        <w:rPr>
          <w:lang w:val="en-GB"/>
        </w:rPr>
        <w:t>solketal</w:t>
      </w:r>
      <w:proofErr w:type="spellEnd"/>
      <w:r w:rsidRPr="00E46F71">
        <w:rPr>
          <w:lang w:val="en-GB"/>
        </w:rPr>
        <w:t xml:space="preserve"> (purity ≥98%, purity checked by GC analysis = 98.1%) from Aldrich; and acetone dry (purity ≥99.5%, purity checked by GC = 99.75%) from </w:t>
      </w:r>
      <w:proofErr w:type="spellStart"/>
      <w:r w:rsidRPr="00E46F71">
        <w:rPr>
          <w:lang w:val="en-GB"/>
        </w:rPr>
        <w:t>Acros</w:t>
      </w:r>
      <w:proofErr w:type="spellEnd"/>
      <w:r w:rsidRPr="00E46F71">
        <w:rPr>
          <w:lang w:val="en-GB"/>
        </w:rPr>
        <w:t xml:space="preserve"> Organics. Additionally, dibutyl ether (99 + % extra pure, purity checked by GC = 99.1%) supplied by </w:t>
      </w:r>
      <w:proofErr w:type="spellStart"/>
      <w:r w:rsidRPr="00E46F71">
        <w:rPr>
          <w:lang w:val="en-GB"/>
        </w:rPr>
        <w:t>Acros</w:t>
      </w:r>
      <w:proofErr w:type="spellEnd"/>
      <w:r w:rsidRPr="00E46F71">
        <w:rPr>
          <w:lang w:val="en-GB"/>
        </w:rPr>
        <w:t xml:space="preserve"> was used as an internal standard for GC analysis and </w:t>
      </w:r>
      <w:r w:rsidRPr="00E46F71">
        <w:rPr>
          <w:lang w:val="en-GB"/>
        </w:rPr>
        <w:lastRenderedPageBreak/>
        <w:t xml:space="preserve">isopropyl alcohol (99.9% pure, purity checked by GC = 99.9%), also by </w:t>
      </w:r>
      <w:proofErr w:type="spellStart"/>
      <w:r w:rsidRPr="00E46F71">
        <w:rPr>
          <w:lang w:val="en-GB"/>
        </w:rPr>
        <w:t>Acros</w:t>
      </w:r>
      <w:proofErr w:type="spellEnd"/>
      <w:r w:rsidRPr="00E46F71">
        <w:rPr>
          <w:lang w:val="en-GB"/>
        </w:rPr>
        <w:t>, for sample dilution.</w:t>
      </w:r>
    </w:p>
    <w:p w14:paraId="085A9DEC" w14:textId="53CF36A5" w:rsidR="00E46F71" w:rsidRPr="00E46F71" w:rsidRDefault="00E46F71" w:rsidP="00E46F71">
      <w:pPr>
        <w:jc w:val="both"/>
        <w:rPr>
          <w:b/>
          <w:bCs/>
          <w:lang w:val="en-GB"/>
        </w:rPr>
      </w:pPr>
      <w:r>
        <w:rPr>
          <w:b/>
          <w:bCs/>
          <w:lang w:val="en-GB"/>
        </w:rPr>
        <w:t xml:space="preserve">2.2. </w:t>
      </w:r>
      <w:r w:rsidRPr="00E46F71">
        <w:rPr>
          <w:b/>
          <w:bCs/>
          <w:lang w:val="en-GB"/>
        </w:rPr>
        <w:t>Liquid−Liquid Equilibria Measurements</w:t>
      </w:r>
    </w:p>
    <w:p w14:paraId="176929A6" w14:textId="0EAE67C2" w:rsidR="00E46F71" w:rsidRPr="00E46F71" w:rsidRDefault="00E46F71" w:rsidP="00E46F71">
      <w:pPr>
        <w:jc w:val="both"/>
        <w:rPr>
          <w:lang w:val="en-GB"/>
        </w:rPr>
      </w:pPr>
      <w:r w:rsidRPr="00E46F71">
        <w:rPr>
          <w:lang w:val="en-GB"/>
        </w:rPr>
        <w:t xml:space="preserve">The experimental apparatus put to use throughout the experimentation comprises sealed round-bottom flasks of 50 mL of volume into which the appropriate amounts of the chemicals were added for each individual experiment. The adequate weight of the chemicals to be added was made with a Kern and Sohn ABS-220-4 precision balance with an accuracy of 0.0001 g. Mixing of the content of the flasks was achieved by magnetic stirring and heating with a </w:t>
      </w:r>
      <w:r w:rsidRPr="00E46F71">
        <w:rPr>
          <w:lang w:val="en-GB"/>
        </w:rPr>
        <w:t>temperature-controlled</w:t>
      </w:r>
      <w:r w:rsidRPr="00E46F71">
        <w:rPr>
          <w:lang w:val="en-GB"/>
        </w:rPr>
        <w:t xml:space="preserve"> glycerol bath. A temperature-controlled IKA Yellow Line TC3 device was used for the mentioned heating and stirring purposes.</w:t>
      </w:r>
    </w:p>
    <w:p w14:paraId="319F786D" w14:textId="77777777" w:rsidR="00E46F71" w:rsidRPr="00E46F71" w:rsidRDefault="00E46F71" w:rsidP="00E46F71">
      <w:pPr>
        <w:jc w:val="both"/>
        <w:rPr>
          <w:lang w:val="en-GB"/>
        </w:rPr>
      </w:pPr>
      <w:r w:rsidRPr="00E46F71">
        <w:rPr>
          <w:lang w:val="en-GB"/>
        </w:rPr>
        <w:t xml:space="preserve">The procedure consists of putting the feeds of each individual experiment to stir for 4 h to ensure a good mass transfer between the liquid phases until reaching phase equilibrium conditions. At that point, stirring was stopped and no less than 3 h were allowed for settling of the phases. Separation by decantation given the difference of density of the </w:t>
      </w:r>
      <w:proofErr w:type="spellStart"/>
      <w:r w:rsidRPr="00E46F71">
        <w:rPr>
          <w:lang w:val="en-GB"/>
        </w:rPr>
        <w:t>Gly</w:t>
      </w:r>
      <w:proofErr w:type="spellEnd"/>
      <w:r w:rsidRPr="00E46F71">
        <w:rPr>
          <w:lang w:val="en-GB"/>
        </w:rPr>
        <w:t>-rich (I) and Ac-rich (II) phases was easily achievable and no turbidity was observed within any of the phases. Afterward, cautious sample withdrawal through the septa with syringes with fine hypodermic needles was performed. Samples from the Ac-rich phase were taken from the top of the upper phase. As for the heavy phase (</w:t>
      </w:r>
      <w:proofErr w:type="spellStart"/>
      <w:r w:rsidRPr="00E46F71">
        <w:rPr>
          <w:lang w:val="en-GB"/>
        </w:rPr>
        <w:t>Gly</w:t>
      </w:r>
      <w:proofErr w:type="spellEnd"/>
      <w:r w:rsidRPr="00E46F71">
        <w:rPr>
          <w:lang w:val="en-GB"/>
        </w:rPr>
        <w:t xml:space="preserve">-rich), special care to avoid mixing between phases was taken because the needle had to poke through the interphase between the liquid phases. The </w:t>
      </w:r>
      <w:proofErr w:type="spellStart"/>
      <w:r w:rsidRPr="00E46F71">
        <w:rPr>
          <w:lang w:val="en-GB"/>
        </w:rPr>
        <w:t>Gly</w:t>
      </w:r>
      <w:proofErr w:type="spellEnd"/>
      <w:r w:rsidRPr="00E46F71">
        <w:rPr>
          <w:lang w:val="en-GB"/>
        </w:rPr>
        <w:t>-rich sample was taken from the very bottom of the flask to prevent proximity with the interphase. Samples withdrawn from each phase were of at least 0.3 mL to ensure that 0.1500 g would be available to prepare the sample for analysis. Temperature was kept constant during the sample withdrawal process. Experimental data from triplicate experiments were procured.</w:t>
      </w:r>
    </w:p>
    <w:p w14:paraId="0B231757" w14:textId="5F26B2F1" w:rsidR="00E46F71" w:rsidRPr="00E46F71" w:rsidRDefault="00E46F71" w:rsidP="00E46F71">
      <w:pPr>
        <w:jc w:val="both"/>
        <w:rPr>
          <w:b/>
          <w:bCs/>
          <w:lang w:val="en-GB"/>
        </w:rPr>
      </w:pPr>
      <w:r>
        <w:rPr>
          <w:b/>
          <w:bCs/>
          <w:lang w:val="en-GB"/>
        </w:rPr>
        <w:t xml:space="preserve">2.3. </w:t>
      </w:r>
      <w:r w:rsidRPr="00E46F71">
        <w:rPr>
          <w:b/>
          <w:bCs/>
          <w:lang w:val="en-GB"/>
        </w:rPr>
        <w:t>Analytical Methods</w:t>
      </w:r>
    </w:p>
    <w:p w14:paraId="5C4323FF" w14:textId="77777777" w:rsidR="00E46F71" w:rsidRPr="00E46F71" w:rsidRDefault="00E46F71" w:rsidP="00E46F71">
      <w:pPr>
        <w:jc w:val="both"/>
        <w:rPr>
          <w:lang w:val="en-GB"/>
        </w:rPr>
      </w:pPr>
      <w:r w:rsidRPr="00E46F71">
        <w:rPr>
          <w:lang w:val="en-GB"/>
        </w:rPr>
        <w:t xml:space="preserve">Samples were diluted in isopropyl alcohol using dibutyl ether as internal standard prior to gas chromatography (GC) analysis. The components of the samples from the two phases were </w:t>
      </w:r>
      <w:proofErr w:type="spellStart"/>
      <w:r w:rsidRPr="00E46F71">
        <w:rPr>
          <w:lang w:val="en-GB"/>
        </w:rPr>
        <w:t>analyzed</w:t>
      </w:r>
      <w:proofErr w:type="spellEnd"/>
      <w:r w:rsidRPr="00E46F71">
        <w:rPr>
          <w:lang w:val="en-GB"/>
        </w:rPr>
        <w:t xml:space="preserve"> in an Agilent HP6890 Series GC system equipped with a thermal conductivity detector (TCD). Separation of the components was achieved using a HP-</w:t>
      </w:r>
      <w:proofErr w:type="spellStart"/>
      <w:r w:rsidRPr="00E46F71">
        <w:rPr>
          <w:lang w:val="en-GB"/>
        </w:rPr>
        <w:t>INNOWax</w:t>
      </w:r>
      <w:proofErr w:type="spellEnd"/>
      <w:r w:rsidRPr="00E46F71">
        <w:rPr>
          <w:lang w:val="en-GB"/>
        </w:rPr>
        <w:t xml:space="preserve"> capillary column (30 m × 0.25 mm </w:t>
      </w:r>
      <w:proofErr w:type="spellStart"/>
      <w:r w:rsidRPr="00E46F71">
        <w:rPr>
          <w:lang w:val="en-GB"/>
        </w:rPr>
        <w:t>i.d.</w:t>
      </w:r>
      <w:proofErr w:type="spellEnd"/>
      <w:r w:rsidRPr="00E46F71">
        <w:rPr>
          <w:lang w:val="en-GB"/>
        </w:rPr>
        <w:t xml:space="preserve"> × 0.25 </w:t>
      </w:r>
      <w:proofErr w:type="spellStart"/>
      <w:r w:rsidRPr="00E46F71">
        <w:rPr>
          <w:lang w:val="en-GB"/>
        </w:rPr>
        <w:t>μm</w:t>
      </w:r>
      <w:proofErr w:type="spellEnd"/>
      <w:r w:rsidRPr="00E46F71">
        <w:rPr>
          <w:lang w:val="en-GB"/>
        </w:rPr>
        <w:t>) operating at a constant flow of 1.3 mL/min of helium as the carrier gas. The temperatures of the injector and detector were both 250 °C and the split ratio used was 80:1. The programmed temperature ramp for the oven was as follows: an initial hold of 6 min at 40 °C, then a ramp from 40 to 250 °C at 25 °C·min−1, and finally a 8 min hold at 250 °C.</w:t>
      </w:r>
    </w:p>
    <w:p w14:paraId="7CB2415E" w14:textId="77777777" w:rsidR="00E46F71" w:rsidRDefault="00E46F71" w:rsidP="00E46F71">
      <w:pPr>
        <w:jc w:val="both"/>
        <w:rPr>
          <w:lang w:val="en-GB"/>
        </w:rPr>
      </w:pPr>
    </w:p>
    <w:p w14:paraId="20A90780" w14:textId="29B1C282" w:rsidR="00E46F71" w:rsidRPr="00E46F71" w:rsidRDefault="00E46F71" w:rsidP="00E46F71">
      <w:pPr>
        <w:jc w:val="both"/>
        <w:rPr>
          <w:b/>
          <w:bCs/>
          <w:lang w:val="en-GB"/>
        </w:rPr>
      </w:pPr>
      <w:r>
        <w:rPr>
          <w:b/>
          <w:bCs/>
          <w:lang w:val="en-GB"/>
        </w:rPr>
        <w:lastRenderedPageBreak/>
        <w:t xml:space="preserve">2.4. </w:t>
      </w:r>
      <w:r w:rsidRPr="00E46F71">
        <w:rPr>
          <w:b/>
          <w:bCs/>
          <w:lang w:val="en-GB"/>
        </w:rPr>
        <w:t>Data Regression and Correlation with the NRTL Model</w:t>
      </w:r>
    </w:p>
    <w:p w14:paraId="72D9980C" w14:textId="77777777" w:rsidR="00A61A88" w:rsidRDefault="00E46F71" w:rsidP="00E46F71">
      <w:pPr>
        <w:jc w:val="both"/>
        <w:rPr>
          <w:lang w:val="en-GB"/>
        </w:rPr>
      </w:pPr>
      <w:r w:rsidRPr="00E46F71">
        <w:rPr>
          <w:lang w:val="en-GB"/>
        </w:rPr>
        <w:t xml:space="preserve">Fitting of the experimental data was made using the NRTL model. The tool used to obtain the binary interaction parameters was the data regression module implemented in Aspen Plus, which used a least-squares method based upon the maximum likelihood principle. To retrieve the parameters, the Britt-Luecke </w:t>
      </w:r>
      <w:r w:rsidRPr="00E46F71">
        <w:rPr>
          <w:vertAlign w:val="superscript"/>
          <w:lang w:val="en-GB"/>
        </w:rPr>
        <w:t>18</w:t>
      </w:r>
      <w:r>
        <w:rPr>
          <w:lang w:val="en-GB"/>
        </w:rPr>
        <w:t xml:space="preserve"> </w:t>
      </w:r>
      <w:r w:rsidRPr="00E46F71">
        <w:rPr>
          <w:lang w:val="en-GB"/>
        </w:rPr>
        <w:t>algorithm was used along with the Deming initialization method while setting the regression convergence tolerance at 0.0001. The objective function that the regression procedure minimizes is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702"/>
      </w:tblGrid>
      <w:tr w:rsidR="00A61A88" w14:paraId="1F1A1D49" w14:textId="77777777" w:rsidTr="0095493C">
        <w:tc>
          <w:tcPr>
            <w:tcW w:w="7792" w:type="dxa"/>
          </w:tcPr>
          <w:p w14:paraId="1D575369" w14:textId="6D6C2AE5" w:rsidR="00A61A88" w:rsidRDefault="00A61A88" w:rsidP="0095493C">
            <w:pPr>
              <w:jc w:val="both"/>
              <w:rPr>
                <w:lang w:val="en-GB"/>
              </w:rPr>
            </w:pPr>
            <w:r w:rsidRPr="00A61A88">
              <w:rPr>
                <w:lang w:val="en-GB"/>
              </w:rPr>
              <w:drawing>
                <wp:inline distT="0" distB="0" distL="0" distR="0" wp14:anchorId="69B68FCC" wp14:editId="182CB3BD">
                  <wp:extent cx="2308860" cy="461772"/>
                  <wp:effectExtent l="0" t="0" r="0" b="0"/>
                  <wp:docPr id="6186812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681207" name=""/>
                          <pic:cNvPicPr/>
                        </pic:nvPicPr>
                        <pic:blipFill>
                          <a:blip r:embed="rId7"/>
                          <a:stretch>
                            <a:fillRect/>
                          </a:stretch>
                        </pic:blipFill>
                        <pic:spPr>
                          <a:xfrm>
                            <a:off x="0" y="0"/>
                            <a:ext cx="2323139" cy="464628"/>
                          </a:xfrm>
                          <a:prstGeom prst="rect">
                            <a:avLst/>
                          </a:prstGeom>
                        </pic:spPr>
                      </pic:pic>
                    </a:graphicData>
                  </a:graphic>
                </wp:inline>
              </w:drawing>
            </w:r>
          </w:p>
        </w:tc>
        <w:tc>
          <w:tcPr>
            <w:tcW w:w="702" w:type="dxa"/>
            <w:vAlign w:val="center"/>
          </w:tcPr>
          <w:p w14:paraId="3A27ACBA" w14:textId="4D965B56" w:rsidR="00A61A88" w:rsidRDefault="00A61A88" w:rsidP="0095493C">
            <w:pPr>
              <w:jc w:val="right"/>
              <w:rPr>
                <w:lang w:val="en-GB"/>
              </w:rPr>
            </w:pPr>
            <w:r>
              <w:rPr>
                <w:lang w:val="en-GB"/>
              </w:rPr>
              <w:t>(1)</w:t>
            </w:r>
          </w:p>
        </w:tc>
      </w:tr>
    </w:tbl>
    <w:p w14:paraId="0F916B08" w14:textId="1227DA8A" w:rsidR="00E46F71" w:rsidRPr="00E46F71" w:rsidRDefault="00E46F71" w:rsidP="00E46F71">
      <w:pPr>
        <w:jc w:val="both"/>
        <w:rPr>
          <w:lang w:val="en-GB"/>
        </w:rPr>
      </w:pPr>
      <w:r w:rsidRPr="00E46F71">
        <w:rPr>
          <w:lang w:val="en-GB"/>
        </w:rPr>
        <w:t xml:space="preserve">where </w:t>
      </w:r>
      <w:proofErr w:type="spellStart"/>
      <w:r w:rsidRPr="00E46F71">
        <w:rPr>
          <w:lang w:val="en-GB"/>
        </w:rPr>
        <w:t>T</w:t>
      </w:r>
      <w:r w:rsidRPr="00A61A88">
        <w:rPr>
          <w:vertAlign w:val="subscript"/>
          <w:lang w:val="en-GB"/>
        </w:rPr>
        <w:t>exp</w:t>
      </w:r>
      <w:proofErr w:type="spellEnd"/>
      <w:r w:rsidRPr="00E46F71">
        <w:rPr>
          <w:lang w:val="en-GB"/>
        </w:rPr>
        <w:t xml:space="preserve"> and </w:t>
      </w:r>
      <w:proofErr w:type="spellStart"/>
      <w:r w:rsidRPr="00E46F71">
        <w:rPr>
          <w:lang w:val="en-GB"/>
        </w:rPr>
        <w:t>T</w:t>
      </w:r>
      <w:r w:rsidRPr="00A61A88">
        <w:rPr>
          <w:vertAlign w:val="subscript"/>
          <w:lang w:val="en-GB"/>
        </w:rPr>
        <w:t>calc</w:t>
      </w:r>
      <w:proofErr w:type="spellEnd"/>
      <w:r w:rsidRPr="00E46F71">
        <w:rPr>
          <w:lang w:val="en-GB"/>
        </w:rPr>
        <w:t xml:space="preserve"> denote the experimental and calculated values of temperature, respectively; </w:t>
      </w:r>
      <w:proofErr w:type="spellStart"/>
      <w:r w:rsidRPr="00E46F71">
        <w:rPr>
          <w:lang w:val="en-GB"/>
        </w:rPr>
        <w:t>x</w:t>
      </w:r>
      <w:r w:rsidRPr="00A61A88">
        <w:rPr>
          <w:vertAlign w:val="subscript"/>
          <w:lang w:val="en-GB"/>
        </w:rPr>
        <w:t>exp</w:t>
      </w:r>
      <w:proofErr w:type="spellEnd"/>
      <w:r w:rsidRPr="00E46F71">
        <w:rPr>
          <w:lang w:val="en-GB"/>
        </w:rPr>
        <w:t xml:space="preserve"> and </w:t>
      </w:r>
      <w:proofErr w:type="spellStart"/>
      <w:r w:rsidRPr="00E46F71">
        <w:rPr>
          <w:lang w:val="en-GB"/>
        </w:rPr>
        <w:t>x</w:t>
      </w:r>
      <w:r w:rsidRPr="00A61A88">
        <w:rPr>
          <w:vertAlign w:val="subscript"/>
          <w:lang w:val="en-GB"/>
        </w:rPr>
        <w:t>calc</w:t>
      </w:r>
      <w:proofErr w:type="spellEnd"/>
      <w:r w:rsidRPr="00A61A88">
        <w:rPr>
          <w:vertAlign w:val="subscript"/>
          <w:lang w:val="en-GB"/>
        </w:rPr>
        <w:t xml:space="preserve"> </w:t>
      </w:r>
      <w:r w:rsidRPr="00E46F71">
        <w:rPr>
          <w:lang w:val="en-GB"/>
        </w:rPr>
        <w:t xml:space="preserve">denote the experimental and calculated values of mole fraction; the subscripts </w:t>
      </w:r>
      <w:proofErr w:type="spellStart"/>
      <w:r w:rsidRPr="00E46F71">
        <w:rPr>
          <w:lang w:val="en-GB"/>
        </w:rPr>
        <w:t>i</w:t>
      </w:r>
      <w:proofErr w:type="spellEnd"/>
      <w:r w:rsidRPr="00E46F71">
        <w:rPr>
          <w:lang w:val="en-GB"/>
        </w:rPr>
        <w:t xml:space="preserve">, j, and k refer to the component, phase, and tie-line, respectively, and N is the number of experimental tie-lines obtained. Finally, </w:t>
      </w:r>
      <w:proofErr w:type="spellStart"/>
      <w:r w:rsidRPr="00E46F71">
        <w:rPr>
          <w:lang w:val="en-GB"/>
        </w:rPr>
        <w:t>σ</w:t>
      </w:r>
      <w:r w:rsidRPr="00A61A88">
        <w:rPr>
          <w:vertAlign w:val="subscript"/>
          <w:lang w:val="en-GB"/>
        </w:rPr>
        <w:t>T</w:t>
      </w:r>
      <w:proofErr w:type="spellEnd"/>
      <w:r w:rsidRPr="00E46F71">
        <w:rPr>
          <w:lang w:val="en-GB"/>
        </w:rPr>
        <w:t xml:space="preserve"> and </w:t>
      </w:r>
      <w:proofErr w:type="spellStart"/>
      <w:r w:rsidRPr="00E46F71">
        <w:rPr>
          <w:lang w:val="en-GB"/>
        </w:rPr>
        <w:t>σ</w:t>
      </w:r>
      <w:r w:rsidRPr="00A61A88">
        <w:rPr>
          <w:vertAlign w:val="subscript"/>
          <w:lang w:val="en-GB"/>
        </w:rPr>
        <w:t>x</w:t>
      </w:r>
      <w:proofErr w:type="spellEnd"/>
      <w:r w:rsidRPr="00E46F71">
        <w:rPr>
          <w:lang w:val="en-GB"/>
        </w:rPr>
        <w:t xml:space="preserve"> are the standard deviations of temperature and the molar fraction, whose values were fixed from the accuracy of the temperature control system (</w:t>
      </w:r>
      <w:proofErr w:type="spellStart"/>
      <w:r w:rsidRPr="00E46F71">
        <w:rPr>
          <w:lang w:val="en-GB"/>
        </w:rPr>
        <w:t>σ</w:t>
      </w:r>
      <w:r w:rsidRPr="00A61A88">
        <w:rPr>
          <w:vertAlign w:val="subscript"/>
          <w:lang w:val="en-GB"/>
        </w:rPr>
        <w:t>T</w:t>
      </w:r>
      <w:proofErr w:type="spellEnd"/>
      <w:r w:rsidRPr="00E46F71">
        <w:rPr>
          <w:lang w:val="en-GB"/>
        </w:rPr>
        <w:t xml:space="preserve"> = 0.05 K) and the uncertainty of the GC-TCD analysis (</w:t>
      </w:r>
      <w:proofErr w:type="spellStart"/>
      <w:r w:rsidRPr="00E46F71">
        <w:rPr>
          <w:lang w:val="en-GB"/>
        </w:rPr>
        <w:t>σ</w:t>
      </w:r>
      <w:r w:rsidRPr="00A61A88">
        <w:rPr>
          <w:vertAlign w:val="subscript"/>
          <w:lang w:val="en-GB"/>
        </w:rPr>
        <w:t>x</w:t>
      </w:r>
      <w:proofErr w:type="spellEnd"/>
      <w:r w:rsidRPr="00E46F71">
        <w:rPr>
          <w:lang w:val="en-GB"/>
        </w:rPr>
        <w:t xml:space="preserve"> = 0.019).</w:t>
      </w:r>
    </w:p>
    <w:p w14:paraId="2D2762E4" w14:textId="77777777" w:rsidR="00A61A88" w:rsidRDefault="00E46F71" w:rsidP="00E46F71">
      <w:pPr>
        <w:jc w:val="both"/>
        <w:rPr>
          <w:lang w:val="en-GB"/>
        </w:rPr>
      </w:pPr>
      <w:r w:rsidRPr="00E46F71">
        <w:rPr>
          <w:lang w:val="en-GB"/>
        </w:rPr>
        <w:t xml:space="preserve">Fitting to the NRTL was first completed fixing various sets of values of the </w:t>
      </w:r>
      <w:proofErr w:type="spellStart"/>
      <w:r w:rsidRPr="00E46F71">
        <w:rPr>
          <w:lang w:val="en-GB"/>
        </w:rPr>
        <w:t>nonrandomness</w:t>
      </w:r>
      <w:proofErr w:type="spellEnd"/>
      <w:r w:rsidRPr="00E46F71">
        <w:rPr>
          <w:lang w:val="en-GB"/>
        </w:rPr>
        <w:t xml:space="preserve"> binary interaction parameters α</w:t>
      </w:r>
      <w:proofErr w:type="spellStart"/>
      <w:r w:rsidRPr="00A61A88">
        <w:rPr>
          <w:vertAlign w:val="subscript"/>
          <w:lang w:val="en-GB"/>
        </w:rPr>
        <w:t>ij</w:t>
      </w:r>
      <w:proofErr w:type="spellEnd"/>
      <w:r w:rsidRPr="00E46F71">
        <w:rPr>
          <w:lang w:val="en-GB"/>
        </w:rPr>
        <w:t>. Comparison of the goodness of fit with the results obtained from optimizing the α</w:t>
      </w:r>
      <w:proofErr w:type="spellStart"/>
      <w:r w:rsidRPr="00A61A88">
        <w:rPr>
          <w:vertAlign w:val="subscript"/>
          <w:lang w:val="en-GB"/>
        </w:rPr>
        <w:t>ij</w:t>
      </w:r>
      <w:proofErr w:type="spellEnd"/>
      <w:r w:rsidRPr="00E46F71">
        <w:rPr>
          <w:lang w:val="en-GB"/>
        </w:rPr>
        <w:t xml:space="preserve"> was also made, and then a certain set of the parameters was fixed for the rest of the regressions. The goodness-of-fit of the parameters was decided on the basis of the minimization of the root-mean-square deviation (</w:t>
      </w:r>
      <w:proofErr w:type="spellStart"/>
      <w:r w:rsidRPr="00E46F71">
        <w:rPr>
          <w:lang w:val="en-GB"/>
        </w:rPr>
        <w:t>rmsd</w:t>
      </w:r>
      <w:proofErr w:type="spellEnd"/>
      <w:r w:rsidRPr="00E46F71">
        <w:rPr>
          <w:lang w:val="en-GB"/>
        </w:rPr>
        <w:t xml:space="preserve">), defined as follows: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702"/>
      </w:tblGrid>
      <w:tr w:rsidR="00A61A88" w14:paraId="3B7023D6" w14:textId="77777777" w:rsidTr="0095493C">
        <w:tc>
          <w:tcPr>
            <w:tcW w:w="7792" w:type="dxa"/>
          </w:tcPr>
          <w:p w14:paraId="7431B781" w14:textId="477BE098" w:rsidR="00A61A88" w:rsidRDefault="00A61A88" w:rsidP="0095493C">
            <w:pPr>
              <w:jc w:val="both"/>
              <w:rPr>
                <w:lang w:val="en-GB"/>
              </w:rPr>
            </w:pPr>
            <w:r w:rsidRPr="00A61A88">
              <w:rPr>
                <w:lang w:val="en-GB"/>
              </w:rPr>
              <w:drawing>
                <wp:inline distT="0" distB="0" distL="0" distR="0" wp14:anchorId="7663F7FD" wp14:editId="1CF443B9">
                  <wp:extent cx="1744980" cy="514025"/>
                  <wp:effectExtent l="0" t="0" r="7620" b="635"/>
                  <wp:docPr id="18315495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549564" name=""/>
                          <pic:cNvPicPr/>
                        </pic:nvPicPr>
                        <pic:blipFill>
                          <a:blip r:embed="rId8"/>
                          <a:stretch>
                            <a:fillRect/>
                          </a:stretch>
                        </pic:blipFill>
                        <pic:spPr>
                          <a:xfrm>
                            <a:off x="0" y="0"/>
                            <a:ext cx="1765072" cy="519944"/>
                          </a:xfrm>
                          <a:prstGeom prst="rect">
                            <a:avLst/>
                          </a:prstGeom>
                        </pic:spPr>
                      </pic:pic>
                    </a:graphicData>
                  </a:graphic>
                </wp:inline>
              </w:drawing>
            </w:r>
          </w:p>
        </w:tc>
        <w:tc>
          <w:tcPr>
            <w:tcW w:w="702" w:type="dxa"/>
            <w:vAlign w:val="center"/>
          </w:tcPr>
          <w:p w14:paraId="3259D5E9" w14:textId="41A54AD1" w:rsidR="00A61A88" w:rsidRDefault="00A61A88" w:rsidP="0095493C">
            <w:pPr>
              <w:jc w:val="right"/>
              <w:rPr>
                <w:lang w:val="en-GB"/>
              </w:rPr>
            </w:pPr>
            <w:r>
              <w:rPr>
                <w:lang w:val="en-GB"/>
              </w:rPr>
              <w:t>(</w:t>
            </w:r>
            <w:r>
              <w:rPr>
                <w:lang w:val="en-GB"/>
              </w:rPr>
              <w:t>2</w:t>
            </w:r>
            <w:r>
              <w:rPr>
                <w:lang w:val="en-GB"/>
              </w:rPr>
              <w:t>)</w:t>
            </w:r>
          </w:p>
        </w:tc>
      </w:tr>
    </w:tbl>
    <w:p w14:paraId="0BC77FD2" w14:textId="77777777" w:rsidR="00814548" w:rsidRPr="00814548" w:rsidRDefault="00814548" w:rsidP="00814548">
      <w:pPr>
        <w:jc w:val="both"/>
        <w:rPr>
          <w:b/>
          <w:bCs/>
          <w:lang w:val="en-GB"/>
        </w:rPr>
      </w:pPr>
      <w:r w:rsidRPr="00814548">
        <w:rPr>
          <w:b/>
          <w:bCs/>
          <w:lang w:val="en-GB"/>
        </w:rPr>
        <w:t>3. Results and discussion</w:t>
      </w:r>
    </w:p>
    <w:p w14:paraId="7F7F5C19" w14:textId="005CEE84" w:rsidR="00814548" w:rsidRPr="00814548" w:rsidRDefault="00814548" w:rsidP="00814548">
      <w:pPr>
        <w:jc w:val="both"/>
        <w:rPr>
          <w:b/>
          <w:bCs/>
          <w:lang w:val="en-GB"/>
        </w:rPr>
      </w:pPr>
      <w:r w:rsidRPr="00814548">
        <w:rPr>
          <w:b/>
          <w:bCs/>
          <w:lang w:val="en-GB"/>
        </w:rPr>
        <w:t xml:space="preserve">3.1. </w:t>
      </w:r>
      <w:r w:rsidR="00094579" w:rsidRPr="00094579">
        <w:rPr>
          <w:b/>
          <w:bCs/>
          <w:lang w:val="en-GB"/>
        </w:rPr>
        <w:t>LLE Experimental Data</w:t>
      </w:r>
    </w:p>
    <w:p w14:paraId="3F6E53E9" w14:textId="23F9089F" w:rsidR="00094579" w:rsidRPr="00094579" w:rsidRDefault="00094579" w:rsidP="00814548">
      <w:pPr>
        <w:jc w:val="both"/>
        <w:rPr>
          <w:lang w:val="en-GB"/>
        </w:rPr>
      </w:pPr>
      <w:r w:rsidRPr="00094579">
        <w:rPr>
          <w:lang w:val="en-GB"/>
        </w:rPr>
        <w:t xml:space="preserve">First, a preliminary experiment was undertaken to ensure that the reaction between Ac and </w:t>
      </w:r>
      <w:proofErr w:type="spellStart"/>
      <w:r w:rsidRPr="00094579">
        <w:rPr>
          <w:lang w:val="en-GB"/>
        </w:rPr>
        <w:t>Gly</w:t>
      </w:r>
      <w:proofErr w:type="spellEnd"/>
      <w:r w:rsidRPr="00094579">
        <w:rPr>
          <w:lang w:val="en-GB"/>
        </w:rPr>
        <w:t xml:space="preserve"> did not take place in the absence of catalyst. For this purpose, an equimolar mixture of Ac and </w:t>
      </w:r>
      <w:proofErr w:type="spellStart"/>
      <w:r w:rsidRPr="00094579">
        <w:rPr>
          <w:lang w:val="en-GB"/>
        </w:rPr>
        <w:t>Gly</w:t>
      </w:r>
      <w:proofErr w:type="spellEnd"/>
      <w:r w:rsidRPr="00094579">
        <w:rPr>
          <w:lang w:val="en-GB"/>
        </w:rPr>
        <w:t xml:space="preserve"> was kept under stirring conditions at 40 °C for 72 h. After that period, two liquid phases were still present and the analysis of both proved that no </w:t>
      </w:r>
      <w:proofErr w:type="spellStart"/>
      <w:r w:rsidRPr="00094579">
        <w:rPr>
          <w:lang w:val="en-GB"/>
        </w:rPr>
        <w:t>Sk</w:t>
      </w:r>
      <w:proofErr w:type="spellEnd"/>
      <w:r w:rsidRPr="00094579">
        <w:rPr>
          <w:lang w:val="en-GB"/>
        </w:rPr>
        <w:t xml:space="preserve"> was present at all. This absence of product agrees with the fact that an acid catalyst is needed to initiate the </w:t>
      </w:r>
      <w:proofErr w:type="spellStart"/>
      <w:r w:rsidRPr="00094579">
        <w:rPr>
          <w:lang w:val="en-GB"/>
        </w:rPr>
        <w:t>ketalization</w:t>
      </w:r>
      <w:proofErr w:type="spellEnd"/>
      <w:r w:rsidRPr="00094579">
        <w:rPr>
          <w:lang w:val="en-GB"/>
        </w:rPr>
        <w:t xml:space="preserve"> mechanism. Hence, it was confirmed that the following results correspond only to the LLE of the ternary system presented</w:t>
      </w:r>
    </w:p>
    <w:p w14:paraId="13377982" w14:textId="77777777" w:rsidR="00094579" w:rsidRPr="00094579" w:rsidRDefault="00094579" w:rsidP="00094579">
      <w:pPr>
        <w:jc w:val="both"/>
        <w:rPr>
          <w:lang w:val="en-GB"/>
        </w:rPr>
      </w:pPr>
      <w:r w:rsidRPr="00094579">
        <w:rPr>
          <w:lang w:val="en-GB"/>
        </w:rPr>
        <w:t xml:space="preserve">Table 1 compiles the experimental LLE data expressed as molar fractions obtained for the system {Ac + </w:t>
      </w:r>
      <w:proofErr w:type="spellStart"/>
      <w:r w:rsidRPr="00094579">
        <w:rPr>
          <w:lang w:val="en-GB"/>
        </w:rPr>
        <w:t>Sk</w:t>
      </w:r>
      <w:proofErr w:type="spellEnd"/>
      <w:r w:rsidRPr="00094579">
        <w:rPr>
          <w:lang w:val="en-GB"/>
        </w:rPr>
        <w:t xml:space="preserve"> + </w:t>
      </w:r>
      <w:proofErr w:type="spellStart"/>
      <w:r w:rsidRPr="00094579">
        <w:rPr>
          <w:lang w:val="en-GB"/>
        </w:rPr>
        <w:t>Gly</w:t>
      </w:r>
      <w:proofErr w:type="spellEnd"/>
      <w:r w:rsidRPr="00094579">
        <w:rPr>
          <w:lang w:val="en-GB"/>
        </w:rPr>
        <w:t xml:space="preserve">} at (303.2, 313.2, and 323.2) K and 101.3 kPa. This </w:t>
      </w:r>
      <w:r w:rsidRPr="00094579">
        <w:rPr>
          <w:lang w:val="en-GB"/>
        </w:rPr>
        <w:lastRenderedPageBreak/>
        <w:t xml:space="preserve">system would correspond to the reactants of the reaction described in Figure 1 and the main product of the reaction, </w:t>
      </w:r>
      <w:proofErr w:type="spellStart"/>
      <w:r w:rsidRPr="00094579">
        <w:rPr>
          <w:lang w:val="en-GB"/>
        </w:rPr>
        <w:t>Sk</w:t>
      </w:r>
      <w:proofErr w:type="spellEnd"/>
      <w:r w:rsidRPr="00094579">
        <w:rPr>
          <w:lang w:val="en-GB"/>
        </w:rPr>
        <w:t>, which helps the phases to dissolve in each other. Additionally, the global compositions of the feeds of each batch are included.</w:t>
      </w:r>
    </w:p>
    <w:p w14:paraId="00A20A94" w14:textId="77777777" w:rsidR="00094579" w:rsidRPr="00094579" w:rsidRDefault="00094579" w:rsidP="00094579">
      <w:pPr>
        <w:jc w:val="both"/>
        <w:rPr>
          <w:lang w:val="en-GB"/>
        </w:rPr>
      </w:pPr>
      <w:r w:rsidRPr="00094579">
        <w:rPr>
          <w:lang w:val="en-GB"/>
        </w:rPr>
        <w:t xml:space="preserve">Despite this work focusing on the physical equilibrium between the liquid phases, the feeds were designed so as to acquire tie-lines that come from simulating the production of </w:t>
      </w:r>
      <w:proofErr w:type="spellStart"/>
      <w:r w:rsidRPr="00094579">
        <w:rPr>
          <w:lang w:val="en-GB"/>
        </w:rPr>
        <w:t>Sk</w:t>
      </w:r>
      <w:proofErr w:type="spellEnd"/>
      <w:r w:rsidRPr="00094579">
        <w:rPr>
          <w:lang w:val="en-GB"/>
        </w:rPr>
        <w:t xml:space="preserve"> in the progress of the chemical reaction. Particularly, each batch was loaded considering compositions that come from increasing assumed conversions of 3.3% from an initial equimolar amount of Ac and </w:t>
      </w:r>
      <w:proofErr w:type="spellStart"/>
      <w:r w:rsidRPr="00094579">
        <w:rPr>
          <w:lang w:val="en-GB"/>
        </w:rPr>
        <w:t>Gly</w:t>
      </w:r>
      <w:proofErr w:type="spellEnd"/>
      <w:r w:rsidRPr="00094579">
        <w:rPr>
          <w:lang w:val="en-GB"/>
        </w:rPr>
        <w:t xml:space="preserve"> to yield only </w:t>
      </w:r>
      <w:proofErr w:type="spellStart"/>
      <w:r w:rsidRPr="00094579">
        <w:rPr>
          <w:lang w:val="en-GB"/>
        </w:rPr>
        <w:t>Sk</w:t>
      </w:r>
      <w:proofErr w:type="spellEnd"/>
      <w:r w:rsidRPr="00094579">
        <w:rPr>
          <w:lang w:val="en-GB"/>
        </w:rPr>
        <w:t xml:space="preserve"> as a product. Figures 2, 3 and 4 represent the tie-lines according to the data shown in Table 1 at (303.2, 313.2, and 323.2) K, respectively. Together with the experimental data, the mentioned figures include the tie-lines and the binodal curve as predicted by the NRTL model.</w:t>
      </w:r>
    </w:p>
    <w:p w14:paraId="3668C03D" w14:textId="77777777" w:rsidR="00094579" w:rsidRDefault="00094579" w:rsidP="00094579">
      <w:pPr>
        <w:jc w:val="both"/>
        <w:rPr>
          <w:lang w:val="en-GB"/>
        </w:rPr>
      </w:pPr>
      <w:r w:rsidRPr="00094579">
        <w:rPr>
          <w:lang w:val="en-GB"/>
        </w:rPr>
        <w:t xml:space="preserve">Verification of the reliability of the experimental LLE results was made applying the Othmer−Tobias correlation, which is defined as follows: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702"/>
      </w:tblGrid>
      <w:tr w:rsidR="00094579" w14:paraId="4D0EDA16" w14:textId="77777777" w:rsidTr="0095493C">
        <w:tc>
          <w:tcPr>
            <w:tcW w:w="7792" w:type="dxa"/>
          </w:tcPr>
          <w:p w14:paraId="557E643F" w14:textId="4281C23B" w:rsidR="00094579" w:rsidRDefault="00094579" w:rsidP="0095493C">
            <w:pPr>
              <w:jc w:val="both"/>
              <w:rPr>
                <w:lang w:val="en-GB"/>
              </w:rPr>
            </w:pPr>
            <w:r w:rsidRPr="00094579">
              <w:rPr>
                <w:lang w:val="en-GB"/>
              </w:rPr>
              <w:drawing>
                <wp:inline distT="0" distB="0" distL="0" distR="0" wp14:anchorId="0705170C" wp14:editId="046AE4DD">
                  <wp:extent cx="2125980" cy="488400"/>
                  <wp:effectExtent l="0" t="0" r="7620" b="6985"/>
                  <wp:docPr id="1475271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27119" name=""/>
                          <pic:cNvPicPr/>
                        </pic:nvPicPr>
                        <pic:blipFill>
                          <a:blip r:embed="rId9"/>
                          <a:stretch>
                            <a:fillRect/>
                          </a:stretch>
                        </pic:blipFill>
                        <pic:spPr>
                          <a:xfrm>
                            <a:off x="0" y="0"/>
                            <a:ext cx="2141697" cy="492011"/>
                          </a:xfrm>
                          <a:prstGeom prst="rect">
                            <a:avLst/>
                          </a:prstGeom>
                        </pic:spPr>
                      </pic:pic>
                    </a:graphicData>
                  </a:graphic>
                </wp:inline>
              </w:drawing>
            </w:r>
          </w:p>
        </w:tc>
        <w:tc>
          <w:tcPr>
            <w:tcW w:w="702" w:type="dxa"/>
            <w:vAlign w:val="center"/>
          </w:tcPr>
          <w:p w14:paraId="6CD89D13" w14:textId="1A19BF56" w:rsidR="00094579" w:rsidRDefault="00094579" w:rsidP="0095493C">
            <w:pPr>
              <w:jc w:val="right"/>
              <w:rPr>
                <w:lang w:val="en-GB"/>
              </w:rPr>
            </w:pPr>
            <w:r>
              <w:rPr>
                <w:lang w:val="en-GB"/>
              </w:rPr>
              <w:t>(</w:t>
            </w:r>
            <w:r>
              <w:rPr>
                <w:lang w:val="en-GB"/>
              </w:rPr>
              <w:t>3</w:t>
            </w:r>
            <w:r>
              <w:rPr>
                <w:lang w:val="en-GB"/>
              </w:rPr>
              <w:t>)</w:t>
            </w:r>
          </w:p>
        </w:tc>
      </w:tr>
    </w:tbl>
    <w:p w14:paraId="76292C58" w14:textId="77777777" w:rsidR="00094579" w:rsidRDefault="00094579" w:rsidP="00094579">
      <w:pPr>
        <w:jc w:val="both"/>
      </w:pPr>
    </w:p>
    <w:p w14:paraId="3F2FB873" w14:textId="4433113D" w:rsidR="00094579" w:rsidRPr="00094579" w:rsidRDefault="00094579" w:rsidP="00094579">
      <w:pPr>
        <w:jc w:val="both"/>
        <w:rPr>
          <w:lang w:val="en-GB"/>
        </w:rPr>
      </w:pPr>
      <w:r w:rsidRPr="00094579">
        <w:rPr>
          <w:lang w:val="en-GB"/>
        </w:rPr>
        <w:t>in which w</w:t>
      </w:r>
      <w:proofErr w:type="spellStart"/>
      <w:r w:rsidRPr="00094579">
        <w:rPr>
          <w:vertAlign w:val="subscript"/>
          <w:lang w:val="en-GB"/>
        </w:rPr>
        <w:t>Gly</w:t>
      </w:r>
      <w:proofErr w:type="spellEnd"/>
      <w:r w:rsidRPr="00094579">
        <w:rPr>
          <w:lang w:val="en-GB"/>
        </w:rPr>
        <w:t xml:space="preserve"> is the mass fraction of </w:t>
      </w:r>
      <w:proofErr w:type="spellStart"/>
      <w:r w:rsidRPr="00094579">
        <w:rPr>
          <w:lang w:val="en-GB"/>
        </w:rPr>
        <w:t>Gly</w:t>
      </w:r>
      <w:proofErr w:type="spellEnd"/>
      <w:r w:rsidRPr="00094579">
        <w:rPr>
          <w:lang w:val="en-GB"/>
        </w:rPr>
        <w:t xml:space="preserve"> in the </w:t>
      </w:r>
      <w:proofErr w:type="spellStart"/>
      <w:r w:rsidRPr="00094579">
        <w:rPr>
          <w:lang w:val="en-GB"/>
        </w:rPr>
        <w:t>Gly</w:t>
      </w:r>
      <w:proofErr w:type="spellEnd"/>
      <w:r w:rsidRPr="00094579">
        <w:rPr>
          <w:lang w:val="en-GB"/>
        </w:rPr>
        <w:t xml:space="preserve">-rich phase (I); </w:t>
      </w:r>
      <w:proofErr w:type="spellStart"/>
      <w:r w:rsidRPr="00094579">
        <w:rPr>
          <w:lang w:val="en-GB"/>
        </w:rPr>
        <w:t>w</w:t>
      </w:r>
      <w:r w:rsidRPr="00094579">
        <w:rPr>
          <w:vertAlign w:val="subscript"/>
          <w:lang w:val="en-GB"/>
        </w:rPr>
        <w:t>Ac</w:t>
      </w:r>
      <w:proofErr w:type="spellEnd"/>
      <w:r w:rsidRPr="00094579">
        <w:rPr>
          <w:lang w:val="en-GB"/>
        </w:rPr>
        <w:t xml:space="preserve"> accounts for the mass fraction of Ac in the Ac-rich phase (II); and a and b are the fitting parameters of this linear correlation. Figure 5 is a plot of the correlation in </w:t>
      </w:r>
      <w:proofErr w:type="spellStart"/>
      <w:r w:rsidRPr="00094579">
        <w:rPr>
          <w:lang w:val="en-GB"/>
        </w:rPr>
        <w:t>eq</w:t>
      </w:r>
      <w:proofErr w:type="spellEnd"/>
      <w:r w:rsidRPr="00094579">
        <w:rPr>
          <w:lang w:val="en-GB"/>
        </w:rPr>
        <w:t xml:space="preserve"> 3 at the three temperatures tested for equilibrium, while Table 2 summarizes the values of a and b along with R</w:t>
      </w:r>
      <w:r w:rsidRPr="00094579">
        <w:rPr>
          <w:vertAlign w:val="superscript"/>
          <w:lang w:val="en-GB"/>
        </w:rPr>
        <w:t>2</w:t>
      </w:r>
      <w:r w:rsidRPr="00094579">
        <w:rPr>
          <w:lang w:val="en-GB"/>
        </w:rPr>
        <w:t xml:space="preserve"> values close to 1, proving the goodness of fit</w:t>
      </w:r>
    </w:p>
    <w:p w14:paraId="5D65FC08" w14:textId="7FFD2A17" w:rsidR="001534A1" w:rsidRPr="001534A1" w:rsidRDefault="001534A1" w:rsidP="00814548">
      <w:pPr>
        <w:jc w:val="both"/>
        <w:rPr>
          <w:b/>
          <w:bCs/>
          <w:lang w:val="en-GB"/>
        </w:rPr>
      </w:pPr>
      <w:r w:rsidRPr="001534A1">
        <w:rPr>
          <w:b/>
          <w:bCs/>
          <w:lang w:val="en-GB"/>
        </w:rPr>
        <w:t xml:space="preserve">3.2. </w:t>
      </w:r>
      <w:r w:rsidR="00094579" w:rsidRPr="00094579">
        <w:rPr>
          <w:b/>
          <w:bCs/>
          <w:lang w:val="en-GB"/>
        </w:rPr>
        <w:t xml:space="preserve">Influence of the Presence of </w:t>
      </w:r>
      <w:proofErr w:type="spellStart"/>
      <w:r w:rsidR="00094579" w:rsidRPr="00094579">
        <w:rPr>
          <w:b/>
          <w:bCs/>
          <w:lang w:val="en-GB"/>
        </w:rPr>
        <w:t>Solketal</w:t>
      </w:r>
      <w:proofErr w:type="spellEnd"/>
      <w:r w:rsidR="00094579" w:rsidRPr="00094579">
        <w:rPr>
          <w:b/>
          <w:bCs/>
          <w:lang w:val="en-GB"/>
        </w:rPr>
        <w:t xml:space="preserve"> and Temperature in the Miscibility of the Biphasic System</w:t>
      </w:r>
    </w:p>
    <w:p w14:paraId="29927DD1" w14:textId="77777777" w:rsidR="00094579" w:rsidRPr="00094579" w:rsidRDefault="00094579" w:rsidP="00094579">
      <w:pPr>
        <w:jc w:val="both"/>
        <w:rPr>
          <w:lang w:val="en-GB"/>
        </w:rPr>
      </w:pPr>
      <w:r w:rsidRPr="00094579">
        <w:rPr>
          <w:lang w:val="en-GB"/>
        </w:rPr>
        <w:t xml:space="preserve">It could be assessed that </w:t>
      </w:r>
      <w:proofErr w:type="spellStart"/>
      <w:r w:rsidRPr="00094579">
        <w:rPr>
          <w:lang w:val="en-GB"/>
        </w:rPr>
        <w:t>Sk</w:t>
      </w:r>
      <w:proofErr w:type="spellEnd"/>
      <w:r w:rsidRPr="00094579">
        <w:rPr>
          <w:lang w:val="en-GB"/>
        </w:rPr>
        <w:t xml:space="preserve"> was soluble both in the phase mainly consisting of </w:t>
      </w:r>
      <w:proofErr w:type="spellStart"/>
      <w:r w:rsidRPr="00094579">
        <w:rPr>
          <w:lang w:val="en-GB"/>
        </w:rPr>
        <w:t>Gly</w:t>
      </w:r>
      <w:proofErr w:type="spellEnd"/>
      <w:r w:rsidRPr="00094579">
        <w:rPr>
          <w:lang w:val="en-GB"/>
        </w:rPr>
        <w:t xml:space="preserve"> and that composed of Ac. The presence of increasing amounts of </w:t>
      </w:r>
      <w:proofErr w:type="spellStart"/>
      <w:r w:rsidRPr="00094579">
        <w:rPr>
          <w:lang w:val="en-GB"/>
        </w:rPr>
        <w:t>Sk</w:t>
      </w:r>
      <w:proofErr w:type="spellEnd"/>
      <w:r w:rsidRPr="00094579">
        <w:rPr>
          <w:lang w:val="en-GB"/>
        </w:rPr>
        <w:t xml:space="preserve"> helped the solubilization of one phase into the other, so it can be said that acts somehow as a cosolvent. Notwithstanding, the tendency of </w:t>
      </w:r>
      <w:proofErr w:type="spellStart"/>
      <w:r w:rsidRPr="00094579">
        <w:rPr>
          <w:lang w:val="en-GB"/>
        </w:rPr>
        <w:t>Sk</w:t>
      </w:r>
      <w:proofErr w:type="spellEnd"/>
      <w:r w:rsidRPr="00094579">
        <w:rPr>
          <w:lang w:val="en-GB"/>
        </w:rPr>
        <w:t xml:space="preserve"> to dissolve in each phase was not the same. As can be inferred from the data in Table 1 and Figure 6, </w:t>
      </w:r>
      <w:proofErr w:type="spellStart"/>
      <w:r w:rsidRPr="00094579">
        <w:rPr>
          <w:lang w:val="en-GB"/>
        </w:rPr>
        <w:t>Sk</w:t>
      </w:r>
      <w:proofErr w:type="spellEnd"/>
      <w:r w:rsidRPr="00094579">
        <w:rPr>
          <w:lang w:val="en-GB"/>
        </w:rPr>
        <w:t xml:space="preserve"> is more soluble in the Ac-rich phase (II) than in the </w:t>
      </w:r>
      <w:proofErr w:type="spellStart"/>
      <w:r w:rsidRPr="00094579">
        <w:rPr>
          <w:lang w:val="en-GB"/>
        </w:rPr>
        <w:t>Gly</w:t>
      </w:r>
      <w:proofErr w:type="spellEnd"/>
      <w:r w:rsidRPr="00094579">
        <w:rPr>
          <w:lang w:val="en-GB"/>
        </w:rPr>
        <w:t>-rich phase (I).</w:t>
      </w:r>
    </w:p>
    <w:p w14:paraId="6306C7F6" w14:textId="3589BB14" w:rsidR="00094579" w:rsidRPr="00094579" w:rsidRDefault="00094579" w:rsidP="00094579">
      <w:pPr>
        <w:jc w:val="both"/>
        <w:rPr>
          <w:lang w:val="en-GB"/>
        </w:rPr>
      </w:pPr>
      <w:r w:rsidRPr="00094579">
        <w:rPr>
          <w:lang w:val="en-GB"/>
        </w:rPr>
        <w:t xml:space="preserve">Similar situations have been observed in other systems aimed at the </w:t>
      </w:r>
      <w:proofErr w:type="spellStart"/>
      <w:r w:rsidRPr="00094579">
        <w:rPr>
          <w:lang w:val="en-GB"/>
        </w:rPr>
        <w:t>valorization</w:t>
      </w:r>
      <w:proofErr w:type="spellEnd"/>
      <w:r w:rsidRPr="00094579">
        <w:rPr>
          <w:lang w:val="en-GB"/>
        </w:rPr>
        <w:t xml:space="preserve"> of glycerol, in which the initial reactants are not fully miscible in each other and the growing presence of the products leads the system to turn monophasic. Examples of such </w:t>
      </w:r>
      <w:proofErr w:type="spellStart"/>
      <w:r w:rsidRPr="00094579">
        <w:rPr>
          <w:lang w:val="en-GB"/>
        </w:rPr>
        <w:t>behavior</w:t>
      </w:r>
      <w:proofErr w:type="spellEnd"/>
      <w:r w:rsidRPr="00094579">
        <w:rPr>
          <w:lang w:val="en-GB"/>
        </w:rPr>
        <w:t xml:space="preserve"> would be the synthesis of glycerol carbonate from glycerol and dimethyl carbonate or the esterification of rosin and glycerol.</w:t>
      </w:r>
      <w:r w:rsidR="00710590" w:rsidRPr="00710590">
        <w:rPr>
          <w:vertAlign w:val="superscript"/>
          <w:lang w:val="en-GB"/>
        </w:rPr>
        <w:t>20-22</w:t>
      </w:r>
    </w:p>
    <w:p w14:paraId="18ABFE89" w14:textId="77777777" w:rsidR="00094579" w:rsidRDefault="00094579" w:rsidP="00094579">
      <w:pPr>
        <w:jc w:val="both"/>
        <w:rPr>
          <w:lang w:val="en-GB"/>
        </w:rPr>
      </w:pPr>
      <w:r w:rsidRPr="00094579">
        <w:rPr>
          <w:lang w:val="en-GB"/>
        </w:rPr>
        <w:t xml:space="preserve">The effect of temperature was also evaluated. The representation in Figure 6 shows that this variable has a very slight effect on the distribution of </w:t>
      </w:r>
      <w:proofErr w:type="spellStart"/>
      <w:r w:rsidRPr="00094579">
        <w:rPr>
          <w:lang w:val="en-GB"/>
        </w:rPr>
        <w:t>Sk</w:t>
      </w:r>
      <w:proofErr w:type="spellEnd"/>
      <w:r w:rsidRPr="00094579">
        <w:rPr>
          <w:lang w:val="en-GB"/>
        </w:rPr>
        <w:t xml:space="preserve">: the lower is the </w:t>
      </w:r>
      <w:r w:rsidRPr="00094579">
        <w:rPr>
          <w:lang w:val="en-GB"/>
        </w:rPr>
        <w:lastRenderedPageBreak/>
        <w:t xml:space="preserve">temperature, the more </w:t>
      </w:r>
      <w:proofErr w:type="spellStart"/>
      <w:r w:rsidRPr="00094579">
        <w:rPr>
          <w:lang w:val="en-GB"/>
        </w:rPr>
        <w:t>Sk</w:t>
      </w:r>
      <w:proofErr w:type="spellEnd"/>
      <w:r w:rsidRPr="00094579">
        <w:rPr>
          <w:lang w:val="en-GB"/>
        </w:rPr>
        <w:t xml:space="preserve"> tends to remain in the Ac-rich phase. As temperature rises, the distribution tends to become a little more even between the two phases, though at 323.2 K it is still far from being equal. Additionally, from the ternary diagrams in Figures 2, 3 and 4, it can be remarked that the area below the binodal curve (i.e., the biphasic region) barely decreased as the temperature increased. Subsequently, temperature does not play a major role in the LLE of the system under study.</w:t>
      </w:r>
    </w:p>
    <w:p w14:paraId="37CACBB8" w14:textId="27EB18DB" w:rsidR="00820D5D" w:rsidRPr="001534A1" w:rsidRDefault="00820D5D" w:rsidP="00094579">
      <w:pPr>
        <w:jc w:val="both"/>
        <w:rPr>
          <w:b/>
          <w:bCs/>
          <w:lang w:val="en-GB"/>
        </w:rPr>
      </w:pPr>
      <w:r w:rsidRPr="001534A1">
        <w:rPr>
          <w:b/>
          <w:bCs/>
          <w:lang w:val="en-GB"/>
        </w:rPr>
        <w:t>3.</w:t>
      </w:r>
      <w:r>
        <w:rPr>
          <w:b/>
          <w:bCs/>
          <w:lang w:val="en-GB"/>
        </w:rPr>
        <w:t>3</w:t>
      </w:r>
      <w:r w:rsidRPr="001534A1">
        <w:rPr>
          <w:b/>
          <w:bCs/>
          <w:lang w:val="en-GB"/>
        </w:rPr>
        <w:t xml:space="preserve">. </w:t>
      </w:r>
      <w:r w:rsidR="00710590" w:rsidRPr="00710590">
        <w:rPr>
          <w:b/>
          <w:bCs/>
          <w:lang w:val="en-GB"/>
        </w:rPr>
        <w:t>Data Fitting to the NRTL Model and Retrieval of Binary Interaction Parameters</w:t>
      </w:r>
    </w:p>
    <w:p w14:paraId="0FE530F4" w14:textId="77777777" w:rsidR="00710590" w:rsidRPr="00710590" w:rsidRDefault="00710590" w:rsidP="00710590">
      <w:pPr>
        <w:jc w:val="both"/>
        <w:rPr>
          <w:lang w:val="en-GB"/>
        </w:rPr>
      </w:pPr>
      <w:r w:rsidRPr="00710590">
        <w:rPr>
          <w:lang w:val="en-GB"/>
        </w:rPr>
        <w:t xml:space="preserve">The NRTL was used to correlate the experimental data for the ternary system. Fitting of the model with three components leads to three </w:t>
      </w:r>
      <w:proofErr w:type="spellStart"/>
      <w:r w:rsidRPr="00710590">
        <w:rPr>
          <w:lang w:val="en-GB"/>
        </w:rPr>
        <w:t>nonrandom</w:t>
      </w:r>
      <w:proofErr w:type="spellEnd"/>
      <w:r w:rsidRPr="00710590">
        <w:rPr>
          <w:lang w:val="en-GB"/>
        </w:rPr>
        <w:t xml:space="preserve"> binary interaction parameters, α</w:t>
      </w:r>
      <w:proofErr w:type="spellStart"/>
      <w:r w:rsidRPr="00710590">
        <w:rPr>
          <w:vertAlign w:val="subscript"/>
          <w:lang w:val="en-GB"/>
        </w:rPr>
        <w:t>ij</w:t>
      </w:r>
      <w:proofErr w:type="spellEnd"/>
      <w:r w:rsidRPr="00710590">
        <w:rPr>
          <w:lang w:val="en-GB"/>
        </w:rPr>
        <w:t xml:space="preserve"> (α</w:t>
      </w:r>
      <w:proofErr w:type="spellStart"/>
      <w:r w:rsidRPr="00710590">
        <w:rPr>
          <w:vertAlign w:val="subscript"/>
          <w:lang w:val="en-GB"/>
        </w:rPr>
        <w:t>ij</w:t>
      </w:r>
      <w:proofErr w:type="spellEnd"/>
      <w:r w:rsidRPr="00710590">
        <w:rPr>
          <w:vertAlign w:val="subscript"/>
          <w:lang w:val="en-GB"/>
        </w:rPr>
        <w:t xml:space="preserve"> </w:t>
      </w:r>
      <w:r w:rsidRPr="00710590">
        <w:rPr>
          <w:lang w:val="en-GB"/>
        </w:rPr>
        <w:t>= α</w:t>
      </w:r>
      <w:r w:rsidRPr="00710590">
        <w:rPr>
          <w:vertAlign w:val="subscript"/>
          <w:lang w:val="en-GB"/>
        </w:rPr>
        <w:t>ji</w:t>
      </w:r>
      <w:r w:rsidRPr="00710590">
        <w:rPr>
          <w:lang w:val="en-GB"/>
        </w:rPr>
        <w:t xml:space="preserve">), and six binary interaction parameters, </w:t>
      </w:r>
      <w:proofErr w:type="spellStart"/>
      <w:r w:rsidRPr="00710590">
        <w:rPr>
          <w:lang w:val="en-GB"/>
        </w:rPr>
        <w:t>Δg</w:t>
      </w:r>
      <w:r w:rsidRPr="00710590">
        <w:rPr>
          <w:vertAlign w:val="subscript"/>
          <w:lang w:val="en-GB"/>
        </w:rPr>
        <w:t>ij</w:t>
      </w:r>
      <w:proofErr w:type="spellEnd"/>
      <w:r w:rsidRPr="00710590">
        <w:rPr>
          <w:lang w:val="en-GB"/>
        </w:rPr>
        <w:t xml:space="preserve"> and </w:t>
      </w:r>
      <w:proofErr w:type="spellStart"/>
      <w:r w:rsidRPr="00710590">
        <w:rPr>
          <w:lang w:val="en-GB"/>
        </w:rPr>
        <w:t>Δg</w:t>
      </w:r>
      <w:r w:rsidRPr="00710590">
        <w:rPr>
          <w:vertAlign w:val="subscript"/>
          <w:lang w:val="en-GB"/>
        </w:rPr>
        <w:t>ji</w:t>
      </w:r>
      <w:proofErr w:type="spellEnd"/>
      <w:r w:rsidRPr="00710590">
        <w:rPr>
          <w:lang w:val="en-GB"/>
        </w:rPr>
        <w:t>.</w:t>
      </w:r>
    </w:p>
    <w:p w14:paraId="150BA434" w14:textId="73FA0C82" w:rsidR="00710590" w:rsidRPr="00710590" w:rsidRDefault="00710590" w:rsidP="00710590">
      <w:pPr>
        <w:jc w:val="both"/>
        <w:rPr>
          <w:lang w:val="en-GB"/>
        </w:rPr>
      </w:pPr>
      <w:r w:rsidRPr="00710590">
        <w:rPr>
          <w:lang w:val="en-GB"/>
        </w:rPr>
        <w:t>Optimization of the α</w:t>
      </w:r>
      <w:proofErr w:type="spellStart"/>
      <w:r w:rsidRPr="00710590">
        <w:rPr>
          <w:lang w:val="en-GB"/>
        </w:rPr>
        <w:t>ij</w:t>
      </w:r>
      <w:proofErr w:type="spellEnd"/>
      <w:r w:rsidRPr="00710590">
        <w:rPr>
          <w:lang w:val="en-GB"/>
        </w:rPr>
        <w:t xml:space="preserve"> was made by giving fixed data at 303.2 K. For this purpose, first the three </w:t>
      </w:r>
      <w:proofErr w:type="spellStart"/>
      <w:r w:rsidRPr="00710590">
        <w:rPr>
          <w:lang w:val="en-GB"/>
        </w:rPr>
        <w:t>nonrandom</w:t>
      </w:r>
      <w:proofErr w:type="spellEnd"/>
      <w:r w:rsidRPr="00710590">
        <w:rPr>
          <w:lang w:val="en-GB"/>
        </w:rPr>
        <w:t xml:space="preserve"> binary interaction parameters were fixed at 0.2 and 0.3. These values are the rule of thumb proposed in literature for nonpolar substances or nonpolar with polar </w:t>
      </w:r>
      <w:proofErr w:type="spellStart"/>
      <w:r w:rsidRPr="00710590">
        <w:rPr>
          <w:lang w:val="en-GB"/>
        </w:rPr>
        <w:t>nonassociated</w:t>
      </w:r>
      <w:proofErr w:type="spellEnd"/>
      <w:r w:rsidRPr="00710590">
        <w:rPr>
          <w:lang w:val="en-GB"/>
        </w:rPr>
        <w:t xml:space="preserve"> liquids and saturated hydrocarbons with polar </w:t>
      </w:r>
      <w:proofErr w:type="spellStart"/>
      <w:r w:rsidRPr="00710590">
        <w:rPr>
          <w:lang w:val="en-GB"/>
        </w:rPr>
        <w:t>nonassociated</w:t>
      </w:r>
      <w:proofErr w:type="spellEnd"/>
      <w:r w:rsidRPr="00710590">
        <w:rPr>
          <w:lang w:val="en-GB"/>
        </w:rPr>
        <w:t xml:space="preserve"> liquids and systems that exhibit liquid−liquid immiscibility.</w:t>
      </w:r>
      <w:r w:rsidRPr="00710590">
        <w:rPr>
          <w:vertAlign w:val="superscript"/>
          <w:lang w:val="en-GB"/>
        </w:rPr>
        <w:t>23</w:t>
      </w:r>
      <w:r w:rsidRPr="00710590">
        <w:rPr>
          <w:vertAlign w:val="superscript"/>
          <w:lang w:val="en-GB"/>
        </w:rPr>
        <w:t xml:space="preserve"> </w:t>
      </w:r>
      <w:r w:rsidRPr="00710590">
        <w:rPr>
          <w:lang w:val="en-GB"/>
        </w:rPr>
        <w:t xml:space="preserve">Table 3 shows the goodness of fit, described by the root of the mean squares deviation or </w:t>
      </w:r>
      <w:proofErr w:type="spellStart"/>
      <w:r w:rsidRPr="00710590">
        <w:rPr>
          <w:lang w:val="en-GB"/>
        </w:rPr>
        <w:t>rmsd</w:t>
      </w:r>
      <w:proofErr w:type="spellEnd"/>
      <w:r w:rsidRPr="00710590">
        <w:rPr>
          <w:lang w:val="en-GB"/>
        </w:rPr>
        <w:t>, both after fitting the data with the eight possible combinations, fixing the α</w:t>
      </w:r>
      <w:proofErr w:type="spellStart"/>
      <w:r w:rsidRPr="00710590">
        <w:rPr>
          <w:lang w:val="en-GB"/>
        </w:rPr>
        <w:t>ij</w:t>
      </w:r>
      <w:proofErr w:type="spellEnd"/>
      <w:r w:rsidRPr="00710590">
        <w:rPr>
          <w:lang w:val="en-GB"/>
        </w:rPr>
        <w:t xml:space="preserve"> parameters, and leaving the mentioned parameters floating. When these parameters were floating, it was observed that the retrieved values were α</w:t>
      </w:r>
      <w:r w:rsidRPr="00710590">
        <w:rPr>
          <w:vertAlign w:val="subscript"/>
          <w:lang w:val="en-GB"/>
        </w:rPr>
        <w:t>12</w:t>
      </w:r>
      <w:r w:rsidRPr="00710590">
        <w:rPr>
          <w:lang w:val="en-GB"/>
        </w:rPr>
        <w:t xml:space="preserve"> = 0.18, α</w:t>
      </w:r>
      <w:r w:rsidRPr="00710590">
        <w:rPr>
          <w:vertAlign w:val="subscript"/>
          <w:lang w:val="en-GB"/>
        </w:rPr>
        <w:t>13</w:t>
      </w:r>
      <w:r w:rsidRPr="00710590">
        <w:rPr>
          <w:lang w:val="en-GB"/>
        </w:rPr>
        <w:t xml:space="preserve"> = 0.29, and α</w:t>
      </w:r>
      <w:r w:rsidRPr="00710590">
        <w:rPr>
          <w:vertAlign w:val="subscript"/>
          <w:lang w:val="en-GB"/>
        </w:rPr>
        <w:t>23</w:t>
      </w:r>
      <w:r w:rsidRPr="00710590">
        <w:rPr>
          <w:lang w:val="en-GB"/>
        </w:rPr>
        <w:t xml:space="preserve"> = 0.19, which are very similar to the rule of thumb mentioned above. Moreover, the </w:t>
      </w:r>
      <w:proofErr w:type="spellStart"/>
      <w:r w:rsidRPr="00710590">
        <w:rPr>
          <w:lang w:val="en-GB"/>
        </w:rPr>
        <w:t>rmsd</w:t>
      </w:r>
      <w:proofErr w:type="spellEnd"/>
      <w:r w:rsidRPr="00710590">
        <w:rPr>
          <w:lang w:val="en-GB"/>
        </w:rPr>
        <w:t xml:space="preserve"> value was virtually the same as that obtained when fixing the values at α</w:t>
      </w:r>
      <w:r w:rsidRPr="00710590">
        <w:rPr>
          <w:vertAlign w:val="subscript"/>
          <w:lang w:val="en-GB"/>
        </w:rPr>
        <w:t>12</w:t>
      </w:r>
      <w:r w:rsidRPr="00710590">
        <w:rPr>
          <w:lang w:val="en-GB"/>
        </w:rPr>
        <w:t xml:space="preserve"> = 0.2, α</w:t>
      </w:r>
      <w:r w:rsidRPr="00710590">
        <w:rPr>
          <w:vertAlign w:val="subscript"/>
          <w:lang w:val="en-GB"/>
        </w:rPr>
        <w:t>13</w:t>
      </w:r>
      <w:r w:rsidRPr="00710590">
        <w:rPr>
          <w:lang w:val="en-GB"/>
        </w:rPr>
        <w:t xml:space="preserve"> = 0.3 and α</w:t>
      </w:r>
      <w:r w:rsidRPr="00710590">
        <w:rPr>
          <w:vertAlign w:val="subscript"/>
          <w:lang w:val="en-GB"/>
        </w:rPr>
        <w:t>23</w:t>
      </w:r>
      <w:r w:rsidRPr="00710590">
        <w:rPr>
          <w:lang w:val="en-GB"/>
        </w:rPr>
        <w:t xml:space="preserve"> = 0.2. Thus, the latter set of values for these parameters was used for subsequent correlations.</w:t>
      </w:r>
    </w:p>
    <w:p w14:paraId="0F5DD485" w14:textId="28AA1679" w:rsidR="00710590" w:rsidRDefault="00710590" w:rsidP="00710590">
      <w:pPr>
        <w:jc w:val="both"/>
        <w:rPr>
          <w:lang w:val="en-GB"/>
        </w:rPr>
      </w:pPr>
      <w:r w:rsidRPr="00710590">
        <w:rPr>
          <w:lang w:val="en-GB"/>
        </w:rPr>
        <w:t xml:space="preserve">Finally, Table 4 compiles the values calculated for the binary interaction parameters at the temperatures tested together with the </w:t>
      </w:r>
      <w:proofErr w:type="spellStart"/>
      <w:r w:rsidRPr="00710590">
        <w:rPr>
          <w:lang w:val="en-GB"/>
        </w:rPr>
        <w:t>rmsd</w:t>
      </w:r>
      <w:proofErr w:type="spellEnd"/>
      <w:r w:rsidRPr="00710590">
        <w:rPr>
          <w:lang w:val="en-GB"/>
        </w:rPr>
        <w:t xml:space="preserve"> values computed from the NRTL model. The low values of such deviations confirm that the NRTL model can describe the </w:t>
      </w:r>
      <w:proofErr w:type="spellStart"/>
      <w:r w:rsidRPr="00710590">
        <w:rPr>
          <w:lang w:val="en-GB"/>
        </w:rPr>
        <w:t>behavior</w:t>
      </w:r>
      <w:proofErr w:type="spellEnd"/>
      <w:r w:rsidRPr="00710590">
        <w:rPr>
          <w:lang w:val="en-GB"/>
        </w:rPr>
        <w:t xml:space="preserve"> observed for this LLE appropriately.</w:t>
      </w:r>
    </w:p>
    <w:p w14:paraId="568153C5" w14:textId="77777777" w:rsidR="00814548" w:rsidRPr="00814548" w:rsidRDefault="00814548" w:rsidP="00814548">
      <w:pPr>
        <w:jc w:val="both"/>
        <w:rPr>
          <w:b/>
          <w:bCs/>
          <w:lang w:val="en-GB"/>
        </w:rPr>
      </w:pPr>
      <w:r w:rsidRPr="00814548">
        <w:rPr>
          <w:b/>
          <w:bCs/>
          <w:lang w:val="en-GB"/>
        </w:rPr>
        <w:t>4. Conclusions</w:t>
      </w:r>
    </w:p>
    <w:p w14:paraId="2914E9CB" w14:textId="77777777" w:rsidR="003C5665" w:rsidRPr="003C5665" w:rsidRDefault="003C5665" w:rsidP="003C5665">
      <w:pPr>
        <w:jc w:val="both"/>
        <w:rPr>
          <w:lang w:val="en-GB"/>
        </w:rPr>
      </w:pPr>
      <w:r w:rsidRPr="003C5665">
        <w:rPr>
          <w:lang w:val="en-GB"/>
        </w:rPr>
        <w:t xml:space="preserve">The LLE of ternary system formed by {Ac + </w:t>
      </w:r>
      <w:proofErr w:type="spellStart"/>
      <w:r w:rsidRPr="003C5665">
        <w:rPr>
          <w:lang w:val="en-GB"/>
        </w:rPr>
        <w:t>Sk</w:t>
      </w:r>
      <w:proofErr w:type="spellEnd"/>
      <w:r w:rsidRPr="003C5665">
        <w:rPr>
          <w:lang w:val="en-GB"/>
        </w:rPr>
        <w:t xml:space="preserve"> + </w:t>
      </w:r>
      <w:proofErr w:type="spellStart"/>
      <w:r w:rsidRPr="003C5665">
        <w:rPr>
          <w:lang w:val="en-GB"/>
        </w:rPr>
        <w:t>Gly</w:t>
      </w:r>
      <w:proofErr w:type="spellEnd"/>
      <w:r w:rsidRPr="003C5665">
        <w:rPr>
          <w:lang w:val="en-GB"/>
        </w:rPr>
        <w:t xml:space="preserve">} was assessed at (303.2, 313.2, and 323.2) K given its importance in a process to </w:t>
      </w:r>
      <w:proofErr w:type="spellStart"/>
      <w:r w:rsidRPr="003C5665">
        <w:rPr>
          <w:lang w:val="en-GB"/>
        </w:rPr>
        <w:t>valorize</w:t>
      </w:r>
      <w:proofErr w:type="spellEnd"/>
      <w:r w:rsidRPr="003C5665">
        <w:rPr>
          <w:lang w:val="en-GB"/>
        </w:rPr>
        <w:t xml:space="preserve"> glycerol. It could be seen that </w:t>
      </w:r>
      <w:proofErr w:type="spellStart"/>
      <w:r w:rsidRPr="003C5665">
        <w:rPr>
          <w:lang w:val="en-GB"/>
        </w:rPr>
        <w:t>Sk</w:t>
      </w:r>
      <w:proofErr w:type="spellEnd"/>
      <w:r w:rsidRPr="003C5665">
        <w:rPr>
          <w:lang w:val="en-GB"/>
        </w:rPr>
        <w:t xml:space="preserve"> plays a role as a solubilizing agent for Ac and </w:t>
      </w:r>
      <w:proofErr w:type="spellStart"/>
      <w:r w:rsidRPr="003C5665">
        <w:rPr>
          <w:lang w:val="en-GB"/>
        </w:rPr>
        <w:t>Gly</w:t>
      </w:r>
      <w:proofErr w:type="spellEnd"/>
      <w:r w:rsidRPr="003C5665">
        <w:rPr>
          <w:lang w:val="en-GB"/>
        </w:rPr>
        <w:t xml:space="preserve">, being a little more prone to dissolve in the Ac-rich phase rather than in the </w:t>
      </w:r>
      <w:proofErr w:type="spellStart"/>
      <w:r w:rsidRPr="003C5665">
        <w:rPr>
          <w:lang w:val="en-GB"/>
        </w:rPr>
        <w:t>Gly</w:t>
      </w:r>
      <w:proofErr w:type="spellEnd"/>
      <w:r w:rsidRPr="003C5665">
        <w:rPr>
          <w:lang w:val="en-GB"/>
        </w:rPr>
        <w:t xml:space="preserve">-rich. Within the temperature range studied, the effect of temperature was limited concerning the distribution of </w:t>
      </w:r>
      <w:proofErr w:type="spellStart"/>
      <w:r w:rsidRPr="003C5665">
        <w:rPr>
          <w:lang w:val="en-GB"/>
        </w:rPr>
        <w:t>Sk</w:t>
      </w:r>
      <w:proofErr w:type="spellEnd"/>
      <w:r w:rsidRPr="003C5665">
        <w:rPr>
          <w:lang w:val="en-GB"/>
        </w:rPr>
        <w:t xml:space="preserve"> in each of the phases as well as the global solubilization of both phases.</w:t>
      </w:r>
    </w:p>
    <w:p w14:paraId="5494BBFF" w14:textId="6081EF21" w:rsidR="008A1146" w:rsidRPr="008A1146" w:rsidRDefault="003C5665" w:rsidP="003C5665">
      <w:pPr>
        <w:jc w:val="both"/>
        <w:rPr>
          <w:lang w:val="en-GB"/>
        </w:rPr>
      </w:pPr>
      <w:r w:rsidRPr="003C5665">
        <w:rPr>
          <w:lang w:val="en-GB"/>
        </w:rPr>
        <w:lastRenderedPageBreak/>
        <w:t>The LLE experimental data obtained throughout this work fit satisfactorily to the NRTL model. After correlation of the data, sets of binary interaction parameters were retrieved at each temperature.</w:t>
      </w:r>
    </w:p>
    <w:p w14:paraId="21F1817B" w14:textId="77777777" w:rsidR="00814548" w:rsidRPr="00814548" w:rsidRDefault="00814548" w:rsidP="00814548">
      <w:pPr>
        <w:jc w:val="both"/>
        <w:rPr>
          <w:b/>
          <w:bCs/>
          <w:lang w:val="en-GB"/>
        </w:rPr>
      </w:pPr>
      <w:r w:rsidRPr="00814548">
        <w:rPr>
          <w:b/>
          <w:bCs/>
          <w:lang w:val="en-GB"/>
        </w:rPr>
        <w:t>Acknowledgments</w:t>
      </w:r>
    </w:p>
    <w:p w14:paraId="6F1FC65F" w14:textId="03EA8742" w:rsidR="00AD66AC" w:rsidRDefault="003C5665" w:rsidP="003C5665">
      <w:pPr>
        <w:jc w:val="both"/>
        <w:rPr>
          <w:lang w:val="en-GB"/>
        </w:rPr>
      </w:pPr>
      <w:r w:rsidRPr="003C5665">
        <w:rPr>
          <w:lang w:val="en-GB"/>
        </w:rPr>
        <w:t>This work is a collaboration thanks to the financial support of</w:t>
      </w:r>
      <w:r>
        <w:rPr>
          <w:lang w:val="en-GB"/>
        </w:rPr>
        <w:t xml:space="preserve"> </w:t>
      </w:r>
      <w:r w:rsidRPr="003C5665">
        <w:rPr>
          <w:lang w:val="en-GB"/>
        </w:rPr>
        <w:t>the German Academic Exchange Service (DAAD), which made</w:t>
      </w:r>
      <w:r>
        <w:rPr>
          <w:lang w:val="en-GB"/>
        </w:rPr>
        <w:t xml:space="preserve"> </w:t>
      </w:r>
      <w:r w:rsidRPr="003C5665">
        <w:rPr>
          <w:lang w:val="en-GB"/>
        </w:rPr>
        <w:t>possible Mr. Esteban’s research stay at the Chair of Technical</w:t>
      </w:r>
      <w:r>
        <w:rPr>
          <w:lang w:val="en-GB"/>
        </w:rPr>
        <w:t xml:space="preserve"> </w:t>
      </w:r>
      <w:r w:rsidRPr="003C5665">
        <w:rPr>
          <w:lang w:val="en-GB"/>
        </w:rPr>
        <w:t>Chemistry at the Technical University of Dortmund</w:t>
      </w:r>
      <w:r w:rsidR="001728C4" w:rsidRPr="001728C4">
        <w:rPr>
          <w:lang w:val="en-GB"/>
        </w:rPr>
        <w:t>.</w:t>
      </w:r>
    </w:p>
    <w:p w14:paraId="6B04C39B" w14:textId="4889AACB" w:rsidR="00AD66AC" w:rsidRPr="00AD66AC" w:rsidRDefault="00AD66AC" w:rsidP="00814548">
      <w:pPr>
        <w:jc w:val="both"/>
        <w:rPr>
          <w:b/>
          <w:bCs/>
          <w:lang w:val="en-GB"/>
        </w:rPr>
      </w:pPr>
      <w:r w:rsidRPr="00AD66AC">
        <w:rPr>
          <w:b/>
          <w:bCs/>
          <w:lang w:val="en-GB"/>
        </w:rPr>
        <w:t>References</w:t>
      </w:r>
    </w:p>
    <w:p w14:paraId="5E8B50BC" w14:textId="77777777" w:rsidR="003C5665" w:rsidRPr="003C5665" w:rsidRDefault="003C5665" w:rsidP="003C5665">
      <w:pPr>
        <w:jc w:val="both"/>
        <w:rPr>
          <w:lang w:val="en-GB"/>
        </w:rPr>
      </w:pPr>
      <w:r w:rsidRPr="003C5665">
        <w:rPr>
          <w:lang w:val="en-GB"/>
        </w:rPr>
        <w:t>(1) Pagliaro, M.; Rossi, M. The Future of Glycerol. New Uses for a Versatile New Material.; RSC Publishing: Cambridge, 2008.</w:t>
      </w:r>
    </w:p>
    <w:p w14:paraId="1358C1CA" w14:textId="77777777" w:rsidR="003C5665" w:rsidRPr="003C5665" w:rsidRDefault="003C5665" w:rsidP="003C5665">
      <w:pPr>
        <w:jc w:val="both"/>
        <w:rPr>
          <w:lang w:val="en-GB"/>
        </w:rPr>
      </w:pPr>
      <w:r w:rsidRPr="003C5665">
        <w:rPr>
          <w:lang w:val="en-GB"/>
        </w:rPr>
        <w:t xml:space="preserve">(2) Behr, A.; </w:t>
      </w:r>
      <w:proofErr w:type="spellStart"/>
      <w:r w:rsidRPr="003C5665">
        <w:rPr>
          <w:lang w:val="en-GB"/>
        </w:rPr>
        <w:t>Eilting</w:t>
      </w:r>
      <w:proofErr w:type="spellEnd"/>
      <w:r w:rsidRPr="003C5665">
        <w:rPr>
          <w:lang w:val="en-GB"/>
        </w:rPr>
        <w:t xml:space="preserve">, J.; </w:t>
      </w:r>
      <w:proofErr w:type="spellStart"/>
      <w:r w:rsidRPr="003C5665">
        <w:rPr>
          <w:lang w:val="en-GB"/>
        </w:rPr>
        <w:t>Irawadi</w:t>
      </w:r>
      <w:proofErr w:type="spellEnd"/>
      <w:r w:rsidRPr="003C5665">
        <w:rPr>
          <w:lang w:val="en-GB"/>
        </w:rPr>
        <w:t>, K.; Leschinski, J.; Lindner, F. Improved utilisation of renewable resources: New important derivatives of glycerol. Green Chem. 2008, 10, 13−30.</w:t>
      </w:r>
    </w:p>
    <w:p w14:paraId="00DF63B0" w14:textId="77777777" w:rsidR="003C5665" w:rsidRPr="003C5665" w:rsidRDefault="003C5665" w:rsidP="003C5665">
      <w:pPr>
        <w:jc w:val="both"/>
        <w:rPr>
          <w:lang w:val="en-GB"/>
        </w:rPr>
      </w:pPr>
      <w:r w:rsidRPr="003C5665">
        <w:rPr>
          <w:lang w:val="en-GB"/>
        </w:rPr>
        <w:t xml:space="preserve">(3) Zhou, C.; Beltramini, J.; Fan, Y.; Lu, G. </w:t>
      </w:r>
      <w:proofErr w:type="spellStart"/>
      <w:r w:rsidRPr="003C5665">
        <w:rPr>
          <w:lang w:val="en-GB"/>
        </w:rPr>
        <w:t>Chemoselective</w:t>
      </w:r>
      <w:proofErr w:type="spellEnd"/>
      <w:r w:rsidRPr="003C5665">
        <w:rPr>
          <w:lang w:val="en-GB"/>
        </w:rPr>
        <w:t xml:space="preserve"> catalytic conversion of glycerol as a </w:t>
      </w:r>
      <w:proofErr w:type="spellStart"/>
      <w:r w:rsidRPr="003C5665">
        <w:rPr>
          <w:lang w:val="en-GB"/>
        </w:rPr>
        <w:t>biorenewable</w:t>
      </w:r>
      <w:proofErr w:type="spellEnd"/>
      <w:r w:rsidRPr="003C5665">
        <w:rPr>
          <w:lang w:val="en-GB"/>
        </w:rPr>
        <w:t xml:space="preserve"> source to valuable commodity chemicals. Chem. Soc. Rev. 2008, 37, 527−549.</w:t>
      </w:r>
    </w:p>
    <w:p w14:paraId="081DD7E0" w14:textId="77777777" w:rsidR="003C5665" w:rsidRPr="003C5665" w:rsidRDefault="003C5665" w:rsidP="003C5665">
      <w:pPr>
        <w:jc w:val="both"/>
        <w:rPr>
          <w:lang w:val="en-GB"/>
        </w:rPr>
      </w:pPr>
      <w:r w:rsidRPr="003C5665">
        <w:rPr>
          <w:lang w:val="en-GB"/>
        </w:rPr>
        <w:t>(4) Merck Index, 11th ed.; Merck &amp; Co. Inc.: Rahway, NJ, 1989.</w:t>
      </w:r>
    </w:p>
    <w:p w14:paraId="02C39612" w14:textId="77777777" w:rsidR="003C5665" w:rsidRPr="003C5665" w:rsidRDefault="003C5665" w:rsidP="003C5665">
      <w:pPr>
        <w:jc w:val="both"/>
        <w:rPr>
          <w:lang w:val="en-GB"/>
        </w:rPr>
      </w:pPr>
      <w:r w:rsidRPr="003C5665">
        <w:rPr>
          <w:lang w:val="en-GB"/>
        </w:rPr>
        <w:t xml:space="preserve">(5) Garcia, E.; Laca, M.; Perez, E.; Garrido, A.; Peinado, J. New Class of Acetal Derived from </w:t>
      </w:r>
      <w:proofErr w:type="spellStart"/>
      <w:r w:rsidRPr="003C5665">
        <w:rPr>
          <w:lang w:val="en-GB"/>
        </w:rPr>
        <w:t>Glycerin</w:t>
      </w:r>
      <w:proofErr w:type="spellEnd"/>
      <w:r w:rsidRPr="003C5665">
        <w:rPr>
          <w:lang w:val="en-GB"/>
        </w:rPr>
        <w:t xml:space="preserve"> as a Biodiesel Fuel Component. Energy Fuels 2008, 22, 4274−4280.</w:t>
      </w:r>
    </w:p>
    <w:p w14:paraId="450B228F" w14:textId="77777777" w:rsidR="003C5665" w:rsidRPr="003C5665" w:rsidRDefault="003C5665" w:rsidP="003C5665">
      <w:pPr>
        <w:jc w:val="both"/>
        <w:rPr>
          <w:lang w:val="en-GB"/>
        </w:rPr>
      </w:pPr>
      <w:r w:rsidRPr="003C5665">
        <w:rPr>
          <w:lang w:val="en-GB"/>
        </w:rPr>
        <w:t xml:space="preserve">(6) Mota, C. J. A.; da Silva, C. X. A.; Rosenbach, N., Jr.; Costa, J.; da Silva, F. </w:t>
      </w:r>
      <w:proofErr w:type="spellStart"/>
      <w:r w:rsidRPr="003C5665">
        <w:rPr>
          <w:lang w:val="en-GB"/>
        </w:rPr>
        <w:t>Glycerin</w:t>
      </w:r>
      <w:proofErr w:type="spellEnd"/>
      <w:r w:rsidRPr="003C5665">
        <w:rPr>
          <w:lang w:val="en-GB"/>
        </w:rPr>
        <w:t xml:space="preserve"> derivatives as fuel additives: The addition of glycerol/acetone ketal (</w:t>
      </w:r>
      <w:proofErr w:type="spellStart"/>
      <w:r w:rsidRPr="003C5665">
        <w:rPr>
          <w:lang w:val="en-GB"/>
        </w:rPr>
        <w:t>solketal</w:t>
      </w:r>
      <w:proofErr w:type="spellEnd"/>
      <w:r w:rsidRPr="003C5665">
        <w:rPr>
          <w:lang w:val="en-GB"/>
        </w:rPr>
        <w:t>) in gasolines. Energy Fuels 2010, 24, 2733−2736.</w:t>
      </w:r>
    </w:p>
    <w:p w14:paraId="6F0CAE63" w14:textId="77777777" w:rsidR="003C5665" w:rsidRPr="003C5665" w:rsidRDefault="003C5665" w:rsidP="003C5665">
      <w:pPr>
        <w:jc w:val="both"/>
        <w:rPr>
          <w:lang w:val="en-GB"/>
        </w:rPr>
      </w:pPr>
      <w:r w:rsidRPr="003C5665">
        <w:rPr>
          <w:lang w:val="en-GB"/>
        </w:rPr>
        <w:t xml:space="preserve">(7) Selva, M.; Benedet, V.; Fabris, M. Selective catalytic etherification of glycerol formal and </w:t>
      </w:r>
      <w:proofErr w:type="spellStart"/>
      <w:r w:rsidRPr="003C5665">
        <w:rPr>
          <w:lang w:val="en-GB"/>
        </w:rPr>
        <w:t>solketal</w:t>
      </w:r>
      <w:proofErr w:type="spellEnd"/>
      <w:r w:rsidRPr="003C5665">
        <w:rPr>
          <w:lang w:val="en-GB"/>
        </w:rPr>
        <w:t xml:space="preserve"> with </w:t>
      </w:r>
      <w:proofErr w:type="spellStart"/>
      <w:r w:rsidRPr="003C5665">
        <w:rPr>
          <w:lang w:val="en-GB"/>
        </w:rPr>
        <w:t>dialkyl</w:t>
      </w:r>
      <w:proofErr w:type="spellEnd"/>
      <w:r w:rsidRPr="003C5665">
        <w:rPr>
          <w:lang w:val="en-GB"/>
        </w:rPr>
        <w:t xml:space="preserve"> carbonates and K2CO3. Green Chem. 2012, 14, 188−200.</w:t>
      </w:r>
    </w:p>
    <w:p w14:paraId="2B2A040F" w14:textId="77777777" w:rsidR="003C5665" w:rsidRPr="003C5665" w:rsidRDefault="003C5665" w:rsidP="003C5665">
      <w:pPr>
        <w:jc w:val="both"/>
        <w:rPr>
          <w:lang w:val="en-GB"/>
        </w:rPr>
      </w:pPr>
      <w:r w:rsidRPr="003C5665">
        <w:rPr>
          <w:lang w:val="en-GB"/>
        </w:rPr>
        <w:t xml:space="preserve">(8) </w:t>
      </w:r>
      <w:proofErr w:type="spellStart"/>
      <w:r w:rsidRPr="003C5665">
        <w:rPr>
          <w:lang w:val="en-GB"/>
        </w:rPr>
        <w:t>Suriyaprapadilok</w:t>
      </w:r>
      <w:proofErr w:type="spellEnd"/>
      <w:r w:rsidRPr="003C5665">
        <w:rPr>
          <w:lang w:val="en-GB"/>
        </w:rPr>
        <w:t xml:space="preserve">, N.; </w:t>
      </w:r>
      <w:proofErr w:type="spellStart"/>
      <w:r w:rsidRPr="003C5665">
        <w:rPr>
          <w:lang w:val="en-GB"/>
        </w:rPr>
        <w:t>Kitiyanan</w:t>
      </w:r>
      <w:proofErr w:type="spellEnd"/>
      <w:r w:rsidRPr="003C5665">
        <w:rPr>
          <w:lang w:val="en-GB"/>
        </w:rPr>
        <w:t xml:space="preserve">, B. Synthesis of </w:t>
      </w:r>
      <w:proofErr w:type="spellStart"/>
      <w:r w:rsidRPr="003C5665">
        <w:rPr>
          <w:lang w:val="en-GB"/>
        </w:rPr>
        <w:t>solketal</w:t>
      </w:r>
      <w:proofErr w:type="spellEnd"/>
      <w:r w:rsidRPr="003C5665">
        <w:rPr>
          <w:lang w:val="en-GB"/>
        </w:rPr>
        <w:t xml:space="preserve"> from glycerol and its reaction with benzyl alcohol. Energy Procedia 2011, 9, 63−69.</w:t>
      </w:r>
    </w:p>
    <w:p w14:paraId="7432E187" w14:textId="77777777" w:rsidR="003C5665" w:rsidRPr="003C5665" w:rsidRDefault="003C5665" w:rsidP="003C5665">
      <w:pPr>
        <w:jc w:val="both"/>
        <w:rPr>
          <w:lang w:val="en-GB"/>
        </w:rPr>
      </w:pPr>
      <w:r w:rsidRPr="003C5665">
        <w:rPr>
          <w:lang w:val="en-GB"/>
        </w:rPr>
        <w:t>(9) Hof, R. P.; Kellogg, R. M. Synthesis and lipase-</w:t>
      </w:r>
      <w:proofErr w:type="spellStart"/>
      <w:r w:rsidRPr="003C5665">
        <w:rPr>
          <w:lang w:val="en-GB"/>
        </w:rPr>
        <w:t>catalyzed</w:t>
      </w:r>
      <w:proofErr w:type="spellEnd"/>
      <w:r w:rsidRPr="003C5665">
        <w:rPr>
          <w:lang w:val="en-GB"/>
        </w:rPr>
        <w:t xml:space="preserve"> resolution of 5-(hydroxymethyl)-1,3-dioxolan-4-ones: Masked glycerol </w:t>
      </w:r>
      <w:proofErr w:type="spellStart"/>
      <w:r w:rsidRPr="003C5665">
        <w:rPr>
          <w:lang w:val="en-GB"/>
        </w:rPr>
        <w:t>analogs</w:t>
      </w:r>
      <w:proofErr w:type="spellEnd"/>
      <w:r w:rsidRPr="003C5665">
        <w:rPr>
          <w:lang w:val="en-GB"/>
        </w:rPr>
        <w:t xml:space="preserve"> as potential building blocks for pharmaceuticals. J. Org. Chem. 1996, 61, 3423−3427.</w:t>
      </w:r>
    </w:p>
    <w:p w14:paraId="24E53E17" w14:textId="77777777" w:rsidR="003C5665" w:rsidRPr="003C5665" w:rsidRDefault="003C5665" w:rsidP="003C5665">
      <w:pPr>
        <w:jc w:val="both"/>
        <w:rPr>
          <w:lang w:val="en-GB"/>
        </w:rPr>
      </w:pPr>
      <w:r w:rsidRPr="003C5665">
        <w:rPr>
          <w:lang w:val="en-GB"/>
        </w:rPr>
        <w:t>(10) Jurczak, J.; Pikul, S.; Bauer, T. (R)-2,3-o-isopropylideneglycerol-dehyde and (S)-2,3-o-isopropylideneglycerol-dehyde in stereoselective organic synthesis. Tetrahedron 1986, 42, 447−488.</w:t>
      </w:r>
    </w:p>
    <w:p w14:paraId="270BDAEA" w14:textId="77777777" w:rsidR="003C5665" w:rsidRPr="003C5665" w:rsidRDefault="003C5665" w:rsidP="003C5665">
      <w:pPr>
        <w:jc w:val="both"/>
        <w:rPr>
          <w:lang w:val="en-GB"/>
        </w:rPr>
      </w:pPr>
      <w:r w:rsidRPr="003C5665">
        <w:rPr>
          <w:lang w:val="en-GB"/>
        </w:rPr>
        <w:lastRenderedPageBreak/>
        <w:t xml:space="preserve">(11) </w:t>
      </w:r>
      <w:proofErr w:type="spellStart"/>
      <w:r w:rsidRPr="003C5665">
        <w:rPr>
          <w:lang w:val="en-GB"/>
        </w:rPr>
        <w:t>Bruchmann</w:t>
      </w:r>
      <w:proofErr w:type="spellEnd"/>
      <w:r w:rsidRPr="003C5665">
        <w:rPr>
          <w:lang w:val="en-GB"/>
        </w:rPr>
        <w:t xml:space="preserve">, B.; Haeberle, K.; Gruner, H.; Hirn, M. Preparation of cyclic acetals or ketals, especially </w:t>
      </w:r>
      <w:proofErr w:type="spellStart"/>
      <w:r w:rsidRPr="003C5665">
        <w:rPr>
          <w:lang w:val="en-GB"/>
        </w:rPr>
        <w:t>isopropylidene</w:t>
      </w:r>
      <w:proofErr w:type="spellEnd"/>
      <w:r w:rsidRPr="003C5665">
        <w:rPr>
          <w:lang w:val="en-GB"/>
        </w:rPr>
        <w:t xml:space="preserve"> </w:t>
      </w:r>
      <w:proofErr w:type="spellStart"/>
      <w:r w:rsidRPr="003C5665">
        <w:rPr>
          <w:lang w:val="en-GB"/>
        </w:rPr>
        <w:t>glycerin|comprising</w:t>
      </w:r>
      <w:proofErr w:type="spellEnd"/>
      <w:r w:rsidRPr="003C5665">
        <w:rPr>
          <w:lang w:val="en-GB"/>
        </w:rPr>
        <w:t xml:space="preserve"> distilling off some of aldehyde or ketone during reaction with polyol. Patent EP842929-A, 1999.</w:t>
      </w:r>
    </w:p>
    <w:p w14:paraId="69621118" w14:textId="77777777" w:rsidR="003C5665" w:rsidRPr="003C5665" w:rsidRDefault="003C5665" w:rsidP="003C5665">
      <w:pPr>
        <w:jc w:val="both"/>
        <w:rPr>
          <w:lang w:val="en-GB"/>
        </w:rPr>
      </w:pPr>
      <w:r w:rsidRPr="003C5665">
        <w:rPr>
          <w:lang w:val="en-GB"/>
        </w:rPr>
        <w:t xml:space="preserve">(12) Clarkson, J. S.; Walker, A. J.; Wood, M. A. Continuous reactor technology for ketal formation: An improved synthesis of </w:t>
      </w:r>
      <w:proofErr w:type="spellStart"/>
      <w:r w:rsidRPr="003C5665">
        <w:rPr>
          <w:lang w:val="en-GB"/>
        </w:rPr>
        <w:t>solketal</w:t>
      </w:r>
      <w:proofErr w:type="spellEnd"/>
      <w:r w:rsidRPr="003C5665">
        <w:rPr>
          <w:lang w:val="en-GB"/>
        </w:rPr>
        <w:t>. Org. Process Res. Dev. 2001, 5, 630−635.</w:t>
      </w:r>
    </w:p>
    <w:p w14:paraId="23367E8E" w14:textId="77777777" w:rsidR="003C5665" w:rsidRPr="003C5665" w:rsidRDefault="003C5665" w:rsidP="003C5665">
      <w:pPr>
        <w:jc w:val="both"/>
        <w:rPr>
          <w:lang w:val="en-GB"/>
        </w:rPr>
      </w:pPr>
      <w:r w:rsidRPr="003C5665">
        <w:rPr>
          <w:lang w:val="en-GB"/>
        </w:rPr>
        <w:t xml:space="preserve">(13) Ferreira, P.; Fonseca, I. M.; Ramos, A. M.; Vital, J.; </w:t>
      </w:r>
      <w:proofErr w:type="spellStart"/>
      <w:r w:rsidRPr="003C5665">
        <w:rPr>
          <w:lang w:val="en-GB"/>
        </w:rPr>
        <w:t>Castanheiro</w:t>
      </w:r>
      <w:proofErr w:type="spellEnd"/>
      <w:r w:rsidRPr="003C5665">
        <w:rPr>
          <w:lang w:val="en-GB"/>
        </w:rPr>
        <w:t xml:space="preserve">, J. E. Valorisation of glycerol by condensation with acetone over silica-included </w:t>
      </w:r>
      <w:proofErr w:type="spellStart"/>
      <w:r w:rsidRPr="003C5665">
        <w:rPr>
          <w:lang w:val="en-GB"/>
        </w:rPr>
        <w:t>heteropolyacids</w:t>
      </w:r>
      <w:proofErr w:type="spellEnd"/>
      <w:r w:rsidRPr="003C5665">
        <w:rPr>
          <w:lang w:val="en-GB"/>
        </w:rPr>
        <w:t xml:space="preserve">. Appl. </w:t>
      </w:r>
      <w:proofErr w:type="spellStart"/>
      <w:r w:rsidRPr="003C5665">
        <w:rPr>
          <w:lang w:val="en-GB"/>
        </w:rPr>
        <w:t>Catal</w:t>
      </w:r>
      <w:proofErr w:type="spellEnd"/>
      <w:r w:rsidRPr="003C5665">
        <w:rPr>
          <w:lang w:val="en-GB"/>
        </w:rPr>
        <w:t>., B 2010, 98, 94−99.</w:t>
      </w:r>
    </w:p>
    <w:p w14:paraId="1FDA3964" w14:textId="77777777" w:rsidR="003C5665" w:rsidRPr="003C5665" w:rsidRDefault="003C5665" w:rsidP="003C5665">
      <w:pPr>
        <w:jc w:val="both"/>
        <w:rPr>
          <w:lang w:val="en-GB"/>
        </w:rPr>
      </w:pPr>
      <w:r w:rsidRPr="003C5665">
        <w:rPr>
          <w:lang w:val="en-GB"/>
        </w:rPr>
        <w:t xml:space="preserve">(14) Vicente, G.; Melero, J. A.; Morales, G.; Paniagua, M.; Martin, E. </w:t>
      </w:r>
      <w:proofErr w:type="spellStart"/>
      <w:r w:rsidRPr="003C5665">
        <w:rPr>
          <w:lang w:val="en-GB"/>
        </w:rPr>
        <w:t>Acetalisation</w:t>
      </w:r>
      <w:proofErr w:type="spellEnd"/>
      <w:r w:rsidRPr="003C5665">
        <w:rPr>
          <w:lang w:val="en-GB"/>
        </w:rPr>
        <w:t xml:space="preserve"> of bio-glycerol with acetone to produce </w:t>
      </w:r>
      <w:proofErr w:type="spellStart"/>
      <w:r w:rsidRPr="003C5665">
        <w:rPr>
          <w:lang w:val="en-GB"/>
        </w:rPr>
        <w:t>solketal</w:t>
      </w:r>
      <w:proofErr w:type="spellEnd"/>
      <w:r w:rsidRPr="003C5665">
        <w:rPr>
          <w:lang w:val="en-GB"/>
        </w:rPr>
        <w:t xml:space="preserve"> over sulfonic mesostructured silicas. Green Chem. 2010, 12, 899−907.</w:t>
      </w:r>
    </w:p>
    <w:p w14:paraId="393A65B2" w14:textId="77777777" w:rsidR="003C5665" w:rsidRPr="003C5665" w:rsidRDefault="003C5665" w:rsidP="003C5665">
      <w:pPr>
        <w:jc w:val="both"/>
        <w:rPr>
          <w:lang w:val="en-GB"/>
        </w:rPr>
      </w:pPr>
      <w:r w:rsidRPr="003C5665">
        <w:rPr>
          <w:lang w:val="en-GB"/>
        </w:rPr>
        <w:t xml:space="preserve">(15) Reddy, P. S.; </w:t>
      </w:r>
      <w:proofErr w:type="spellStart"/>
      <w:r w:rsidRPr="003C5665">
        <w:rPr>
          <w:lang w:val="en-GB"/>
        </w:rPr>
        <w:t>Sudarsanam</w:t>
      </w:r>
      <w:proofErr w:type="spellEnd"/>
      <w:r w:rsidRPr="003C5665">
        <w:rPr>
          <w:lang w:val="en-GB"/>
        </w:rPr>
        <w:t xml:space="preserve">, P.; Mallesham, B.; Raju, G.; Reddy, B. M. </w:t>
      </w:r>
      <w:proofErr w:type="spellStart"/>
      <w:r w:rsidRPr="003C5665">
        <w:rPr>
          <w:lang w:val="en-GB"/>
        </w:rPr>
        <w:t>Acetalisation</w:t>
      </w:r>
      <w:proofErr w:type="spellEnd"/>
      <w:r w:rsidRPr="003C5665">
        <w:rPr>
          <w:lang w:val="en-GB"/>
        </w:rPr>
        <w:t xml:space="preserve"> of glycerol with acetone over zirconia and promoted zirconia catalysts under mild reaction conditions. J. Ind. Eng. Chem. 2011, 17, 377−381.</w:t>
      </w:r>
    </w:p>
    <w:p w14:paraId="58B65281" w14:textId="77777777" w:rsidR="003C5665" w:rsidRPr="003C5665" w:rsidRDefault="003C5665" w:rsidP="003C5665">
      <w:pPr>
        <w:jc w:val="both"/>
        <w:rPr>
          <w:lang w:val="en-GB"/>
        </w:rPr>
      </w:pPr>
      <w:r w:rsidRPr="003C5665">
        <w:rPr>
          <w:lang w:val="en-GB"/>
        </w:rPr>
        <w:t xml:space="preserve">(16) Matsushita, H.; </w:t>
      </w:r>
      <w:proofErr w:type="spellStart"/>
      <w:r w:rsidRPr="003C5665">
        <w:rPr>
          <w:lang w:val="en-GB"/>
        </w:rPr>
        <w:t>Shibagaki</w:t>
      </w:r>
      <w:proofErr w:type="spellEnd"/>
      <w:r w:rsidRPr="003C5665">
        <w:rPr>
          <w:lang w:val="en-GB"/>
        </w:rPr>
        <w:t xml:space="preserve">, M.; Takahashi, K.; Kuno, H. Acetal or ketal preparation from aldehyde or ketone using as catalyst a hydrous oxide of an element of </w:t>
      </w:r>
      <w:proofErr w:type="spellStart"/>
      <w:r w:rsidRPr="003C5665">
        <w:rPr>
          <w:lang w:val="en-GB"/>
        </w:rPr>
        <w:t>gp</w:t>
      </w:r>
      <w:proofErr w:type="spellEnd"/>
      <w:r w:rsidRPr="003C5665">
        <w:rPr>
          <w:lang w:val="en-GB"/>
        </w:rPr>
        <w:t xml:space="preserve"> = IV of the periodic table. Patent EP271091-A1, 1989.</w:t>
      </w:r>
    </w:p>
    <w:p w14:paraId="02225EE3" w14:textId="77777777" w:rsidR="003C5665" w:rsidRPr="003C5665" w:rsidRDefault="003C5665" w:rsidP="003C5665">
      <w:pPr>
        <w:jc w:val="both"/>
        <w:rPr>
          <w:lang w:val="en-GB"/>
        </w:rPr>
      </w:pPr>
      <w:r w:rsidRPr="003C5665">
        <w:rPr>
          <w:lang w:val="en-GB"/>
        </w:rPr>
        <w:t xml:space="preserve">(17) Nanda, M. R.; Yuan, Z.; Qin, W.; Ghaziaskar, H. S.; Poirier, M.-A.; Xu, C. C. Thermodynamic and kinetic studies of a catalytic process to convert glycerol into </w:t>
      </w:r>
      <w:proofErr w:type="spellStart"/>
      <w:r w:rsidRPr="003C5665">
        <w:rPr>
          <w:lang w:val="en-GB"/>
        </w:rPr>
        <w:t>solketal</w:t>
      </w:r>
      <w:proofErr w:type="spellEnd"/>
      <w:r w:rsidRPr="003C5665">
        <w:rPr>
          <w:lang w:val="en-GB"/>
        </w:rPr>
        <w:t xml:space="preserve"> as an oxygenated fuel additive. Fuel 2014, 117, 470−477.</w:t>
      </w:r>
    </w:p>
    <w:p w14:paraId="1B1E717B" w14:textId="77777777" w:rsidR="003C5665" w:rsidRPr="003C5665" w:rsidRDefault="003C5665" w:rsidP="003C5665">
      <w:pPr>
        <w:jc w:val="both"/>
        <w:rPr>
          <w:lang w:val="en-GB"/>
        </w:rPr>
      </w:pPr>
      <w:r w:rsidRPr="003C5665">
        <w:rPr>
          <w:lang w:val="en-GB"/>
        </w:rPr>
        <w:t xml:space="preserve">(18) Britt, H. I.; Luecke, R. H. The estimation of parameters in nonlinear, implicit models. </w:t>
      </w:r>
      <w:proofErr w:type="spellStart"/>
      <w:r w:rsidRPr="003C5665">
        <w:rPr>
          <w:lang w:val="en-GB"/>
        </w:rPr>
        <w:t>Technometrics</w:t>
      </w:r>
      <w:proofErr w:type="spellEnd"/>
      <w:r w:rsidRPr="003C5665">
        <w:rPr>
          <w:lang w:val="en-GB"/>
        </w:rPr>
        <w:t xml:space="preserve"> 1973, 15, 233−247.</w:t>
      </w:r>
    </w:p>
    <w:p w14:paraId="4B8D96BB" w14:textId="77777777" w:rsidR="003C5665" w:rsidRPr="003C5665" w:rsidRDefault="003C5665" w:rsidP="003C5665">
      <w:pPr>
        <w:jc w:val="both"/>
        <w:rPr>
          <w:lang w:val="en-GB"/>
        </w:rPr>
      </w:pPr>
      <w:r w:rsidRPr="003C5665">
        <w:rPr>
          <w:lang w:val="en-GB"/>
        </w:rPr>
        <w:t>(19) Othmer, D. F.; Tobias, P. E. Toluene and acetaldehyde systems, tie line correlation, partial pressures of ternary liquid systems and the prediction of tie lines. Ind. Eng. Chem. 1942, 34, 693−696.</w:t>
      </w:r>
    </w:p>
    <w:p w14:paraId="3E3D1202" w14:textId="77777777" w:rsidR="003C5665" w:rsidRPr="003C5665" w:rsidRDefault="003C5665" w:rsidP="003C5665">
      <w:pPr>
        <w:jc w:val="both"/>
        <w:rPr>
          <w:lang w:val="en-GB"/>
        </w:rPr>
      </w:pPr>
      <w:r w:rsidRPr="003C5665">
        <w:rPr>
          <w:lang w:val="en-GB"/>
        </w:rPr>
        <w:t xml:space="preserve">(20) Esteban, J.; </w:t>
      </w:r>
      <w:proofErr w:type="spellStart"/>
      <w:r w:rsidRPr="003C5665">
        <w:rPr>
          <w:lang w:val="en-GB"/>
        </w:rPr>
        <w:t>Ladero</w:t>
      </w:r>
      <w:proofErr w:type="spellEnd"/>
      <w:r w:rsidRPr="003C5665">
        <w:rPr>
          <w:lang w:val="en-GB"/>
        </w:rPr>
        <w:t>, M.; Molinero, L.; Garcia-Ochoa, F. Liquid−liquid equilibria for the ternary systems DMC−methanol−glycerol; DMC−glycerol carbonate−glycerol and the quaternary system DMC−methanol−glycerol carbonate−glycerol at catalytic reacting temperatures. Chem. Eng. Res. Des. 2014, DOI: 10.1016/j.cherd.2014.05.026.</w:t>
      </w:r>
    </w:p>
    <w:p w14:paraId="3093B00B" w14:textId="77777777" w:rsidR="003C5665" w:rsidRPr="003C5665" w:rsidRDefault="003C5665" w:rsidP="003C5665">
      <w:pPr>
        <w:jc w:val="both"/>
        <w:rPr>
          <w:lang w:val="en-GB"/>
        </w:rPr>
      </w:pPr>
      <w:r w:rsidRPr="003C5665">
        <w:rPr>
          <w:lang w:val="en-GB"/>
        </w:rPr>
        <w:t>(21) Wang, H.; Lu, P. Liquid−liquid equilibria for the system dimethyl carbonate + methanol + glycerol in the temperature range of (303.15 to 333.15) K. J. Chem. Eng. Data 2012, 57, 582−589.</w:t>
      </w:r>
    </w:p>
    <w:p w14:paraId="0CE6F268" w14:textId="77777777" w:rsidR="003C5665" w:rsidRPr="003C5665" w:rsidRDefault="003C5665" w:rsidP="003C5665">
      <w:pPr>
        <w:jc w:val="both"/>
        <w:rPr>
          <w:lang w:val="en-GB"/>
        </w:rPr>
      </w:pPr>
      <w:r w:rsidRPr="003C5665">
        <w:rPr>
          <w:lang w:val="en-GB"/>
        </w:rPr>
        <w:lastRenderedPageBreak/>
        <w:t xml:space="preserve">(22) </w:t>
      </w:r>
      <w:proofErr w:type="spellStart"/>
      <w:r w:rsidRPr="003C5665">
        <w:rPr>
          <w:lang w:val="en-GB"/>
        </w:rPr>
        <w:t>Ladero</w:t>
      </w:r>
      <w:proofErr w:type="spellEnd"/>
      <w:r w:rsidRPr="003C5665">
        <w:rPr>
          <w:lang w:val="en-GB"/>
        </w:rPr>
        <w:t>, M.; de Gracia, M.; Trujillo, F.; Garcia-Ochoa, F. Phenomenological kinetic modelling of the esterification of rosin and polyols. Chem. Eng. J. 2012, 197, 387−397.</w:t>
      </w:r>
    </w:p>
    <w:p w14:paraId="1C8A03A0" w14:textId="0F16BB3A" w:rsidR="00476367" w:rsidRDefault="003C5665" w:rsidP="003C5665">
      <w:pPr>
        <w:jc w:val="both"/>
        <w:rPr>
          <w:lang w:val="en-GB"/>
        </w:rPr>
      </w:pPr>
      <w:r w:rsidRPr="003C5665">
        <w:rPr>
          <w:lang w:val="en-GB"/>
        </w:rPr>
        <w:t xml:space="preserve">(23) Renon, H.; </w:t>
      </w:r>
      <w:proofErr w:type="spellStart"/>
      <w:r w:rsidRPr="003C5665">
        <w:rPr>
          <w:lang w:val="en-GB"/>
        </w:rPr>
        <w:t>Prausnitz</w:t>
      </w:r>
      <w:proofErr w:type="spellEnd"/>
      <w:r w:rsidRPr="003C5665">
        <w:rPr>
          <w:lang w:val="en-GB"/>
        </w:rPr>
        <w:t>, J. M. Local compositions in thermodynamic excess functions for liquid mixtures. AIChE J. 1968, 14, 135−144</w:t>
      </w:r>
    </w:p>
    <w:p w14:paraId="417781C3" w14:textId="18FBAE93" w:rsidR="001728C4" w:rsidRDefault="001728C4" w:rsidP="00814548">
      <w:pPr>
        <w:jc w:val="both"/>
        <w:rPr>
          <w:lang w:val="en-GB"/>
        </w:rPr>
      </w:pPr>
      <w:r>
        <w:rPr>
          <w:lang w:val="en-GB"/>
        </w:rPr>
        <w:br w:type="page"/>
      </w:r>
    </w:p>
    <w:p w14:paraId="25849B44" w14:textId="5A46E3CC" w:rsidR="001728C4" w:rsidRDefault="001728C4" w:rsidP="001728C4">
      <w:pPr>
        <w:jc w:val="both"/>
        <w:rPr>
          <w:lang w:val="en-GB"/>
        </w:rPr>
      </w:pPr>
      <w:r w:rsidRPr="001728C4">
        <w:rPr>
          <w:lang w:val="en-GB"/>
        </w:rPr>
        <w:lastRenderedPageBreak/>
        <w:t xml:space="preserve">Table 1 </w:t>
      </w:r>
      <w:r w:rsidR="00E37972" w:rsidRPr="00E37972">
        <w:rPr>
          <w:lang w:val="en-GB"/>
        </w:rPr>
        <w:t>Experimental LLE Data Expressed as Mole Fractions (x</w:t>
      </w:r>
      <w:r w:rsidR="00E37972" w:rsidRPr="00E37972">
        <w:rPr>
          <w:vertAlign w:val="subscript"/>
          <w:lang w:val="en-GB"/>
        </w:rPr>
        <w:t>i</w:t>
      </w:r>
      <w:r w:rsidR="00E37972" w:rsidRPr="00E37972">
        <w:rPr>
          <w:lang w:val="en-GB"/>
        </w:rPr>
        <w:t xml:space="preserve">) of the Ternary System {Ac + </w:t>
      </w:r>
      <w:proofErr w:type="spellStart"/>
      <w:r w:rsidR="00E37972" w:rsidRPr="00E37972">
        <w:rPr>
          <w:lang w:val="en-GB"/>
        </w:rPr>
        <w:t>Sk</w:t>
      </w:r>
      <w:proofErr w:type="spellEnd"/>
      <w:r w:rsidR="00E37972" w:rsidRPr="00E37972">
        <w:rPr>
          <w:lang w:val="en-GB"/>
        </w:rPr>
        <w:t xml:space="preserve"> + </w:t>
      </w:r>
      <w:proofErr w:type="spellStart"/>
      <w:r w:rsidR="00E37972" w:rsidRPr="00E37972">
        <w:rPr>
          <w:lang w:val="en-GB"/>
        </w:rPr>
        <w:t>Gly</w:t>
      </w:r>
      <w:proofErr w:type="spellEnd"/>
      <w:r w:rsidR="00E37972" w:rsidRPr="00E37972">
        <w:rPr>
          <w:lang w:val="en-GB"/>
        </w:rPr>
        <w:t>} at 101.3 kPa</w:t>
      </w:r>
    </w:p>
    <w:p w14:paraId="49CBD831" w14:textId="77777777" w:rsidR="00845E60" w:rsidRDefault="00845E60" w:rsidP="001728C4">
      <w:pPr>
        <w:jc w:val="both"/>
        <w:rPr>
          <w:lang w:val="en-GB"/>
        </w:rPr>
      </w:pPr>
    </w:p>
    <w:tbl>
      <w:tblPr>
        <w:tblW w:w="5000" w:type="pct"/>
        <w:tblCellMar>
          <w:top w:w="15" w:type="dxa"/>
          <w:left w:w="15" w:type="dxa"/>
          <w:bottom w:w="15" w:type="dxa"/>
          <w:right w:w="15" w:type="dxa"/>
        </w:tblCellMar>
        <w:tblLook w:val="04A0" w:firstRow="1" w:lastRow="0" w:firstColumn="1" w:lastColumn="0" w:noHBand="0" w:noVBand="1"/>
      </w:tblPr>
      <w:tblGrid>
        <w:gridCol w:w="670"/>
        <w:gridCol w:w="1264"/>
        <w:gridCol w:w="671"/>
        <w:gridCol w:w="671"/>
        <w:gridCol w:w="1264"/>
        <w:gridCol w:w="671"/>
        <w:gridCol w:w="671"/>
        <w:gridCol w:w="1264"/>
        <w:gridCol w:w="671"/>
        <w:gridCol w:w="671"/>
      </w:tblGrid>
      <w:tr w:rsidR="00861CDC" w:rsidRPr="00A36D30" w14:paraId="30D9EC8D" w14:textId="77777777" w:rsidTr="00A36D30">
        <w:trPr>
          <w:tblHeader/>
        </w:trPr>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24257034" w14:textId="77777777" w:rsidR="00A36D30" w:rsidRPr="00A36D30" w:rsidRDefault="00A36D30" w:rsidP="00A36D30">
            <w:pPr>
              <w:spacing w:after="0" w:line="240" w:lineRule="auto"/>
              <w:rPr>
                <w:rFonts w:ascii="Arial" w:eastAsia="Times New Roman" w:hAnsi="Arial" w:cs="Arial"/>
                <w:b/>
                <w:bCs/>
                <w:kern w:val="0"/>
                <w:lang w:eastAsia="es-ES"/>
                <w14:ligatures w14:val="none"/>
              </w:rPr>
            </w:pPr>
            <w:r w:rsidRPr="00A36D30">
              <w:rPr>
                <w:rFonts w:ascii="Arial" w:eastAsia="Times New Roman" w:hAnsi="Arial" w:cs="Arial"/>
                <w:b/>
                <w:bCs/>
                <w:kern w:val="0"/>
                <w:lang w:eastAsia="es-ES"/>
                <w14:ligatures w14:val="none"/>
              </w:rPr>
              <w:t>T/K</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4B4E4FA2" w14:textId="77777777" w:rsidR="00A36D30" w:rsidRPr="00A36D30" w:rsidRDefault="00A36D30" w:rsidP="00A36D30">
            <w:pPr>
              <w:spacing w:after="0" w:line="240" w:lineRule="auto"/>
              <w:rPr>
                <w:rFonts w:ascii="Arial" w:eastAsia="Times New Roman" w:hAnsi="Arial" w:cs="Arial"/>
                <w:b/>
                <w:bCs/>
                <w:kern w:val="0"/>
                <w:lang w:val="en-GB" w:eastAsia="es-ES"/>
                <w14:ligatures w14:val="none"/>
              </w:rPr>
            </w:pPr>
            <w:r w:rsidRPr="00A36D30">
              <w:rPr>
                <w:rFonts w:ascii="Arial" w:eastAsia="Times New Roman" w:hAnsi="Arial" w:cs="Arial"/>
                <w:b/>
                <w:bCs/>
                <w:kern w:val="0"/>
                <w:lang w:val="en-GB" w:eastAsia="es-ES"/>
                <w14:ligatures w14:val="none"/>
              </w:rPr>
              <w:t>phase II (Ac-rich) composition</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1651E467" w14:textId="77777777" w:rsidR="00A36D30" w:rsidRPr="00A36D30" w:rsidRDefault="00A36D30" w:rsidP="00A36D30">
            <w:pPr>
              <w:spacing w:after="0" w:line="240" w:lineRule="auto"/>
              <w:rPr>
                <w:rFonts w:ascii="Arial" w:eastAsia="Times New Roman" w:hAnsi="Arial" w:cs="Arial"/>
                <w:b/>
                <w:bCs/>
                <w:kern w:val="0"/>
                <w:lang w:val="en-GB"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5EB40222" w14:textId="77777777" w:rsidR="00A36D30" w:rsidRPr="00A36D30" w:rsidRDefault="00A36D30" w:rsidP="00A36D30">
            <w:pPr>
              <w:spacing w:after="0" w:line="240" w:lineRule="auto"/>
              <w:rPr>
                <w:rFonts w:ascii="Times New Roman" w:eastAsia="Times New Roman" w:hAnsi="Times New Roman" w:cs="Times New Roman"/>
                <w:kern w:val="0"/>
                <w:sz w:val="20"/>
                <w:szCs w:val="20"/>
                <w:lang w:val="en-GB"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3AC2AD77" w14:textId="77777777" w:rsidR="00A36D30" w:rsidRPr="00A36D30" w:rsidRDefault="00A36D30" w:rsidP="00A36D30">
            <w:pPr>
              <w:spacing w:after="0" w:line="240" w:lineRule="auto"/>
              <w:rPr>
                <w:rFonts w:ascii="Arial" w:eastAsia="Times New Roman" w:hAnsi="Arial" w:cs="Arial"/>
                <w:b/>
                <w:bCs/>
                <w:kern w:val="0"/>
                <w:lang w:val="en-GB" w:eastAsia="es-ES"/>
                <w14:ligatures w14:val="none"/>
              </w:rPr>
            </w:pPr>
            <w:r w:rsidRPr="00A36D30">
              <w:rPr>
                <w:rFonts w:ascii="Arial" w:eastAsia="Times New Roman" w:hAnsi="Arial" w:cs="Arial"/>
                <w:b/>
                <w:bCs/>
                <w:kern w:val="0"/>
                <w:lang w:val="en-GB" w:eastAsia="es-ES"/>
                <w14:ligatures w14:val="none"/>
              </w:rPr>
              <w:t>phase I (</w:t>
            </w:r>
            <w:proofErr w:type="spellStart"/>
            <w:r w:rsidRPr="00A36D30">
              <w:rPr>
                <w:rFonts w:ascii="Arial" w:eastAsia="Times New Roman" w:hAnsi="Arial" w:cs="Arial"/>
                <w:b/>
                <w:bCs/>
                <w:kern w:val="0"/>
                <w:lang w:val="en-GB" w:eastAsia="es-ES"/>
                <w14:ligatures w14:val="none"/>
              </w:rPr>
              <w:t>Gly</w:t>
            </w:r>
            <w:proofErr w:type="spellEnd"/>
            <w:r w:rsidRPr="00A36D30">
              <w:rPr>
                <w:rFonts w:ascii="Arial" w:eastAsia="Times New Roman" w:hAnsi="Arial" w:cs="Arial"/>
                <w:b/>
                <w:bCs/>
                <w:kern w:val="0"/>
                <w:lang w:val="en-GB" w:eastAsia="es-ES"/>
                <w14:ligatures w14:val="none"/>
              </w:rPr>
              <w:t>-rich) composition</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59858346" w14:textId="77777777" w:rsidR="00A36D30" w:rsidRPr="00A36D30" w:rsidRDefault="00A36D30" w:rsidP="00A36D30">
            <w:pPr>
              <w:spacing w:after="0" w:line="240" w:lineRule="auto"/>
              <w:rPr>
                <w:rFonts w:ascii="Arial" w:eastAsia="Times New Roman" w:hAnsi="Arial" w:cs="Arial"/>
                <w:b/>
                <w:bCs/>
                <w:kern w:val="0"/>
                <w:lang w:val="en-GB"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7209F47C" w14:textId="77777777" w:rsidR="00A36D30" w:rsidRPr="00A36D30" w:rsidRDefault="00A36D30" w:rsidP="00A36D30">
            <w:pPr>
              <w:spacing w:after="0" w:line="240" w:lineRule="auto"/>
              <w:rPr>
                <w:rFonts w:ascii="Times New Roman" w:eastAsia="Times New Roman" w:hAnsi="Times New Roman" w:cs="Times New Roman"/>
                <w:kern w:val="0"/>
                <w:sz w:val="20"/>
                <w:szCs w:val="20"/>
                <w:lang w:val="en-GB"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02F53402" w14:textId="77777777" w:rsidR="00A36D30" w:rsidRPr="00A36D30" w:rsidRDefault="00A36D30" w:rsidP="00A36D30">
            <w:pPr>
              <w:spacing w:after="0" w:line="240" w:lineRule="auto"/>
              <w:rPr>
                <w:rFonts w:ascii="Arial" w:eastAsia="Times New Roman" w:hAnsi="Arial" w:cs="Arial"/>
                <w:b/>
                <w:bCs/>
                <w:kern w:val="0"/>
                <w:lang w:eastAsia="es-ES"/>
                <w14:ligatures w14:val="none"/>
              </w:rPr>
            </w:pPr>
            <w:r w:rsidRPr="00A36D30">
              <w:rPr>
                <w:rFonts w:ascii="Arial" w:eastAsia="Times New Roman" w:hAnsi="Arial" w:cs="Arial"/>
                <w:b/>
                <w:bCs/>
                <w:kern w:val="0"/>
                <w:lang w:eastAsia="es-ES"/>
                <w14:ligatures w14:val="none"/>
              </w:rPr>
              <w:t xml:space="preserve">global </w:t>
            </w:r>
            <w:proofErr w:type="spellStart"/>
            <w:r w:rsidRPr="00A36D30">
              <w:rPr>
                <w:rFonts w:ascii="Arial" w:eastAsia="Times New Roman" w:hAnsi="Arial" w:cs="Arial"/>
                <w:b/>
                <w:bCs/>
                <w:kern w:val="0"/>
                <w:lang w:eastAsia="es-ES"/>
                <w14:ligatures w14:val="none"/>
              </w:rPr>
              <w:t>composition</w:t>
            </w:r>
            <w:proofErr w:type="spellEnd"/>
            <w:r w:rsidRPr="00A36D30">
              <w:rPr>
                <w:rFonts w:ascii="Arial" w:eastAsia="Times New Roman" w:hAnsi="Arial" w:cs="Arial"/>
                <w:b/>
                <w:bCs/>
                <w:kern w:val="0"/>
                <w:lang w:eastAsia="es-ES"/>
                <w14:ligatures w14:val="none"/>
              </w:rPr>
              <w:t xml:space="preserve"> (</w:t>
            </w:r>
            <w:proofErr w:type="spellStart"/>
            <w:r w:rsidRPr="00A36D30">
              <w:rPr>
                <w:rFonts w:ascii="Arial" w:eastAsia="Times New Roman" w:hAnsi="Arial" w:cs="Arial"/>
                <w:b/>
                <w:bCs/>
                <w:kern w:val="0"/>
                <w:lang w:eastAsia="es-ES"/>
                <w14:ligatures w14:val="none"/>
              </w:rPr>
              <w:t>feed</w:t>
            </w:r>
            <w:proofErr w:type="spellEnd"/>
            <w:r w:rsidRPr="00A36D30">
              <w:rPr>
                <w:rFonts w:ascii="Arial" w:eastAsia="Times New Roman" w:hAnsi="Arial" w:cs="Arial"/>
                <w:b/>
                <w:bCs/>
                <w:kern w:val="0"/>
                <w:lang w:eastAsia="es-ES"/>
                <w14:ligatures w14:val="none"/>
              </w:rPr>
              <w:t>)</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13D8E70D" w14:textId="77777777" w:rsidR="00A36D30" w:rsidRPr="00A36D30" w:rsidRDefault="00A36D30" w:rsidP="00A36D30">
            <w:pPr>
              <w:spacing w:after="0" w:line="240" w:lineRule="auto"/>
              <w:rPr>
                <w:rFonts w:ascii="Arial" w:eastAsia="Times New Roman" w:hAnsi="Arial" w:cs="Arial"/>
                <w:b/>
                <w:bCs/>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0324ABA8" w14:textId="77777777" w:rsidR="00A36D30" w:rsidRPr="00A36D30" w:rsidRDefault="00A36D30" w:rsidP="00A36D30">
            <w:pPr>
              <w:spacing w:after="0" w:line="240" w:lineRule="auto"/>
              <w:rPr>
                <w:rFonts w:ascii="Times New Roman" w:eastAsia="Times New Roman" w:hAnsi="Times New Roman" w:cs="Times New Roman"/>
                <w:kern w:val="0"/>
                <w:sz w:val="20"/>
                <w:szCs w:val="20"/>
                <w:lang w:eastAsia="es-ES"/>
                <w14:ligatures w14:val="none"/>
              </w:rPr>
            </w:pPr>
          </w:p>
        </w:tc>
      </w:tr>
      <w:tr w:rsidR="00861CDC" w:rsidRPr="00A36D30" w14:paraId="4AFCDFD2"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354B09F" w14:textId="77777777" w:rsidR="00A36D30" w:rsidRPr="00A36D30" w:rsidRDefault="00A36D30" w:rsidP="00A36D30">
            <w:pPr>
              <w:spacing w:after="0" w:line="240" w:lineRule="auto"/>
              <w:rPr>
                <w:rFonts w:ascii="Times New Roman" w:eastAsia="Times New Roman" w:hAnsi="Times New Roman" w:cs="Times New Roman"/>
                <w:kern w:val="0"/>
                <w:sz w:val="20"/>
                <w:szCs w:val="2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308949C" w14:textId="6DC84FB3"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Ac</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B39FE24" w14:textId="38A66CD4"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Sk</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AD759E8" w14:textId="6A0CAD21"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G</w:t>
            </w:r>
            <w:r w:rsidRPr="00A36D30">
              <w:rPr>
                <w:rFonts w:ascii="Arial" w:eastAsia="Times New Roman" w:hAnsi="Arial" w:cs="Arial"/>
                <w:kern w:val="0"/>
                <w:vertAlign w:val="subscript"/>
                <w:lang w:eastAsia="es-ES"/>
                <w14:ligatures w14:val="none"/>
              </w:rPr>
              <w:t>ly</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2A10747" w14:textId="2A034F7B"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Ac</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6A0FB25" w14:textId="787BFC76"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Sk</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8CF97CD" w14:textId="28FB9A37"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Gly</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EFF79C0" w14:textId="3C5DE14E"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Ac</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9EE9245" w14:textId="2D0CC6D9"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Sk</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06E1A89" w14:textId="396466DA" w:rsidR="00A36D30" w:rsidRPr="00A36D30" w:rsidRDefault="00A36D30" w:rsidP="00A36D30">
            <w:pPr>
              <w:spacing w:after="0" w:line="240" w:lineRule="auto"/>
              <w:rPr>
                <w:rFonts w:ascii="Arial" w:eastAsia="Times New Roman" w:hAnsi="Arial" w:cs="Arial"/>
                <w:kern w:val="0"/>
                <w:lang w:eastAsia="es-ES"/>
                <w14:ligatures w14:val="none"/>
              </w:rPr>
            </w:pPr>
            <w:proofErr w:type="spellStart"/>
            <w:r w:rsidRPr="00A36D30">
              <w:rPr>
                <w:rFonts w:ascii="Arial" w:eastAsia="Times New Roman" w:hAnsi="Arial" w:cs="Arial"/>
                <w:kern w:val="0"/>
                <w:lang w:eastAsia="es-ES"/>
                <w14:ligatures w14:val="none"/>
              </w:rPr>
              <w:t>x</w:t>
            </w:r>
            <w:r w:rsidRPr="00A36D30">
              <w:rPr>
                <w:rFonts w:ascii="Arial" w:eastAsia="Times New Roman" w:hAnsi="Arial" w:cs="Arial"/>
                <w:kern w:val="0"/>
                <w:vertAlign w:val="subscript"/>
                <w:lang w:eastAsia="es-ES"/>
                <w14:ligatures w14:val="none"/>
              </w:rPr>
              <w:t>Gly</w:t>
            </w:r>
            <w:proofErr w:type="spellEnd"/>
          </w:p>
        </w:tc>
      </w:tr>
      <w:tr w:rsidR="00861CDC" w:rsidRPr="00A36D30" w14:paraId="7B106C7C"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2236469" w14:textId="77777777" w:rsidR="00A36D30" w:rsidRPr="00A36D30" w:rsidRDefault="00A36D30" w:rsidP="00A36D30">
            <w:pPr>
              <w:spacing w:after="0" w:line="240" w:lineRule="auto"/>
              <w:rPr>
                <w:rFonts w:ascii="Arial" w:eastAsia="Times New Roman" w:hAnsi="Arial" w:cs="Arial"/>
                <w:kern w:val="0"/>
                <w:lang w:eastAsia="es-ES"/>
                <w14:ligatures w14:val="none"/>
              </w:rPr>
            </w:pPr>
            <w:r w:rsidRPr="00A36D30">
              <w:rPr>
                <w:rFonts w:ascii="Arial" w:eastAsia="Times New Roman" w:hAnsi="Arial" w:cs="Arial"/>
                <w:kern w:val="0"/>
                <w:lang w:eastAsia="es-ES"/>
                <w14:ligatures w14:val="none"/>
              </w:rPr>
              <w:t>303.2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2D00A48" w14:textId="0671BA0B" w:rsidR="00A36D30" w:rsidRPr="00A36D30" w:rsidRDefault="004C533E"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227227C" w14:textId="33FDB4D6"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262969D" w14:textId="5D26F7FD"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B38CBEB" w14:textId="00DE6C9A"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0.121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CF39BC3" w14:textId="399158BA"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8AB53D1" w14:textId="187CD26B"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0.879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FBB59CE" w14:textId="3D842420"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0.943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1712EB9" w14:textId="74B7AA68"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E1A1E7C" w14:textId="56136CF5"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0.057</w:t>
            </w:r>
          </w:p>
        </w:tc>
      </w:tr>
      <w:tr w:rsidR="00861CDC" w:rsidRPr="00A36D30" w14:paraId="4324E0BB"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01EDCF0"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B0EC1D2" w14:textId="0137FAAD" w:rsidR="00A36D30" w:rsidRPr="00A36D30" w:rsidRDefault="004C533E"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02E7EF1" w14:textId="7699623B"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0.016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2C89B86" w14:textId="000B58BA"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5033175" w14:textId="136A6523"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0.125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68D2C2D" w14:textId="46BAA4FC"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0E4A221" w14:textId="7F29F71A"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0.867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E2C6F0E" w14:textId="7A118BF6"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0.908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9AD4639" w14:textId="3A4C95C1"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76BF1B8" w14:textId="08C3B92A"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0.057</w:t>
            </w:r>
          </w:p>
        </w:tc>
      </w:tr>
      <w:tr w:rsidR="00861CDC" w:rsidRPr="00A36D30" w14:paraId="2E5FD72A"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8CE4B4F"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D2C0CB0" w14:textId="0CC1DBBD" w:rsidR="00A36D30" w:rsidRPr="00A36D30" w:rsidRDefault="004C533E"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DEF807F" w14:textId="71244FFD"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82169B2" w14:textId="339D143D"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E0982C" w14:textId="7DBDAB54"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73AA6E6" w14:textId="3F7BAE62"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021BA5F" w14:textId="516A5C52"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0.841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8F788CF" w14:textId="127EFB53"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0.863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B482CD1" w14:textId="2A213B84"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0.062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AEC17F4" w14:textId="51A16FBF"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0.075</w:t>
            </w:r>
          </w:p>
        </w:tc>
      </w:tr>
      <w:tr w:rsidR="00861CDC" w:rsidRPr="00A36D30" w14:paraId="406AC601"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DCE32D6"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A8107A5" w14:textId="0C17EBF3" w:rsidR="00A36D30" w:rsidRPr="00A36D30" w:rsidRDefault="004C533E"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0.474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30F1EDC" w14:textId="1B8D46AD"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61F9034" w14:textId="3A89AA2C"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0.474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3EBC9CB" w14:textId="22A82845"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7A965B6" w14:textId="3356734F"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0.029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8AFBF59" w14:textId="1D0F9CC9"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0.825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94C9711" w14:textId="2915A0D0"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0.815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A4C49EF" w14:textId="32375E71"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BBD18BD" w14:textId="25DD5CCD"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0.104</w:t>
            </w:r>
          </w:p>
        </w:tc>
      </w:tr>
      <w:tr w:rsidR="00861CDC" w:rsidRPr="00A36D30" w14:paraId="1768FEA6"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B3AE8CE"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021BDF" w14:textId="35DF918F"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1F42F93" w14:textId="5AB97EA0"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FD1F417" w14:textId="3CB8C854"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48E0074" w14:textId="370CF09E"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0.159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6B443C6" w14:textId="19DC6763"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0.044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C98D069" w14:textId="4FBC6480"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0.796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D7FF893" w14:textId="17EFF31B"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0.767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1701498" w14:textId="28CD6B18"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0.110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3D2C1FF" w14:textId="5E809FE1"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0.123</w:t>
            </w:r>
          </w:p>
        </w:tc>
      </w:tr>
      <w:tr w:rsidR="00861CDC" w:rsidRPr="00A36D30" w14:paraId="6A2AB99D"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1FDE3D2"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419CDFF" w14:textId="40491BEF"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D00A042" w14:textId="19F426C3"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0.091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C10B7C1" w14:textId="1BF9121E"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8662E4B" w14:textId="4815A21F"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0.174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30AE284" w14:textId="0C00683D"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3A0B1AD" w14:textId="05C04433"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0.769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6CD1DE1" w14:textId="72EAFD24"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0.698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6000706" w14:textId="2A3D8914"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A1A3331" w14:textId="2E8F3EE8"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0.170</w:t>
            </w:r>
          </w:p>
        </w:tc>
      </w:tr>
      <w:tr w:rsidR="00861CDC" w:rsidRPr="00A36D30" w14:paraId="4919D02E"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41F9B93"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B9FFA38" w14:textId="1B1E7EB7"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34F0970" w14:textId="384A1FBA"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A29F863" w14:textId="0A4C843B"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72ABA9E" w14:textId="0CA22313"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0.198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D461246" w14:textId="7593E206" w:rsidR="00A36D30"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37B6DC" w14:textId="792CAEA3"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0.727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86EEEF1" w14:textId="61080E55"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0.633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2D13EF0" w14:textId="357BE09D"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068372E" w14:textId="7FC0A5F9"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0.218</w:t>
            </w:r>
          </w:p>
        </w:tc>
      </w:tr>
      <w:tr w:rsidR="00861CDC" w:rsidRPr="00A36D30" w14:paraId="6D5274B6"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40B34DF" w14:textId="77777777" w:rsidR="004C533E" w:rsidRPr="00A36D30" w:rsidRDefault="004C533E"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CF84793" w14:textId="1B22730A" w:rsidR="004C533E"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BDE8FD7" w14:textId="2FE0BAC1" w:rsidR="004C533E"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412936" w14:textId="3FEF8F6B" w:rsidR="004C533E"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0.433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2D6CB10" w14:textId="307DEEF9" w:rsidR="004C533E"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0.251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5392BD6" w14:textId="061A81A1" w:rsidR="004C533E" w:rsidRPr="00A36D30" w:rsidRDefault="00051B9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D537081" w14:textId="1E259A75" w:rsidR="004C533E"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0.647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50FF4CF" w14:textId="3DEA1C57" w:rsidR="004C533E"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0.551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02F6B10" w14:textId="6F11AD0B" w:rsidR="004C533E"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0.162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62B11B0" w14:textId="34EEBFB9" w:rsidR="004C533E"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0.288</w:t>
            </w:r>
          </w:p>
        </w:tc>
      </w:tr>
      <w:tr w:rsidR="00861CDC" w:rsidRPr="00A36D30" w14:paraId="448E770D"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E5440D6" w14:textId="77777777" w:rsidR="00A36D30" w:rsidRPr="00A36D30" w:rsidRDefault="00A36D30" w:rsidP="00A36D30">
            <w:pPr>
              <w:spacing w:after="0" w:line="240" w:lineRule="auto"/>
              <w:rPr>
                <w:rFonts w:ascii="Arial" w:eastAsia="Times New Roman" w:hAnsi="Arial" w:cs="Arial"/>
                <w:kern w:val="0"/>
                <w:lang w:eastAsia="es-ES"/>
                <w14:ligatures w14:val="none"/>
              </w:rPr>
            </w:pPr>
            <w:r w:rsidRPr="00A36D30">
              <w:rPr>
                <w:rFonts w:ascii="Arial" w:eastAsia="Times New Roman" w:hAnsi="Arial" w:cs="Arial"/>
                <w:kern w:val="0"/>
                <w:lang w:eastAsia="es-ES"/>
                <w14:ligatures w14:val="none"/>
              </w:rPr>
              <w:t>313.2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1484091" w14:textId="246FFD46"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BE1A0AA" w14:textId="1B263865" w:rsidR="005747B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9DD771F" w14:textId="2F7DD2E9"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02FABA4" w14:textId="6E63ACF7"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FD88214" w14:textId="4A80F252"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0030864" w14:textId="7A8CDCAE" w:rsidR="00A36D30" w:rsidRPr="00A36D30" w:rsidRDefault="005747B0"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0.877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F65B6FA" w14:textId="4B069829"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0.939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C2955B5" w14:textId="660B0D5D"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8C9E623" w14:textId="1E65FBD8" w:rsidR="00A36D30" w:rsidRPr="00A36D30" w:rsidRDefault="00861CD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0.061</w:t>
            </w:r>
          </w:p>
        </w:tc>
      </w:tr>
      <w:tr w:rsidR="00861CDC" w:rsidRPr="00A36D30" w14:paraId="7A0EACB9"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879F941"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A5BE9AF" w14:textId="61118378"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320CBD1" w14:textId="7270FA2B"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0.017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C380AAE" w14:textId="1C3A1B36"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CFEBBC9" w14:textId="75E24419"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376CA30" w14:textId="7C932DC2"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F3767CF" w14:textId="30874C65"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0.848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B9637E8" w14:textId="3D3B8445"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0.901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CEB929A" w14:textId="6BE8D4CF"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463F730" w14:textId="1D16291F"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0.066</w:t>
            </w:r>
          </w:p>
        </w:tc>
      </w:tr>
      <w:tr w:rsidR="00861CDC" w:rsidRPr="00A36D30" w14:paraId="5E76CF19"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0052F91"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1FE98FC" w14:textId="5D4F781D"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F3F9DB7" w14:textId="38D6086D"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69248BA" w14:textId="4FADD169"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4FCF0D9" w14:textId="72A5659B"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0.151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6B0702D" w14:textId="5544959D"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0.025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9CC42CA" w14:textId="6DB8DC85"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0.824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C2B346C" w14:textId="2E2CDB32"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0.860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086E296" w14:textId="69CCB279"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1AF55AF" w14:textId="0E4655FE" w:rsidR="00A36D30" w:rsidRPr="00A36D30" w:rsidRDefault="008C6725"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0.086</w:t>
            </w:r>
          </w:p>
        </w:tc>
      </w:tr>
      <w:tr w:rsidR="00861CDC" w:rsidRPr="00A36D30" w14:paraId="007F1E91" w14:textId="77777777" w:rsidTr="004C533E">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EF3D896"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BC8B88D" w14:textId="7917A024"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0.475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E5CCCB2" w14:textId="3CACF843"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925897A" w14:textId="2444BDF8" w:rsidR="00A36D30" w:rsidRPr="00A36D30" w:rsidRDefault="00E61568" w:rsidP="00A36D30">
            <w:pPr>
              <w:spacing w:after="0" w:line="240" w:lineRule="auto"/>
              <w:rPr>
                <w:rFonts w:ascii="Arial" w:eastAsia="Times New Roman" w:hAnsi="Arial" w:cs="Arial"/>
                <w:kern w:val="0"/>
                <w:lang w:eastAsia="es-ES"/>
                <w14:ligatures w14:val="none"/>
              </w:rPr>
            </w:pPr>
            <w:r w:rsidRPr="00E61568">
              <w:rPr>
                <w:rFonts w:ascii="Arial" w:eastAsia="Times New Roman" w:hAnsi="Arial" w:cs="Arial"/>
                <w:kern w:val="0"/>
                <w:lang w:eastAsia="es-ES"/>
                <w14:ligatures w14:val="none"/>
              </w:rPr>
              <w:t>0.</w:t>
            </w:r>
            <w:r>
              <w:rPr>
                <w:rFonts w:ascii="Arial" w:eastAsia="Times New Roman" w:hAnsi="Arial" w:cs="Arial"/>
                <w:kern w:val="0"/>
                <w:lang w:eastAsia="es-ES"/>
                <w14:ligatures w14:val="none"/>
              </w:rPr>
              <w:t>472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017EBBA" w14:textId="26F9B887"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0.169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0BB39AE" w14:textId="5B28AC42"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9A08C64" w14:textId="390EA308"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F36E3C6" w14:textId="0A555789"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7CCD7C2" w14:textId="4AF38DD9"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87DE321" w14:textId="5FFE14A6"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0115</w:t>
            </w:r>
          </w:p>
        </w:tc>
      </w:tr>
      <w:tr w:rsidR="00861CDC" w:rsidRPr="00A36D30" w14:paraId="578388A0"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B5F841A"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A5BBDED" w14:textId="1EB660FD"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C91F6E7" w14:textId="5F0D1F20"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6B9D289" w14:textId="2F8B8E73"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1CEAAB5" w14:textId="18B96561"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0.182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077D2E5" w14:textId="3B5950DB"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0.045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FE27FAC" w14:textId="5049DC53"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0.773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F48B337" w14:textId="38330280"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0.747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31014A1" w14:textId="3C1DFF78"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AF4418E" w14:textId="30B19C14"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0.147</w:t>
            </w:r>
          </w:p>
        </w:tc>
      </w:tr>
      <w:tr w:rsidR="00861CDC" w:rsidRPr="00A36D30" w14:paraId="034FD177"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1E88937"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0E4CAEA" w14:textId="6B417CFB"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44934E0" w14:textId="747C1169"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0.092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77E1BE4" w14:textId="348633CD" w:rsidR="00A36D30" w:rsidRPr="00E61568"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C00BB3E" w14:textId="120CEB1C"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0.198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31C02F5" w14:textId="4AAB529F"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0.062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4AA24C8" w14:textId="5DA3CC50"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0.740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51D3D6" w14:textId="381AD2A7"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0.664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38A803" w14:textId="3E22B6F9"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C924AE4" w14:textId="666DA86D"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0.202</w:t>
            </w:r>
          </w:p>
        </w:tc>
      </w:tr>
      <w:tr w:rsidR="00861CDC" w:rsidRPr="00A36D30" w14:paraId="4C37921F"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80E7A06"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6BEEB9" w14:textId="4FED6C0B"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DB23867" w14:textId="06B06D52"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0.111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92A9160" w14:textId="03F1A5D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117CE11" w14:textId="54F8946B"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0.250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94932E0" w14:textId="1DE1C452"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83186E8" w14:textId="5D069644"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0.666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F11295B" w14:textId="1AB412C7"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06C4EF2" w14:textId="22D1056A"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61D46F3" w14:textId="61A68E17"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0.255</w:t>
            </w:r>
          </w:p>
        </w:tc>
      </w:tr>
      <w:tr w:rsidR="00861CDC" w:rsidRPr="00A36D30" w14:paraId="7472944A"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7246657"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A76ED7A" w14:textId="24A4EFC5"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F811AF1" w14:textId="514865B1"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6F35D2E" w14:textId="4D0FA3FF"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0.436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14A6815" w14:textId="046D0729"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0.296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E87B436" w14:textId="37B27AF5"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7195981" w14:textId="3137BD68"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28B7431" w14:textId="0E370817"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0.517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AF55CD4" w14:textId="32A31048"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0.152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1F739D6" w14:textId="61F7C702"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0.331</w:t>
            </w:r>
          </w:p>
        </w:tc>
      </w:tr>
      <w:tr w:rsidR="00861CDC" w:rsidRPr="00A36D30" w14:paraId="3695B9DE"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DB90F2E" w14:textId="01DE78B0" w:rsidR="00A36D30" w:rsidRPr="00A36D30" w:rsidRDefault="004C533E"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323.2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F881514" w14:textId="76CB1882"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29D710B" w14:textId="20BB0234"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D065F21" w14:textId="3FB80180"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87C4E4E" w14:textId="52BA5B0B"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3D4CD99" w14:textId="449C100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5E01017" w14:textId="5E69604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0.856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FD63452" w14:textId="7B8528D8"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0.938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7A21232" w14:textId="6F8EBAC3"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0.000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FA0CAEC" w14:textId="4C3B2CAB"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0.062</w:t>
            </w:r>
          </w:p>
        </w:tc>
      </w:tr>
      <w:tr w:rsidR="00861CDC" w:rsidRPr="00A36D30" w14:paraId="60D38C61"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85A3B2B"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89C9958" w14:textId="68A60188"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AB38BB4" w14:textId="7946E064"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0.017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5033DD9" w14:textId="1102A20A"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0.493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8689649" w14:textId="6D3901AA"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F5A2A16" w14:textId="59267AC3"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0.014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10D7757" w14:textId="6BD5D26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0.838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CA82D6E" w14:textId="2336315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0.880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AE3B339" w14:textId="6507F3B4"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C5F5884" w14:textId="47E940D8"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0.081</w:t>
            </w:r>
          </w:p>
        </w:tc>
      </w:tr>
      <w:tr w:rsidR="00861CDC" w:rsidRPr="00A36D30" w14:paraId="5CF3712D"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891D9C4"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E5C0799" w14:textId="268FD871"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B9C672D" w14:textId="79C2AEC8"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A2F0714" w14:textId="6A887B6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0.484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92F9362" w14:textId="5C03A22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0.160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1360007" w14:textId="24614DAA"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FABD5E5" w14:textId="2A45A10E"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0.817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39ABB9" w14:textId="5CFC829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0.842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57DCA07" w14:textId="1BE67B0C"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5BC1EB9" w14:textId="4014B133"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0.105</w:t>
            </w:r>
          </w:p>
        </w:tc>
      </w:tr>
      <w:tr w:rsidR="00861CDC" w:rsidRPr="00A36D30" w14:paraId="34CF42CC"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A0D27F1"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5C231FA" w14:textId="70706950"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0.471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6040D1A" w14:textId="14F6F269"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776AA6" w14:textId="72BF59B9"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0.474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44331BB" w14:textId="45FE1B63"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0.180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0D79B16" w14:textId="57046664"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0.035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A659820" w14:textId="13B9D0D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0.786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689C44A" w14:textId="6AD73CA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0.777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E3C1B5B" w14:textId="7280402F"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0.084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2F24F0B" w14:textId="63F64581"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0.139</w:t>
            </w:r>
          </w:p>
        </w:tc>
      </w:tr>
      <w:tr w:rsidR="00861CDC" w:rsidRPr="00A36D30" w14:paraId="08E3E05D"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6D8511A"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3AC48D6" w14:textId="62C534BC"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372ECEB" w14:textId="39E1C924"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AF7CF88" w14:textId="707C31E5"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0.465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FE17E48" w14:textId="76B050E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8B65CF5" w14:textId="3D5DEB47"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0.053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71903CF" w14:textId="01CF3E28"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0.745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5B4101D" w14:textId="193AED84"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0.727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7DB024D" w14:textId="73B7158B"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0.101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7F40EAE" w14:textId="487FF66D"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0.172</w:t>
            </w:r>
          </w:p>
        </w:tc>
      </w:tr>
      <w:tr w:rsidR="00861CDC" w:rsidRPr="00A36D30" w14:paraId="52E7BC92"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9239086"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46C5106" w14:textId="0BED348F"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A6D4632" w14:textId="2794D8E6"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0.091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D2ABF09" w14:textId="026B532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0.454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BEF9210" w14:textId="35D4B3EE"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0.215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0C348D4" w14:textId="1A268F83"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0.074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CDBEC2" w14:textId="5BD11638"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0.711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61C1F33" w14:textId="43CA2DB1"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0.647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FE5B1C7" w14:textId="2482CF3B"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9E21FB8" w14:textId="36CE30F9"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0.222</w:t>
            </w:r>
          </w:p>
        </w:tc>
      </w:tr>
      <w:tr w:rsidR="00861CDC" w:rsidRPr="00A36D30" w14:paraId="50683579"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F9A6056"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06E82A3" w14:textId="5F126B0D"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A964DF4" w14:textId="6F7C90C3"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3395FF5" w14:textId="403F7D81"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0.444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B2328F0" w14:textId="5494D2B4"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0.247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EE642C5" w14:textId="7CE469C7"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0.098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29C799F" w14:textId="5DA79394"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0.655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7F2C4EB" w14:textId="481C83A8"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0.589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7794463" w14:textId="5CC86BA9"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72415BB5" w14:textId="3E5C86FE"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0.264</w:t>
            </w:r>
          </w:p>
        </w:tc>
      </w:tr>
      <w:tr w:rsidR="00861CDC" w:rsidRPr="00A36D30" w14:paraId="775652A7" w14:textId="77777777" w:rsidTr="00A36D30">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5F50FECA" w14:textId="77777777" w:rsidR="00A36D30" w:rsidRPr="00A36D30" w:rsidRDefault="00A36D30" w:rsidP="00A36D30">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14B7B1A" w14:textId="76AE2EDA"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0.428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7BE7601" w14:textId="6D8F079D" w:rsidR="00A36D30" w:rsidRPr="00A36D30" w:rsidRDefault="00E6156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0.140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30C1CADF" w14:textId="4F038BD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0.431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1590A3EE" w14:textId="253D4FC2"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0.288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68EDAFE9" w14:textId="02DE0AA6"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1825E4E" w14:textId="33FDB7F3"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0.592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016895F4" w14:textId="166E9D7D" w:rsidR="00A36D30" w:rsidRPr="00E61568" w:rsidRDefault="00BE7333"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0.510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244D6D49" w14:textId="70D8BA32" w:rsidR="00A36D30" w:rsidRPr="00E61568" w:rsidRDefault="001C6678"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0.159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tcPr>
          <w:p w14:paraId="49665EF9" w14:textId="306104B0" w:rsidR="00A36D30" w:rsidRPr="00E61568" w:rsidRDefault="0068248C" w:rsidP="00A36D30">
            <w:pPr>
              <w:spacing w:after="0" w:line="240" w:lineRule="auto"/>
              <w:rPr>
                <w:rFonts w:ascii="Arial" w:eastAsia="Times New Roman" w:hAnsi="Arial" w:cs="Arial"/>
                <w:kern w:val="0"/>
                <w:lang w:eastAsia="es-ES"/>
                <w14:ligatures w14:val="none"/>
              </w:rPr>
            </w:pPr>
            <w:r>
              <w:rPr>
                <w:rFonts w:ascii="Arial" w:eastAsia="Times New Roman" w:hAnsi="Arial" w:cs="Arial"/>
                <w:kern w:val="0"/>
                <w:lang w:eastAsia="es-ES"/>
                <w14:ligatures w14:val="none"/>
              </w:rPr>
              <w:t>0.331</w:t>
            </w:r>
          </w:p>
        </w:tc>
      </w:tr>
    </w:tbl>
    <w:p w14:paraId="7AFD1F5C" w14:textId="77777777" w:rsidR="00A36D30" w:rsidRDefault="00A36D30" w:rsidP="001728C4">
      <w:pPr>
        <w:jc w:val="both"/>
        <w:rPr>
          <w:lang w:val="en-GB"/>
        </w:rPr>
      </w:pPr>
    </w:p>
    <w:p w14:paraId="5688CCFF" w14:textId="3D5BD025" w:rsidR="00EF7AF4" w:rsidRDefault="00EF7AF4" w:rsidP="001728C4">
      <w:pPr>
        <w:jc w:val="both"/>
        <w:rPr>
          <w:lang w:val="en-GB"/>
        </w:rPr>
      </w:pPr>
    </w:p>
    <w:p w14:paraId="071AD7B4" w14:textId="77777777" w:rsidR="00845E60" w:rsidRDefault="00845E60" w:rsidP="001728C4">
      <w:pPr>
        <w:jc w:val="both"/>
        <w:rPr>
          <w:lang w:val="en-GB"/>
        </w:rPr>
      </w:pPr>
    </w:p>
    <w:p w14:paraId="2AD916B8" w14:textId="3B7D49A4" w:rsidR="00845E60" w:rsidRPr="00E37972" w:rsidRDefault="00E37972" w:rsidP="001728C4">
      <w:pPr>
        <w:jc w:val="both"/>
        <w:rPr>
          <w:lang w:val="en-GB"/>
        </w:rPr>
      </w:pPr>
      <w:r w:rsidRPr="00E37972">
        <w:rPr>
          <w:lang w:val="en-GB"/>
        </w:rPr>
        <w:t>Standard uncertainties: u(T) = 0.1 K and u(x) = 0.019.</w:t>
      </w:r>
    </w:p>
    <w:p w14:paraId="5D6F47D7" w14:textId="1FF396D6" w:rsidR="001728C4" w:rsidRDefault="001728C4" w:rsidP="001728C4">
      <w:pPr>
        <w:jc w:val="both"/>
        <w:rPr>
          <w:rFonts w:ascii="Arial" w:hAnsi="Arial" w:cs="Arial"/>
          <w:lang w:val="en-GB"/>
        </w:rPr>
      </w:pPr>
      <w:r>
        <w:rPr>
          <w:rFonts w:ascii="Arial" w:hAnsi="Arial" w:cs="Arial"/>
          <w:lang w:val="en-GB"/>
        </w:rPr>
        <w:br w:type="page"/>
      </w:r>
    </w:p>
    <w:p w14:paraId="2AD6DF72" w14:textId="1E4A1CD1" w:rsidR="001728C4" w:rsidRDefault="00E37972" w:rsidP="001728C4">
      <w:pPr>
        <w:jc w:val="both"/>
        <w:rPr>
          <w:lang w:val="en-GB"/>
        </w:rPr>
      </w:pPr>
      <w:r w:rsidRPr="00E37972">
        <w:rPr>
          <w:lang w:val="en-GB"/>
        </w:rPr>
        <w:lastRenderedPageBreak/>
        <w:t xml:space="preserve">Table 2. Parameters of the Othmer−Tobias Correlation (a and b) and Correlation Coefficients (R²) for the System {Ac + </w:t>
      </w:r>
      <w:proofErr w:type="spellStart"/>
      <w:r w:rsidRPr="00E37972">
        <w:rPr>
          <w:lang w:val="en-GB"/>
        </w:rPr>
        <w:t>Sk</w:t>
      </w:r>
      <w:proofErr w:type="spellEnd"/>
      <w:r w:rsidRPr="00E37972">
        <w:rPr>
          <w:lang w:val="en-GB"/>
        </w:rPr>
        <w:t xml:space="preserve"> + </w:t>
      </w:r>
      <w:proofErr w:type="spellStart"/>
      <w:r w:rsidRPr="00E37972">
        <w:rPr>
          <w:lang w:val="en-GB"/>
        </w:rPr>
        <w:t>Gly</w:t>
      </w:r>
      <w:proofErr w:type="spellEnd"/>
      <w:r w:rsidRPr="00E37972">
        <w:rPr>
          <w:lang w:val="en-GB"/>
        </w:rPr>
        <w:t>}</w:t>
      </w:r>
    </w:p>
    <w:p w14:paraId="6951A472" w14:textId="77777777" w:rsidR="00E37972" w:rsidRDefault="00E37972" w:rsidP="001728C4">
      <w:pPr>
        <w:jc w:val="both"/>
        <w:rPr>
          <w:rFonts w:ascii="Arial" w:hAnsi="Arial" w:cs="Arial"/>
          <w:lang w:val="en-GB"/>
        </w:rPr>
      </w:pPr>
    </w:p>
    <w:tbl>
      <w:tblPr>
        <w:tblW w:w="5000" w:type="pct"/>
        <w:tblCellMar>
          <w:top w:w="15" w:type="dxa"/>
          <w:left w:w="15" w:type="dxa"/>
          <w:bottom w:w="15" w:type="dxa"/>
          <w:right w:w="15" w:type="dxa"/>
        </w:tblCellMar>
        <w:tblLook w:val="04A0" w:firstRow="1" w:lastRow="0" w:firstColumn="1" w:lastColumn="0" w:noHBand="0" w:noVBand="1"/>
      </w:tblPr>
      <w:tblGrid>
        <w:gridCol w:w="1857"/>
        <w:gridCol w:w="2327"/>
        <w:gridCol w:w="2152"/>
        <w:gridCol w:w="2152"/>
      </w:tblGrid>
      <w:tr w:rsidR="00EF7AF4" w:rsidRPr="00EF7AF4" w14:paraId="01775C72" w14:textId="77777777" w:rsidTr="00EF7AF4">
        <w:trPr>
          <w:tblHeader/>
        </w:trPr>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46B9D64B" w14:textId="77777777"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T/K</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625EE39F" w14:textId="77777777"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a</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6D4F2593" w14:textId="77777777"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b</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106157F0" w14:textId="77777777"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R²</w:t>
            </w:r>
          </w:p>
        </w:tc>
      </w:tr>
      <w:tr w:rsidR="00EF7AF4" w:rsidRPr="00EF7AF4" w14:paraId="35010838"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B22351D"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303.2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A5C801D"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-0.5376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9ABB106"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0.5587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AB320E0"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0.9858</w:t>
            </w:r>
          </w:p>
        </w:tc>
      </w:tr>
      <w:tr w:rsidR="00EF7AF4" w:rsidRPr="00EF7AF4" w14:paraId="79F746BD"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3A513D4"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313.2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EF66A6E"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-0.6237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E5DE38F"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0.4639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2EFF0D6"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0.9941</w:t>
            </w:r>
          </w:p>
        </w:tc>
      </w:tr>
      <w:tr w:rsidR="00EF7AF4" w:rsidRPr="00EF7AF4" w14:paraId="43AB9BA1"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E61AA63"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323.2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3D256D5"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-0.6835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759EC10"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0.4250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FC214FB"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0.9901</w:t>
            </w:r>
          </w:p>
        </w:tc>
      </w:tr>
    </w:tbl>
    <w:p w14:paraId="58F6F9D2" w14:textId="77777777" w:rsidR="005B7899" w:rsidRPr="005B7899" w:rsidRDefault="005B7899" w:rsidP="001728C4">
      <w:pPr>
        <w:jc w:val="both"/>
      </w:pPr>
    </w:p>
    <w:p w14:paraId="1046E405" w14:textId="49F1C8E5" w:rsidR="001728C4" w:rsidRPr="005B7899" w:rsidRDefault="001728C4" w:rsidP="001728C4">
      <w:pPr>
        <w:jc w:val="both"/>
      </w:pPr>
      <w:r w:rsidRPr="005B7899">
        <w:br w:type="page"/>
      </w:r>
    </w:p>
    <w:p w14:paraId="0AA651DC" w14:textId="439DA3CB" w:rsidR="001728C4" w:rsidRPr="001728C4" w:rsidRDefault="00E37972" w:rsidP="001728C4">
      <w:pPr>
        <w:jc w:val="both"/>
        <w:rPr>
          <w:lang w:val="en-GB"/>
        </w:rPr>
      </w:pPr>
      <w:r w:rsidRPr="00E37972">
        <w:rPr>
          <w:lang w:val="en-GB"/>
        </w:rPr>
        <w:lastRenderedPageBreak/>
        <w:t xml:space="preserve">Table 3. Optimization of the </w:t>
      </w:r>
      <w:proofErr w:type="spellStart"/>
      <w:r w:rsidRPr="00E37972">
        <w:rPr>
          <w:lang w:val="en-GB"/>
        </w:rPr>
        <w:t>Nonrandom</w:t>
      </w:r>
      <w:proofErr w:type="spellEnd"/>
      <w:r w:rsidRPr="00E37972">
        <w:rPr>
          <w:lang w:val="en-GB"/>
        </w:rPr>
        <w:t xml:space="preserve"> Binary Interaction Parameters α_</w:t>
      </w:r>
      <w:proofErr w:type="spellStart"/>
      <w:r w:rsidRPr="00E37972">
        <w:rPr>
          <w:lang w:val="en-GB"/>
        </w:rPr>
        <w:t>ij</w:t>
      </w:r>
      <w:proofErr w:type="spellEnd"/>
      <w:r w:rsidRPr="00E37972">
        <w:rPr>
          <w:lang w:val="en-GB"/>
        </w:rPr>
        <w:t xml:space="preserve"> at 303.2 K</w:t>
      </w:r>
    </w:p>
    <w:tbl>
      <w:tblPr>
        <w:tblW w:w="5000" w:type="pct"/>
        <w:tblCellMar>
          <w:top w:w="15" w:type="dxa"/>
          <w:left w:w="15" w:type="dxa"/>
          <w:bottom w:w="15" w:type="dxa"/>
          <w:right w:w="15" w:type="dxa"/>
        </w:tblCellMar>
        <w:tblLook w:val="04A0" w:firstRow="1" w:lastRow="0" w:firstColumn="1" w:lastColumn="0" w:noHBand="0" w:noVBand="1"/>
      </w:tblPr>
      <w:tblGrid>
        <w:gridCol w:w="3061"/>
        <w:gridCol w:w="1240"/>
        <w:gridCol w:w="1240"/>
        <w:gridCol w:w="1240"/>
        <w:gridCol w:w="1707"/>
      </w:tblGrid>
      <w:tr w:rsidR="00EF7AF4" w:rsidRPr="00EF7AF4" w14:paraId="464452AE" w14:textId="77777777" w:rsidTr="00EF7AF4">
        <w:trPr>
          <w:tblHeader/>
        </w:trPr>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3FEB4B42" w14:textId="07311975"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α</w:t>
            </w:r>
            <w:proofErr w:type="spellStart"/>
            <w:r w:rsidRPr="00EF7AF4">
              <w:rPr>
                <w:rFonts w:ascii="Arial" w:eastAsia="Times New Roman" w:hAnsi="Arial" w:cs="Arial"/>
                <w:b/>
                <w:bCs/>
                <w:kern w:val="0"/>
                <w:vertAlign w:val="subscript"/>
                <w:lang w:eastAsia="es-ES"/>
                <w14:ligatures w14:val="none"/>
              </w:rPr>
              <w:t>ij</w:t>
            </w:r>
            <w:proofErr w:type="spellEnd"/>
            <w:r w:rsidRPr="00EF7AF4">
              <w:rPr>
                <w:rFonts w:ascii="Arial" w:eastAsia="Times New Roman" w:hAnsi="Arial" w:cs="Arial"/>
                <w:b/>
                <w:bCs/>
                <w:kern w:val="0"/>
                <w:vertAlign w:val="subscript"/>
                <w:lang w:eastAsia="es-ES"/>
                <w14:ligatures w14:val="none"/>
              </w:rPr>
              <w:t xml:space="preserve"> </w:t>
            </w:r>
            <w:proofErr w:type="spellStart"/>
            <w:r w:rsidRPr="00EF7AF4">
              <w:rPr>
                <w:rFonts w:ascii="Arial" w:eastAsia="Times New Roman" w:hAnsi="Arial" w:cs="Arial"/>
                <w:b/>
                <w:bCs/>
                <w:kern w:val="0"/>
                <w:lang w:eastAsia="es-ES"/>
                <w14:ligatures w14:val="none"/>
              </w:rPr>
              <w:t>regression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40B301C3" w14:textId="01AA5D46"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α</w:t>
            </w:r>
            <w:r w:rsidRPr="00EF7AF4">
              <w:rPr>
                <w:rFonts w:ascii="Arial" w:eastAsia="Times New Roman" w:hAnsi="Arial" w:cs="Arial"/>
                <w:b/>
                <w:bCs/>
                <w:kern w:val="0"/>
                <w:vertAlign w:val="subscript"/>
                <w:lang w:eastAsia="es-ES"/>
                <w14:ligatures w14:val="none"/>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2E576710" w14:textId="7FC8E9A4"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α</w:t>
            </w:r>
            <w:r w:rsidRPr="00EF7AF4">
              <w:rPr>
                <w:rFonts w:ascii="Arial" w:eastAsia="Times New Roman" w:hAnsi="Arial" w:cs="Arial"/>
                <w:b/>
                <w:bCs/>
                <w:kern w:val="0"/>
                <w:vertAlign w:val="subscript"/>
                <w:lang w:eastAsia="es-ES"/>
                <w14:ligatures w14:val="none"/>
              </w:rPr>
              <w:t>13</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6A19A6C1" w14:textId="59B84704" w:rsidR="00EF7AF4" w:rsidRPr="00EF7AF4" w:rsidRDefault="00EF7AF4" w:rsidP="00EF7AF4">
            <w:pPr>
              <w:spacing w:after="0" w:line="240" w:lineRule="auto"/>
              <w:rPr>
                <w:rFonts w:ascii="Arial" w:eastAsia="Times New Roman" w:hAnsi="Arial" w:cs="Arial"/>
                <w:b/>
                <w:bCs/>
                <w:kern w:val="0"/>
                <w:lang w:eastAsia="es-ES"/>
                <w14:ligatures w14:val="none"/>
              </w:rPr>
            </w:pPr>
            <w:r w:rsidRPr="00EF7AF4">
              <w:rPr>
                <w:rFonts w:ascii="Arial" w:eastAsia="Times New Roman" w:hAnsi="Arial" w:cs="Arial"/>
                <w:b/>
                <w:bCs/>
                <w:kern w:val="0"/>
                <w:lang w:eastAsia="es-ES"/>
                <w14:ligatures w14:val="none"/>
              </w:rPr>
              <w:t>α</w:t>
            </w:r>
            <w:r w:rsidRPr="00EF7AF4">
              <w:rPr>
                <w:rFonts w:ascii="Arial" w:eastAsia="Times New Roman" w:hAnsi="Arial" w:cs="Arial"/>
                <w:b/>
                <w:bCs/>
                <w:kern w:val="0"/>
                <w:vertAlign w:val="subscript"/>
                <w:lang w:eastAsia="es-ES"/>
                <w14:ligatures w14:val="none"/>
              </w:rPr>
              <w:t>23</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751F2110" w14:textId="77777777" w:rsidR="00EF7AF4" w:rsidRPr="00EF7AF4" w:rsidRDefault="00EF7AF4" w:rsidP="00EF7AF4">
            <w:pPr>
              <w:spacing w:after="0" w:line="240" w:lineRule="auto"/>
              <w:rPr>
                <w:rFonts w:ascii="Arial" w:eastAsia="Times New Roman" w:hAnsi="Arial" w:cs="Arial"/>
                <w:b/>
                <w:bCs/>
                <w:kern w:val="0"/>
                <w:lang w:eastAsia="es-ES"/>
                <w14:ligatures w14:val="none"/>
              </w:rPr>
            </w:pPr>
            <w:proofErr w:type="spellStart"/>
            <w:r w:rsidRPr="00EF7AF4">
              <w:rPr>
                <w:rFonts w:ascii="Arial" w:eastAsia="Times New Roman" w:hAnsi="Arial" w:cs="Arial"/>
                <w:b/>
                <w:bCs/>
                <w:kern w:val="0"/>
                <w:lang w:eastAsia="es-ES"/>
                <w14:ligatures w14:val="none"/>
              </w:rPr>
              <w:t>rmsd</w:t>
            </w:r>
            <w:proofErr w:type="spellEnd"/>
          </w:p>
        </w:tc>
      </w:tr>
      <w:tr w:rsidR="00EF7AF4" w:rsidRPr="00EF7AF4" w14:paraId="32C294DF"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624BE65"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AA8F2B9"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E74685F"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2D4AABA"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3A66D79"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0.0078</w:t>
            </w:r>
          </w:p>
        </w:tc>
      </w:tr>
      <w:tr w:rsidR="00EF7AF4" w:rsidRPr="00EF7AF4" w14:paraId="1962B0BB"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DD607A6"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6F066F0"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FA9D3F1"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134745C"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4609C8D"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0.0068</w:t>
            </w:r>
          </w:p>
        </w:tc>
      </w:tr>
      <w:tr w:rsidR="00EF7AF4" w:rsidRPr="00EF7AF4" w14:paraId="2767395D"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A22BD43"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1C3B08C"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B58B26A"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4C17841"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D2F373F"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0.0050</w:t>
            </w:r>
          </w:p>
        </w:tc>
      </w:tr>
      <w:tr w:rsidR="00EF7AF4" w:rsidRPr="00EF7AF4" w14:paraId="0AD21DEE"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E107795"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8C85DF5"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9C936C6"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74741AB"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3AEFAA4"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0.0057</w:t>
            </w:r>
          </w:p>
        </w:tc>
      </w:tr>
      <w:tr w:rsidR="00EF7AF4" w:rsidRPr="00EF7AF4" w14:paraId="5B3DA4A7"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9D2D75A"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89C71C2"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4C5060D"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586141D"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3BE6BE3"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0.0069</w:t>
            </w:r>
          </w:p>
        </w:tc>
      </w:tr>
      <w:tr w:rsidR="00EF7AF4" w:rsidRPr="00EF7AF4" w14:paraId="1284F20D"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6E2758E"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8C4AF17"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C7DCB6A"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0F174FB"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A218200"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0.0075</w:t>
            </w:r>
          </w:p>
        </w:tc>
      </w:tr>
      <w:tr w:rsidR="00EF7AF4" w:rsidRPr="00EF7AF4" w14:paraId="68152294"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1468B1B"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fixed</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A534EFE"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90A4B5A"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AF996CF"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41B583E"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0.0056</w:t>
            </w:r>
          </w:p>
        </w:tc>
      </w:tr>
      <w:tr w:rsidR="00EF7AF4" w:rsidRPr="00EF7AF4" w14:paraId="3CF9AA26" w14:textId="77777777" w:rsidTr="00EF7AF4">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DDC82BA" w14:textId="77777777" w:rsidR="00EF7AF4" w:rsidRPr="00EF7AF4" w:rsidRDefault="00EF7AF4" w:rsidP="00EF7AF4">
            <w:pPr>
              <w:spacing w:after="0" w:line="240" w:lineRule="auto"/>
              <w:rPr>
                <w:rFonts w:ascii="Arial" w:eastAsia="Times New Roman" w:hAnsi="Arial" w:cs="Arial"/>
                <w:kern w:val="0"/>
                <w:lang w:eastAsia="es-ES"/>
                <w14:ligatures w14:val="none"/>
              </w:rPr>
            </w:pPr>
            <w:proofErr w:type="spellStart"/>
            <w:r w:rsidRPr="00EF7AF4">
              <w:rPr>
                <w:rFonts w:ascii="Arial" w:eastAsia="Times New Roman" w:hAnsi="Arial" w:cs="Arial"/>
                <w:kern w:val="0"/>
                <w:lang w:eastAsia="es-ES"/>
                <w14:ligatures w14:val="none"/>
              </w:rPr>
              <w:t>floating</w:t>
            </w:r>
            <w:proofErr w:type="spellEnd"/>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F8FCFD1"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0.18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B24723F"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0.29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03FB540"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0.19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7193457" w14:textId="77777777" w:rsidR="00EF7AF4" w:rsidRPr="00EF7AF4" w:rsidRDefault="00EF7AF4" w:rsidP="00EF7AF4">
            <w:pPr>
              <w:spacing w:after="0" w:line="240" w:lineRule="auto"/>
              <w:rPr>
                <w:rFonts w:ascii="Arial" w:eastAsia="Times New Roman" w:hAnsi="Arial" w:cs="Arial"/>
                <w:kern w:val="0"/>
                <w:lang w:eastAsia="es-ES"/>
                <w14:ligatures w14:val="none"/>
              </w:rPr>
            </w:pPr>
            <w:r w:rsidRPr="00EF7AF4">
              <w:rPr>
                <w:rFonts w:ascii="Arial" w:eastAsia="Times New Roman" w:hAnsi="Arial" w:cs="Arial"/>
                <w:kern w:val="0"/>
                <w:lang w:eastAsia="es-ES"/>
                <w14:ligatures w14:val="none"/>
              </w:rPr>
              <w:t>0.0048</w:t>
            </w:r>
          </w:p>
        </w:tc>
      </w:tr>
    </w:tbl>
    <w:p w14:paraId="6E23CF5B" w14:textId="77777777" w:rsidR="005B7899" w:rsidRDefault="005B7899" w:rsidP="001728C4">
      <w:pPr>
        <w:jc w:val="both"/>
        <w:rPr>
          <w:rFonts w:ascii="Arial" w:hAnsi="Arial" w:cs="Arial"/>
          <w:lang w:val="en-GB"/>
        </w:rPr>
      </w:pPr>
    </w:p>
    <w:p w14:paraId="4376539F" w14:textId="77777777" w:rsidR="005B7899" w:rsidRDefault="005B7899" w:rsidP="001728C4">
      <w:pPr>
        <w:jc w:val="both"/>
        <w:rPr>
          <w:rFonts w:ascii="Arial" w:hAnsi="Arial" w:cs="Arial"/>
          <w:lang w:val="en-GB"/>
        </w:rPr>
      </w:pPr>
    </w:p>
    <w:p w14:paraId="282DB6CF" w14:textId="77777777" w:rsidR="005B7899" w:rsidRDefault="005B7899" w:rsidP="001728C4">
      <w:pPr>
        <w:jc w:val="both"/>
        <w:rPr>
          <w:rFonts w:ascii="Arial" w:hAnsi="Arial" w:cs="Arial"/>
          <w:lang w:val="en-GB"/>
        </w:rPr>
      </w:pPr>
    </w:p>
    <w:p w14:paraId="1209BDEE" w14:textId="77777777" w:rsidR="005B7899" w:rsidRDefault="005B7899" w:rsidP="001728C4">
      <w:pPr>
        <w:jc w:val="both"/>
        <w:rPr>
          <w:rFonts w:ascii="Arial" w:hAnsi="Arial" w:cs="Arial"/>
          <w:lang w:val="en-GB"/>
        </w:rPr>
      </w:pPr>
    </w:p>
    <w:p w14:paraId="195D70A8" w14:textId="7CCAFAF0" w:rsidR="001728C4" w:rsidRDefault="001728C4" w:rsidP="001728C4">
      <w:pPr>
        <w:jc w:val="both"/>
        <w:rPr>
          <w:rFonts w:ascii="Arial" w:hAnsi="Arial" w:cs="Arial"/>
          <w:lang w:val="en-GB"/>
        </w:rPr>
      </w:pPr>
      <w:r>
        <w:rPr>
          <w:rFonts w:ascii="Arial" w:hAnsi="Arial" w:cs="Arial"/>
          <w:lang w:val="en-GB"/>
        </w:rPr>
        <w:br w:type="page"/>
      </w:r>
    </w:p>
    <w:p w14:paraId="0080BC37" w14:textId="1C92AD05" w:rsidR="00487CFD" w:rsidRDefault="00E37972" w:rsidP="00487CFD">
      <w:pPr>
        <w:jc w:val="both"/>
        <w:rPr>
          <w:rFonts w:ascii="Arial" w:hAnsi="Arial" w:cs="Arial"/>
          <w:lang w:val="en-GB"/>
        </w:rPr>
      </w:pPr>
      <w:r w:rsidRPr="00E37972">
        <w:rPr>
          <w:lang w:val="en-GB"/>
        </w:rPr>
        <w:lastRenderedPageBreak/>
        <w:t xml:space="preserve">Table 4. Values of the NRTL Binary Interaction Parameters Obtained from the LLE Data by Regression for the System {Ac + </w:t>
      </w:r>
      <w:proofErr w:type="spellStart"/>
      <w:r w:rsidRPr="00E37972">
        <w:rPr>
          <w:lang w:val="en-GB"/>
        </w:rPr>
        <w:t>Sk</w:t>
      </w:r>
      <w:proofErr w:type="spellEnd"/>
      <w:r w:rsidRPr="00E37972">
        <w:rPr>
          <w:lang w:val="en-GB"/>
        </w:rPr>
        <w:t xml:space="preserve"> + </w:t>
      </w:r>
      <w:proofErr w:type="spellStart"/>
      <w:r w:rsidRPr="00E37972">
        <w:rPr>
          <w:lang w:val="en-GB"/>
        </w:rPr>
        <w:t>Gly</w:t>
      </w:r>
      <w:proofErr w:type="spellEnd"/>
      <w:r w:rsidRPr="00E37972">
        <w:rPr>
          <w:lang w:val="en-GB"/>
        </w:rPr>
        <w:t>}</w:t>
      </w:r>
    </w:p>
    <w:p w14:paraId="41D27E01" w14:textId="77777777" w:rsidR="00487CFD" w:rsidRDefault="00487CFD" w:rsidP="00487CFD">
      <w:pPr>
        <w:jc w:val="both"/>
        <w:rPr>
          <w:rFonts w:ascii="Arial" w:hAnsi="Arial" w:cs="Arial"/>
          <w:lang w:val="en-GB"/>
        </w:rPr>
      </w:pPr>
    </w:p>
    <w:tbl>
      <w:tblPr>
        <w:tblW w:w="5000" w:type="pct"/>
        <w:tblCellMar>
          <w:top w:w="15" w:type="dxa"/>
          <w:left w:w="15" w:type="dxa"/>
          <w:bottom w:w="15" w:type="dxa"/>
          <w:right w:w="15" w:type="dxa"/>
        </w:tblCellMar>
        <w:tblLook w:val="04A0" w:firstRow="1" w:lastRow="0" w:firstColumn="1" w:lastColumn="0" w:noHBand="0" w:noVBand="1"/>
      </w:tblPr>
      <w:tblGrid>
        <w:gridCol w:w="912"/>
        <w:gridCol w:w="2221"/>
        <w:gridCol w:w="623"/>
        <w:gridCol w:w="1837"/>
        <w:gridCol w:w="1837"/>
        <w:gridCol w:w="1058"/>
      </w:tblGrid>
      <w:tr w:rsidR="000D09F8" w:rsidRPr="000D09F8" w14:paraId="154730C0" w14:textId="77777777" w:rsidTr="000D09F8">
        <w:trPr>
          <w:tblHeader/>
        </w:trPr>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0863DABF" w14:textId="77777777" w:rsidR="000D09F8" w:rsidRPr="000D09F8" w:rsidRDefault="000D09F8" w:rsidP="000D09F8">
            <w:pPr>
              <w:spacing w:after="0" w:line="240" w:lineRule="auto"/>
              <w:rPr>
                <w:rFonts w:ascii="Arial" w:eastAsia="Times New Roman" w:hAnsi="Arial" w:cs="Arial"/>
                <w:b/>
                <w:bCs/>
                <w:kern w:val="0"/>
                <w:lang w:eastAsia="es-ES"/>
                <w14:ligatures w14:val="none"/>
              </w:rPr>
            </w:pPr>
            <w:r w:rsidRPr="000D09F8">
              <w:rPr>
                <w:rFonts w:ascii="Arial" w:eastAsia="Times New Roman" w:hAnsi="Arial" w:cs="Arial"/>
                <w:b/>
                <w:bCs/>
                <w:kern w:val="0"/>
                <w:lang w:eastAsia="es-ES"/>
                <w14:ligatures w14:val="none"/>
              </w:rPr>
              <w:t>T/K</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79CB73ED" w14:textId="77777777" w:rsidR="000D09F8" w:rsidRPr="000D09F8" w:rsidRDefault="000D09F8" w:rsidP="000D09F8">
            <w:pPr>
              <w:spacing w:after="0" w:line="240" w:lineRule="auto"/>
              <w:rPr>
                <w:rFonts w:ascii="Arial" w:eastAsia="Times New Roman" w:hAnsi="Arial" w:cs="Arial"/>
                <w:b/>
                <w:bCs/>
                <w:kern w:val="0"/>
                <w:lang w:eastAsia="es-ES"/>
                <w14:ligatures w14:val="none"/>
              </w:rPr>
            </w:pPr>
            <w:proofErr w:type="spellStart"/>
            <w:r w:rsidRPr="000D09F8">
              <w:rPr>
                <w:rFonts w:ascii="Arial" w:eastAsia="Times New Roman" w:hAnsi="Arial" w:cs="Arial"/>
                <w:b/>
                <w:bCs/>
                <w:kern w:val="0"/>
                <w:lang w:eastAsia="es-ES"/>
                <w14:ligatures w14:val="none"/>
              </w:rPr>
              <w:t>Components</w:t>
            </w:r>
            <w:proofErr w:type="spellEnd"/>
            <w:r w:rsidRPr="000D09F8">
              <w:rPr>
                <w:rFonts w:ascii="Arial" w:eastAsia="Times New Roman" w:hAnsi="Arial" w:cs="Arial"/>
                <w:b/>
                <w:bCs/>
                <w:kern w:val="0"/>
                <w:lang w:eastAsia="es-ES"/>
                <w14:ligatures w14:val="none"/>
              </w:rPr>
              <w:t xml:space="preserve"> i−j</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0D2B4130" w14:textId="447CB0F2" w:rsidR="000D09F8" w:rsidRPr="000D09F8" w:rsidRDefault="000D09F8" w:rsidP="000D09F8">
            <w:pPr>
              <w:spacing w:after="0" w:line="240" w:lineRule="auto"/>
              <w:rPr>
                <w:rFonts w:ascii="Arial" w:eastAsia="Times New Roman" w:hAnsi="Arial" w:cs="Arial"/>
                <w:b/>
                <w:bCs/>
                <w:kern w:val="0"/>
                <w:lang w:eastAsia="es-ES"/>
                <w14:ligatures w14:val="none"/>
              </w:rPr>
            </w:pPr>
            <w:r w:rsidRPr="000D09F8">
              <w:rPr>
                <w:rFonts w:ascii="Arial" w:eastAsia="Times New Roman" w:hAnsi="Arial" w:cs="Arial"/>
                <w:b/>
                <w:bCs/>
                <w:kern w:val="0"/>
                <w:lang w:eastAsia="es-ES"/>
                <w14:ligatures w14:val="none"/>
              </w:rPr>
              <w:t>α</w:t>
            </w:r>
            <w:proofErr w:type="spellStart"/>
            <w:r w:rsidRPr="000D09F8">
              <w:rPr>
                <w:rFonts w:ascii="Arial" w:eastAsia="Times New Roman" w:hAnsi="Arial" w:cs="Arial"/>
                <w:b/>
                <w:bCs/>
                <w:kern w:val="0"/>
                <w:vertAlign w:val="subscript"/>
                <w:lang w:eastAsia="es-ES"/>
                <w14:ligatures w14:val="none"/>
              </w:rPr>
              <w:t>ij</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4F708C1A" w14:textId="7E9D1FBB" w:rsidR="000D09F8" w:rsidRPr="000D09F8" w:rsidRDefault="000D09F8" w:rsidP="000D09F8">
            <w:pPr>
              <w:spacing w:after="0" w:line="240" w:lineRule="auto"/>
              <w:rPr>
                <w:rFonts w:ascii="Arial" w:eastAsia="Times New Roman" w:hAnsi="Arial" w:cs="Arial"/>
                <w:b/>
                <w:bCs/>
                <w:kern w:val="0"/>
                <w:lang w:eastAsia="es-ES"/>
                <w14:ligatures w14:val="none"/>
              </w:rPr>
            </w:pPr>
            <w:proofErr w:type="spellStart"/>
            <w:r w:rsidRPr="000D09F8">
              <w:rPr>
                <w:rFonts w:ascii="Arial" w:eastAsia="Times New Roman" w:hAnsi="Arial" w:cs="Arial"/>
                <w:b/>
                <w:bCs/>
                <w:kern w:val="0"/>
                <w:lang w:eastAsia="es-ES"/>
                <w14:ligatures w14:val="none"/>
              </w:rPr>
              <w:t>Δg</w:t>
            </w:r>
            <w:r w:rsidRPr="000D09F8">
              <w:rPr>
                <w:rFonts w:ascii="Arial" w:eastAsia="Times New Roman" w:hAnsi="Arial" w:cs="Arial"/>
                <w:b/>
                <w:bCs/>
                <w:kern w:val="0"/>
                <w:vertAlign w:val="subscript"/>
                <w:lang w:eastAsia="es-ES"/>
                <w14:ligatures w14:val="none"/>
              </w:rPr>
              <w:t>ij</w:t>
            </w:r>
            <w:proofErr w:type="spellEnd"/>
            <w:r w:rsidRPr="000D09F8">
              <w:rPr>
                <w:rFonts w:ascii="Arial" w:eastAsia="Times New Roman" w:hAnsi="Arial" w:cs="Arial"/>
                <w:b/>
                <w:bCs/>
                <w:kern w:val="0"/>
                <w:lang w:eastAsia="es-ES"/>
                <w14:ligatures w14:val="none"/>
              </w:rPr>
              <w:t xml:space="preserve"> (J·mol</w:t>
            </w:r>
            <w:r w:rsidRPr="000D09F8">
              <w:rPr>
                <w:rFonts w:ascii="Cambria Math" w:eastAsia="Times New Roman" w:hAnsi="Cambria Math" w:cs="Cambria Math"/>
                <w:b/>
                <w:bCs/>
                <w:kern w:val="0"/>
                <w:lang w:eastAsia="es-ES"/>
                <w14:ligatures w14:val="none"/>
              </w:rPr>
              <w:t>⁻</w:t>
            </w:r>
            <w:r w:rsidRPr="000D09F8">
              <w:rPr>
                <w:rFonts w:ascii="Arial" w:eastAsia="Times New Roman" w:hAnsi="Arial" w:cs="Arial"/>
                <w:b/>
                <w:bCs/>
                <w:kern w:val="0"/>
                <w:lang w:eastAsia="es-ES"/>
                <w14:ligatures w14:val="none"/>
              </w:rPr>
              <w:t>¹)</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2BBBAE18" w14:textId="6CD757BF" w:rsidR="000D09F8" w:rsidRPr="000D09F8" w:rsidRDefault="000D09F8" w:rsidP="000D09F8">
            <w:pPr>
              <w:spacing w:after="0" w:line="240" w:lineRule="auto"/>
              <w:rPr>
                <w:rFonts w:ascii="Arial" w:eastAsia="Times New Roman" w:hAnsi="Arial" w:cs="Arial"/>
                <w:b/>
                <w:bCs/>
                <w:kern w:val="0"/>
                <w:lang w:eastAsia="es-ES"/>
                <w14:ligatures w14:val="none"/>
              </w:rPr>
            </w:pPr>
            <w:proofErr w:type="spellStart"/>
            <w:r w:rsidRPr="000D09F8">
              <w:rPr>
                <w:rFonts w:ascii="Arial" w:eastAsia="Times New Roman" w:hAnsi="Arial" w:cs="Arial"/>
                <w:b/>
                <w:bCs/>
                <w:kern w:val="0"/>
                <w:lang w:eastAsia="es-ES"/>
                <w14:ligatures w14:val="none"/>
              </w:rPr>
              <w:t>Δg</w:t>
            </w:r>
            <w:r w:rsidRPr="000D09F8">
              <w:rPr>
                <w:rFonts w:ascii="Arial" w:eastAsia="Times New Roman" w:hAnsi="Arial" w:cs="Arial"/>
                <w:b/>
                <w:bCs/>
                <w:kern w:val="0"/>
                <w:vertAlign w:val="subscript"/>
                <w:lang w:eastAsia="es-ES"/>
                <w14:ligatures w14:val="none"/>
              </w:rPr>
              <w:t>ji</w:t>
            </w:r>
            <w:proofErr w:type="spellEnd"/>
            <w:r w:rsidRPr="000D09F8">
              <w:rPr>
                <w:rFonts w:ascii="Arial" w:eastAsia="Times New Roman" w:hAnsi="Arial" w:cs="Arial"/>
                <w:b/>
                <w:bCs/>
                <w:kern w:val="0"/>
                <w:lang w:eastAsia="es-ES"/>
                <w14:ligatures w14:val="none"/>
              </w:rPr>
              <w:t xml:space="preserve"> (J·mol</w:t>
            </w:r>
            <w:r w:rsidRPr="000D09F8">
              <w:rPr>
                <w:rFonts w:ascii="Cambria Math" w:eastAsia="Times New Roman" w:hAnsi="Cambria Math" w:cs="Cambria Math"/>
                <w:b/>
                <w:bCs/>
                <w:kern w:val="0"/>
                <w:lang w:eastAsia="es-ES"/>
                <w14:ligatures w14:val="none"/>
              </w:rPr>
              <w:t>⁻</w:t>
            </w:r>
            <w:r w:rsidRPr="000D09F8">
              <w:rPr>
                <w:rFonts w:ascii="Arial" w:eastAsia="Times New Roman" w:hAnsi="Arial" w:cs="Arial"/>
                <w:b/>
                <w:bCs/>
                <w:kern w:val="0"/>
                <w:lang w:eastAsia="es-ES"/>
                <w14:ligatures w14:val="none"/>
              </w:rPr>
              <w:t>¹)</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vAlign w:val="center"/>
            <w:hideMark/>
          </w:tcPr>
          <w:p w14:paraId="5A1290BB" w14:textId="77777777" w:rsidR="000D09F8" w:rsidRPr="000D09F8" w:rsidRDefault="000D09F8" w:rsidP="000D09F8">
            <w:pPr>
              <w:spacing w:after="0" w:line="240" w:lineRule="auto"/>
              <w:rPr>
                <w:rFonts w:ascii="Arial" w:eastAsia="Times New Roman" w:hAnsi="Arial" w:cs="Arial"/>
                <w:b/>
                <w:bCs/>
                <w:kern w:val="0"/>
                <w:lang w:eastAsia="es-ES"/>
                <w14:ligatures w14:val="none"/>
              </w:rPr>
            </w:pPr>
            <w:proofErr w:type="spellStart"/>
            <w:r w:rsidRPr="000D09F8">
              <w:rPr>
                <w:rFonts w:ascii="Arial" w:eastAsia="Times New Roman" w:hAnsi="Arial" w:cs="Arial"/>
                <w:b/>
                <w:bCs/>
                <w:kern w:val="0"/>
                <w:lang w:eastAsia="es-ES"/>
                <w14:ligatures w14:val="none"/>
              </w:rPr>
              <w:t>rmsd</w:t>
            </w:r>
            <w:proofErr w:type="spellEnd"/>
          </w:p>
        </w:tc>
      </w:tr>
      <w:tr w:rsidR="000D09F8" w:rsidRPr="000D09F8" w14:paraId="7950FAA5"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725EEEB"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303.2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54B9DEA"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0F5ED1B"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595E924"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−9652.28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31DFD18"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3933.58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0835496"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0.0050</w:t>
            </w:r>
          </w:p>
        </w:tc>
      </w:tr>
      <w:tr w:rsidR="000D09F8" w:rsidRPr="000D09F8" w14:paraId="03A0F31E"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2AC8B65" w14:textId="77777777" w:rsidR="000D09F8" w:rsidRPr="000D09F8" w:rsidRDefault="000D09F8" w:rsidP="000D09F8">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06C7A7C"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CA3A3E3"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CD32830"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−5578.47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BB9827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11131.17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6CFF96F"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r w:rsidR="000D09F8" w:rsidRPr="000D09F8" w14:paraId="45C01C42"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09B6691" w14:textId="77777777" w:rsidR="000D09F8" w:rsidRPr="000D09F8" w:rsidRDefault="000D09F8" w:rsidP="000D09F8">
            <w:pPr>
              <w:spacing w:after="0" w:line="240" w:lineRule="auto"/>
              <w:rPr>
                <w:rFonts w:ascii="Times New Roman" w:eastAsia="Times New Roman" w:hAnsi="Times New Roman" w:cs="Times New Roman"/>
                <w:kern w:val="0"/>
                <w:sz w:val="20"/>
                <w:szCs w:val="2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4BAAA01"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818E6B1"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E56F7BB"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−13864.14</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96A9C32"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1017.30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9F70D24"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r w:rsidR="000D09F8" w:rsidRPr="000D09F8" w14:paraId="2AA55321"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608E551"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313.2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E52505B"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6E19DA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86B0842"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9025.11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D28A2F9"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−6041.48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B00D983"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0.0047</w:t>
            </w:r>
          </w:p>
        </w:tc>
      </w:tr>
      <w:tr w:rsidR="000D09F8" w:rsidRPr="000D09F8" w14:paraId="408BC967"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372D8FB" w14:textId="77777777" w:rsidR="000D09F8" w:rsidRPr="000D09F8" w:rsidRDefault="000D09F8" w:rsidP="000D09F8">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7FACD4F"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BA3050C"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80583C9"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5668.88</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69D9B7A"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11050.19</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76248B2"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r w:rsidR="000D09F8" w:rsidRPr="000D09F8" w14:paraId="700CDC53"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DBA4E1B" w14:textId="77777777" w:rsidR="000D09F8" w:rsidRPr="000D09F8" w:rsidRDefault="000D09F8" w:rsidP="000D09F8">
            <w:pPr>
              <w:spacing w:after="0" w:line="240" w:lineRule="auto"/>
              <w:rPr>
                <w:rFonts w:ascii="Times New Roman" w:eastAsia="Times New Roman" w:hAnsi="Times New Roman" w:cs="Times New Roman"/>
                <w:kern w:val="0"/>
                <w:sz w:val="20"/>
                <w:szCs w:val="2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F534BE7"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993E4EA"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9C1B28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244.37</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6EBF1B7"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4748.62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74A4C455"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r w:rsidR="000D09F8" w:rsidRPr="000D09F8" w14:paraId="777F16A4"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86D4846"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323.2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37A8377"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E124480"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DDA94ED"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−2842.21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5902B4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−2318.73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06DA15B3"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0.0029</w:t>
            </w:r>
          </w:p>
        </w:tc>
      </w:tr>
      <w:tr w:rsidR="000D09F8" w:rsidRPr="000D09F8" w14:paraId="1DAE8133"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1948EA2" w14:textId="77777777" w:rsidR="000D09F8" w:rsidRPr="000D09F8" w:rsidRDefault="000D09F8" w:rsidP="000D09F8">
            <w:pPr>
              <w:spacing w:after="0" w:line="240" w:lineRule="auto"/>
              <w:rPr>
                <w:rFonts w:ascii="Arial" w:eastAsia="Times New Roman" w:hAnsi="Arial" w:cs="Arial"/>
                <w:kern w:val="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1B30BCD6"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7C92B5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3B9195E2"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5512.20</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B2FC5AF"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10901.35</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2BFA875"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r w:rsidR="000D09F8" w:rsidRPr="000D09F8" w14:paraId="4DBD142C" w14:textId="77777777" w:rsidTr="000D09F8">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A9F3C32" w14:textId="77777777" w:rsidR="000D09F8" w:rsidRPr="000D09F8" w:rsidRDefault="000D09F8" w:rsidP="000D09F8">
            <w:pPr>
              <w:spacing w:after="0" w:line="240" w:lineRule="auto"/>
              <w:rPr>
                <w:rFonts w:ascii="Times New Roman" w:eastAsia="Times New Roman" w:hAnsi="Times New Roman" w:cs="Times New Roman"/>
                <w:kern w:val="0"/>
                <w:sz w:val="20"/>
                <w:szCs w:val="20"/>
                <w:lang w:eastAsia="es-ES"/>
                <w14:ligatures w14:val="none"/>
              </w:rPr>
            </w:pP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59D52C9E"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2−3</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621D9D29"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0.2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25232016"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−4.82</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F92BEF0" w14:textId="77777777" w:rsidR="000D09F8" w:rsidRPr="000D09F8" w:rsidRDefault="000D09F8" w:rsidP="000D09F8">
            <w:pPr>
              <w:spacing w:after="0" w:line="240" w:lineRule="auto"/>
              <w:rPr>
                <w:rFonts w:ascii="Arial" w:eastAsia="Times New Roman" w:hAnsi="Arial" w:cs="Arial"/>
                <w:kern w:val="0"/>
                <w:lang w:eastAsia="es-ES"/>
                <w14:ligatures w14:val="none"/>
              </w:rPr>
            </w:pPr>
            <w:r w:rsidRPr="000D09F8">
              <w:rPr>
                <w:rFonts w:ascii="Arial" w:eastAsia="Times New Roman" w:hAnsi="Arial" w:cs="Arial"/>
                <w:kern w:val="0"/>
                <w:lang w:eastAsia="es-ES"/>
                <w14:ligatures w14:val="none"/>
              </w:rPr>
              <w:t>1207.11</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vAlign w:val="center"/>
            <w:hideMark/>
          </w:tcPr>
          <w:p w14:paraId="4BB3D9F3" w14:textId="77777777" w:rsidR="000D09F8" w:rsidRPr="000D09F8" w:rsidRDefault="000D09F8" w:rsidP="000D09F8">
            <w:pPr>
              <w:spacing w:after="0" w:line="240" w:lineRule="auto"/>
              <w:rPr>
                <w:rFonts w:ascii="Arial" w:eastAsia="Times New Roman" w:hAnsi="Arial" w:cs="Arial"/>
                <w:kern w:val="0"/>
                <w:lang w:eastAsia="es-ES"/>
                <w14:ligatures w14:val="none"/>
              </w:rPr>
            </w:pPr>
          </w:p>
        </w:tc>
      </w:tr>
    </w:tbl>
    <w:p w14:paraId="25C6A394" w14:textId="77777777" w:rsidR="000D09F8" w:rsidRDefault="000D09F8" w:rsidP="00487CFD">
      <w:pPr>
        <w:jc w:val="both"/>
        <w:rPr>
          <w:rFonts w:ascii="Arial" w:hAnsi="Arial" w:cs="Arial"/>
          <w:lang w:val="en-GB"/>
        </w:rPr>
      </w:pPr>
    </w:p>
    <w:p w14:paraId="740A2B35" w14:textId="77777777" w:rsidR="00487CFD" w:rsidRDefault="00487CFD" w:rsidP="00487CFD">
      <w:pPr>
        <w:jc w:val="both"/>
        <w:rPr>
          <w:rFonts w:ascii="Arial" w:hAnsi="Arial" w:cs="Arial"/>
          <w:lang w:val="en-GB"/>
        </w:rPr>
      </w:pPr>
    </w:p>
    <w:p w14:paraId="5583C576" w14:textId="4338C5D4" w:rsidR="00F00D8C" w:rsidRDefault="00F00D8C" w:rsidP="00487CFD">
      <w:pPr>
        <w:jc w:val="both"/>
        <w:rPr>
          <w:lang w:val="en-GB"/>
        </w:rPr>
      </w:pPr>
      <w:r>
        <w:rPr>
          <w:lang w:val="en-GB"/>
        </w:rPr>
        <w:br w:type="page"/>
      </w:r>
    </w:p>
    <w:p w14:paraId="0DB4992B" w14:textId="77777777" w:rsidR="00E37972" w:rsidRDefault="00E37972" w:rsidP="001728C4">
      <w:pPr>
        <w:ind w:left="65"/>
        <w:jc w:val="both"/>
        <w:rPr>
          <w:noProof/>
        </w:rPr>
      </w:pPr>
      <w:r w:rsidRPr="00E37972">
        <w:rPr>
          <w:lang w:val="en-GB"/>
        </w:rPr>
        <w:lastRenderedPageBreak/>
        <w:t xml:space="preserve">Figure 1. Scheme of the </w:t>
      </w:r>
      <w:proofErr w:type="spellStart"/>
      <w:r w:rsidRPr="00E37972">
        <w:rPr>
          <w:lang w:val="en-GB"/>
        </w:rPr>
        <w:t>ketalization</w:t>
      </w:r>
      <w:proofErr w:type="spellEnd"/>
      <w:r w:rsidRPr="00E37972">
        <w:rPr>
          <w:lang w:val="en-GB"/>
        </w:rPr>
        <w:t xml:space="preserve"> reaction of glycerol and acetone.</w:t>
      </w:r>
    </w:p>
    <w:p w14:paraId="0A5A9F31" w14:textId="0DE06863" w:rsidR="00E37972" w:rsidRDefault="00084C45" w:rsidP="001728C4">
      <w:pPr>
        <w:ind w:left="65"/>
        <w:jc w:val="both"/>
        <w:rPr>
          <w:noProof/>
        </w:rPr>
      </w:pPr>
      <w:r>
        <w:rPr>
          <w:noProof/>
        </w:rPr>
        <w:drawing>
          <wp:inline distT="0" distB="0" distL="0" distR="0" wp14:anchorId="75114E71" wp14:editId="7374883A">
            <wp:extent cx="5400040" cy="1206500"/>
            <wp:effectExtent l="0" t="0" r="0" b="0"/>
            <wp:docPr id="1217714227"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714227" name="Imagen 1" descr="Diagrama&#10;&#10;Descripción generada automáticamente con confianza media"/>
                    <pic:cNvPicPr/>
                  </pic:nvPicPr>
                  <pic:blipFill>
                    <a:blip r:embed="rId10"/>
                    <a:stretch>
                      <a:fillRect/>
                    </a:stretch>
                  </pic:blipFill>
                  <pic:spPr>
                    <a:xfrm>
                      <a:off x="0" y="0"/>
                      <a:ext cx="5400040" cy="1206500"/>
                    </a:xfrm>
                    <a:prstGeom prst="rect">
                      <a:avLst/>
                    </a:prstGeom>
                  </pic:spPr>
                </pic:pic>
              </a:graphicData>
            </a:graphic>
          </wp:inline>
        </w:drawing>
      </w:r>
    </w:p>
    <w:p w14:paraId="54077DB6" w14:textId="6464CEB3" w:rsidR="001728C4" w:rsidRDefault="001728C4" w:rsidP="001728C4">
      <w:pPr>
        <w:ind w:left="65"/>
        <w:jc w:val="both"/>
        <w:rPr>
          <w:lang w:val="en-GB"/>
        </w:rPr>
      </w:pPr>
      <w:r>
        <w:rPr>
          <w:lang w:val="en-GB"/>
        </w:rPr>
        <w:br w:type="page"/>
      </w:r>
    </w:p>
    <w:p w14:paraId="3013417D" w14:textId="4D9FFE15" w:rsidR="001728C4" w:rsidRDefault="00E37972" w:rsidP="001728C4">
      <w:pPr>
        <w:ind w:left="65"/>
        <w:jc w:val="both"/>
        <w:rPr>
          <w:lang w:val="en-GB"/>
        </w:rPr>
      </w:pPr>
      <w:r w:rsidRPr="00E37972">
        <w:rPr>
          <w:lang w:val="en-GB"/>
        </w:rPr>
        <w:lastRenderedPageBreak/>
        <w:t xml:space="preserve">Figure 2. Experimental LLE data and binodal curve using the NRTL model for the system {Ac + </w:t>
      </w:r>
      <w:proofErr w:type="spellStart"/>
      <w:r w:rsidRPr="00E37972">
        <w:rPr>
          <w:lang w:val="en-GB"/>
        </w:rPr>
        <w:t>Sk</w:t>
      </w:r>
      <w:proofErr w:type="spellEnd"/>
      <w:r w:rsidRPr="00E37972">
        <w:rPr>
          <w:lang w:val="en-GB"/>
        </w:rPr>
        <w:t xml:space="preserve"> + </w:t>
      </w:r>
      <w:proofErr w:type="spellStart"/>
      <w:r w:rsidRPr="00E37972">
        <w:rPr>
          <w:lang w:val="en-GB"/>
        </w:rPr>
        <w:t>Gly</w:t>
      </w:r>
      <w:proofErr w:type="spellEnd"/>
      <w:r w:rsidRPr="00E37972">
        <w:rPr>
          <w:lang w:val="en-GB"/>
        </w:rPr>
        <w:t xml:space="preserve">} at 303.2 K and 101.3 kPa: </w:t>
      </w:r>
      <w:r w:rsidRPr="00E37972">
        <w:rPr>
          <w:rFonts w:ascii="Arial" w:hAnsi="Arial" w:cs="Arial"/>
          <w:lang w:val="en-GB"/>
        </w:rPr>
        <w:t>■</w:t>
      </w:r>
      <w:r w:rsidRPr="00E37972">
        <w:rPr>
          <w:lang w:val="en-GB"/>
        </w:rPr>
        <w:t>, experimental tie-lines; ---, data calculated with the NRTL model.</w:t>
      </w:r>
    </w:p>
    <w:p w14:paraId="4FC0F436" w14:textId="0E141407" w:rsidR="00084C45" w:rsidRPr="001728C4" w:rsidRDefault="00084C45" w:rsidP="001728C4">
      <w:pPr>
        <w:ind w:left="65"/>
        <w:jc w:val="both"/>
        <w:rPr>
          <w:lang w:val="en-GB"/>
        </w:rPr>
      </w:pPr>
      <w:r>
        <w:rPr>
          <w:noProof/>
        </w:rPr>
        <w:drawing>
          <wp:inline distT="0" distB="0" distL="0" distR="0" wp14:anchorId="3350FC3A" wp14:editId="02F91696">
            <wp:extent cx="5400040" cy="4582795"/>
            <wp:effectExtent l="0" t="0" r="0" b="8255"/>
            <wp:docPr id="740943303"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943303" name="Imagen 1" descr="Gráfico&#10;&#10;Descripción generada automáticamente"/>
                    <pic:cNvPicPr/>
                  </pic:nvPicPr>
                  <pic:blipFill>
                    <a:blip r:embed="rId11"/>
                    <a:stretch>
                      <a:fillRect/>
                    </a:stretch>
                  </pic:blipFill>
                  <pic:spPr>
                    <a:xfrm>
                      <a:off x="0" y="0"/>
                      <a:ext cx="5400040" cy="4582795"/>
                    </a:xfrm>
                    <a:prstGeom prst="rect">
                      <a:avLst/>
                    </a:prstGeom>
                  </pic:spPr>
                </pic:pic>
              </a:graphicData>
            </a:graphic>
          </wp:inline>
        </w:drawing>
      </w:r>
    </w:p>
    <w:p w14:paraId="6DC43073" w14:textId="2C143456" w:rsidR="001728C4" w:rsidRDefault="001728C4" w:rsidP="001728C4">
      <w:pPr>
        <w:ind w:left="65"/>
        <w:jc w:val="both"/>
        <w:rPr>
          <w:lang w:val="en-GB"/>
        </w:rPr>
      </w:pPr>
      <w:r>
        <w:rPr>
          <w:lang w:val="en-GB"/>
        </w:rPr>
        <w:br w:type="page"/>
      </w:r>
    </w:p>
    <w:p w14:paraId="37D2CD2D" w14:textId="7B7977BE" w:rsidR="001728C4" w:rsidRDefault="00E37972" w:rsidP="001728C4">
      <w:pPr>
        <w:ind w:left="65"/>
        <w:jc w:val="both"/>
        <w:rPr>
          <w:lang w:val="en-GB"/>
        </w:rPr>
      </w:pPr>
      <w:r w:rsidRPr="00E37972">
        <w:rPr>
          <w:lang w:val="en-GB"/>
        </w:rPr>
        <w:lastRenderedPageBreak/>
        <w:t xml:space="preserve">Figure 3. Experimental LLE data and binodal curve using the NRTL model for the system {Ac + </w:t>
      </w:r>
      <w:proofErr w:type="spellStart"/>
      <w:r w:rsidRPr="00E37972">
        <w:rPr>
          <w:lang w:val="en-GB"/>
        </w:rPr>
        <w:t>Sk</w:t>
      </w:r>
      <w:proofErr w:type="spellEnd"/>
      <w:r w:rsidRPr="00E37972">
        <w:rPr>
          <w:lang w:val="en-GB"/>
        </w:rPr>
        <w:t xml:space="preserve"> + </w:t>
      </w:r>
      <w:proofErr w:type="spellStart"/>
      <w:r w:rsidRPr="00E37972">
        <w:rPr>
          <w:lang w:val="en-GB"/>
        </w:rPr>
        <w:t>Gly</w:t>
      </w:r>
      <w:proofErr w:type="spellEnd"/>
      <w:r w:rsidRPr="00E37972">
        <w:rPr>
          <w:lang w:val="en-GB"/>
        </w:rPr>
        <w:t xml:space="preserve">} at 313.2 K and 101.3 kPa: </w:t>
      </w:r>
      <w:r w:rsidRPr="00E37972">
        <w:rPr>
          <w:rFonts w:ascii="Arial" w:hAnsi="Arial" w:cs="Arial"/>
          <w:lang w:val="en-GB"/>
        </w:rPr>
        <w:t>■</w:t>
      </w:r>
      <w:r w:rsidRPr="00E37972">
        <w:rPr>
          <w:lang w:val="en-GB"/>
        </w:rPr>
        <w:t>, experimental tie-lines; ---, data calculated with the NRTL model.</w:t>
      </w:r>
    </w:p>
    <w:p w14:paraId="42001739" w14:textId="1D213EAD" w:rsidR="001728C4" w:rsidRDefault="00084C45" w:rsidP="001728C4">
      <w:pPr>
        <w:ind w:left="65"/>
        <w:jc w:val="both"/>
        <w:rPr>
          <w:lang w:val="en-GB"/>
        </w:rPr>
      </w:pPr>
      <w:r>
        <w:rPr>
          <w:noProof/>
        </w:rPr>
        <w:drawing>
          <wp:inline distT="0" distB="0" distL="0" distR="0" wp14:anchorId="1F6E231B" wp14:editId="7D8D60FB">
            <wp:extent cx="5400040" cy="4601845"/>
            <wp:effectExtent l="0" t="0" r="0" b="8255"/>
            <wp:docPr id="176020347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203471" name="Imagen 1" descr="Gráfico&#10;&#10;Descripción generada automáticamente"/>
                    <pic:cNvPicPr/>
                  </pic:nvPicPr>
                  <pic:blipFill>
                    <a:blip r:embed="rId12"/>
                    <a:stretch>
                      <a:fillRect/>
                    </a:stretch>
                  </pic:blipFill>
                  <pic:spPr>
                    <a:xfrm>
                      <a:off x="0" y="0"/>
                      <a:ext cx="5400040" cy="4601845"/>
                    </a:xfrm>
                    <a:prstGeom prst="rect">
                      <a:avLst/>
                    </a:prstGeom>
                  </pic:spPr>
                </pic:pic>
              </a:graphicData>
            </a:graphic>
          </wp:inline>
        </w:drawing>
      </w:r>
    </w:p>
    <w:p w14:paraId="2A33D663" w14:textId="77777777" w:rsidR="001728C4" w:rsidRDefault="001728C4" w:rsidP="001728C4">
      <w:pPr>
        <w:ind w:left="65"/>
        <w:jc w:val="both"/>
        <w:rPr>
          <w:lang w:val="en-GB"/>
        </w:rPr>
      </w:pPr>
    </w:p>
    <w:p w14:paraId="2010BE97" w14:textId="77777777" w:rsidR="001728C4" w:rsidRDefault="001728C4" w:rsidP="001728C4">
      <w:pPr>
        <w:ind w:left="65"/>
        <w:jc w:val="both"/>
        <w:rPr>
          <w:lang w:val="en-GB"/>
        </w:rPr>
      </w:pPr>
    </w:p>
    <w:p w14:paraId="7C98929A" w14:textId="77777777" w:rsidR="001728C4" w:rsidRDefault="001728C4" w:rsidP="001728C4">
      <w:pPr>
        <w:ind w:left="65"/>
        <w:jc w:val="both"/>
        <w:rPr>
          <w:lang w:val="en-GB"/>
        </w:rPr>
      </w:pPr>
      <w:r>
        <w:rPr>
          <w:lang w:val="en-GB"/>
        </w:rPr>
        <w:br w:type="page"/>
      </w:r>
    </w:p>
    <w:p w14:paraId="6B5F9B86" w14:textId="537D5003" w:rsidR="001728C4" w:rsidRDefault="00E37972" w:rsidP="001728C4">
      <w:pPr>
        <w:ind w:left="65"/>
        <w:jc w:val="both"/>
        <w:rPr>
          <w:rFonts w:ascii="Arial" w:hAnsi="Arial" w:cs="Arial"/>
          <w:lang w:val="en-GB"/>
        </w:rPr>
      </w:pPr>
      <w:r w:rsidRPr="00E37972">
        <w:rPr>
          <w:lang w:val="en-GB"/>
        </w:rPr>
        <w:lastRenderedPageBreak/>
        <w:t xml:space="preserve">Figure 4. Experimental LLE data and binodal curve using the NRTL model for the system {Ac + </w:t>
      </w:r>
      <w:proofErr w:type="spellStart"/>
      <w:r w:rsidRPr="00E37972">
        <w:rPr>
          <w:lang w:val="en-GB"/>
        </w:rPr>
        <w:t>Sk</w:t>
      </w:r>
      <w:proofErr w:type="spellEnd"/>
      <w:r w:rsidRPr="00E37972">
        <w:rPr>
          <w:lang w:val="en-GB"/>
        </w:rPr>
        <w:t xml:space="preserve"> + </w:t>
      </w:r>
      <w:proofErr w:type="spellStart"/>
      <w:r w:rsidRPr="00E37972">
        <w:rPr>
          <w:lang w:val="en-GB"/>
        </w:rPr>
        <w:t>Gly</w:t>
      </w:r>
      <w:proofErr w:type="spellEnd"/>
      <w:r w:rsidRPr="00E37972">
        <w:rPr>
          <w:lang w:val="en-GB"/>
        </w:rPr>
        <w:t xml:space="preserve">} at 323.2 K and 101.3 kPa: </w:t>
      </w:r>
      <w:r w:rsidRPr="00E37972">
        <w:rPr>
          <w:rFonts w:ascii="Arial" w:hAnsi="Arial" w:cs="Arial"/>
          <w:lang w:val="en-GB"/>
        </w:rPr>
        <w:t>■</w:t>
      </w:r>
      <w:r w:rsidRPr="00E37972">
        <w:rPr>
          <w:lang w:val="en-GB"/>
        </w:rPr>
        <w:t>, experimental tie-lines; ---, data calculated with the NRTL model.</w:t>
      </w:r>
    </w:p>
    <w:p w14:paraId="3816656A" w14:textId="3A73B4E7" w:rsidR="001728C4" w:rsidRDefault="00084C45" w:rsidP="001728C4">
      <w:pPr>
        <w:ind w:left="65"/>
        <w:jc w:val="both"/>
        <w:rPr>
          <w:rFonts w:ascii="Arial" w:hAnsi="Arial" w:cs="Arial"/>
          <w:lang w:val="en-GB"/>
        </w:rPr>
      </w:pPr>
      <w:r>
        <w:rPr>
          <w:noProof/>
        </w:rPr>
        <w:drawing>
          <wp:inline distT="0" distB="0" distL="0" distR="0" wp14:anchorId="03EFE3C7" wp14:editId="785F60FD">
            <wp:extent cx="5400040" cy="4566920"/>
            <wp:effectExtent l="0" t="0" r="0" b="5080"/>
            <wp:docPr id="259623802"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623802" name="Imagen 1" descr="Gráfico&#10;&#10;Descripción generada automáticamente"/>
                    <pic:cNvPicPr/>
                  </pic:nvPicPr>
                  <pic:blipFill>
                    <a:blip r:embed="rId13"/>
                    <a:stretch>
                      <a:fillRect/>
                    </a:stretch>
                  </pic:blipFill>
                  <pic:spPr>
                    <a:xfrm>
                      <a:off x="0" y="0"/>
                      <a:ext cx="5400040" cy="4566920"/>
                    </a:xfrm>
                    <a:prstGeom prst="rect">
                      <a:avLst/>
                    </a:prstGeom>
                  </pic:spPr>
                </pic:pic>
              </a:graphicData>
            </a:graphic>
          </wp:inline>
        </w:drawing>
      </w:r>
    </w:p>
    <w:p w14:paraId="240EF2B9" w14:textId="77777777" w:rsidR="001728C4" w:rsidRPr="001728C4" w:rsidRDefault="001728C4" w:rsidP="001728C4">
      <w:pPr>
        <w:ind w:left="65"/>
        <w:jc w:val="both"/>
        <w:rPr>
          <w:lang w:val="en-GB"/>
        </w:rPr>
      </w:pPr>
    </w:p>
    <w:p w14:paraId="4C99B05F" w14:textId="77777777" w:rsidR="001728C4" w:rsidRDefault="001728C4" w:rsidP="001728C4">
      <w:pPr>
        <w:ind w:left="65"/>
        <w:jc w:val="both"/>
        <w:rPr>
          <w:lang w:val="en-GB"/>
        </w:rPr>
      </w:pPr>
      <w:r>
        <w:rPr>
          <w:lang w:val="en-GB"/>
        </w:rPr>
        <w:br w:type="page"/>
      </w:r>
    </w:p>
    <w:p w14:paraId="2E2F9F75" w14:textId="77777777" w:rsidR="00084C45" w:rsidRDefault="00084C45" w:rsidP="00FC6739">
      <w:pPr>
        <w:ind w:left="65"/>
        <w:jc w:val="both"/>
        <w:rPr>
          <w:lang w:val="en-GB"/>
        </w:rPr>
      </w:pPr>
      <w:r w:rsidRPr="00084C45">
        <w:rPr>
          <w:lang w:val="en-GB"/>
        </w:rPr>
        <w:lastRenderedPageBreak/>
        <w:t xml:space="preserve">Figure 5. Othmer−Tobias graphs for the system {Ac + </w:t>
      </w:r>
      <w:proofErr w:type="spellStart"/>
      <w:r w:rsidRPr="00084C45">
        <w:rPr>
          <w:lang w:val="en-GB"/>
        </w:rPr>
        <w:t>Sk</w:t>
      </w:r>
      <w:proofErr w:type="spellEnd"/>
      <w:r w:rsidRPr="00084C45">
        <w:rPr>
          <w:lang w:val="en-GB"/>
        </w:rPr>
        <w:t xml:space="preserve"> + </w:t>
      </w:r>
      <w:proofErr w:type="spellStart"/>
      <w:r w:rsidRPr="00084C45">
        <w:rPr>
          <w:lang w:val="en-GB"/>
        </w:rPr>
        <w:t>Gly</w:t>
      </w:r>
      <w:proofErr w:type="spellEnd"/>
      <w:r w:rsidRPr="00084C45">
        <w:rPr>
          <w:lang w:val="en-GB"/>
        </w:rPr>
        <w:t>} at the temperatures tested.</w:t>
      </w:r>
    </w:p>
    <w:p w14:paraId="17ACD0AF" w14:textId="40BB1149" w:rsidR="00084C45" w:rsidRDefault="00084C45" w:rsidP="00FC6739">
      <w:pPr>
        <w:ind w:left="65"/>
        <w:jc w:val="both"/>
        <w:rPr>
          <w:lang w:val="en-GB"/>
        </w:rPr>
      </w:pPr>
      <w:r>
        <w:rPr>
          <w:noProof/>
        </w:rPr>
        <w:drawing>
          <wp:inline distT="0" distB="0" distL="0" distR="0" wp14:anchorId="6392E812" wp14:editId="157F56DC">
            <wp:extent cx="5400040" cy="4197350"/>
            <wp:effectExtent l="0" t="0" r="0" b="0"/>
            <wp:docPr id="568992417"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992417" name="Imagen 1" descr="Gráfico, Gráfico de dispersión&#10;&#10;Descripción generada automáticamente"/>
                    <pic:cNvPicPr/>
                  </pic:nvPicPr>
                  <pic:blipFill>
                    <a:blip r:embed="rId14"/>
                    <a:stretch>
                      <a:fillRect/>
                    </a:stretch>
                  </pic:blipFill>
                  <pic:spPr>
                    <a:xfrm>
                      <a:off x="0" y="0"/>
                      <a:ext cx="5400040" cy="4197350"/>
                    </a:xfrm>
                    <a:prstGeom prst="rect">
                      <a:avLst/>
                    </a:prstGeom>
                  </pic:spPr>
                </pic:pic>
              </a:graphicData>
            </a:graphic>
          </wp:inline>
        </w:drawing>
      </w:r>
    </w:p>
    <w:p w14:paraId="5D081BA1" w14:textId="7B996A7E" w:rsidR="00084C45" w:rsidRDefault="00084C45" w:rsidP="00FC6739">
      <w:pPr>
        <w:ind w:left="65"/>
        <w:jc w:val="both"/>
        <w:rPr>
          <w:lang w:val="en-GB"/>
        </w:rPr>
      </w:pPr>
      <w:r>
        <w:rPr>
          <w:lang w:val="en-GB"/>
        </w:rPr>
        <w:br w:type="page"/>
      </w:r>
    </w:p>
    <w:p w14:paraId="47975883" w14:textId="05F03153" w:rsidR="001728C4" w:rsidRDefault="00084C45" w:rsidP="00FC6739">
      <w:pPr>
        <w:ind w:left="65"/>
        <w:jc w:val="both"/>
        <w:rPr>
          <w:lang w:val="en-GB"/>
        </w:rPr>
      </w:pPr>
      <w:r w:rsidRPr="00084C45">
        <w:rPr>
          <w:lang w:val="en-GB"/>
        </w:rPr>
        <w:lastRenderedPageBreak/>
        <w:t xml:space="preserve">Figure 6. Effect of temperature on the distribution of </w:t>
      </w:r>
      <w:proofErr w:type="spellStart"/>
      <w:r w:rsidRPr="00084C45">
        <w:rPr>
          <w:lang w:val="en-GB"/>
        </w:rPr>
        <w:t>Sk</w:t>
      </w:r>
      <w:proofErr w:type="spellEnd"/>
      <w:r w:rsidRPr="00084C45">
        <w:rPr>
          <w:lang w:val="en-GB"/>
        </w:rPr>
        <w:t xml:space="preserve"> in the Ac and </w:t>
      </w:r>
      <w:proofErr w:type="spellStart"/>
      <w:r w:rsidRPr="00084C45">
        <w:rPr>
          <w:lang w:val="en-GB"/>
        </w:rPr>
        <w:t>Gly</w:t>
      </w:r>
      <w:proofErr w:type="spellEnd"/>
      <w:r w:rsidRPr="00084C45">
        <w:rPr>
          <w:lang w:val="en-GB"/>
        </w:rPr>
        <w:t>-rich phases. Symbols represent experimental data, and broken lines represent the prediction of the NRTL model.</w:t>
      </w:r>
    </w:p>
    <w:p w14:paraId="22941A4F" w14:textId="3BC12E03" w:rsidR="001728C4" w:rsidRDefault="00084C45" w:rsidP="00FC6739">
      <w:pPr>
        <w:ind w:left="65"/>
        <w:jc w:val="both"/>
        <w:rPr>
          <w:lang w:val="en-GB"/>
        </w:rPr>
      </w:pPr>
      <w:r>
        <w:rPr>
          <w:noProof/>
        </w:rPr>
        <w:drawing>
          <wp:inline distT="0" distB="0" distL="0" distR="0" wp14:anchorId="7D0EFAFC" wp14:editId="50920D46">
            <wp:extent cx="5400040" cy="4154805"/>
            <wp:effectExtent l="0" t="0" r="0" b="0"/>
            <wp:docPr id="1622003460"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003460" name="Imagen 1" descr="Gráfico, Gráfico de dispersión&#10;&#10;Descripción generada automáticamente"/>
                    <pic:cNvPicPr/>
                  </pic:nvPicPr>
                  <pic:blipFill>
                    <a:blip r:embed="rId15"/>
                    <a:stretch>
                      <a:fillRect/>
                    </a:stretch>
                  </pic:blipFill>
                  <pic:spPr>
                    <a:xfrm>
                      <a:off x="0" y="0"/>
                      <a:ext cx="5400040" cy="4154805"/>
                    </a:xfrm>
                    <a:prstGeom prst="rect">
                      <a:avLst/>
                    </a:prstGeom>
                  </pic:spPr>
                </pic:pic>
              </a:graphicData>
            </a:graphic>
          </wp:inline>
        </w:drawing>
      </w:r>
    </w:p>
    <w:p w14:paraId="7CB487D7" w14:textId="77777777" w:rsidR="001728C4" w:rsidRDefault="001728C4" w:rsidP="00FC6739">
      <w:pPr>
        <w:ind w:left="65"/>
        <w:jc w:val="both"/>
        <w:rPr>
          <w:lang w:val="en-GB"/>
        </w:rPr>
      </w:pPr>
    </w:p>
    <w:p w14:paraId="1C923030" w14:textId="77777777" w:rsidR="001728C4" w:rsidRDefault="001728C4" w:rsidP="00FC6739">
      <w:pPr>
        <w:ind w:left="65"/>
        <w:jc w:val="both"/>
        <w:rPr>
          <w:lang w:val="en-GB"/>
        </w:rPr>
      </w:pPr>
    </w:p>
    <w:sectPr w:rsidR="001728C4">
      <w:footerReference w:type="defaul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B5BA90" w14:textId="77777777" w:rsidR="004A781C" w:rsidRDefault="004A781C" w:rsidP="00814548">
      <w:pPr>
        <w:spacing w:after="0" w:line="240" w:lineRule="auto"/>
      </w:pPr>
      <w:r>
        <w:separator/>
      </w:r>
    </w:p>
  </w:endnote>
  <w:endnote w:type="continuationSeparator" w:id="0">
    <w:p w14:paraId="2E6A817E" w14:textId="77777777" w:rsidR="004A781C" w:rsidRDefault="004A781C" w:rsidP="00814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dvOT2e364b11">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30B443" w14:textId="534451EE" w:rsidR="00814548" w:rsidRPr="00814548" w:rsidRDefault="00814548" w:rsidP="00814548">
    <w:pPr>
      <w:pStyle w:val="Piedepgina"/>
      <w:jc w:val="center"/>
      <w:rPr>
        <w:caps/>
      </w:rPr>
    </w:pPr>
    <w:r w:rsidRPr="00814548">
      <w:rPr>
        <w:caps/>
      </w:rPr>
      <w:fldChar w:fldCharType="begin"/>
    </w:r>
    <w:r w:rsidRPr="00814548">
      <w:rPr>
        <w:caps/>
      </w:rPr>
      <w:instrText>PAGE   \* MERGEFORMAT</w:instrText>
    </w:r>
    <w:r w:rsidRPr="00814548">
      <w:rPr>
        <w:caps/>
      </w:rPr>
      <w:fldChar w:fldCharType="separate"/>
    </w:r>
    <w:r w:rsidRPr="00814548">
      <w:rPr>
        <w:caps/>
      </w:rPr>
      <w:t>2</w:t>
    </w:r>
    <w:r w:rsidRPr="00814548">
      <w:rPr>
        <w:cap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D94A9E" w14:textId="77777777" w:rsidR="004A781C" w:rsidRDefault="004A781C" w:rsidP="00814548">
      <w:pPr>
        <w:spacing w:after="0" w:line="240" w:lineRule="auto"/>
      </w:pPr>
      <w:r>
        <w:separator/>
      </w:r>
    </w:p>
  </w:footnote>
  <w:footnote w:type="continuationSeparator" w:id="0">
    <w:p w14:paraId="1507E6E1" w14:textId="77777777" w:rsidR="004A781C" w:rsidRDefault="004A781C" w:rsidP="008145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BB409D7"/>
    <w:multiLevelType w:val="hybridMultilevel"/>
    <w:tmpl w:val="02E2D5D8"/>
    <w:lvl w:ilvl="0" w:tplc="2640E6C2">
      <w:start w:val="1"/>
      <w:numFmt w:val="decimal"/>
      <w:lvlText w:val="[%1]"/>
      <w:lvlJc w:val="left"/>
      <w:pPr>
        <w:ind w:left="720" w:hanging="360"/>
      </w:pPr>
      <w:rPr>
        <w:rFonts w:hint="default"/>
      </w:rPr>
    </w:lvl>
    <w:lvl w:ilvl="1" w:tplc="755A9A96">
      <w:start w:val="1"/>
      <w:numFmt w:val="upp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3710017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4371"/>
    <w:rsid w:val="000226E1"/>
    <w:rsid w:val="00051B9C"/>
    <w:rsid w:val="00084C45"/>
    <w:rsid w:val="00094579"/>
    <w:rsid w:val="0009495B"/>
    <w:rsid w:val="00096066"/>
    <w:rsid w:val="000D09F8"/>
    <w:rsid w:val="000F2DAC"/>
    <w:rsid w:val="00100B48"/>
    <w:rsid w:val="00120E3B"/>
    <w:rsid w:val="0012720D"/>
    <w:rsid w:val="0012774E"/>
    <w:rsid w:val="001534A1"/>
    <w:rsid w:val="001728C4"/>
    <w:rsid w:val="0019726B"/>
    <w:rsid w:val="001C6678"/>
    <w:rsid w:val="001D10B8"/>
    <w:rsid w:val="00295776"/>
    <w:rsid w:val="003477A1"/>
    <w:rsid w:val="003C5665"/>
    <w:rsid w:val="0043339A"/>
    <w:rsid w:val="00455655"/>
    <w:rsid w:val="00476367"/>
    <w:rsid w:val="00487CFD"/>
    <w:rsid w:val="00494F43"/>
    <w:rsid w:val="004A781C"/>
    <w:rsid w:val="004C533E"/>
    <w:rsid w:val="00560C8D"/>
    <w:rsid w:val="005633BD"/>
    <w:rsid w:val="00573798"/>
    <w:rsid w:val="005747B0"/>
    <w:rsid w:val="005B7899"/>
    <w:rsid w:val="0068248C"/>
    <w:rsid w:val="006C7BDB"/>
    <w:rsid w:val="006E4371"/>
    <w:rsid w:val="007003FA"/>
    <w:rsid w:val="00710590"/>
    <w:rsid w:val="00741346"/>
    <w:rsid w:val="00750B22"/>
    <w:rsid w:val="00814548"/>
    <w:rsid w:val="0081728D"/>
    <w:rsid w:val="00820D5D"/>
    <w:rsid w:val="00845E60"/>
    <w:rsid w:val="00861CDC"/>
    <w:rsid w:val="008766A1"/>
    <w:rsid w:val="0088464A"/>
    <w:rsid w:val="008A1146"/>
    <w:rsid w:val="008C6725"/>
    <w:rsid w:val="009527B0"/>
    <w:rsid w:val="0096519F"/>
    <w:rsid w:val="00A36D30"/>
    <w:rsid w:val="00A6106E"/>
    <w:rsid w:val="00A61A88"/>
    <w:rsid w:val="00AD66AC"/>
    <w:rsid w:val="00B56606"/>
    <w:rsid w:val="00B6324C"/>
    <w:rsid w:val="00BB1B27"/>
    <w:rsid w:val="00BC5CD2"/>
    <w:rsid w:val="00BE7333"/>
    <w:rsid w:val="00C51310"/>
    <w:rsid w:val="00CB0572"/>
    <w:rsid w:val="00D74440"/>
    <w:rsid w:val="00DD55FD"/>
    <w:rsid w:val="00E17BBA"/>
    <w:rsid w:val="00E37972"/>
    <w:rsid w:val="00E44069"/>
    <w:rsid w:val="00E46F71"/>
    <w:rsid w:val="00E61568"/>
    <w:rsid w:val="00EA1A3B"/>
    <w:rsid w:val="00EF7AF4"/>
    <w:rsid w:val="00F0015B"/>
    <w:rsid w:val="00F00D8C"/>
    <w:rsid w:val="00F045E3"/>
    <w:rsid w:val="00F861B8"/>
    <w:rsid w:val="00FB67B9"/>
    <w:rsid w:val="00FC6739"/>
    <w:rsid w:val="00FF2AE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2D944"/>
  <w15:chartTrackingRefBased/>
  <w15:docId w15:val="{DED59B4C-D263-4944-8E67-79733015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E437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E437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E437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E437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E437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E437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E437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E437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E437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437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E437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E437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E437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E437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E437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E437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E437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E4371"/>
    <w:rPr>
      <w:rFonts w:eastAsiaTheme="majorEastAsia" w:cstheme="majorBidi"/>
      <w:color w:val="272727" w:themeColor="text1" w:themeTint="D8"/>
    </w:rPr>
  </w:style>
  <w:style w:type="paragraph" w:styleId="Ttulo">
    <w:name w:val="Title"/>
    <w:basedOn w:val="Normal"/>
    <w:next w:val="Normal"/>
    <w:link w:val="TtuloCar"/>
    <w:uiPriority w:val="10"/>
    <w:qFormat/>
    <w:rsid w:val="006E43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E437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E437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E437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E4371"/>
    <w:pPr>
      <w:spacing w:before="160"/>
      <w:jc w:val="center"/>
    </w:pPr>
    <w:rPr>
      <w:i/>
      <w:iCs/>
      <w:color w:val="404040" w:themeColor="text1" w:themeTint="BF"/>
    </w:rPr>
  </w:style>
  <w:style w:type="character" w:customStyle="1" w:styleId="CitaCar">
    <w:name w:val="Cita Car"/>
    <w:basedOn w:val="Fuentedeprrafopredeter"/>
    <w:link w:val="Cita"/>
    <w:uiPriority w:val="29"/>
    <w:rsid w:val="006E4371"/>
    <w:rPr>
      <w:i/>
      <w:iCs/>
      <w:color w:val="404040" w:themeColor="text1" w:themeTint="BF"/>
    </w:rPr>
  </w:style>
  <w:style w:type="paragraph" w:styleId="Prrafodelista">
    <w:name w:val="List Paragraph"/>
    <w:basedOn w:val="Normal"/>
    <w:uiPriority w:val="34"/>
    <w:qFormat/>
    <w:rsid w:val="006E4371"/>
    <w:pPr>
      <w:ind w:left="720"/>
      <w:contextualSpacing/>
    </w:pPr>
  </w:style>
  <w:style w:type="character" w:styleId="nfasisintenso">
    <w:name w:val="Intense Emphasis"/>
    <w:basedOn w:val="Fuentedeprrafopredeter"/>
    <w:uiPriority w:val="21"/>
    <w:qFormat/>
    <w:rsid w:val="006E4371"/>
    <w:rPr>
      <w:i/>
      <w:iCs/>
      <w:color w:val="0F4761" w:themeColor="accent1" w:themeShade="BF"/>
    </w:rPr>
  </w:style>
  <w:style w:type="paragraph" w:styleId="Citadestacada">
    <w:name w:val="Intense Quote"/>
    <w:basedOn w:val="Normal"/>
    <w:next w:val="Normal"/>
    <w:link w:val="CitadestacadaCar"/>
    <w:uiPriority w:val="30"/>
    <w:qFormat/>
    <w:rsid w:val="006E43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E4371"/>
    <w:rPr>
      <w:i/>
      <w:iCs/>
      <w:color w:val="0F4761" w:themeColor="accent1" w:themeShade="BF"/>
    </w:rPr>
  </w:style>
  <w:style w:type="character" w:styleId="Referenciaintensa">
    <w:name w:val="Intense Reference"/>
    <w:basedOn w:val="Fuentedeprrafopredeter"/>
    <w:uiPriority w:val="32"/>
    <w:qFormat/>
    <w:rsid w:val="006E4371"/>
    <w:rPr>
      <w:b/>
      <w:bCs/>
      <w:smallCaps/>
      <w:color w:val="0F4761" w:themeColor="accent1" w:themeShade="BF"/>
      <w:spacing w:val="5"/>
    </w:rPr>
  </w:style>
  <w:style w:type="character" w:customStyle="1" w:styleId="mord">
    <w:name w:val="mord"/>
    <w:basedOn w:val="Fuentedeprrafopredeter"/>
    <w:rsid w:val="00573798"/>
  </w:style>
  <w:style w:type="character" w:customStyle="1" w:styleId="mrel">
    <w:name w:val="mrel"/>
    <w:basedOn w:val="Fuentedeprrafopredeter"/>
    <w:rsid w:val="00573798"/>
  </w:style>
  <w:style w:type="character" w:customStyle="1" w:styleId="mopen">
    <w:name w:val="mopen"/>
    <w:basedOn w:val="Fuentedeprrafopredeter"/>
    <w:rsid w:val="00573798"/>
  </w:style>
  <w:style w:type="character" w:customStyle="1" w:styleId="mop">
    <w:name w:val="mop"/>
    <w:basedOn w:val="Fuentedeprrafopredeter"/>
    <w:rsid w:val="00573798"/>
  </w:style>
  <w:style w:type="character" w:customStyle="1" w:styleId="mbin">
    <w:name w:val="mbin"/>
    <w:basedOn w:val="Fuentedeprrafopredeter"/>
    <w:rsid w:val="00573798"/>
  </w:style>
  <w:style w:type="character" w:customStyle="1" w:styleId="mclose">
    <w:name w:val="mclose"/>
    <w:basedOn w:val="Fuentedeprrafopredeter"/>
    <w:rsid w:val="00573798"/>
  </w:style>
  <w:style w:type="table" w:styleId="Tablaconcuadrcula">
    <w:name w:val="Table Grid"/>
    <w:basedOn w:val="Tablanormal"/>
    <w:uiPriority w:val="39"/>
    <w:rsid w:val="005737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1454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4548"/>
  </w:style>
  <w:style w:type="paragraph" w:styleId="Piedepgina">
    <w:name w:val="footer"/>
    <w:basedOn w:val="Normal"/>
    <w:link w:val="PiedepginaCar"/>
    <w:uiPriority w:val="99"/>
    <w:unhideWhenUsed/>
    <w:rsid w:val="0081454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4548"/>
  </w:style>
  <w:style w:type="character" w:styleId="Textoennegrita">
    <w:name w:val="Strong"/>
    <w:basedOn w:val="Fuentedeprrafopredeter"/>
    <w:uiPriority w:val="22"/>
    <w:qFormat/>
    <w:rsid w:val="00C51310"/>
    <w:rPr>
      <w:b/>
      <w:bCs/>
    </w:rPr>
  </w:style>
  <w:style w:type="character" w:customStyle="1" w:styleId="katex-mathml">
    <w:name w:val="katex-mathml"/>
    <w:basedOn w:val="Fuentedeprrafopredeter"/>
    <w:rsid w:val="005B7899"/>
  </w:style>
  <w:style w:type="character" w:customStyle="1" w:styleId="mpunct">
    <w:name w:val="mpunct"/>
    <w:basedOn w:val="Fuentedeprrafopredeter"/>
    <w:rsid w:val="005B7899"/>
  </w:style>
  <w:style w:type="character" w:customStyle="1" w:styleId="fontstyle01">
    <w:name w:val="fontstyle01"/>
    <w:basedOn w:val="Fuentedeprrafopredeter"/>
    <w:rsid w:val="00051B9C"/>
    <w:rPr>
      <w:rFonts w:ascii="AdvOT2e364b11" w:hAnsi="AdvOT2e364b11" w:hint="default"/>
      <w:b w:val="0"/>
      <w:bCs w:val="0"/>
      <w:i w:val="0"/>
      <w:iCs w:val="0"/>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5261411">
      <w:bodyDiv w:val="1"/>
      <w:marLeft w:val="0"/>
      <w:marRight w:val="0"/>
      <w:marTop w:val="0"/>
      <w:marBottom w:val="0"/>
      <w:divBdr>
        <w:top w:val="none" w:sz="0" w:space="0" w:color="auto"/>
        <w:left w:val="none" w:sz="0" w:space="0" w:color="auto"/>
        <w:bottom w:val="none" w:sz="0" w:space="0" w:color="auto"/>
        <w:right w:val="none" w:sz="0" w:space="0" w:color="auto"/>
      </w:divBdr>
    </w:div>
    <w:div w:id="305859553">
      <w:bodyDiv w:val="1"/>
      <w:marLeft w:val="0"/>
      <w:marRight w:val="0"/>
      <w:marTop w:val="0"/>
      <w:marBottom w:val="0"/>
      <w:divBdr>
        <w:top w:val="none" w:sz="0" w:space="0" w:color="auto"/>
        <w:left w:val="none" w:sz="0" w:space="0" w:color="auto"/>
        <w:bottom w:val="none" w:sz="0" w:space="0" w:color="auto"/>
        <w:right w:val="none" w:sz="0" w:space="0" w:color="auto"/>
      </w:divBdr>
    </w:div>
    <w:div w:id="347219549">
      <w:bodyDiv w:val="1"/>
      <w:marLeft w:val="0"/>
      <w:marRight w:val="0"/>
      <w:marTop w:val="0"/>
      <w:marBottom w:val="0"/>
      <w:divBdr>
        <w:top w:val="none" w:sz="0" w:space="0" w:color="auto"/>
        <w:left w:val="none" w:sz="0" w:space="0" w:color="auto"/>
        <w:bottom w:val="none" w:sz="0" w:space="0" w:color="auto"/>
        <w:right w:val="none" w:sz="0" w:space="0" w:color="auto"/>
      </w:divBdr>
    </w:div>
    <w:div w:id="372728010">
      <w:bodyDiv w:val="1"/>
      <w:marLeft w:val="0"/>
      <w:marRight w:val="0"/>
      <w:marTop w:val="0"/>
      <w:marBottom w:val="0"/>
      <w:divBdr>
        <w:top w:val="none" w:sz="0" w:space="0" w:color="auto"/>
        <w:left w:val="none" w:sz="0" w:space="0" w:color="auto"/>
        <w:bottom w:val="none" w:sz="0" w:space="0" w:color="auto"/>
        <w:right w:val="none" w:sz="0" w:space="0" w:color="auto"/>
      </w:divBdr>
    </w:div>
    <w:div w:id="397021460">
      <w:bodyDiv w:val="1"/>
      <w:marLeft w:val="0"/>
      <w:marRight w:val="0"/>
      <w:marTop w:val="0"/>
      <w:marBottom w:val="0"/>
      <w:divBdr>
        <w:top w:val="none" w:sz="0" w:space="0" w:color="auto"/>
        <w:left w:val="none" w:sz="0" w:space="0" w:color="auto"/>
        <w:bottom w:val="none" w:sz="0" w:space="0" w:color="auto"/>
        <w:right w:val="none" w:sz="0" w:space="0" w:color="auto"/>
      </w:divBdr>
    </w:div>
    <w:div w:id="419914849">
      <w:bodyDiv w:val="1"/>
      <w:marLeft w:val="0"/>
      <w:marRight w:val="0"/>
      <w:marTop w:val="0"/>
      <w:marBottom w:val="0"/>
      <w:divBdr>
        <w:top w:val="none" w:sz="0" w:space="0" w:color="auto"/>
        <w:left w:val="none" w:sz="0" w:space="0" w:color="auto"/>
        <w:bottom w:val="none" w:sz="0" w:space="0" w:color="auto"/>
        <w:right w:val="none" w:sz="0" w:space="0" w:color="auto"/>
      </w:divBdr>
    </w:div>
    <w:div w:id="477692901">
      <w:bodyDiv w:val="1"/>
      <w:marLeft w:val="0"/>
      <w:marRight w:val="0"/>
      <w:marTop w:val="0"/>
      <w:marBottom w:val="0"/>
      <w:divBdr>
        <w:top w:val="none" w:sz="0" w:space="0" w:color="auto"/>
        <w:left w:val="none" w:sz="0" w:space="0" w:color="auto"/>
        <w:bottom w:val="none" w:sz="0" w:space="0" w:color="auto"/>
        <w:right w:val="none" w:sz="0" w:space="0" w:color="auto"/>
      </w:divBdr>
    </w:div>
    <w:div w:id="478034786">
      <w:bodyDiv w:val="1"/>
      <w:marLeft w:val="0"/>
      <w:marRight w:val="0"/>
      <w:marTop w:val="0"/>
      <w:marBottom w:val="0"/>
      <w:divBdr>
        <w:top w:val="none" w:sz="0" w:space="0" w:color="auto"/>
        <w:left w:val="none" w:sz="0" w:space="0" w:color="auto"/>
        <w:bottom w:val="none" w:sz="0" w:space="0" w:color="auto"/>
        <w:right w:val="none" w:sz="0" w:space="0" w:color="auto"/>
      </w:divBdr>
    </w:div>
    <w:div w:id="593519881">
      <w:bodyDiv w:val="1"/>
      <w:marLeft w:val="0"/>
      <w:marRight w:val="0"/>
      <w:marTop w:val="0"/>
      <w:marBottom w:val="0"/>
      <w:divBdr>
        <w:top w:val="none" w:sz="0" w:space="0" w:color="auto"/>
        <w:left w:val="none" w:sz="0" w:space="0" w:color="auto"/>
        <w:bottom w:val="none" w:sz="0" w:space="0" w:color="auto"/>
        <w:right w:val="none" w:sz="0" w:space="0" w:color="auto"/>
      </w:divBdr>
    </w:div>
    <w:div w:id="630867760">
      <w:bodyDiv w:val="1"/>
      <w:marLeft w:val="0"/>
      <w:marRight w:val="0"/>
      <w:marTop w:val="0"/>
      <w:marBottom w:val="0"/>
      <w:divBdr>
        <w:top w:val="none" w:sz="0" w:space="0" w:color="auto"/>
        <w:left w:val="none" w:sz="0" w:space="0" w:color="auto"/>
        <w:bottom w:val="none" w:sz="0" w:space="0" w:color="auto"/>
        <w:right w:val="none" w:sz="0" w:space="0" w:color="auto"/>
      </w:divBdr>
    </w:div>
    <w:div w:id="655570532">
      <w:bodyDiv w:val="1"/>
      <w:marLeft w:val="0"/>
      <w:marRight w:val="0"/>
      <w:marTop w:val="0"/>
      <w:marBottom w:val="0"/>
      <w:divBdr>
        <w:top w:val="none" w:sz="0" w:space="0" w:color="auto"/>
        <w:left w:val="none" w:sz="0" w:space="0" w:color="auto"/>
        <w:bottom w:val="none" w:sz="0" w:space="0" w:color="auto"/>
        <w:right w:val="none" w:sz="0" w:space="0" w:color="auto"/>
      </w:divBdr>
    </w:div>
    <w:div w:id="715006392">
      <w:bodyDiv w:val="1"/>
      <w:marLeft w:val="0"/>
      <w:marRight w:val="0"/>
      <w:marTop w:val="0"/>
      <w:marBottom w:val="0"/>
      <w:divBdr>
        <w:top w:val="none" w:sz="0" w:space="0" w:color="auto"/>
        <w:left w:val="none" w:sz="0" w:space="0" w:color="auto"/>
        <w:bottom w:val="none" w:sz="0" w:space="0" w:color="auto"/>
        <w:right w:val="none" w:sz="0" w:space="0" w:color="auto"/>
      </w:divBdr>
    </w:div>
    <w:div w:id="745149074">
      <w:bodyDiv w:val="1"/>
      <w:marLeft w:val="0"/>
      <w:marRight w:val="0"/>
      <w:marTop w:val="0"/>
      <w:marBottom w:val="0"/>
      <w:divBdr>
        <w:top w:val="none" w:sz="0" w:space="0" w:color="auto"/>
        <w:left w:val="none" w:sz="0" w:space="0" w:color="auto"/>
        <w:bottom w:val="none" w:sz="0" w:space="0" w:color="auto"/>
        <w:right w:val="none" w:sz="0" w:space="0" w:color="auto"/>
      </w:divBdr>
    </w:div>
    <w:div w:id="751321125">
      <w:bodyDiv w:val="1"/>
      <w:marLeft w:val="0"/>
      <w:marRight w:val="0"/>
      <w:marTop w:val="0"/>
      <w:marBottom w:val="0"/>
      <w:divBdr>
        <w:top w:val="none" w:sz="0" w:space="0" w:color="auto"/>
        <w:left w:val="none" w:sz="0" w:space="0" w:color="auto"/>
        <w:bottom w:val="none" w:sz="0" w:space="0" w:color="auto"/>
        <w:right w:val="none" w:sz="0" w:space="0" w:color="auto"/>
      </w:divBdr>
    </w:div>
    <w:div w:id="857623682">
      <w:bodyDiv w:val="1"/>
      <w:marLeft w:val="0"/>
      <w:marRight w:val="0"/>
      <w:marTop w:val="0"/>
      <w:marBottom w:val="0"/>
      <w:divBdr>
        <w:top w:val="none" w:sz="0" w:space="0" w:color="auto"/>
        <w:left w:val="none" w:sz="0" w:space="0" w:color="auto"/>
        <w:bottom w:val="none" w:sz="0" w:space="0" w:color="auto"/>
        <w:right w:val="none" w:sz="0" w:space="0" w:color="auto"/>
      </w:divBdr>
    </w:div>
    <w:div w:id="872693000">
      <w:bodyDiv w:val="1"/>
      <w:marLeft w:val="0"/>
      <w:marRight w:val="0"/>
      <w:marTop w:val="0"/>
      <w:marBottom w:val="0"/>
      <w:divBdr>
        <w:top w:val="none" w:sz="0" w:space="0" w:color="auto"/>
        <w:left w:val="none" w:sz="0" w:space="0" w:color="auto"/>
        <w:bottom w:val="none" w:sz="0" w:space="0" w:color="auto"/>
        <w:right w:val="none" w:sz="0" w:space="0" w:color="auto"/>
      </w:divBdr>
    </w:div>
    <w:div w:id="898899377">
      <w:bodyDiv w:val="1"/>
      <w:marLeft w:val="0"/>
      <w:marRight w:val="0"/>
      <w:marTop w:val="0"/>
      <w:marBottom w:val="0"/>
      <w:divBdr>
        <w:top w:val="none" w:sz="0" w:space="0" w:color="auto"/>
        <w:left w:val="none" w:sz="0" w:space="0" w:color="auto"/>
        <w:bottom w:val="none" w:sz="0" w:space="0" w:color="auto"/>
        <w:right w:val="none" w:sz="0" w:space="0" w:color="auto"/>
      </w:divBdr>
    </w:div>
    <w:div w:id="950864771">
      <w:bodyDiv w:val="1"/>
      <w:marLeft w:val="0"/>
      <w:marRight w:val="0"/>
      <w:marTop w:val="0"/>
      <w:marBottom w:val="0"/>
      <w:divBdr>
        <w:top w:val="none" w:sz="0" w:space="0" w:color="auto"/>
        <w:left w:val="none" w:sz="0" w:space="0" w:color="auto"/>
        <w:bottom w:val="none" w:sz="0" w:space="0" w:color="auto"/>
        <w:right w:val="none" w:sz="0" w:space="0" w:color="auto"/>
      </w:divBdr>
    </w:div>
    <w:div w:id="956182238">
      <w:bodyDiv w:val="1"/>
      <w:marLeft w:val="0"/>
      <w:marRight w:val="0"/>
      <w:marTop w:val="0"/>
      <w:marBottom w:val="0"/>
      <w:divBdr>
        <w:top w:val="none" w:sz="0" w:space="0" w:color="auto"/>
        <w:left w:val="none" w:sz="0" w:space="0" w:color="auto"/>
        <w:bottom w:val="none" w:sz="0" w:space="0" w:color="auto"/>
        <w:right w:val="none" w:sz="0" w:space="0" w:color="auto"/>
      </w:divBdr>
    </w:div>
    <w:div w:id="1026098107">
      <w:bodyDiv w:val="1"/>
      <w:marLeft w:val="0"/>
      <w:marRight w:val="0"/>
      <w:marTop w:val="0"/>
      <w:marBottom w:val="0"/>
      <w:divBdr>
        <w:top w:val="none" w:sz="0" w:space="0" w:color="auto"/>
        <w:left w:val="none" w:sz="0" w:space="0" w:color="auto"/>
        <w:bottom w:val="none" w:sz="0" w:space="0" w:color="auto"/>
        <w:right w:val="none" w:sz="0" w:space="0" w:color="auto"/>
      </w:divBdr>
    </w:div>
    <w:div w:id="1028725202">
      <w:bodyDiv w:val="1"/>
      <w:marLeft w:val="0"/>
      <w:marRight w:val="0"/>
      <w:marTop w:val="0"/>
      <w:marBottom w:val="0"/>
      <w:divBdr>
        <w:top w:val="none" w:sz="0" w:space="0" w:color="auto"/>
        <w:left w:val="none" w:sz="0" w:space="0" w:color="auto"/>
        <w:bottom w:val="none" w:sz="0" w:space="0" w:color="auto"/>
        <w:right w:val="none" w:sz="0" w:space="0" w:color="auto"/>
      </w:divBdr>
    </w:div>
    <w:div w:id="1093669038">
      <w:bodyDiv w:val="1"/>
      <w:marLeft w:val="0"/>
      <w:marRight w:val="0"/>
      <w:marTop w:val="0"/>
      <w:marBottom w:val="0"/>
      <w:divBdr>
        <w:top w:val="none" w:sz="0" w:space="0" w:color="auto"/>
        <w:left w:val="none" w:sz="0" w:space="0" w:color="auto"/>
        <w:bottom w:val="none" w:sz="0" w:space="0" w:color="auto"/>
        <w:right w:val="none" w:sz="0" w:space="0" w:color="auto"/>
      </w:divBdr>
    </w:div>
    <w:div w:id="1143154114">
      <w:bodyDiv w:val="1"/>
      <w:marLeft w:val="0"/>
      <w:marRight w:val="0"/>
      <w:marTop w:val="0"/>
      <w:marBottom w:val="0"/>
      <w:divBdr>
        <w:top w:val="none" w:sz="0" w:space="0" w:color="auto"/>
        <w:left w:val="none" w:sz="0" w:space="0" w:color="auto"/>
        <w:bottom w:val="none" w:sz="0" w:space="0" w:color="auto"/>
        <w:right w:val="none" w:sz="0" w:space="0" w:color="auto"/>
      </w:divBdr>
    </w:div>
    <w:div w:id="1170370704">
      <w:bodyDiv w:val="1"/>
      <w:marLeft w:val="0"/>
      <w:marRight w:val="0"/>
      <w:marTop w:val="0"/>
      <w:marBottom w:val="0"/>
      <w:divBdr>
        <w:top w:val="none" w:sz="0" w:space="0" w:color="auto"/>
        <w:left w:val="none" w:sz="0" w:space="0" w:color="auto"/>
        <w:bottom w:val="none" w:sz="0" w:space="0" w:color="auto"/>
        <w:right w:val="none" w:sz="0" w:space="0" w:color="auto"/>
      </w:divBdr>
    </w:div>
    <w:div w:id="1216312399">
      <w:bodyDiv w:val="1"/>
      <w:marLeft w:val="0"/>
      <w:marRight w:val="0"/>
      <w:marTop w:val="0"/>
      <w:marBottom w:val="0"/>
      <w:divBdr>
        <w:top w:val="none" w:sz="0" w:space="0" w:color="auto"/>
        <w:left w:val="none" w:sz="0" w:space="0" w:color="auto"/>
        <w:bottom w:val="none" w:sz="0" w:space="0" w:color="auto"/>
        <w:right w:val="none" w:sz="0" w:space="0" w:color="auto"/>
      </w:divBdr>
    </w:div>
    <w:div w:id="1244804372">
      <w:bodyDiv w:val="1"/>
      <w:marLeft w:val="0"/>
      <w:marRight w:val="0"/>
      <w:marTop w:val="0"/>
      <w:marBottom w:val="0"/>
      <w:divBdr>
        <w:top w:val="none" w:sz="0" w:space="0" w:color="auto"/>
        <w:left w:val="none" w:sz="0" w:space="0" w:color="auto"/>
        <w:bottom w:val="none" w:sz="0" w:space="0" w:color="auto"/>
        <w:right w:val="none" w:sz="0" w:space="0" w:color="auto"/>
      </w:divBdr>
    </w:div>
    <w:div w:id="1255164576">
      <w:bodyDiv w:val="1"/>
      <w:marLeft w:val="0"/>
      <w:marRight w:val="0"/>
      <w:marTop w:val="0"/>
      <w:marBottom w:val="0"/>
      <w:divBdr>
        <w:top w:val="none" w:sz="0" w:space="0" w:color="auto"/>
        <w:left w:val="none" w:sz="0" w:space="0" w:color="auto"/>
        <w:bottom w:val="none" w:sz="0" w:space="0" w:color="auto"/>
        <w:right w:val="none" w:sz="0" w:space="0" w:color="auto"/>
      </w:divBdr>
    </w:div>
    <w:div w:id="1255944039">
      <w:bodyDiv w:val="1"/>
      <w:marLeft w:val="0"/>
      <w:marRight w:val="0"/>
      <w:marTop w:val="0"/>
      <w:marBottom w:val="0"/>
      <w:divBdr>
        <w:top w:val="none" w:sz="0" w:space="0" w:color="auto"/>
        <w:left w:val="none" w:sz="0" w:space="0" w:color="auto"/>
        <w:bottom w:val="none" w:sz="0" w:space="0" w:color="auto"/>
        <w:right w:val="none" w:sz="0" w:space="0" w:color="auto"/>
      </w:divBdr>
    </w:div>
    <w:div w:id="1370883933">
      <w:bodyDiv w:val="1"/>
      <w:marLeft w:val="0"/>
      <w:marRight w:val="0"/>
      <w:marTop w:val="0"/>
      <w:marBottom w:val="0"/>
      <w:divBdr>
        <w:top w:val="none" w:sz="0" w:space="0" w:color="auto"/>
        <w:left w:val="none" w:sz="0" w:space="0" w:color="auto"/>
        <w:bottom w:val="none" w:sz="0" w:space="0" w:color="auto"/>
        <w:right w:val="none" w:sz="0" w:space="0" w:color="auto"/>
      </w:divBdr>
    </w:div>
    <w:div w:id="1403672131">
      <w:bodyDiv w:val="1"/>
      <w:marLeft w:val="0"/>
      <w:marRight w:val="0"/>
      <w:marTop w:val="0"/>
      <w:marBottom w:val="0"/>
      <w:divBdr>
        <w:top w:val="none" w:sz="0" w:space="0" w:color="auto"/>
        <w:left w:val="none" w:sz="0" w:space="0" w:color="auto"/>
        <w:bottom w:val="none" w:sz="0" w:space="0" w:color="auto"/>
        <w:right w:val="none" w:sz="0" w:space="0" w:color="auto"/>
      </w:divBdr>
    </w:div>
    <w:div w:id="1497761885">
      <w:bodyDiv w:val="1"/>
      <w:marLeft w:val="0"/>
      <w:marRight w:val="0"/>
      <w:marTop w:val="0"/>
      <w:marBottom w:val="0"/>
      <w:divBdr>
        <w:top w:val="none" w:sz="0" w:space="0" w:color="auto"/>
        <w:left w:val="none" w:sz="0" w:space="0" w:color="auto"/>
        <w:bottom w:val="none" w:sz="0" w:space="0" w:color="auto"/>
        <w:right w:val="none" w:sz="0" w:space="0" w:color="auto"/>
      </w:divBdr>
    </w:div>
    <w:div w:id="1514296457">
      <w:bodyDiv w:val="1"/>
      <w:marLeft w:val="0"/>
      <w:marRight w:val="0"/>
      <w:marTop w:val="0"/>
      <w:marBottom w:val="0"/>
      <w:divBdr>
        <w:top w:val="none" w:sz="0" w:space="0" w:color="auto"/>
        <w:left w:val="none" w:sz="0" w:space="0" w:color="auto"/>
        <w:bottom w:val="none" w:sz="0" w:space="0" w:color="auto"/>
        <w:right w:val="none" w:sz="0" w:space="0" w:color="auto"/>
      </w:divBdr>
    </w:div>
    <w:div w:id="1745570217">
      <w:bodyDiv w:val="1"/>
      <w:marLeft w:val="0"/>
      <w:marRight w:val="0"/>
      <w:marTop w:val="0"/>
      <w:marBottom w:val="0"/>
      <w:divBdr>
        <w:top w:val="none" w:sz="0" w:space="0" w:color="auto"/>
        <w:left w:val="none" w:sz="0" w:space="0" w:color="auto"/>
        <w:bottom w:val="none" w:sz="0" w:space="0" w:color="auto"/>
        <w:right w:val="none" w:sz="0" w:space="0" w:color="auto"/>
      </w:divBdr>
    </w:div>
    <w:div w:id="1787236121">
      <w:bodyDiv w:val="1"/>
      <w:marLeft w:val="0"/>
      <w:marRight w:val="0"/>
      <w:marTop w:val="0"/>
      <w:marBottom w:val="0"/>
      <w:divBdr>
        <w:top w:val="none" w:sz="0" w:space="0" w:color="auto"/>
        <w:left w:val="none" w:sz="0" w:space="0" w:color="auto"/>
        <w:bottom w:val="none" w:sz="0" w:space="0" w:color="auto"/>
        <w:right w:val="none" w:sz="0" w:space="0" w:color="auto"/>
      </w:divBdr>
    </w:div>
    <w:div w:id="1849710300">
      <w:bodyDiv w:val="1"/>
      <w:marLeft w:val="0"/>
      <w:marRight w:val="0"/>
      <w:marTop w:val="0"/>
      <w:marBottom w:val="0"/>
      <w:divBdr>
        <w:top w:val="none" w:sz="0" w:space="0" w:color="auto"/>
        <w:left w:val="none" w:sz="0" w:space="0" w:color="auto"/>
        <w:bottom w:val="none" w:sz="0" w:space="0" w:color="auto"/>
        <w:right w:val="none" w:sz="0" w:space="0" w:color="auto"/>
      </w:divBdr>
    </w:div>
    <w:div w:id="196761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510</TotalTime>
  <Pages>20</Pages>
  <Words>3675</Words>
  <Characters>20213</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JESUS ESTEBAN SERRANO</dc:creator>
  <cp:keywords/>
  <dc:description/>
  <cp:lastModifiedBy>JESUS ESTEBAN SERRANO</cp:lastModifiedBy>
  <cp:revision>68</cp:revision>
  <dcterms:created xsi:type="dcterms:W3CDTF">2025-12-22T12:19:00Z</dcterms:created>
  <dcterms:modified xsi:type="dcterms:W3CDTF">2026-01-01T22:35:00Z</dcterms:modified>
</cp:coreProperties>
</file>