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5883D4" w14:textId="3DDFCB37" w:rsidR="00D2233C" w:rsidRDefault="00207612" w:rsidP="00705E36">
      <w:pPr>
        <w:ind w:right="140"/>
        <w:jc w:val="center"/>
        <w:rPr>
          <w:rFonts w:ascii="Arial" w:eastAsiaTheme="majorEastAsia" w:hAnsi="Arial" w:cs="Arial"/>
          <w:spacing w:val="-10"/>
          <w:kern w:val="28"/>
          <w:sz w:val="36"/>
          <w:szCs w:val="36"/>
        </w:rPr>
      </w:pPr>
      <w:r w:rsidRPr="00207612">
        <w:rPr>
          <w:rFonts w:ascii="Arial" w:eastAsiaTheme="majorEastAsia" w:hAnsi="Arial" w:cs="Arial"/>
          <w:spacing w:val="-10"/>
          <w:kern w:val="28"/>
          <w:sz w:val="36"/>
          <w:szCs w:val="36"/>
        </w:rPr>
        <w:t xml:space="preserve">Los efectos de la madurez de la </w:t>
      </w:r>
      <w:r w:rsidR="00D70B1F">
        <w:rPr>
          <w:rFonts w:ascii="Arial" w:eastAsiaTheme="majorEastAsia" w:hAnsi="Arial" w:cs="Arial"/>
          <w:spacing w:val="-10"/>
          <w:kern w:val="28"/>
          <w:sz w:val="36"/>
          <w:szCs w:val="36"/>
        </w:rPr>
        <w:t>función</w:t>
      </w:r>
      <w:r w:rsidRPr="00207612">
        <w:rPr>
          <w:rFonts w:ascii="Arial" w:eastAsiaTheme="majorEastAsia" w:hAnsi="Arial" w:cs="Arial"/>
          <w:spacing w:val="-10"/>
          <w:kern w:val="28"/>
          <w:sz w:val="36"/>
          <w:szCs w:val="36"/>
        </w:rPr>
        <w:t xml:space="preserve"> de compras (</w:t>
      </w:r>
      <w:r w:rsidR="00613532">
        <w:rPr>
          <w:rFonts w:ascii="Arial" w:eastAsiaTheme="majorEastAsia" w:hAnsi="Arial" w:cs="Arial"/>
          <w:spacing w:val="-10"/>
          <w:kern w:val="28"/>
          <w:sz w:val="36"/>
          <w:szCs w:val="36"/>
        </w:rPr>
        <w:t>PSM</w:t>
      </w:r>
      <w:r w:rsidRPr="00207612">
        <w:rPr>
          <w:rFonts w:ascii="Arial" w:eastAsiaTheme="majorEastAsia" w:hAnsi="Arial" w:cs="Arial"/>
          <w:spacing w:val="-10"/>
          <w:kern w:val="28"/>
          <w:sz w:val="36"/>
          <w:szCs w:val="36"/>
        </w:rPr>
        <w:t xml:space="preserve">) </w:t>
      </w:r>
      <w:r w:rsidR="001342E2">
        <w:rPr>
          <w:rFonts w:ascii="Arial" w:eastAsiaTheme="majorEastAsia" w:hAnsi="Arial" w:cs="Arial"/>
          <w:spacing w:val="-10"/>
          <w:kern w:val="28"/>
          <w:sz w:val="36"/>
          <w:szCs w:val="36"/>
        </w:rPr>
        <w:t>en</w:t>
      </w:r>
      <w:r w:rsidRPr="00207612">
        <w:rPr>
          <w:rFonts w:ascii="Arial" w:eastAsiaTheme="majorEastAsia" w:hAnsi="Arial" w:cs="Arial"/>
          <w:spacing w:val="-10"/>
          <w:kern w:val="28"/>
          <w:sz w:val="36"/>
          <w:szCs w:val="36"/>
        </w:rPr>
        <w:t xml:space="preserve"> la evolución de</w:t>
      </w:r>
      <w:r w:rsidR="00D30954">
        <w:rPr>
          <w:rFonts w:ascii="Arial" w:eastAsiaTheme="majorEastAsia" w:hAnsi="Arial" w:cs="Arial"/>
          <w:spacing w:val="-10"/>
          <w:kern w:val="28"/>
          <w:sz w:val="36"/>
          <w:szCs w:val="36"/>
        </w:rPr>
        <w:t xml:space="preserve"> los </w:t>
      </w:r>
      <w:r w:rsidRPr="00207612">
        <w:rPr>
          <w:rFonts w:ascii="Arial" w:eastAsiaTheme="majorEastAsia" w:hAnsi="Arial" w:cs="Arial"/>
          <w:spacing w:val="-10"/>
          <w:kern w:val="28"/>
          <w:sz w:val="36"/>
          <w:szCs w:val="36"/>
        </w:rPr>
        <w:t>ahorro</w:t>
      </w:r>
      <w:r w:rsidR="00D30954">
        <w:rPr>
          <w:rFonts w:ascii="Arial" w:eastAsiaTheme="majorEastAsia" w:hAnsi="Arial" w:cs="Arial"/>
          <w:spacing w:val="-10"/>
          <w:kern w:val="28"/>
          <w:sz w:val="36"/>
          <w:szCs w:val="36"/>
        </w:rPr>
        <w:t>s</w:t>
      </w:r>
      <w:r w:rsidRPr="00207612">
        <w:rPr>
          <w:rFonts w:ascii="Arial" w:eastAsiaTheme="majorEastAsia" w:hAnsi="Arial" w:cs="Arial"/>
          <w:spacing w:val="-10"/>
          <w:kern w:val="28"/>
          <w:sz w:val="36"/>
          <w:szCs w:val="36"/>
        </w:rPr>
        <w:t>. De precio a sostenibilidad</w:t>
      </w:r>
      <w:r w:rsidR="005634FB">
        <w:rPr>
          <w:rFonts w:ascii="Arial" w:eastAsiaTheme="majorEastAsia" w:hAnsi="Arial" w:cs="Arial"/>
          <w:spacing w:val="-10"/>
          <w:kern w:val="28"/>
          <w:sz w:val="36"/>
          <w:szCs w:val="36"/>
        </w:rPr>
        <w:t>.</w:t>
      </w:r>
    </w:p>
    <w:p w14:paraId="59E7BBEE" w14:textId="77777777" w:rsidR="00613532" w:rsidRPr="00207612" w:rsidRDefault="00613532" w:rsidP="00705E36">
      <w:pPr>
        <w:ind w:right="140"/>
      </w:pPr>
    </w:p>
    <w:p w14:paraId="4C88C996" w14:textId="6849A8D1" w:rsidR="003F38DC" w:rsidRPr="005E4963" w:rsidRDefault="00BA7D2F" w:rsidP="00705E36">
      <w:pPr>
        <w:ind w:right="140"/>
      </w:pPr>
      <w:r w:rsidRPr="005E4963">
        <w:t>Autores</w:t>
      </w:r>
      <w:r w:rsidR="005E4963" w:rsidRPr="005E4963">
        <w:t>: Luis Ros Ruiz, Beatriz Mi</w:t>
      </w:r>
      <w:r w:rsidR="005E4963">
        <w:t>nguela</w:t>
      </w:r>
      <w:r w:rsidR="00FA24CD">
        <w:t>-</w:t>
      </w:r>
      <w:r w:rsidR="005E4963">
        <w:t xml:space="preserve">Rata, José </w:t>
      </w:r>
      <w:r w:rsidR="00D2233C">
        <w:t>Fernández</w:t>
      </w:r>
      <w:r w:rsidR="006D4D6E">
        <w:t>-</w:t>
      </w:r>
      <w:r w:rsidR="00D2233C">
        <w:t>Menéndez.</w:t>
      </w:r>
    </w:p>
    <w:sdt>
      <w:sdtPr>
        <w:rPr>
          <w:rFonts w:ascii="Arial" w:eastAsiaTheme="minorHAnsi" w:hAnsi="Arial" w:cs="Arial"/>
          <w:color w:val="auto"/>
          <w:kern w:val="2"/>
          <w:sz w:val="22"/>
          <w:szCs w:val="22"/>
          <w:lang w:eastAsia="en-US"/>
          <w14:ligatures w14:val="standardContextual"/>
        </w:rPr>
        <w:id w:val="58215592"/>
        <w:docPartObj>
          <w:docPartGallery w:val="Table of Contents"/>
          <w:docPartUnique/>
        </w:docPartObj>
      </w:sdtPr>
      <w:sdtEndPr>
        <w:rPr>
          <w:b/>
          <w:bCs/>
        </w:rPr>
      </w:sdtEndPr>
      <w:sdtContent>
        <w:p w14:paraId="6A43E1CE" w14:textId="3478622D" w:rsidR="00C52FF7" w:rsidRPr="00BA7D2F" w:rsidRDefault="00C52FF7" w:rsidP="00705E36">
          <w:pPr>
            <w:pStyle w:val="TOCHeading"/>
            <w:ind w:right="140"/>
            <w:rPr>
              <w:rFonts w:ascii="Arial" w:hAnsi="Arial" w:cs="Arial"/>
            </w:rPr>
          </w:pPr>
          <w:r w:rsidRPr="00BA7D2F">
            <w:rPr>
              <w:rFonts w:ascii="Arial" w:hAnsi="Arial" w:cs="Arial"/>
            </w:rPr>
            <w:t>Conten</w:t>
          </w:r>
          <w:r w:rsidR="00F248C4">
            <w:rPr>
              <w:rFonts w:ascii="Arial" w:hAnsi="Arial" w:cs="Arial"/>
            </w:rPr>
            <w:t>ido</w:t>
          </w:r>
        </w:p>
        <w:p w14:paraId="4D97657C" w14:textId="30570394" w:rsidR="00D70B1F" w:rsidRDefault="00C52FF7">
          <w:pPr>
            <w:pStyle w:val="TOC1"/>
            <w:tabs>
              <w:tab w:val="right" w:leader="dot" w:pos="8494"/>
            </w:tabs>
            <w:rPr>
              <w:rFonts w:eastAsiaTheme="minorEastAsia"/>
              <w:noProof/>
              <w:sz w:val="24"/>
              <w:szCs w:val="24"/>
              <w:lang w:eastAsia="es-ES"/>
            </w:rPr>
          </w:pPr>
          <w:r w:rsidRPr="00BE2CF3">
            <w:rPr>
              <w:rFonts w:ascii="Arial" w:hAnsi="Arial" w:cs="Arial"/>
            </w:rPr>
            <w:fldChar w:fldCharType="begin"/>
          </w:r>
          <w:r w:rsidRPr="00BE2CF3">
            <w:rPr>
              <w:rFonts w:ascii="Arial" w:hAnsi="Arial" w:cs="Arial"/>
            </w:rPr>
            <w:instrText xml:space="preserve"> TOC \o "1-3" \h \z \u </w:instrText>
          </w:r>
          <w:r w:rsidRPr="00BE2CF3">
            <w:rPr>
              <w:rFonts w:ascii="Arial" w:hAnsi="Arial" w:cs="Arial"/>
            </w:rPr>
            <w:fldChar w:fldCharType="separate"/>
          </w:r>
          <w:hyperlink w:anchor="_Toc183376710" w:history="1">
            <w:r w:rsidR="00D70B1F" w:rsidRPr="00801014">
              <w:rPr>
                <w:rStyle w:val="Hyperlink"/>
                <w:rFonts w:ascii="Arial" w:hAnsi="Arial" w:cs="Arial"/>
                <w:noProof/>
              </w:rPr>
              <w:t>Abstract</w:t>
            </w:r>
            <w:r w:rsidR="00D70B1F">
              <w:rPr>
                <w:noProof/>
                <w:webHidden/>
              </w:rPr>
              <w:tab/>
            </w:r>
            <w:r w:rsidR="00D70B1F">
              <w:rPr>
                <w:noProof/>
                <w:webHidden/>
              </w:rPr>
              <w:fldChar w:fldCharType="begin"/>
            </w:r>
            <w:r w:rsidR="00D70B1F">
              <w:rPr>
                <w:noProof/>
                <w:webHidden/>
              </w:rPr>
              <w:instrText xml:space="preserve"> PAGEREF _Toc183376710 \h </w:instrText>
            </w:r>
            <w:r w:rsidR="00D70B1F">
              <w:rPr>
                <w:noProof/>
                <w:webHidden/>
              </w:rPr>
            </w:r>
            <w:r w:rsidR="00D70B1F">
              <w:rPr>
                <w:noProof/>
                <w:webHidden/>
              </w:rPr>
              <w:fldChar w:fldCharType="separate"/>
            </w:r>
            <w:r w:rsidR="00D70B1F">
              <w:rPr>
                <w:noProof/>
                <w:webHidden/>
              </w:rPr>
              <w:t>2</w:t>
            </w:r>
            <w:r w:rsidR="00D70B1F">
              <w:rPr>
                <w:noProof/>
                <w:webHidden/>
              </w:rPr>
              <w:fldChar w:fldCharType="end"/>
            </w:r>
          </w:hyperlink>
        </w:p>
        <w:p w14:paraId="441D2E46" w14:textId="703CF0F2" w:rsidR="00D70B1F" w:rsidRDefault="00D70B1F">
          <w:pPr>
            <w:pStyle w:val="TOC1"/>
            <w:tabs>
              <w:tab w:val="left" w:pos="440"/>
              <w:tab w:val="right" w:leader="dot" w:pos="8494"/>
            </w:tabs>
            <w:rPr>
              <w:rFonts w:eastAsiaTheme="minorEastAsia"/>
              <w:noProof/>
              <w:sz w:val="24"/>
              <w:szCs w:val="24"/>
              <w:lang w:eastAsia="es-ES"/>
            </w:rPr>
          </w:pPr>
          <w:hyperlink w:anchor="_Toc183376711" w:history="1">
            <w:r w:rsidRPr="00801014">
              <w:rPr>
                <w:rStyle w:val="Hyperlink"/>
                <w:rFonts w:ascii="Arial" w:hAnsi="Arial" w:cs="Arial"/>
                <w:noProof/>
                <w:lang w:val="en-GB"/>
              </w:rPr>
              <w:t>1.</w:t>
            </w:r>
            <w:r>
              <w:rPr>
                <w:rFonts w:eastAsiaTheme="minorEastAsia"/>
                <w:noProof/>
                <w:sz w:val="24"/>
                <w:szCs w:val="24"/>
                <w:lang w:eastAsia="es-ES"/>
              </w:rPr>
              <w:tab/>
            </w:r>
            <w:r w:rsidRPr="00801014">
              <w:rPr>
                <w:rStyle w:val="Hyperlink"/>
                <w:rFonts w:ascii="Arial" w:hAnsi="Arial" w:cs="Arial"/>
                <w:noProof/>
                <w:lang w:val="en-GB"/>
              </w:rPr>
              <w:t>Introducción</w:t>
            </w:r>
            <w:r>
              <w:rPr>
                <w:noProof/>
                <w:webHidden/>
              </w:rPr>
              <w:tab/>
            </w:r>
            <w:r>
              <w:rPr>
                <w:noProof/>
                <w:webHidden/>
              </w:rPr>
              <w:fldChar w:fldCharType="begin"/>
            </w:r>
            <w:r>
              <w:rPr>
                <w:noProof/>
                <w:webHidden/>
              </w:rPr>
              <w:instrText xml:space="preserve"> PAGEREF _Toc183376711 \h </w:instrText>
            </w:r>
            <w:r>
              <w:rPr>
                <w:noProof/>
                <w:webHidden/>
              </w:rPr>
            </w:r>
            <w:r>
              <w:rPr>
                <w:noProof/>
                <w:webHidden/>
              </w:rPr>
              <w:fldChar w:fldCharType="separate"/>
            </w:r>
            <w:r>
              <w:rPr>
                <w:noProof/>
                <w:webHidden/>
              </w:rPr>
              <w:t>2</w:t>
            </w:r>
            <w:r>
              <w:rPr>
                <w:noProof/>
                <w:webHidden/>
              </w:rPr>
              <w:fldChar w:fldCharType="end"/>
            </w:r>
          </w:hyperlink>
        </w:p>
        <w:p w14:paraId="2E85004F" w14:textId="003F6456" w:rsidR="00D70B1F" w:rsidRDefault="00D70B1F">
          <w:pPr>
            <w:pStyle w:val="TOC1"/>
            <w:tabs>
              <w:tab w:val="left" w:pos="440"/>
              <w:tab w:val="right" w:leader="dot" w:pos="8494"/>
            </w:tabs>
            <w:rPr>
              <w:rFonts w:eastAsiaTheme="minorEastAsia"/>
              <w:noProof/>
              <w:sz w:val="24"/>
              <w:szCs w:val="24"/>
              <w:lang w:eastAsia="es-ES"/>
            </w:rPr>
          </w:pPr>
          <w:hyperlink w:anchor="_Toc183376712" w:history="1">
            <w:r w:rsidRPr="00801014">
              <w:rPr>
                <w:rStyle w:val="Hyperlink"/>
                <w:rFonts w:ascii="Arial" w:hAnsi="Arial" w:cs="Arial"/>
                <w:noProof/>
                <w:lang w:val="en-GB"/>
              </w:rPr>
              <w:t>2.</w:t>
            </w:r>
            <w:r>
              <w:rPr>
                <w:rFonts w:eastAsiaTheme="minorEastAsia"/>
                <w:noProof/>
                <w:sz w:val="24"/>
                <w:szCs w:val="24"/>
                <w:lang w:eastAsia="es-ES"/>
              </w:rPr>
              <w:tab/>
            </w:r>
            <w:r w:rsidRPr="00801014">
              <w:rPr>
                <w:rStyle w:val="Hyperlink"/>
                <w:rFonts w:ascii="Arial" w:hAnsi="Arial" w:cs="Arial"/>
                <w:noProof/>
                <w:lang w:val="en-GB"/>
              </w:rPr>
              <w:t>Antecedentes teóricos</w:t>
            </w:r>
            <w:r>
              <w:rPr>
                <w:noProof/>
                <w:webHidden/>
              </w:rPr>
              <w:tab/>
            </w:r>
            <w:r>
              <w:rPr>
                <w:noProof/>
                <w:webHidden/>
              </w:rPr>
              <w:fldChar w:fldCharType="begin"/>
            </w:r>
            <w:r>
              <w:rPr>
                <w:noProof/>
                <w:webHidden/>
              </w:rPr>
              <w:instrText xml:space="preserve"> PAGEREF _Toc183376712 \h </w:instrText>
            </w:r>
            <w:r>
              <w:rPr>
                <w:noProof/>
                <w:webHidden/>
              </w:rPr>
            </w:r>
            <w:r>
              <w:rPr>
                <w:noProof/>
                <w:webHidden/>
              </w:rPr>
              <w:fldChar w:fldCharType="separate"/>
            </w:r>
            <w:r>
              <w:rPr>
                <w:noProof/>
                <w:webHidden/>
              </w:rPr>
              <w:t>4</w:t>
            </w:r>
            <w:r>
              <w:rPr>
                <w:noProof/>
                <w:webHidden/>
              </w:rPr>
              <w:fldChar w:fldCharType="end"/>
            </w:r>
          </w:hyperlink>
        </w:p>
        <w:p w14:paraId="3F69981D" w14:textId="56ED1F88" w:rsidR="00D70B1F" w:rsidRDefault="00D70B1F">
          <w:pPr>
            <w:pStyle w:val="TOC2"/>
            <w:tabs>
              <w:tab w:val="left" w:pos="960"/>
              <w:tab w:val="right" w:leader="dot" w:pos="8494"/>
            </w:tabs>
            <w:rPr>
              <w:rFonts w:eastAsiaTheme="minorEastAsia"/>
              <w:noProof/>
              <w:sz w:val="24"/>
              <w:szCs w:val="24"/>
              <w:lang w:eastAsia="es-ES"/>
            </w:rPr>
          </w:pPr>
          <w:hyperlink w:anchor="_Toc183376713" w:history="1">
            <w:r w:rsidRPr="00801014">
              <w:rPr>
                <w:rStyle w:val="Hyperlink"/>
                <w:rFonts w:ascii="Arial" w:hAnsi="Arial" w:cs="Arial"/>
                <w:noProof/>
                <w:lang w:val="en-GB"/>
              </w:rPr>
              <w:t>2.1.</w:t>
            </w:r>
            <w:r>
              <w:rPr>
                <w:rFonts w:eastAsiaTheme="minorEastAsia"/>
                <w:noProof/>
                <w:sz w:val="24"/>
                <w:szCs w:val="24"/>
                <w:lang w:eastAsia="es-ES"/>
              </w:rPr>
              <w:tab/>
            </w:r>
            <w:r w:rsidRPr="00801014">
              <w:rPr>
                <w:rStyle w:val="Hyperlink"/>
                <w:rFonts w:ascii="Arial" w:hAnsi="Arial" w:cs="Arial"/>
                <w:noProof/>
                <w:lang w:val="en-GB"/>
              </w:rPr>
              <w:t>Revisión de la literatura</w:t>
            </w:r>
            <w:r>
              <w:rPr>
                <w:noProof/>
                <w:webHidden/>
              </w:rPr>
              <w:tab/>
            </w:r>
            <w:r>
              <w:rPr>
                <w:noProof/>
                <w:webHidden/>
              </w:rPr>
              <w:fldChar w:fldCharType="begin"/>
            </w:r>
            <w:r>
              <w:rPr>
                <w:noProof/>
                <w:webHidden/>
              </w:rPr>
              <w:instrText xml:space="preserve"> PAGEREF _Toc183376713 \h </w:instrText>
            </w:r>
            <w:r>
              <w:rPr>
                <w:noProof/>
                <w:webHidden/>
              </w:rPr>
            </w:r>
            <w:r>
              <w:rPr>
                <w:noProof/>
                <w:webHidden/>
              </w:rPr>
              <w:fldChar w:fldCharType="separate"/>
            </w:r>
            <w:r>
              <w:rPr>
                <w:noProof/>
                <w:webHidden/>
              </w:rPr>
              <w:t>4</w:t>
            </w:r>
            <w:r>
              <w:rPr>
                <w:noProof/>
                <w:webHidden/>
              </w:rPr>
              <w:fldChar w:fldCharType="end"/>
            </w:r>
          </w:hyperlink>
        </w:p>
        <w:p w14:paraId="50FD59F7" w14:textId="1E32DA5D" w:rsidR="00D70B1F" w:rsidRDefault="00D70B1F">
          <w:pPr>
            <w:pStyle w:val="TOC2"/>
            <w:tabs>
              <w:tab w:val="left" w:pos="960"/>
              <w:tab w:val="right" w:leader="dot" w:pos="8494"/>
            </w:tabs>
            <w:rPr>
              <w:rFonts w:eastAsiaTheme="minorEastAsia"/>
              <w:noProof/>
              <w:sz w:val="24"/>
              <w:szCs w:val="24"/>
              <w:lang w:eastAsia="es-ES"/>
            </w:rPr>
          </w:pPr>
          <w:hyperlink w:anchor="_Toc183376714" w:history="1">
            <w:r w:rsidRPr="00801014">
              <w:rPr>
                <w:rStyle w:val="Hyperlink"/>
                <w:noProof/>
              </w:rPr>
              <w:t>2.2.</w:t>
            </w:r>
            <w:r>
              <w:rPr>
                <w:rFonts w:eastAsiaTheme="minorEastAsia"/>
                <w:noProof/>
                <w:sz w:val="24"/>
                <w:szCs w:val="24"/>
                <w:lang w:eastAsia="es-ES"/>
              </w:rPr>
              <w:tab/>
            </w:r>
            <w:r w:rsidRPr="00801014">
              <w:rPr>
                <w:rStyle w:val="Hyperlink"/>
                <w:noProof/>
              </w:rPr>
              <w:t>La teoría de los grupos de interés - Stakeholder theory (SHT)</w:t>
            </w:r>
            <w:r>
              <w:rPr>
                <w:noProof/>
                <w:webHidden/>
              </w:rPr>
              <w:tab/>
            </w:r>
            <w:r>
              <w:rPr>
                <w:noProof/>
                <w:webHidden/>
              </w:rPr>
              <w:fldChar w:fldCharType="begin"/>
            </w:r>
            <w:r>
              <w:rPr>
                <w:noProof/>
                <w:webHidden/>
              </w:rPr>
              <w:instrText xml:space="preserve"> PAGEREF _Toc183376714 \h </w:instrText>
            </w:r>
            <w:r>
              <w:rPr>
                <w:noProof/>
                <w:webHidden/>
              </w:rPr>
            </w:r>
            <w:r>
              <w:rPr>
                <w:noProof/>
                <w:webHidden/>
              </w:rPr>
              <w:fldChar w:fldCharType="separate"/>
            </w:r>
            <w:r>
              <w:rPr>
                <w:noProof/>
                <w:webHidden/>
              </w:rPr>
              <w:t>6</w:t>
            </w:r>
            <w:r>
              <w:rPr>
                <w:noProof/>
                <w:webHidden/>
              </w:rPr>
              <w:fldChar w:fldCharType="end"/>
            </w:r>
          </w:hyperlink>
        </w:p>
        <w:p w14:paraId="227132DF" w14:textId="2685E783" w:rsidR="00D70B1F" w:rsidRDefault="00D70B1F">
          <w:pPr>
            <w:pStyle w:val="TOC2"/>
            <w:tabs>
              <w:tab w:val="left" w:pos="960"/>
              <w:tab w:val="right" w:leader="dot" w:pos="8494"/>
            </w:tabs>
            <w:rPr>
              <w:rFonts w:eastAsiaTheme="minorEastAsia"/>
              <w:noProof/>
              <w:sz w:val="24"/>
              <w:szCs w:val="24"/>
              <w:lang w:eastAsia="es-ES"/>
            </w:rPr>
          </w:pPr>
          <w:hyperlink w:anchor="_Toc183376715" w:history="1">
            <w:r w:rsidRPr="00801014">
              <w:rPr>
                <w:rStyle w:val="Hyperlink"/>
                <w:noProof/>
              </w:rPr>
              <w:t>2.3.</w:t>
            </w:r>
            <w:r>
              <w:rPr>
                <w:rFonts w:eastAsiaTheme="minorEastAsia"/>
                <w:noProof/>
                <w:sz w:val="24"/>
                <w:szCs w:val="24"/>
                <w:lang w:eastAsia="es-ES"/>
              </w:rPr>
              <w:tab/>
            </w:r>
            <w:r w:rsidRPr="00801014">
              <w:rPr>
                <w:rStyle w:val="Hyperlink"/>
                <w:noProof/>
              </w:rPr>
              <w:t>Ahorros</w:t>
            </w:r>
            <w:r>
              <w:rPr>
                <w:noProof/>
                <w:webHidden/>
              </w:rPr>
              <w:tab/>
            </w:r>
            <w:r>
              <w:rPr>
                <w:noProof/>
                <w:webHidden/>
              </w:rPr>
              <w:fldChar w:fldCharType="begin"/>
            </w:r>
            <w:r>
              <w:rPr>
                <w:noProof/>
                <w:webHidden/>
              </w:rPr>
              <w:instrText xml:space="preserve"> PAGEREF _Toc183376715 \h </w:instrText>
            </w:r>
            <w:r>
              <w:rPr>
                <w:noProof/>
                <w:webHidden/>
              </w:rPr>
            </w:r>
            <w:r>
              <w:rPr>
                <w:noProof/>
                <w:webHidden/>
              </w:rPr>
              <w:fldChar w:fldCharType="separate"/>
            </w:r>
            <w:r>
              <w:rPr>
                <w:noProof/>
                <w:webHidden/>
              </w:rPr>
              <w:t>7</w:t>
            </w:r>
            <w:r>
              <w:rPr>
                <w:noProof/>
                <w:webHidden/>
              </w:rPr>
              <w:fldChar w:fldCharType="end"/>
            </w:r>
          </w:hyperlink>
        </w:p>
        <w:p w14:paraId="6BB95C31" w14:textId="1CBC4C6D" w:rsidR="00D70B1F" w:rsidRDefault="00D70B1F">
          <w:pPr>
            <w:pStyle w:val="TOC2"/>
            <w:tabs>
              <w:tab w:val="left" w:pos="960"/>
              <w:tab w:val="right" w:leader="dot" w:pos="8494"/>
            </w:tabs>
            <w:rPr>
              <w:rFonts w:eastAsiaTheme="minorEastAsia"/>
              <w:noProof/>
              <w:sz w:val="24"/>
              <w:szCs w:val="24"/>
              <w:lang w:eastAsia="es-ES"/>
            </w:rPr>
          </w:pPr>
          <w:hyperlink w:anchor="_Toc183376716" w:history="1">
            <w:r w:rsidRPr="00801014">
              <w:rPr>
                <w:rStyle w:val="Hyperlink"/>
                <w:noProof/>
              </w:rPr>
              <w:t>2.4.</w:t>
            </w:r>
            <w:r>
              <w:rPr>
                <w:rFonts w:eastAsiaTheme="minorEastAsia"/>
                <w:noProof/>
                <w:sz w:val="24"/>
                <w:szCs w:val="24"/>
                <w:lang w:eastAsia="es-ES"/>
              </w:rPr>
              <w:tab/>
            </w:r>
            <w:r w:rsidRPr="00801014">
              <w:rPr>
                <w:rStyle w:val="Hyperlink"/>
                <w:noProof/>
              </w:rPr>
              <w:t>Madurez de la función de compras</w:t>
            </w:r>
            <w:r>
              <w:rPr>
                <w:noProof/>
                <w:webHidden/>
              </w:rPr>
              <w:tab/>
            </w:r>
            <w:r>
              <w:rPr>
                <w:noProof/>
                <w:webHidden/>
              </w:rPr>
              <w:fldChar w:fldCharType="begin"/>
            </w:r>
            <w:r>
              <w:rPr>
                <w:noProof/>
                <w:webHidden/>
              </w:rPr>
              <w:instrText xml:space="preserve"> PAGEREF _Toc183376716 \h </w:instrText>
            </w:r>
            <w:r>
              <w:rPr>
                <w:noProof/>
                <w:webHidden/>
              </w:rPr>
            </w:r>
            <w:r>
              <w:rPr>
                <w:noProof/>
                <w:webHidden/>
              </w:rPr>
              <w:fldChar w:fldCharType="separate"/>
            </w:r>
            <w:r>
              <w:rPr>
                <w:noProof/>
                <w:webHidden/>
              </w:rPr>
              <w:t>8</w:t>
            </w:r>
            <w:r>
              <w:rPr>
                <w:noProof/>
                <w:webHidden/>
              </w:rPr>
              <w:fldChar w:fldCharType="end"/>
            </w:r>
          </w:hyperlink>
        </w:p>
        <w:p w14:paraId="4112B312" w14:textId="5AEFE433" w:rsidR="00D70B1F" w:rsidRDefault="00D70B1F">
          <w:pPr>
            <w:pStyle w:val="TOC2"/>
            <w:tabs>
              <w:tab w:val="left" w:pos="960"/>
              <w:tab w:val="right" w:leader="dot" w:pos="8494"/>
            </w:tabs>
            <w:rPr>
              <w:rFonts w:eastAsiaTheme="minorEastAsia"/>
              <w:noProof/>
              <w:sz w:val="24"/>
              <w:szCs w:val="24"/>
              <w:lang w:eastAsia="es-ES"/>
            </w:rPr>
          </w:pPr>
          <w:hyperlink w:anchor="_Toc183376717" w:history="1">
            <w:r w:rsidRPr="00801014">
              <w:rPr>
                <w:rStyle w:val="Hyperlink"/>
                <w:noProof/>
              </w:rPr>
              <w:t>2.5.</w:t>
            </w:r>
            <w:r>
              <w:rPr>
                <w:rFonts w:eastAsiaTheme="minorEastAsia"/>
                <w:noProof/>
                <w:sz w:val="24"/>
                <w:szCs w:val="24"/>
                <w:lang w:eastAsia="es-ES"/>
              </w:rPr>
              <w:tab/>
            </w:r>
            <w:r w:rsidRPr="00801014">
              <w:rPr>
                <w:rStyle w:val="Hyperlink"/>
                <w:noProof/>
              </w:rPr>
              <w:t>Efectos positivos en el medio ambiente de los ahorros</w:t>
            </w:r>
            <w:r>
              <w:rPr>
                <w:noProof/>
                <w:webHidden/>
              </w:rPr>
              <w:tab/>
            </w:r>
            <w:r>
              <w:rPr>
                <w:noProof/>
                <w:webHidden/>
              </w:rPr>
              <w:fldChar w:fldCharType="begin"/>
            </w:r>
            <w:r>
              <w:rPr>
                <w:noProof/>
                <w:webHidden/>
              </w:rPr>
              <w:instrText xml:space="preserve"> PAGEREF _Toc183376717 \h </w:instrText>
            </w:r>
            <w:r>
              <w:rPr>
                <w:noProof/>
                <w:webHidden/>
              </w:rPr>
            </w:r>
            <w:r>
              <w:rPr>
                <w:noProof/>
                <w:webHidden/>
              </w:rPr>
              <w:fldChar w:fldCharType="separate"/>
            </w:r>
            <w:r>
              <w:rPr>
                <w:noProof/>
                <w:webHidden/>
              </w:rPr>
              <w:t>12</w:t>
            </w:r>
            <w:r>
              <w:rPr>
                <w:noProof/>
                <w:webHidden/>
              </w:rPr>
              <w:fldChar w:fldCharType="end"/>
            </w:r>
          </w:hyperlink>
        </w:p>
        <w:p w14:paraId="056C8957" w14:textId="6D2FB71A" w:rsidR="00D70B1F" w:rsidRDefault="00D70B1F">
          <w:pPr>
            <w:pStyle w:val="TOC1"/>
            <w:tabs>
              <w:tab w:val="left" w:pos="440"/>
              <w:tab w:val="right" w:leader="dot" w:pos="8494"/>
            </w:tabs>
            <w:rPr>
              <w:rFonts w:eastAsiaTheme="minorEastAsia"/>
              <w:noProof/>
              <w:sz w:val="24"/>
              <w:szCs w:val="24"/>
              <w:lang w:eastAsia="es-ES"/>
            </w:rPr>
          </w:pPr>
          <w:hyperlink w:anchor="_Toc183376718" w:history="1">
            <w:r w:rsidRPr="00801014">
              <w:rPr>
                <w:rStyle w:val="Hyperlink"/>
                <w:rFonts w:ascii="Arial" w:hAnsi="Arial" w:cs="Arial"/>
                <w:noProof/>
                <w:lang w:val="en-GB"/>
              </w:rPr>
              <w:t>3.</w:t>
            </w:r>
            <w:r>
              <w:rPr>
                <w:rFonts w:eastAsiaTheme="minorEastAsia"/>
                <w:noProof/>
                <w:sz w:val="24"/>
                <w:szCs w:val="24"/>
                <w:lang w:eastAsia="es-ES"/>
              </w:rPr>
              <w:tab/>
            </w:r>
            <w:r w:rsidRPr="00801014">
              <w:rPr>
                <w:rStyle w:val="Hyperlink"/>
                <w:rFonts w:ascii="Arial" w:hAnsi="Arial" w:cs="Arial"/>
                <w:noProof/>
                <w:lang w:val="en-GB"/>
              </w:rPr>
              <w:t>Desarrollo de las hipótesis</w:t>
            </w:r>
            <w:r>
              <w:rPr>
                <w:noProof/>
                <w:webHidden/>
              </w:rPr>
              <w:tab/>
            </w:r>
            <w:r>
              <w:rPr>
                <w:noProof/>
                <w:webHidden/>
              </w:rPr>
              <w:fldChar w:fldCharType="begin"/>
            </w:r>
            <w:r>
              <w:rPr>
                <w:noProof/>
                <w:webHidden/>
              </w:rPr>
              <w:instrText xml:space="preserve"> PAGEREF _Toc183376718 \h </w:instrText>
            </w:r>
            <w:r>
              <w:rPr>
                <w:noProof/>
                <w:webHidden/>
              </w:rPr>
            </w:r>
            <w:r>
              <w:rPr>
                <w:noProof/>
                <w:webHidden/>
              </w:rPr>
              <w:fldChar w:fldCharType="separate"/>
            </w:r>
            <w:r>
              <w:rPr>
                <w:noProof/>
                <w:webHidden/>
              </w:rPr>
              <w:t>13</w:t>
            </w:r>
            <w:r>
              <w:rPr>
                <w:noProof/>
                <w:webHidden/>
              </w:rPr>
              <w:fldChar w:fldCharType="end"/>
            </w:r>
          </w:hyperlink>
        </w:p>
        <w:p w14:paraId="2FDD933E" w14:textId="69157220" w:rsidR="00D70B1F" w:rsidRDefault="00D70B1F">
          <w:pPr>
            <w:pStyle w:val="TOC1"/>
            <w:tabs>
              <w:tab w:val="left" w:pos="440"/>
              <w:tab w:val="right" w:leader="dot" w:pos="8494"/>
            </w:tabs>
            <w:rPr>
              <w:rFonts w:eastAsiaTheme="minorEastAsia"/>
              <w:noProof/>
              <w:sz w:val="24"/>
              <w:szCs w:val="24"/>
              <w:lang w:eastAsia="es-ES"/>
            </w:rPr>
          </w:pPr>
          <w:hyperlink w:anchor="_Toc183376719" w:history="1">
            <w:r w:rsidRPr="00801014">
              <w:rPr>
                <w:rStyle w:val="Hyperlink"/>
                <w:rFonts w:ascii="Arial" w:hAnsi="Arial" w:cs="Arial"/>
                <w:noProof/>
                <w:lang w:val="en-GB"/>
              </w:rPr>
              <w:t>4.</w:t>
            </w:r>
            <w:r>
              <w:rPr>
                <w:rFonts w:eastAsiaTheme="minorEastAsia"/>
                <w:noProof/>
                <w:sz w:val="24"/>
                <w:szCs w:val="24"/>
                <w:lang w:eastAsia="es-ES"/>
              </w:rPr>
              <w:tab/>
            </w:r>
            <w:r w:rsidRPr="00801014">
              <w:rPr>
                <w:rStyle w:val="Hyperlink"/>
                <w:rFonts w:ascii="Arial" w:hAnsi="Arial" w:cs="Arial"/>
                <w:noProof/>
                <w:lang w:val="en-GB"/>
              </w:rPr>
              <w:t>Metodología</w:t>
            </w:r>
            <w:r>
              <w:rPr>
                <w:noProof/>
                <w:webHidden/>
              </w:rPr>
              <w:tab/>
            </w:r>
            <w:r>
              <w:rPr>
                <w:noProof/>
                <w:webHidden/>
              </w:rPr>
              <w:fldChar w:fldCharType="begin"/>
            </w:r>
            <w:r>
              <w:rPr>
                <w:noProof/>
                <w:webHidden/>
              </w:rPr>
              <w:instrText xml:space="preserve"> PAGEREF _Toc183376719 \h </w:instrText>
            </w:r>
            <w:r>
              <w:rPr>
                <w:noProof/>
                <w:webHidden/>
              </w:rPr>
            </w:r>
            <w:r>
              <w:rPr>
                <w:noProof/>
                <w:webHidden/>
              </w:rPr>
              <w:fldChar w:fldCharType="separate"/>
            </w:r>
            <w:r>
              <w:rPr>
                <w:noProof/>
                <w:webHidden/>
              </w:rPr>
              <w:t>14</w:t>
            </w:r>
            <w:r>
              <w:rPr>
                <w:noProof/>
                <w:webHidden/>
              </w:rPr>
              <w:fldChar w:fldCharType="end"/>
            </w:r>
          </w:hyperlink>
        </w:p>
        <w:p w14:paraId="626673AF" w14:textId="716D5487" w:rsidR="00D70B1F" w:rsidRDefault="00D70B1F">
          <w:pPr>
            <w:pStyle w:val="TOC2"/>
            <w:tabs>
              <w:tab w:val="left" w:pos="960"/>
              <w:tab w:val="right" w:leader="dot" w:pos="8494"/>
            </w:tabs>
            <w:rPr>
              <w:rFonts w:eastAsiaTheme="minorEastAsia"/>
              <w:noProof/>
              <w:sz w:val="24"/>
              <w:szCs w:val="24"/>
              <w:lang w:eastAsia="es-ES"/>
            </w:rPr>
          </w:pPr>
          <w:hyperlink w:anchor="_Toc183376720" w:history="1">
            <w:r w:rsidRPr="00801014">
              <w:rPr>
                <w:rStyle w:val="Hyperlink"/>
                <w:rFonts w:ascii="Arial" w:hAnsi="Arial" w:cs="Arial"/>
                <w:noProof/>
                <w:lang w:val="en-GB"/>
              </w:rPr>
              <w:t>4.1.</w:t>
            </w:r>
            <w:r>
              <w:rPr>
                <w:rFonts w:eastAsiaTheme="minorEastAsia"/>
                <w:noProof/>
                <w:sz w:val="24"/>
                <w:szCs w:val="24"/>
                <w:lang w:eastAsia="es-ES"/>
              </w:rPr>
              <w:tab/>
            </w:r>
            <w:r w:rsidRPr="00801014">
              <w:rPr>
                <w:rStyle w:val="Hyperlink"/>
                <w:rFonts w:ascii="Arial" w:hAnsi="Arial" w:cs="Arial"/>
                <w:noProof/>
                <w:lang w:val="en-GB"/>
              </w:rPr>
              <w:t>Diseño de la investigación</w:t>
            </w:r>
            <w:r>
              <w:rPr>
                <w:noProof/>
                <w:webHidden/>
              </w:rPr>
              <w:tab/>
            </w:r>
            <w:r>
              <w:rPr>
                <w:noProof/>
                <w:webHidden/>
              </w:rPr>
              <w:fldChar w:fldCharType="begin"/>
            </w:r>
            <w:r>
              <w:rPr>
                <w:noProof/>
                <w:webHidden/>
              </w:rPr>
              <w:instrText xml:space="preserve"> PAGEREF _Toc183376720 \h </w:instrText>
            </w:r>
            <w:r>
              <w:rPr>
                <w:noProof/>
                <w:webHidden/>
              </w:rPr>
            </w:r>
            <w:r>
              <w:rPr>
                <w:noProof/>
                <w:webHidden/>
              </w:rPr>
              <w:fldChar w:fldCharType="separate"/>
            </w:r>
            <w:r>
              <w:rPr>
                <w:noProof/>
                <w:webHidden/>
              </w:rPr>
              <w:t>14</w:t>
            </w:r>
            <w:r>
              <w:rPr>
                <w:noProof/>
                <w:webHidden/>
              </w:rPr>
              <w:fldChar w:fldCharType="end"/>
            </w:r>
          </w:hyperlink>
        </w:p>
        <w:p w14:paraId="0F70E954" w14:textId="0355E506" w:rsidR="00D70B1F" w:rsidRDefault="00D70B1F">
          <w:pPr>
            <w:pStyle w:val="TOC2"/>
            <w:tabs>
              <w:tab w:val="left" w:pos="960"/>
              <w:tab w:val="right" w:leader="dot" w:pos="8494"/>
            </w:tabs>
            <w:rPr>
              <w:rFonts w:eastAsiaTheme="minorEastAsia"/>
              <w:noProof/>
              <w:sz w:val="24"/>
              <w:szCs w:val="24"/>
              <w:lang w:eastAsia="es-ES"/>
            </w:rPr>
          </w:pPr>
          <w:hyperlink w:anchor="_Toc183376721" w:history="1">
            <w:r w:rsidRPr="00801014">
              <w:rPr>
                <w:rStyle w:val="Hyperlink"/>
                <w:noProof/>
              </w:rPr>
              <w:t>4.2.</w:t>
            </w:r>
            <w:r>
              <w:rPr>
                <w:rFonts w:eastAsiaTheme="minorEastAsia"/>
                <w:noProof/>
                <w:sz w:val="24"/>
                <w:szCs w:val="24"/>
                <w:lang w:eastAsia="es-ES"/>
              </w:rPr>
              <w:tab/>
            </w:r>
            <w:r w:rsidRPr="00801014">
              <w:rPr>
                <w:rStyle w:val="Hyperlink"/>
                <w:noProof/>
              </w:rPr>
              <w:t>Variables</w:t>
            </w:r>
            <w:r>
              <w:rPr>
                <w:noProof/>
                <w:webHidden/>
              </w:rPr>
              <w:tab/>
            </w:r>
            <w:r>
              <w:rPr>
                <w:noProof/>
                <w:webHidden/>
              </w:rPr>
              <w:fldChar w:fldCharType="begin"/>
            </w:r>
            <w:r>
              <w:rPr>
                <w:noProof/>
                <w:webHidden/>
              </w:rPr>
              <w:instrText xml:space="preserve"> PAGEREF _Toc183376721 \h </w:instrText>
            </w:r>
            <w:r>
              <w:rPr>
                <w:noProof/>
                <w:webHidden/>
              </w:rPr>
            </w:r>
            <w:r>
              <w:rPr>
                <w:noProof/>
                <w:webHidden/>
              </w:rPr>
              <w:fldChar w:fldCharType="separate"/>
            </w:r>
            <w:r>
              <w:rPr>
                <w:noProof/>
                <w:webHidden/>
              </w:rPr>
              <w:t>17</w:t>
            </w:r>
            <w:r>
              <w:rPr>
                <w:noProof/>
                <w:webHidden/>
              </w:rPr>
              <w:fldChar w:fldCharType="end"/>
            </w:r>
          </w:hyperlink>
        </w:p>
        <w:p w14:paraId="79B3EC71" w14:textId="476E9DD0" w:rsidR="00D70B1F" w:rsidRDefault="00D70B1F">
          <w:pPr>
            <w:pStyle w:val="TOC1"/>
            <w:tabs>
              <w:tab w:val="left" w:pos="440"/>
              <w:tab w:val="right" w:leader="dot" w:pos="8494"/>
            </w:tabs>
            <w:rPr>
              <w:rFonts w:eastAsiaTheme="minorEastAsia"/>
              <w:noProof/>
              <w:sz w:val="24"/>
              <w:szCs w:val="24"/>
              <w:lang w:eastAsia="es-ES"/>
            </w:rPr>
          </w:pPr>
          <w:hyperlink w:anchor="_Toc183376722" w:history="1">
            <w:r w:rsidRPr="00801014">
              <w:rPr>
                <w:rStyle w:val="Hyperlink"/>
                <w:rFonts w:ascii="Arial" w:hAnsi="Arial" w:cs="Arial"/>
                <w:noProof/>
              </w:rPr>
              <w:t>5.</w:t>
            </w:r>
            <w:r>
              <w:rPr>
                <w:rFonts w:eastAsiaTheme="minorEastAsia"/>
                <w:noProof/>
                <w:sz w:val="24"/>
                <w:szCs w:val="24"/>
                <w:lang w:eastAsia="es-ES"/>
              </w:rPr>
              <w:tab/>
            </w:r>
            <w:r w:rsidRPr="00801014">
              <w:rPr>
                <w:rStyle w:val="Hyperlink"/>
                <w:rFonts w:ascii="Arial" w:hAnsi="Arial" w:cs="Arial"/>
                <w:noProof/>
              </w:rPr>
              <w:t>Resultados – Análisis de datos</w:t>
            </w:r>
            <w:r>
              <w:rPr>
                <w:noProof/>
                <w:webHidden/>
              </w:rPr>
              <w:tab/>
            </w:r>
            <w:r>
              <w:rPr>
                <w:noProof/>
                <w:webHidden/>
              </w:rPr>
              <w:fldChar w:fldCharType="begin"/>
            </w:r>
            <w:r>
              <w:rPr>
                <w:noProof/>
                <w:webHidden/>
              </w:rPr>
              <w:instrText xml:space="preserve"> PAGEREF _Toc183376722 \h </w:instrText>
            </w:r>
            <w:r>
              <w:rPr>
                <w:noProof/>
                <w:webHidden/>
              </w:rPr>
            </w:r>
            <w:r>
              <w:rPr>
                <w:noProof/>
                <w:webHidden/>
              </w:rPr>
              <w:fldChar w:fldCharType="separate"/>
            </w:r>
            <w:r>
              <w:rPr>
                <w:noProof/>
                <w:webHidden/>
              </w:rPr>
              <w:t>21</w:t>
            </w:r>
            <w:r>
              <w:rPr>
                <w:noProof/>
                <w:webHidden/>
              </w:rPr>
              <w:fldChar w:fldCharType="end"/>
            </w:r>
          </w:hyperlink>
        </w:p>
        <w:p w14:paraId="06829C59" w14:textId="452F60F0" w:rsidR="00D70B1F" w:rsidRDefault="00D70B1F">
          <w:pPr>
            <w:pStyle w:val="TOC2"/>
            <w:tabs>
              <w:tab w:val="right" w:leader="dot" w:pos="8494"/>
            </w:tabs>
            <w:rPr>
              <w:rFonts w:eastAsiaTheme="minorEastAsia"/>
              <w:noProof/>
              <w:sz w:val="24"/>
              <w:szCs w:val="24"/>
              <w:lang w:eastAsia="es-ES"/>
            </w:rPr>
          </w:pPr>
          <w:hyperlink w:anchor="_Toc183376723" w:history="1">
            <w:r w:rsidRPr="00801014">
              <w:rPr>
                <w:rStyle w:val="Hyperlink"/>
                <w:rFonts w:ascii="Arial" w:hAnsi="Arial" w:cs="Arial"/>
                <w:noProof/>
              </w:rPr>
              <w:t>5.1 Prueba de hipótesis</w:t>
            </w:r>
            <w:r>
              <w:rPr>
                <w:noProof/>
                <w:webHidden/>
              </w:rPr>
              <w:tab/>
            </w:r>
            <w:r>
              <w:rPr>
                <w:noProof/>
                <w:webHidden/>
              </w:rPr>
              <w:fldChar w:fldCharType="begin"/>
            </w:r>
            <w:r>
              <w:rPr>
                <w:noProof/>
                <w:webHidden/>
              </w:rPr>
              <w:instrText xml:space="preserve"> PAGEREF _Toc183376723 \h </w:instrText>
            </w:r>
            <w:r>
              <w:rPr>
                <w:noProof/>
                <w:webHidden/>
              </w:rPr>
            </w:r>
            <w:r>
              <w:rPr>
                <w:noProof/>
                <w:webHidden/>
              </w:rPr>
              <w:fldChar w:fldCharType="separate"/>
            </w:r>
            <w:r>
              <w:rPr>
                <w:noProof/>
                <w:webHidden/>
              </w:rPr>
              <w:t>21</w:t>
            </w:r>
            <w:r>
              <w:rPr>
                <w:noProof/>
                <w:webHidden/>
              </w:rPr>
              <w:fldChar w:fldCharType="end"/>
            </w:r>
          </w:hyperlink>
        </w:p>
        <w:p w14:paraId="5BB4A805" w14:textId="379CE3B5" w:rsidR="00D70B1F" w:rsidRDefault="00D70B1F">
          <w:pPr>
            <w:pStyle w:val="TOC3"/>
            <w:tabs>
              <w:tab w:val="left" w:pos="1440"/>
              <w:tab w:val="right" w:leader="dot" w:pos="8494"/>
            </w:tabs>
            <w:rPr>
              <w:rFonts w:eastAsiaTheme="minorEastAsia"/>
              <w:noProof/>
              <w:sz w:val="24"/>
              <w:szCs w:val="24"/>
              <w:lang w:eastAsia="es-ES"/>
            </w:rPr>
          </w:pPr>
          <w:hyperlink w:anchor="_Toc183376724" w:history="1">
            <w:r w:rsidRPr="00801014">
              <w:rPr>
                <w:rStyle w:val="Hyperlink"/>
                <w:rFonts w:ascii="Arial" w:hAnsi="Arial" w:cs="Arial"/>
                <w:noProof/>
              </w:rPr>
              <w:t xml:space="preserve">5.1.1 </w:t>
            </w:r>
            <w:r>
              <w:rPr>
                <w:rFonts w:eastAsiaTheme="minorEastAsia"/>
                <w:noProof/>
                <w:sz w:val="24"/>
                <w:szCs w:val="24"/>
                <w:lang w:eastAsia="es-ES"/>
              </w:rPr>
              <w:tab/>
            </w:r>
            <w:r w:rsidRPr="00801014">
              <w:rPr>
                <w:rStyle w:val="Hyperlink"/>
                <w:rFonts w:ascii="Arial" w:hAnsi="Arial" w:cs="Arial"/>
                <w:noProof/>
              </w:rPr>
              <w:t>H1 – Una función de compras más madura reconoce más ahorros indirectos complejos.</w:t>
            </w:r>
            <w:r>
              <w:rPr>
                <w:noProof/>
                <w:webHidden/>
              </w:rPr>
              <w:tab/>
            </w:r>
            <w:r>
              <w:rPr>
                <w:noProof/>
                <w:webHidden/>
              </w:rPr>
              <w:fldChar w:fldCharType="begin"/>
            </w:r>
            <w:r>
              <w:rPr>
                <w:noProof/>
                <w:webHidden/>
              </w:rPr>
              <w:instrText xml:space="preserve"> PAGEREF _Toc183376724 \h </w:instrText>
            </w:r>
            <w:r>
              <w:rPr>
                <w:noProof/>
                <w:webHidden/>
              </w:rPr>
            </w:r>
            <w:r>
              <w:rPr>
                <w:noProof/>
                <w:webHidden/>
              </w:rPr>
              <w:fldChar w:fldCharType="separate"/>
            </w:r>
            <w:r>
              <w:rPr>
                <w:noProof/>
                <w:webHidden/>
              </w:rPr>
              <w:t>21</w:t>
            </w:r>
            <w:r>
              <w:rPr>
                <w:noProof/>
                <w:webHidden/>
              </w:rPr>
              <w:fldChar w:fldCharType="end"/>
            </w:r>
          </w:hyperlink>
        </w:p>
        <w:p w14:paraId="3C9EAFAB" w14:textId="4FF061CD" w:rsidR="00D70B1F" w:rsidRDefault="00D70B1F">
          <w:pPr>
            <w:pStyle w:val="TOC3"/>
            <w:tabs>
              <w:tab w:val="left" w:pos="1200"/>
              <w:tab w:val="right" w:leader="dot" w:pos="8494"/>
            </w:tabs>
            <w:rPr>
              <w:rFonts w:eastAsiaTheme="minorEastAsia"/>
              <w:noProof/>
              <w:sz w:val="24"/>
              <w:szCs w:val="24"/>
              <w:lang w:eastAsia="es-ES"/>
            </w:rPr>
          </w:pPr>
          <w:hyperlink w:anchor="_Toc183376725" w:history="1">
            <w:r w:rsidRPr="00801014">
              <w:rPr>
                <w:rStyle w:val="Hyperlink"/>
                <w:rFonts w:ascii="Arial" w:hAnsi="Arial" w:cs="Arial"/>
                <w:noProof/>
              </w:rPr>
              <w:t>5.1.2</w:t>
            </w:r>
            <w:r>
              <w:rPr>
                <w:rFonts w:eastAsiaTheme="minorEastAsia"/>
                <w:noProof/>
                <w:sz w:val="24"/>
                <w:szCs w:val="24"/>
                <w:lang w:eastAsia="es-ES"/>
              </w:rPr>
              <w:tab/>
            </w:r>
            <w:r w:rsidRPr="00801014">
              <w:rPr>
                <w:rStyle w:val="Hyperlink"/>
                <w:rFonts w:ascii="Arial" w:hAnsi="Arial" w:cs="Arial"/>
                <w:noProof/>
              </w:rPr>
              <w:t>H2 – Cuantos más ahorros reconocidos dentro de la empresa, más efectos positivos en el medio ambiente.</w:t>
            </w:r>
            <w:r>
              <w:rPr>
                <w:noProof/>
                <w:webHidden/>
              </w:rPr>
              <w:tab/>
            </w:r>
            <w:r>
              <w:rPr>
                <w:noProof/>
                <w:webHidden/>
              </w:rPr>
              <w:fldChar w:fldCharType="begin"/>
            </w:r>
            <w:r>
              <w:rPr>
                <w:noProof/>
                <w:webHidden/>
              </w:rPr>
              <w:instrText xml:space="preserve"> PAGEREF _Toc183376725 \h </w:instrText>
            </w:r>
            <w:r>
              <w:rPr>
                <w:noProof/>
                <w:webHidden/>
              </w:rPr>
            </w:r>
            <w:r>
              <w:rPr>
                <w:noProof/>
                <w:webHidden/>
              </w:rPr>
              <w:fldChar w:fldCharType="separate"/>
            </w:r>
            <w:r>
              <w:rPr>
                <w:noProof/>
                <w:webHidden/>
              </w:rPr>
              <w:t>24</w:t>
            </w:r>
            <w:r>
              <w:rPr>
                <w:noProof/>
                <w:webHidden/>
              </w:rPr>
              <w:fldChar w:fldCharType="end"/>
            </w:r>
          </w:hyperlink>
        </w:p>
        <w:p w14:paraId="2EC60385" w14:textId="4242A99E" w:rsidR="00D70B1F" w:rsidRDefault="00D70B1F">
          <w:pPr>
            <w:pStyle w:val="TOC1"/>
            <w:tabs>
              <w:tab w:val="left" w:pos="720"/>
              <w:tab w:val="right" w:leader="dot" w:pos="8494"/>
            </w:tabs>
            <w:rPr>
              <w:rFonts w:eastAsiaTheme="minorEastAsia"/>
              <w:noProof/>
              <w:sz w:val="24"/>
              <w:szCs w:val="24"/>
              <w:lang w:eastAsia="es-ES"/>
            </w:rPr>
          </w:pPr>
          <w:hyperlink w:anchor="_Toc183376726" w:history="1">
            <w:r w:rsidRPr="00801014">
              <w:rPr>
                <w:rStyle w:val="Hyperlink"/>
                <w:rFonts w:ascii="Arial" w:hAnsi="Arial" w:cs="Arial"/>
                <w:noProof/>
              </w:rPr>
              <w:t xml:space="preserve">6.  </w:t>
            </w:r>
            <w:r>
              <w:rPr>
                <w:rFonts w:eastAsiaTheme="minorEastAsia"/>
                <w:noProof/>
                <w:sz w:val="24"/>
                <w:szCs w:val="24"/>
                <w:lang w:eastAsia="es-ES"/>
              </w:rPr>
              <w:tab/>
            </w:r>
            <w:r w:rsidRPr="00801014">
              <w:rPr>
                <w:rStyle w:val="Hyperlink"/>
                <w:rFonts w:ascii="Arial" w:hAnsi="Arial" w:cs="Arial"/>
                <w:noProof/>
              </w:rPr>
              <w:t>Conclusiones</w:t>
            </w:r>
            <w:r>
              <w:rPr>
                <w:noProof/>
                <w:webHidden/>
              </w:rPr>
              <w:tab/>
            </w:r>
            <w:r>
              <w:rPr>
                <w:noProof/>
                <w:webHidden/>
              </w:rPr>
              <w:fldChar w:fldCharType="begin"/>
            </w:r>
            <w:r>
              <w:rPr>
                <w:noProof/>
                <w:webHidden/>
              </w:rPr>
              <w:instrText xml:space="preserve"> PAGEREF _Toc183376726 \h </w:instrText>
            </w:r>
            <w:r>
              <w:rPr>
                <w:noProof/>
                <w:webHidden/>
              </w:rPr>
            </w:r>
            <w:r>
              <w:rPr>
                <w:noProof/>
                <w:webHidden/>
              </w:rPr>
              <w:fldChar w:fldCharType="separate"/>
            </w:r>
            <w:r>
              <w:rPr>
                <w:noProof/>
                <w:webHidden/>
              </w:rPr>
              <w:t>25</w:t>
            </w:r>
            <w:r>
              <w:rPr>
                <w:noProof/>
                <w:webHidden/>
              </w:rPr>
              <w:fldChar w:fldCharType="end"/>
            </w:r>
          </w:hyperlink>
        </w:p>
        <w:p w14:paraId="7D81DB55" w14:textId="7517C753" w:rsidR="00D70B1F" w:rsidRDefault="00D70B1F">
          <w:pPr>
            <w:pStyle w:val="TOC2"/>
            <w:tabs>
              <w:tab w:val="left" w:pos="960"/>
              <w:tab w:val="right" w:leader="dot" w:pos="8494"/>
            </w:tabs>
            <w:rPr>
              <w:rFonts w:eastAsiaTheme="minorEastAsia"/>
              <w:noProof/>
              <w:sz w:val="24"/>
              <w:szCs w:val="24"/>
              <w:lang w:eastAsia="es-ES"/>
            </w:rPr>
          </w:pPr>
          <w:hyperlink w:anchor="_Toc183376733" w:history="1">
            <w:r w:rsidRPr="00801014">
              <w:rPr>
                <w:rStyle w:val="Hyperlink"/>
                <w:rFonts w:ascii="Arial" w:hAnsi="Arial" w:cs="Arial"/>
                <w:noProof/>
              </w:rPr>
              <w:t>6.1.</w:t>
            </w:r>
            <w:r>
              <w:rPr>
                <w:rFonts w:eastAsiaTheme="minorEastAsia"/>
                <w:noProof/>
                <w:sz w:val="24"/>
                <w:szCs w:val="24"/>
                <w:lang w:eastAsia="es-ES"/>
              </w:rPr>
              <w:tab/>
            </w:r>
            <w:r w:rsidRPr="00801014">
              <w:rPr>
                <w:rStyle w:val="Hyperlink"/>
                <w:rFonts w:ascii="Arial" w:hAnsi="Arial" w:cs="Arial"/>
                <w:noProof/>
              </w:rPr>
              <w:t>Contribuciones a la teoría y a la práctica</w:t>
            </w:r>
            <w:r>
              <w:rPr>
                <w:noProof/>
                <w:webHidden/>
              </w:rPr>
              <w:tab/>
            </w:r>
            <w:r>
              <w:rPr>
                <w:noProof/>
                <w:webHidden/>
              </w:rPr>
              <w:fldChar w:fldCharType="begin"/>
            </w:r>
            <w:r>
              <w:rPr>
                <w:noProof/>
                <w:webHidden/>
              </w:rPr>
              <w:instrText xml:space="preserve"> PAGEREF _Toc183376733 \h </w:instrText>
            </w:r>
            <w:r>
              <w:rPr>
                <w:noProof/>
                <w:webHidden/>
              </w:rPr>
            </w:r>
            <w:r>
              <w:rPr>
                <w:noProof/>
                <w:webHidden/>
              </w:rPr>
              <w:fldChar w:fldCharType="separate"/>
            </w:r>
            <w:r>
              <w:rPr>
                <w:noProof/>
                <w:webHidden/>
              </w:rPr>
              <w:t>26</w:t>
            </w:r>
            <w:r>
              <w:rPr>
                <w:noProof/>
                <w:webHidden/>
              </w:rPr>
              <w:fldChar w:fldCharType="end"/>
            </w:r>
          </w:hyperlink>
        </w:p>
        <w:p w14:paraId="79C839CC" w14:textId="173E0D15" w:rsidR="00D70B1F" w:rsidRDefault="00D70B1F">
          <w:pPr>
            <w:pStyle w:val="TOC2"/>
            <w:tabs>
              <w:tab w:val="left" w:pos="960"/>
              <w:tab w:val="right" w:leader="dot" w:pos="8494"/>
            </w:tabs>
            <w:rPr>
              <w:rFonts w:eastAsiaTheme="minorEastAsia"/>
              <w:noProof/>
              <w:sz w:val="24"/>
              <w:szCs w:val="24"/>
              <w:lang w:eastAsia="es-ES"/>
            </w:rPr>
          </w:pPr>
          <w:hyperlink w:anchor="_Toc183376734" w:history="1">
            <w:r w:rsidRPr="00801014">
              <w:rPr>
                <w:rStyle w:val="Hyperlink"/>
                <w:rFonts w:ascii="Arial" w:hAnsi="Arial" w:cs="Arial"/>
                <w:noProof/>
                <w:lang w:val="en-GB"/>
              </w:rPr>
              <w:t>6.2.</w:t>
            </w:r>
            <w:r>
              <w:rPr>
                <w:rFonts w:eastAsiaTheme="minorEastAsia"/>
                <w:noProof/>
                <w:sz w:val="24"/>
                <w:szCs w:val="24"/>
                <w:lang w:eastAsia="es-ES"/>
              </w:rPr>
              <w:tab/>
            </w:r>
            <w:r w:rsidRPr="00801014">
              <w:rPr>
                <w:rStyle w:val="Hyperlink"/>
                <w:rFonts w:ascii="Arial" w:hAnsi="Arial" w:cs="Arial"/>
                <w:noProof/>
              </w:rPr>
              <w:t>Limitaciones e investigaciones futuras</w:t>
            </w:r>
            <w:r>
              <w:rPr>
                <w:noProof/>
                <w:webHidden/>
              </w:rPr>
              <w:tab/>
            </w:r>
            <w:r>
              <w:rPr>
                <w:noProof/>
                <w:webHidden/>
              </w:rPr>
              <w:fldChar w:fldCharType="begin"/>
            </w:r>
            <w:r>
              <w:rPr>
                <w:noProof/>
                <w:webHidden/>
              </w:rPr>
              <w:instrText xml:space="preserve"> PAGEREF _Toc183376734 \h </w:instrText>
            </w:r>
            <w:r>
              <w:rPr>
                <w:noProof/>
                <w:webHidden/>
              </w:rPr>
            </w:r>
            <w:r>
              <w:rPr>
                <w:noProof/>
                <w:webHidden/>
              </w:rPr>
              <w:fldChar w:fldCharType="separate"/>
            </w:r>
            <w:r>
              <w:rPr>
                <w:noProof/>
                <w:webHidden/>
              </w:rPr>
              <w:t>27</w:t>
            </w:r>
            <w:r>
              <w:rPr>
                <w:noProof/>
                <w:webHidden/>
              </w:rPr>
              <w:fldChar w:fldCharType="end"/>
            </w:r>
          </w:hyperlink>
        </w:p>
        <w:p w14:paraId="115E32EF" w14:textId="5E397FDB" w:rsidR="00D70B1F" w:rsidRDefault="00D70B1F">
          <w:pPr>
            <w:pStyle w:val="TOC1"/>
            <w:tabs>
              <w:tab w:val="left" w:pos="720"/>
              <w:tab w:val="right" w:leader="dot" w:pos="8494"/>
            </w:tabs>
            <w:rPr>
              <w:rFonts w:eastAsiaTheme="minorEastAsia"/>
              <w:noProof/>
              <w:sz w:val="24"/>
              <w:szCs w:val="24"/>
              <w:lang w:eastAsia="es-ES"/>
            </w:rPr>
          </w:pPr>
          <w:hyperlink w:anchor="_Toc183376735" w:history="1">
            <w:r w:rsidRPr="00801014">
              <w:rPr>
                <w:rStyle w:val="Hyperlink"/>
                <w:rFonts w:ascii="Arial" w:hAnsi="Arial" w:cs="Arial"/>
                <w:noProof/>
              </w:rPr>
              <w:t xml:space="preserve">7. </w:t>
            </w:r>
            <w:r>
              <w:rPr>
                <w:rFonts w:eastAsiaTheme="minorEastAsia"/>
                <w:noProof/>
                <w:sz w:val="24"/>
                <w:szCs w:val="24"/>
                <w:lang w:eastAsia="es-ES"/>
              </w:rPr>
              <w:tab/>
            </w:r>
            <w:r w:rsidRPr="00801014">
              <w:rPr>
                <w:rStyle w:val="Hyperlink"/>
                <w:rFonts w:ascii="Arial" w:hAnsi="Arial" w:cs="Arial"/>
                <w:noProof/>
              </w:rPr>
              <w:t>Referencias</w:t>
            </w:r>
            <w:r>
              <w:rPr>
                <w:noProof/>
                <w:webHidden/>
              </w:rPr>
              <w:tab/>
            </w:r>
            <w:r>
              <w:rPr>
                <w:noProof/>
                <w:webHidden/>
              </w:rPr>
              <w:fldChar w:fldCharType="begin"/>
            </w:r>
            <w:r>
              <w:rPr>
                <w:noProof/>
                <w:webHidden/>
              </w:rPr>
              <w:instrText xml:space="preserve"> PAGEREF _Toc183376735 \h </w:instrText>
            </w:r>
            <w:r>
              <w:rPr>
                <w:noProof/>
                <w:webHidden/>
              </w:rPr>
            </w:r>
            <w:r>
              <w:rPr>
                <w:noProof/>
                <w:webHidden/>
              </w:rPr>
              <w:fldChar w:fldCharType="separate"/>
            </w:r>
            <w:r>
              <w:rPr>
                <w:noProof/>
                <w:webHidden/>
              </w:rPr>
              <w:t>27</w:t>
            </w:r>
            <w:r>
              <w:rPr>
                <w:noProof/>
                <w:webHidden/>
              </w:rPr>
              <w:fldChar w:fldCharType="end"/>
            </w:r>
          </w:hyperlink>
        </w:p>
        <w:p w14:paraId="493A8AA8" w14:textId="65D4BCFC" w:rsidR="00C52FF7" w:rsidRDefault="00C52FF7" w:rsidP="00705E36">
          <w:pPr>
            <w:ind w:right="140"/>
            <w:rPr>
              <w:rFonts w:ascii="Arial" w:hAnsi="Arial" w:cs="Arial"/>
              <w:b/>
              <w:bCs/>
            </w:rPr>
          </w:pPr>
          <w:r w:rsidRPr="00BE2CF3">
            <w:rPr>
              <w:rFonts w:ascii="Arial" w:hAnsi="Arial" w:cs="Arial"/>
              <w:b/>
              <w:bCs/>
            </w:rPr>
            <w:fldChar w:fldCharType="end"/>
          </w:r>
        </w:p>
      </w:sdtContent>
    </w:sdt>
    <w:p w14:paraId="7B072468" w14:textId="77777777" w:rsidR="004D5062" w:rsidRDefault="004D5062" w:rsidP="00705E36">
      <w:pPr>
        <w:ind w:right="140"/>
        <w:rPr>
          <w:rFonts w:ascii="Arial" w:hAnsi="Arial" w:cs="Arial"/>
        </w:rPr>
      </w:pPr>
    </w:p>
    <w:p w14:paraId="5BDC272B" w14:textId="77777777" w:rsidR="00D27166" w:rsidRDefault="00D27166" w:rsidP="00705E36">
      <w:pPr>
        <w:ind w:right="140"/>
        <w:rPr>
          <w:rFonts w:ascii="Arial" w:hAnsi="Arial" w:cs="Arial"/>
        </w:rPr>
      </w:pPr>
    </w:p>
    <w:p w14:paraId="35C01B7C" w14:textId="77777777" w:rsidR="00D27166" w:rsidRDefault="00D27166" w:rsidP="00705E36">
      <w:pPr>
        <w:ind w:right="140"/>
        <w:rPr>
          <w:rFonts w:ascii="Arial" w:hAnsi="Arial" w:cs="Arial"/>
        </w:rPr>
      </w:pPr>
    </w:p>
    <w:p w14:paraId="10180E47" w14:textId="77777777" w:rsidR="00D27166" w:rsidRDefault="00D27166" w:rsidP="00705E36">
      <w:pPr>
        <w:ind w:right="140"/>
        <w:rPr>
          <w:rFonts w:ascii="Arial" w:hAnsi="Arial" w:cs="Arial"/>
        </w:rPr>
      </w:pPr>
    </w:p>
    <w:p w14:paraId="2A8B39EA" w14:textId="77777777" w:rsidR="00D27166" w:rsidRPr="00BE2CF3" w:rsidRDefault="00D27166" w:rsidP="00705E36">
      <w:pPr>
        <w:ind w:right="140"/>
        <w:rPr>
          <w:rFonts w:ascii="Arial" w:hAnsi="Arial" w:cs="Arial"/>
        </w:rPr>
      </w:pPr>
    </w:p>
    <w:p w14:paraId="22B29824" w14:textId="2E09CC20" w:rsidR="00AC0B17" w:rsidRPr="00BB3924" w:rsidRDefault="00E009B9" w:rsidP="00705E36">
      <w:pPr>
        <w:pStyle w:val="Heading1"/>
        <w:ind w:right="140"/>
        <w:rPr>
          <w:rFonts w:ascii="Arial" w:hAnsi="Arial" w:cs="Arial"/>
        </w:rPr>
      </w:pPr>
      <w:bookmarkStart w:id="0" w:name="_Toc183376710"/>
      <w:r w:rsidRPr="00BB3924">
        <w:rPr>
          <w:rFonts w:ascii="Arial" w:hAnsi="Arial" w:cs="Arial"/>
        </w:rPr>
        <w:lastRenderedPageBreak/>
        <w:t>A</w:t>
      </w:r>
      <w:r w:rsidR="00B90A13" w:rsidRPr="00BB3924">
        <w:rPr>
          <w:rFonts w:ascii="Arial" w:hAnsi="Arial" w:cs="Arial"/>
        </w:rPr>
        <w:t>bstract</w:t>
      </w:r>
      <w:bookmarkEnd w:id="0"/>
    </w:p>
    <w:p w14:paraId="3A51E92F" w14:textId="77777777" w:rsidR="00E009B9" w:rsidRPr="00BB3924" w:rsidRDefault="00E009B9" w:rsidP="00705E36">
      <w:pPr>
        <w:ind w:right="140"/>
        <w:rPr>
          <w:rFonts w:ascii="Arial" w:hAnsi="Arial" w:cs="Arial"/>
        </w:rPr>
      </w:pPr>
    </w:p>
    <w:p w14:paraId="78B0A9DF" w14:textId="77A286C0" w:rsidR="0084450F" w:rsidRPr="00383258" w:rsidRDefault="00F248C4" w:rsidP="00705E36">
      <w:pPr>
        <w:ind w:right="140"/>
        <w:rPr>
          <w:rFonts w:ascii="Arial" w:hAnsi="Arial" w:cs="Arial"/>
        </w:rPr>
      </w:pPr>
      <w:r w:rsidRPr="00383258">
        <w:rPr>
          <w:rFonts w:ascii="Arial" w:hAnsi="Arial" w:cs="Arial"/>
        </w:rPr>
        <w:t xml:space="preserve">La función de </w:t>
      </w:r>
      <w:r w:rsidR="00E5454F" w:rsidRPr="00383258">
        <w:rPr>
          <w:rFonts w:ascii="Arial" w:hAnsi="Arial" w:cs="Arial"/>
        </w:rPr>
        <w:t>compras</w:t>
      </w:r>
      <w:r w:rsidR="00363C0E">
        <w:rPr>
          <w:rFonts w:ascii="Arial" w:hAnsi="Arial" w:cs="Arial"/>
        </w:rPr>
        <w:t>,</w:t>
      </w:r>
      <w:r w:rsidR="00E5454F" w:rsidRPr="00383258">
        <w:rPr>
          <w:rFonts w:ascii="Arial" w:hAnsi="Arial" w:cs="Arial"/>
        </w:rPr>
        <w:t xml:space="preserve"> </w:t>
      </w:r>
      <w:r w:rsidR="00E5454F">
        <w:rPr>
          <w:rFonts w:ascii="Arial" w:hAnsi="Arial" w:cs="Arial"/>
        </w:rPr>
        <w:t>en</w:t>
      </w:r>
      <w:r w:rsidR="00DB4EE0">
        <w:rPr>
          <w:rFonts w:ascii="Arial" w:hAnsi="Arial" w:cs="Arial"/>
        </w:rPr>
        <w:t xml:space="preserve"> inglés </w:t>
      </w:r>
      <w:r w:rsidR="0084450F" w:rsidRPr="00383258">
        <w:rPr>
          <w:rFonts w:ascii="Arial" w:hAnsi="Arial" w:cs="Arial"/>
        </w:rPr>
        <w:t>Purchasing and Supply Management (PSM)</w:t>
      </w:r>
      <w:r w:rsidRPr="00383258">
        <w:rPr>
          <w:rFonts w:ascii="Arial" w:hAnsi="Arial" w:cs="Arial"/>
        </w:rPr>
        <w:t xml:space="preserve">, </w:t>
      </w:r>
      <w:r w:rsidR="00383258">
        <w:rPr>
          <w:rFonts w:ascii="Arial" w:hAnsi="Arial" w:cs="Arial"/>
        </w:rPr>
        <w:t>d</w:t>
      </w:r>
      <w:r w:rsidR="00383258" w:rsidRPr="00383258">
        <w:rPr>
          <w:rFonts w:ascii="Arial" w:hAnsi="Arial" w:cs="Arial"/>
        </w:rPr>
        <w:t>urante las últimas décadas han ido incrementando su influencia dentro de las empresas, evolucionando y adaptando su propuesta al desafiante, incierto y cambiante entorno económico.</w:t>
      </w:r>
    </w:p>
    <w:p w14:paraId="6E09D218" w14:textId="79DD5E8F" w:rsidR="0084450F" w:rsidRPr="00353834" w:rsidRDefault="00353834" w:rsidP="00705E36">
      <w:pPr>
        <w:ind w:right="140"/>
        <w:rPr>
          <w:rFonts w:ascii="Arial" w:hAnsi="Arial" w:cs="Arial"/>
        </w:rPr>
      </w:pPr>
      <w:r w:rsidRPr="00353834">
        <w:rPr>
          <w:rFonts w:ascii="Arial" w:hAnsi="Arial" w:cs="Arial"/>
        </w:rPr>
        <w:t xml:space="preserve">Debido a factores como </w:t>
      </w:r>
      <w:r w:rsidR="00F578F4">
        <w:rPr>
          <w:rFonts w:ascii="Arial" w:hAnsi="Arial" w:cs="Arial"/>
        </w:rPr>
        <w:t xml:space="preserve">unas </w:t>
      </w:r>
      <w:r w:rsidRPr="00353834">
        <w:rPr>
          <w:rFonts w:ascii="Arial" w:hAnsi="Arial" w:cs="Arial"/>
        </w:rPr>
        <w:t>cadena</w:t>
      </w:r>
      <w:r w:rsidR="007F3F71">
        <w:rPr>
          <w:rFonts w:ascii="Arial" w:hAnsi="Arial" w:cs="Arial"/>
        </w:rPr>
        <w:t>s</w:t>
      </w:r>
      <w:r w:rsidRPr="00353834">
        <w:rPr>
          <w:rFonts w:ascii="Arial" w:hAnsi="Arial" w:cs="Arial"/>
        </w:rPr>
        <w:t xml:space="preserve"> de suministro cada vez más desagregada</w:t>
      </w:r>
      <w:r w:rsidR="007F3F71">
        <w:rPr>
          <w:rFonts w:ascii="Arial" w:hAnsi="Arial" w:cs="Arial"/>
        </w:rPr>
        <w:t>s</w:t>
      </w:r>
      <w:r w:rsidRPr="00353834">
        <w:rPr>
          <w:rFonts w:ascii="Arial" w:hAnsi="Arial" w:cs="Arial"/>
        </w:rPr>
        <w:t xml:space="preserve">, </w:t>
      </w:r>
      <w:r w:rsidR="009C11A8">
        <w:rPr>
          <w:rFonts w:ascii="Arial" w:hAnsi="Arial" w:cs="Arial"/>
        </w:rPr>
        <w:t xml:space="preserve">a </w:t>
      </w:r>
      <w:r w:rsidRPr="00353834">
        <w:rPr>
          <w:rFonts w:ascii="Arial" w:hAnsi="Arial" w:cs="Arial"/>
        </w:rPr>
        <w:t xml:space="preserve">sistemas informáticos especializados que generan más </w:t>
      </w:r>
      <w:r w:rsidR="003E651D">
        <w:rPr>
          <w:rFonts w:ascii="Arial" w:hAnsi="Arial" w:cs="Arial"/>
        </w:rPr>
        <w:t xml:space="preserve">y mejores </w:t>
      </w:r>
      <w:r w:rsidRPr="00353834">
        <w:rPr>
          <w:rFonts w:ascii="Arial" w:hAnsi="Arial" w:cs="Arial"/>
        </w:rPr>
        <w:t>datos,</w:t>
      </w:r>
      <w:r w:rsidR="008225DB">
        <w:rPr>
          <w:rFonts w:ascii="Arial" w:hAnsi="Arial" w:cs="Arial"/>
        </w:rPr>
        <w:t xml:space="preserve"> a las</w:t>
      </w:r>
      <w:r w:rsidRPr="00353834">
        <w:rPr>
          <w:rFonts w:ascii="Arial" w:hAnsi="Arial" w:cs="Arial"/>
        </w:rPr>
        <w:t xml:space="preserve"> </w:t>
      </w:r>
      <w:r w:rsidR="004A2658">
        <w:rPr>
          <w:rFonts w:ascii="Arial" w:hAnsi="Arial" w:cs="Arial"/>
        </w:rPr>
        <w:t xml:space="preserve">deslocalizaciones </w:t>
      </w:r>
      <w:r w:rsidR="00F44D1E">
        <w:rPr>
          <w:rFonts w:ascii="Arial" w:hAnsi="Arial" w:cs="Arial"/>
        </w:rPr>
        <w:t xml:space="preserve">de la producción </w:t>
      </w:r>
      <w:r w:rsidR="00874B07">
        <w:rPr>
          <w:rFonts w:ascii="Arial" w:hAnsi="Arial" w:cs="Arial"/>
        </w:rPr>
        <w:t xml:space="preserve">a </w:t>
      </w:r>
      <w:r w:rsidRPr="00353834">
        <w:rPr>
          <w:rFonts w:ascii="Arial" w:hAnsi="Arial" w:cs="Arial"/>
        </w:rPr>
        <w:t xml:space="preserve">países de bajo coste y </w:t>
      </w:r>
      <w:r w:rsidR="00CF72AA">
        <w:rPr>
          <w:rFonts w:ascii="Arial" w:hAnsi="Arial" w:cs="Arial"/>
        </w:rPr>
        <w:t xml:space="preserve">su </w:t>
      </w:r>
      <w:r w:rsidR="008225DB">
        <w:rPr>
          <w:rFonts w:ascii="Arial" w:hAnsi="Arial" w:cs="Arial"/>
        </w:rPr>
        <w:t xml:space="preserve">actual </w:t>
      </w:r>
      <w:r w:rsidRPr="00353834">
        <w:rPr>
          <w:rFonts w:ascii="Arial" w:hAnsi="Arial" w:cs="Arial"/>
        </w:rPr>
        <w:t>evolución</w:t>
      </w:r>
      <w:r w:rsidR="00E00CF2">
        <w:rPr>
          <w:rFonts w:ascii="Arial" w:hAnsi="Arial" w:cs="Arial"/>
        </w:rPr>
        <w:t xml:space="preserve"> a países más </w:t>
      </w:r>
      <w:r w:rsidRPr="00353834">
        <w:rPr>
          <w:rFonts w:ascii="Arial" w:hAnsi="Arial" w:cs="Arial"/>
        </w:rPr>
        <w:t>adecuad</w:t>
      </w:r>
      <w:r w:rsidR="00E00CF2">
        <w:rPr>
          <w:rFonts w:ascii="Arial" w:hAnsi="Arial" w:cs="Arial"/>
        </w:rPr>
        <w:t>os</w:t>
      </w:r>
      <w:r w:rsidRPr="00353834">
        <w:rPr>
          <w:rFonts w:ascii="Arial" w:hAnsi="Arial" w:cs="Arial"/>
        </w:rPr>
        <w:t xml:space="preserve">, </w:t>
      </w:r>
      <w:r w:rsidR="008225DB">
        <w:rPr>
          <w:rFonts w:ascii="Arial" w:hAnsi="Arial" w:cs="Arial"/>
        </w:rPr>
        <w:t xml:space="preserve">a </w:t>
      </w:r>
      <w:r w:rsidR="001F3849">
        <w:rPr>
          <w:rFonts w:ascii="Arial" w:hAnsi="Arial" w:cs="Arial"/>
        </w:rPr>
        <w:t xml:space="preserve">unos </w:t>
      </w:r>
      <w:r w:rsidRPr="00353834">
        <w:rPr>
          <w:rFonts w:ascii="Arial" w:hAnsi="Arial" w:cs="Arial"/>
        </w:rPr>
        <w:t xml:space="preserve">mercados maduros altamente competitivos y </w:t>
      </w:r>
      <w:r w:rsidR="008225DB">
        <w:rPr>
          <w:rFonts w:ascii="Arial" w:hAnsi="Arial" w:cs="Arial"/>
        </w:rPr>
        <w:t xml:space="preserve">a </w:t>
      </w:r>
      <w:r w:rsidR="00CC044C">
        <w:rPr>
          <w:rFonts w:ascii="Arial" w:hAnsi="Arial" w:cs="Arial"/>
        </w:rPr>
        <w:t>una</w:t>
      </w:r>
      <w:r w:rsidRPr="00353834">
        <w:rPr>
          <w:rFonts w:ascii="Arial" w:hAnsi="Arial" w:cs="Arial"/>
        </w:rPr>
        <w:t xml:space="preserve"> corresponsabilidad en la cadena de suministro en cuestiones de sostenibilidad y ética, </w:t>
      </w:r>
      <w:r w:rsidR="00CC044C">
        <w:rPr>
          <w:rFonts w:ascii="Arial" w:hAnsi="Arial" w:cs="Arial"/>
        </w:rPr>
        <w:t xml:space="preserve">que ha </w:t>
      </w:r>
      <w:r w:rsidRPr="00353834">
        <w:rPr>
          <w:rFonts w:ascii="Arial" w:hAnsi="Arial" w:cs="Arial"/>
        </w:rPr>
        <w:t xml:space="preserve">generado un marco de cumplimiento </w:t>
      </w:r>
      <w:r w:rsidR="00743AAE">
        <w:rPr>
          <w:rFonts w:ascii="Arial" w:hAnsi="Arial" w:cs="Arial"/>
        </w:rPr>
        <w:t xml:space="preserve">normativo </w:t>
      </w:r>
      <w:r w:rsidRPr="00353834">
        <w:rPr>
          <w:rFonts w:ascii="Arial" w:hAnsi="Arial" w:cs="Arial"/>
        </w:rPr>
        <w:t>más estricto</w:t>
      </w:r>
      <w:r w:rsidR="00CC044C">
        <w:rPr>
          <w:rFonts w:ascii="Arial" w:hAnsi="Arial" w:cs="Arial"/>
        </w:rPr>
        <w:t>.</w:t>
      </w:r>
      <w:r w:rsidRPr="00353834">
        <w:rPr>
          <w:rFonts w:ascii="Arial" w:hAnsi="Arial" w:cs="Arial"/>
        </w:rPr>
        <w:t xml:space="preserve"> </w:t>
      </w:r>
      <w:r w:rsidR="00CC044C">
        <w:rPr>
          <w:rFonts w:ascii="Arial" w:hAnsi="Arial" w:cs="Arial"/>
        </w:rPr>
        <w:t>T</w:t>
      </w:r>
      <w:r w:rsidRPr="00353834">
        <w:rPr>
          <w:rFonts w:ascii="Arial" w:hAnsi="Arial" w:cs="Arial"/>
        </w:rPr>
        <w:t xml:space="preserve">odo </w:t>
      </w:r>
      <w:r w:rsidR="00CC044C">
        <w:rPr>
          <w:rFonts w:ascii="Arial" w:hAnsi="Arial" w:cs="Arial"/>
        </w:rPr>
        <w:t>esto</w:t>
      </w:r>
      <w:r w:rsidRPr="00353834">
        <w:rPr>
          <w:rFonts w:ascii="Arial" w:hAnsi="Arial" w:cs="Arial"/>
        </w:rPr>
        <w:t xml:space="preserve"> ha hecho más compleja la actividad de PSM. Sin embargo, </w:t>
      </w:r>
      <w:r w:rsidR="00331B77">
        <w:rPr>
          <w:rFonts w:ascii="Arial" w:hAnsi="Arial" w:cs="Arial"/>
        </w:rPr>
        <w:t>la</w:t>
      </w:r>
      <w:r w:rsidRPr="00353834">
        <w:rPr>
          <w:rFonts w:ascii="Arial" w:hAnsi="Arial" w:cs="Arial"/>
        </w:rPr>
        <w:t xml:space="preserve"> experiencia adquirida </w:t>
      </w:r>
      <w:r w:rsidR="00B44FA6">
        <w:rPr>
          <w:rFonts w:ascii="Arial" w:hAnsi="Arial" w:cs="Arial"/>
        </w:rPr>
        <w:t xml:space="preserve">buscando </w:t>
      </w:r>
      <w:r w:rsidRPr="00353834">
        <w:rPr>
          <w:rFonts w:ascii="Arial" w:hAnsi="Arial" w:cs="Arial"/>
        </w:rPr>
        <w:t>eficacia y eficiencia</w:t>
      </w:r>
      <w:r w:rsidR="00B44FA6">
        <w:rPr>
          <w:rFonts w:ascii="Arial" w:hAnsi="Arial" w:cs="Arial"/>
        </w:rPr>
        <w:t xml:space="preserve"> </w:t>
      </w:r>
      <w:r w:rsidR="00880D21">
        <w:rPr>
          <w:rFonts w:ascii="Arial" w:hAnsi="Arial" w:cs="Arial"/>
        </w:rPr>
        <w:t>y</w:t>
      </w:r>
      <w:r w:rsidR="00880D21" w:rsidRPr="00353834">
        <w:rPr>
          <w:rFonts w:ascii="Arial" w:hAnsi="Arial" w:cs="Arial"/>
        </w:rPr>
        <w:t xml:space="preserve"> </w:t>
      </w:r>
      <w:r w:rsidR="00880D21">
        <w:rPr>
          <w:rFonts w:ascii="Arial" w:hAnsi="Arial" w:cs="Arial"/>
        </w:rPr>
        <w:t>por</w:t>
      </w:r>
      <w:r w:rsidR="00B50703">
        <w:rPr>
          <w:rFonts w:ascii="Arial" w:hAnsi="Arial" w:cs="Arial"/>
        </w:rPr>
        <w:t xml:space="preserve"> lo tanto </w:t>
      </w:r>
      <w:r w:rsidRPr="00353834">
        <w:rPr>
          <w:rFonts w:ascii="Arial" w:hAnsi="Arial" w:cs="Arial"/>
        </w:rPr>
        <w:t xml:space="preserve">mejorando la productividad, </w:t>
      </w:r>
      <w:r w:rsidR="00B50703">
        <w:rPr>
          <w:rFonts w:ascii="Arial" w:hAnsi="Arial" w:cs="Arial"/>
        </w:rPr>
        <w:t xml:space="preserve">le ha dado </w:t>
      </w:r>
      <w:r w:rsidRPr="00353834">
        <w:rPr>
          <w:rFonts w:ascii="Arial" w:hAnsi="Arial" w:cs="Arial"/>
        </w:rPr>
        <w:t xml:space="preserve">un conocimiento </w:t>
      </w:r>
      <w:r w:rsidR="0016357D">
        <w:rPr>
          <w:rFonts w:ascii="Arial" w:hAnsi="Arial" w:cs="Arial"/>
        </w:rPr>
        <w:t>muy</w:t>
      </w:r>
      <w:r w:rsidRPr="00353834">
        <w:rPr>
          <w:rFonts w:ascii="Arial" w:hAnsi="Arial" w:cs="Arial"/>
        </w:rPr>
        <w:t xml:space="preserve"> valor</w:t>
      </w:r>
      <w:r w:rsidR="0016357D">
        <w:rPr>
          <w:rFonts w:ascii="Arial" w:hAnsi="Arial" w:cs="Arial"/>
        </w:rPr>
        <w:t>ado</w:t>
      </w:r>
      <w:r w:rsidR="00E45FA7">
        <w:rPr>
          <w:rFonts w:ascii="Arial" w:hAnsi="Arial" w:cs="Arial"/>
        </w:rPr>
        <w:t>,</w:t>
      </w:r>
      <w:r w:rsidRPr="00353834">
        <w:rPr>
          <w:rFonts w:ascii="Arial" w:hAnsi="Arial" w:cs="Arial"/>
        </w:rPr>
        <w:t xml:space="preserve"> </w:t>
      </w:r>
      <w:r w:rsidR="00E45FA7">
        <w:rPr>
          <w:rFonts w:ascii="Arial" w:hAnsi="Arial" w:cs="Arial"/>
        </w:rPr>
        <w:t>t</w:t>
      </w:r>
      <w:r w:rsidR="00880D21">
        <w:rPr>
          <w:rFonts w:ascii="Arial" w:hAnsi="Arial" w:cs="Arial"/>
        </w:rPr>
        <w:t>ransversal a la empresa</w:t>
      </w:r>
      <w:r w:rsidR="00B30D33">
        <w:rPr>
          <w:rFonts w:ascii="Arial" w:hAnsi="Arial" w:cs="Arial"/>
        </w:rPr>
        <w:t>,</w:t>
      </w:r>
      <w:r w:rsidR="00CD521F">
        <w:rPr>
          <w:rFonts w:ascii="Arial" w:hAnsi="Arial" w:cs="Arial"/>
        </w:rPr>
        <w:t xml:space="preserve"> y</w:t>
      </w:r>
      <w:r w:rsidR="00880D21">
        <w:rPr>
          <w:rFonts w:ascii="Arial" w:hAnsi="Arial" w:cs="Arial"/>
        </w:rPr>
        <w:t xml:space="preserve"> </w:t>
      </w:r>
      <w:r w:rsidR="00B30D33">
        <w:rPr>
          <w:rFonts w:ascii="Arial" w:hAnsi="Arial" w:cs="Arial"/>
        </w:rPr>
        <w:t>q</w:t>
      </w:r>
      <w:r w:rsidRPr="00353834">
        <w:rPr>
          <w:rFonts w:ascii="Arial" w:hAnsi="Arial" w:cs="Arial"/>
        </w:rPr>
        <w:t xml:space="preserve">ue va desde posiciones tácticas a estratégicas, aumentando así sus opciones para </w:t>
      </w:r>
      <w:r w:rsidR="00142328">
        <w:rPr>
          <w:rFonts w:ascii="Arial" w:hAnsi="Arial" w:cs="Arial"/>
        </w:rPr>
        <w:t>aportar</w:t>
      </w:r>
      <w:r w:rsidRPr="00353834">
        <w:rPr>
          <w:rFonts w:ascii="Arial" w:hAnsi="Arial" w:cs="Arial"/>
        </w:rPr>
        <w:t xml:space="preserve"> </w:t>
      </w:r>
      <w:r w:rsidR="00B70F6D">
        <w:rPr>
          <w:rFonts w:ascii="Arial" w:hAnsi="Arial" w:cs="Arial"/>
        </w:rPr>
        <w:t xml:space="preserve">valor a través de la generación de </w:t>
      </w:r>
      <w:r w:rsidRPr="00353834">
        <w:rPr>
          <w:rFonts w:ascii="Arial" w:hAnsi="Arial" w:cs="Arial"/>
        </w:rPr>
        <w:t xml:space="preserve">ahorros </w:t>
      </w:r>
      <w:r w:rsidR="00E45FA7">
        <w:rPr>
          <w:rFonts w:ascii="Arial" w:hAnsi="Arial" w:cs="Arial"/>
        </w:rPr>
        <w:t xml:space="preserve">también cada vez </w:t>
      </w:r>
      <w:r w:rsidRPr="00353834">
        <w:rPr>
          <w:rFonts w:ascii="Arial" w:hAnsi="Arial" w:cs="Arial"/>
        </w:rPr>
        <w:t>más complejos.</w:t>
      </w:r>
    </w:p>
    <w:p w14:paraId="3AD78240" w14:textId="061B7ECD" w:rsidR="007718E6" w:rsidRPr="007718E6" w:rsidRDefault="007718E6" w:rsidP="00705E36">
      <w:pPr>
        <w:ind w:right="140"/>
        <w:rPr>
          <w:rFonts w:ascii="Arial" w:hAnsi="Arial" w:cs="Arial"/>
        </w:rPr>
      </w:pPr>
      <w:r w:rsidRPr="007718E6">
        <w:rPr>
          <w:rFonts w:ascii="Arial" w:hAnsi="Arial" w:cs="Arial"/>
        </w:rPr>
        <w:t>Este artículo ayuda a entender cómo la evolución de la función PSM ha afectado a la generación de ahorros</w:t>
      </w:r>
      <w:r w:rsidR="002F2130">
        <w:rPr>
          <w:rFonts w:ascii="Arial" w:hAnsi="Arial" w:cs="Arial"/>
        </w:rPr>
        <w:t xml:space="preserve"> </w:t>
      </w:r>
      <w:r w:rsidR="002F2130" w:rsidRPr="007718E6">
        <w:rPr>
          <w:rFonts w:ascii="Arial" w:hAnsi="Arial" w:cs="Arial"/>
        </w:rPr>
        <w:t>dentro de las empresas</w:t>
      </w:r>
      <w:r w:rsidRPr="007718E6">
        <w:rPr>
          <w:rFonts w:ascii="Arial" w:hAnsi="Arial" w:cs="Arial"/>
        </w:rPr>
        <w:t xml:space="preserve">, ya que tradicionalmente son una contribución tangible de PSM, vinculando la madurez de </w:t>
      </w:r>
      <w:r w:rsidR="00C028EC">
        <w:rPr>
          <w:rFonts w:ascii="Arial" w:hAnsi="Arial" w:cs="Arial"/>
        </w:rPr>
        <w:t>compras</w:t>
      </w:r>
      <w:r w:rsidRPr="007718E6">
        <w:rPr>
          <w:rFonts w:ascii="Arial" w:hAnsi="Arial" w:cs="Arial"/>
        </w:rPr>
        <w:t xml:space="preserve"> con ahorros más complejos</w:t>
      </w:r>
      <w:r w:rsidR="00E749A1">
        <w:rPr>
          <w:rFonts w:ascii="Arial" w:hAnsi="Arial" w:cs="Arial"/>
        </w:rPr>
        <w:t>,</w:t>
      </w:r>
      <w:r w:rsidRPr="007718E6">
        <w:rPr>
          <w:rFonts w:ascii="Arial" w:hAnsi="Arial" w:cs="Arial"/>
        </w:rPr>
        <w:t xml:space="preserve"> y </w:t>
      </w:r>
      <w:r w:rsidR="003650F4">
        <w:rPr>
          <w:rFonts w:ascii="Arial" w:hAnsi="Arial" w:cs="Arial"/>
        </w:rPr>
        <w:t>encontrando</w:t>
      </w:r>
      <w:r w:rsidRPr="007718E6">
        <w:rPr>
          <w:rFonts w:ascii="Arial" w:hAnsi="Arial" w:cs="Arial"/>
        </w:rPr>
        <w:t xml:space="preserve"> una conexión </w:t>
      </w:r>
      <w:r w:rsidR="008F1640">
        <w:rPr>
          <w:rFonts w:ascii="Arial" w:hAnsi="Arial" w:cs="Arial"/>
        </w:rPr>
        <w:t>con la</w:t>
      </w:r>
      <w:r w:rsidRPr="007718E6">
        <w:rPr>
          <w:rFonts w:ascii="Arial" w:hAnsi="Arial" w:cs="Arial"/>
        </w:rPr>
        <w:t xml:space="preserve"> sostenibilidad a través de los efectos positivos que tienen </w:t>
      </w:r>
      <w:r w:rsidR="004F0323">
        <w:rPr>
          <w:rFonts w:ascii="Arial" w:hAnsi="Arial" w:cs="Arial"/>
        </w:rPr>
        <w:t xml:space="preserve">los ahorros </w:t>
      </w:r>
      <w:r w:rsidRPr="007718E6">
        <w:rPr>
          <w:rFonts w:ascii="Arial" w:hAnsi="Arial" w:cs="Arial"/>
        </w:rPr>
        <w:t>sobre cuestiones ambientales.</w:t>
      </w:r>
    </w:p>
    <w:p w14:paraId="5FAD4380" w14:textId="13C9A7E3" w:rsidR="007844CF" w:rsidRPr="0025456E" w:rsidRDefault="0025456E" w:rsidP="00705E36">
      <w:pPr>
        <w:ind w:right="140"/>
        <w:rPr>
          <w:rFonts w:ascii="Arial" w:hAnsi="Arial" w:cs="Arial"/>
        </w:rPr>
      </w:pPr>
      <w:r w:rsidRPr="0025456E">
        <w:rPr>
          <w:rFonts w:ascii="Arial" w:hAnsi="Arial" w:cs="Arial"/>
        </w:rPr>
        <w:t xml:space="preserve">Esta investigación pretende dar un </w:t>
      </w:r>
      <w:r w:rsidR="008624CF">
        <w:rPr>
          <w:rFonts w:ascii="Arial" w:hAnsi="Arial" w:cs="Arial"/>
        </w:rPr>
        <w:t>reconocimiento</w:t>
      </w:r>
      <w:r w:rsidRPr="0025456E">
        <w:rPr>
          <w:rFonts w:ascii="Arial" w:hAnsi="Arial" w:cs="Arial"/>
        </w:rPr>
        <w:t xml:space="preserve"> positivo y actualizado a</w:t>
      </w:r>
      <w:r w:rsidR="008624CF">
        <w:rPr>
          <w:rFonts w:ascii="Arial" w:hAnsi="Arial" w:cs="Arial"/>
        </w:rPr>
        <w:t xml:space="preserve"> los</w:t>
      </w:r>
      <w:r w:rsidRPr="0025456E">
        <w:rPr>
          <w:rFonts w:ascii="Arial" w:hAnsi="Arial" w:cs="Arial"/>
        </w:rPr>
        <w:t xml:space="preserve"> ahorro</w:t>
      </w:r>
      <w:r w:rsidR="008624CF">
        <w:rPr>
          <w:rFonts w:ascii="Arial" w:hAnsi="Arial" w:cs="Arial"/>
        </w:rPr>
        <w:t>s</w:t>
      </w:r>
      <w:r w:rsidR="00A37870">
        <w:rPr>
          <w:rFonts w:ascii="Arial" w:hAnsi="Arial" w:cs="Arial"/>
        </w:rPr>
        <w:t xml:space="preserve"> generados en las empresas,</w:t>
      </w:r>
      <w:r w:rsidRPr="0025456E">
        <w:rPr>
          <w:rFonts w:ascii="Arial" w:hAnsi="Arial" w:cs="Arial"/>
        </w:rPr>
        <w:t xml:space="preserve"> </w:t>
      </w:r>
      <w:r w:rsidR="00A37870">
        <w:rPr>
          <w:rFonts w:ascii="Arial" w:hAnsi="Arial" w:cs="Arial"/>
        </w:rPr>
        <w:t xml:space="preserve">ya que </w:t>
      </w:r>
      <w:r w:rsidR="008265BA">
        <w:rPr>
          <w:rFonts w:ascii="Arial" w:hAnsi="Arial" w:cs="Arial"/>
        </w:rPr>
        <w:t>son</w:t>
      </w:r>
      <w:r w:rsidR="00A37870">
        <w:rPr>
          <w:rFonts w:ascii="Arial" w:hAnsi="Arial" w:cs="Arial"/>
        </w:rPr>
        <w:t xml:space="preserve"> una</w:t>
      </w:r>
      <w:r w:rsidRPr="0025456E">
        <w:rPr>
          <w:rFonts w:ascii="Arial" w:hAnsi="Arial" w:cs="Arial"/>
        </w:rPr>
        <w:t xml:space="preserve"> poderosa herramienta con la que cuenta PSM para agregar valor a los diferentes grupos de interés, mejorando al mismo tiempo el desempeño de la empresa. Contrariamente a lo que pueda parecer, este análisis ayuda al PSM a alejarse del estereotipo de centrarse exclusivamente en la generación de ahorros</w:t>
      </w:r>
      <w:r w:rsidR="005F625F">
        <w:rPr>
          <w:rFonts w:ascii="Arial" w:hAnsi="Arial" w:cs="Arial"/>
        </w:rPr>
        <w:t>, ya que m</w:t>
      </w:r>
      <w:r w:rsidRPr="0025456E">
        <w:rPr>
          <w:rFonts w:ascii="Arial" w:hAnsi="Arial" w:cs="Arial"/>
        </w:rPr>
        <w:t>uestra la complejidad y el alcance de</w:t>
      </w:r>
      <w:r w:rsidR="00374CE8">
        <w:rPr>
          <w:rFonts w:ascii="Arial" w:hAnsi="Arial" w:cs="Arial"/>
        </w:rPr>
        <w:t xml:space="preserve"> </w:t>
      </w:r>
      <w:r w:rsidRPr="0025456E">
        <w:rPr>
          <w:rFonts w:ascii="Arial" w:hAnsi="Arial" w:cs="Arial"/>
        </w:rPr>
        <w:t>l</w:t>
      </w:r>
      <w:r w:rsidR="00374CE8">
        <w:rPr>
          <w:rFonts w:ascii="Arial" w:hAnsi="Arial" w:cs="Arial"/>
        </w:rPr>
        <w:t>os</w:t>
      </w:r>
      <w:r w:rsidRPr="0025456E">
        <w:rPr>
          <w:rFonts w:ascii="Arial" w:hAnsi="Arial" w:cs="Arial"/>
        </w:rPr>
        <w:t xml:space="preserve"> ahorro</w:t>
      </w:r>
      <w:r w:rsidR="00374CE8">
        <w:rPr>
          <w:rFonts w:ascii="Arial" w:hAnsi="Arial" w:cs="Arial"/>
        </w:rPr>
        <w:t>s</w:t>
      </w:r>
      <w:r w:rsidRPr="0025456E">
        <w:rPr>
          <w:rFonts w:ascii="Arial" w:hAnsi="Arial" w:cs="Arial"/>
        </w:rPr>
        <w:t xml:space="preserve"> en la actualidad, </w:t>
      </w:r>
      <w:r w:rsidR="003321F6">
        <w:rPr>
          <w:rFonts w:ascii="Arial" w:hAnsi="Arial" w:cs="Arial"/>
        </w:rPr>
        <w:t>demostrando</w:t>
      </w:r>
      <w:r w:rsidRPr="0025456E">
        <w:rPr>
          <w:rFonts w:ascii="Arial" w:hAnsi="Arial" w:cs="Arial"/>
        </w:rPr>
        <w:t xml:space="preserve"> que </w:t>
      </w:r>
      <w:r w:rsidR="004077E6">
        <w:rPr>
          <w:rFonts w:ascii="Arial" w:hAnsi="Arial" w:cs="Arial"/>
        </w:rPr>
        <w:t xml:space="preserve">la función </w:t>
      </w:r>
      <w:r w:rsidRPr="0025456E">
        <w:rPr>
          <w:rFonts w:ascii="Arial" w:hAnsi="Arial" w:cs="Arial"/>
        </w:rPr>
        <w:t xml:space="preserve">se </w:t>
      </w:r>
      <w:r w:rsidR="00F77F2E">
        <w:rPr>
          <w:rFonts w:ascii="Arial" w:hAnsi="Arial" w:cs="Arial"/>
        </w:rPr>
        <w:t xml:space="preserve">ha </w:t>
      </w:r>
      <w:r w:rsidRPr="0025456E">
        <w:rPr>
          <w:rFonts w:ascii="Arial" w:hAnsi="Arial" w:cs="Arial"/>
        </w:rPr>
        <w:t>convert</w:t>
      </w:r>
      <w:r w:rsidR="00F77F2E">
        <w:rPr>
          <w:rFonts w:ascii="Arial" w:hAnsi="Arial" w:cs="Arial"/>
        </w:rPr>
        <w:t>ido</w:t>
      </w:r>
      <w:r w:rsidRPr="0025456E">
        <w:rPr>
          <w:rFonts w:ascii="Arial" w:hAnsi="Arial" w:cs="Arial"/>
        </w:rPr>
        <w:t xml:space="preserve"> en </w:t>
      </w:r>
      <w:r w:rsidR="004077E6">
        <w:rPr>
          <w:rFonts w:ascii="Arial" w:hAnsi="Arial" w:cs="Arial"/>
        </w:rPr>
        <w:t>más</w:t>
      </w:r>
      <w:r w:rsidRPr="0025456E">
        <w:rPr>
          <w:rFonts w:ascii="Arial" w:hAnsi="Arial" w:cs="Arial"/>
        </w:rPr>
        <w:t xml:space="preserve"> estratégic</w:t>
      </w:r>
      <w:r w:rsidR="004077E6">
        <w:rPr>
          <w:rFonts w:ascii="Arial" w:hAnsi="Arial" w:cs="Arial"/>
        </w:rPr>
        <w:t>a</w:t>
      </w:r>
      <w:r w:rsidRPr="0025456E">
        <w:rPr>
          <w:rFonts w:ascii="Arial" w:hAnsi="Arial" w:cs="Arial"/>
        </w:rPr>
        <w:t>.</w:t>
      </w:r>
    </w:p>
    <w:p w14:paraId="51898B08" w14:textId="59D944A1" w:rsidR="004E1EE4" w:rsidRPr="00C40E19" w:rsidRDefault="00180962" w:rsidP="00705E36">
      <w:pPr>
        <w:ind w:right="140"/>
        <w:rPr>
          <w:rFonts w:ascii="Arial" w:hAnsi="Arial" w:cs="Arial"/>
        </w:rPr>
      </w:pPr>
      <w:r>
        <w:rPr>
          <w:rFonts w:ascii="Arial" w:hAnsi="Arial" w:cs="Arial"/>
        </w:rPr>
        <w:t>Palabras clave</w:t>
      </w:r>
      <w:r w:rsidR="004E1EE4" w:rsidRPr="00C40E19">
        <w:rPr>
          <w:rFonts w:ascii="Arial" w:hAnsi="Arial" w:cs="Arial"/>
        </w:rPr>
        <w:t>:</w:t>
      </w:r>
      <w:r w:rsidR="0010274E" w:rsidRPr="00C40E19">
        <w:rPr>
          <w:rFonts w:ascii="Arial" w:hAnsi="Arial" w:cs="Arial"/>
        </w:rPr>
        <w:t xml:space="preserve"> </w:t>
      </w:r>
      <w:r w:rsidR="004077E6" w:rsidRPr="00C40E19">
        <w:rPr>
          <w:rFonts w:ascii="Arial" w:hAnsi="Arial" w:cs="Arial"/>
        </w:rPr>
        <w:t xml:space="preserve">compras, </w:t>
      </w:r>
      <w:r w:rsidR="0021718E" w:rsidRPr="00C40E19">
        <w:rPr>
          <w:rFonts w:ascii="Arial" w:hAnsi="Arial" w:cs="Arial"/>
        </w:rPr>
        <w:t xml:space="preserve">aprovisionamiento, cadena de </w:t>
      </w:r>
      <w:r w:rsidRPr="00C40E19">
        <w:rPr>
          <w:rFonts w:ascii="Arial" w:hAnsi="Arial" w:cs="Arial"/>
        </w:rPr>
        <w:t>suministro</w:t>
      </w:r>
      <w:r w:rsidR="0021718E" w:rsidRPr="00C40E19">
        <w:rPr>
          <w:rFonts w:ascii="Arial" w:hAnsi="Arial" w:cs="Arial"/>
        </w:rPr>
        <w:t>, madurez de</w:t>
      </w:r>
      <w:r w:rsidR="00402FB6" w:rsidRPr="00C40E19">
        <w:rPr>
          <w:rFonts w:ascii="Arial" w:hAnsi="Arial" w:cs="Arial"/>
        </w:rPr>
        <w:t xml:space="preserve"> compras, ahorros, productividad, </w:t>
      </w:r>
      <w:r w:rsidR="00C40E19" w:rsidRPr="00C40E19">
        <w:rPr>
          <w:rFonts w:ascii="Arial" w:hAnsi="Arial" w:cs="Arial"/>
        </w:rPr>
        <w:t>desempeño, ahorros comple</w:t>
      </w:r>
      <w:r w:rsidR="00C40E19">
        <w:rPr>
          <w:rFonts w:ascii="Arial" w:hAnsi="Arial" w:cs="Arial"/>
        </w:rPr>
        <w:t xml:space="preserve">jos, TCO, eficiencia, </w:t>
      </w:r>
      <w:r>
        <w:rPr>
          <w:rFonts w:ascii="Arial" w:hAnsi="Arial" w:cs="Arial"/>
        </w:rPr>
        <w:t>grupos de interés.</w:t>
      </w:r>
    </w:p>
    <w:p w14:paraId="5E92CCA4" w14:textId="77777777" w:rsidR="004D5062" w:rsidRPr="00C40E19" w:rsidRDefault="004D5062" w:rsidP="00705E36">
      <w:pPr>
        <w:ind w:right="140"/>
        <w:rPr>
          <w:rFonts w:ascii="Arial" w:hAnsi="Arial" w:cs="Arial"/>
        </w:rPr>
      </w:pPr>
    </w:p>
    <w:p w14:paraId="6C1C06ED" w14:textId="006160E5" w:rsidR="00442D00" w:rsidRPr="00BE2CF3" w:rsidRDefault="00EB6E88" w:rsidP="00705E36">
      <w:pPr>
        <w:pStyle w:val="Heading1"/>
        <w:numPr>
          <w:ilvl w:val="0"/>
          <w:numId w:val="1"/>
        </w:numPr>
        <w:ind w:right="140"/>
        <w:rPr>
          <w:rFonts w:ascii="Arial" w:hAnsi="Arial" w:cs="Arial"/>
          <w:lang w:val="en-GB"/>
        </w:rPr>
      </w:pPr>
      <w:bookmarkStart w:id="1" w:name="_Toc183376711"/>
      <w:r w:rsidRPr="00BE2CF3">
        <w:rPr>
          <w:rFonts w:ascii="Arial" w:hAnsi="Arial" w:cs="Arial"/>
          <w:lang w:val="en-GB"/>
        </w:rPr>
        <w:t>Introduc</w:t>
      </w:r>
      <w:r w:rsidR="00B65E85">
        <w:rPr>
          <w:rFonts w:ascii="Arial" w:hAnsi="Arial" w:cs="Arial"/>
          <w:lang w:val="en-GB"/>
        </w:rPr>
        <w:t>ció</w:t>
      </w:r>
      <w:r w:rsidRPr="00BE2CF3">
        <w:rPr>
          <w:rFonts w:ascii="Arial" w:hAnsi="Arial" w:cs="Arial"/>
          <w:lang w:val="en-GB"/>
        </w:rPr>
        <w:t>n</w:t>
      </w:r>
      <w:bookmarkEnd w:id="1"/>
      <w:r w:rsidRPr="00BE2CF3">
        <w:rPr>
          <w:rFonts w:ascii="Arial" w:hAnsi="Arial" w:cs="Arial"/>
          <w:lang w:val="en-GB"/>
        </w:rPr>
        <w:t xml:space="preserve"> </w:t>
      </w:r>
    </w:p>
    <w:p w14:paraId="4CCCF6E3" w14:textId="77777777" w:rsidR="007534C2" w:rsidRPr="00BE2CF3" w:rsidRDefault="007534C2" w:rsidP="00705E36">
      <w:pPr>
        <w:ind w:right="140"/>
        <w:rPr>
          <w:rFonts w:ascii="Arial" w:hAnsi="Arial" w:cs="Arial"/>
          <w:lang w:val="en-GB"/>
        </w:rPr>
      </w:pPr>
    </w:p>
    <w:p w14:paraId="0FF56F22" w14:textId="7F65F5AD" w:rsidR="00597253" w:rsidRPr="00597253" w:rsidRDefault="00597253" w:rsidP="00705E36">
      <w:pPr>
        <w:ind w:right="140"/>
        <w:rPr>
          <w:rFonts w:ascii="Arial" w:hAnsi="Arial" w:cs="Arial"/>
        </w:rPr>
      </w:pPr>
      <w:r w:rsidRPr="00597253">
        <w:rPr>
          <w:rFonts w:ascii="Arial" w:hAnsi="Arial" w:cs="Arial"/>
        </w:rPr>
        <w:t>Para los profesionales</w:t>
      </w:r>
      <w:r w:rsidR="00D8444D">
        <w:rPr>
          <w:rFonts w:ascii="Arial" w:hAnsi="Arial" w:cs="Arial"/>
        </w:rPr>
        <w:t xml:space="preserve"> de compras</w:t>
      </w:r>
      <w:r w:rsidRPr="00597253">
        <w:rPr>
          <w:rFonts w:ascii="Arial" w:hAnsi="Arial" w:cs="Arial"/>
        </w:rPr>
        <w:t xml:space="preserve"> resulta útil encontrar referen</w:t>
      </w:r>
      <w:r w:rsidR="00CB7CC2">
        <w:rPr>
          <w:rFonts w:ascii="Arial" w:hAnsi="Arial" w:cs="Arial"/>
        </w:rPr>
        <w:t>cias</w:t>
      </w:r>
      <w:r w:rsidRPr="00597253">
        <w:rPr>
          <w:rFonts w:ascii="Arial" w:hAnsi="Arial" w:cs="Arial"/>
        </w:rPr>
        <w:t xml:space="preserve"> que vincule</w:t>
      </w:r>
      <w:r w:rsidR="00CB7CC2">
        <w:rPr>
          <w:rFonts w:ascii="Arial" w:hAnsi="Arial" w:cs="Arial"/>
        </w:rPr>
        <w:t>n</w:t>
      </w:r>
      <w:r w:rsidRPr="00597253">
        <w:rPr>
          <w:rFonts w:ascii="Arial" w:hAnsi="Arial" w:cs="Arial"/>
        </w:rPr>
        <w:t xml:space="preserve"> la madurez de </w:t>
      </w:r>
      <w:r w:rsidR="00627B6D">
        <w:rPr>
          <w:rFonts w:ascii="Arial" w:hAnsi="Arial" w:cs="Arial"/>
        </w:rPr>
        <w:t>la</w:t>
      </w:r>
      <w:r w:rsidRPr="00597253">
        <w:rPr>
          <w:rFonts w:ascii="Arial" w:hAnsi="Arial" w:cs="Arial"/>
        </w:rPr>
        <w:t xml:space="preserve"> función </w:t>
      </w:r>
      <w:r w:rsidR="00BD104C">
        <w:rPr>
          <w:rFonts w:ascii="Arial" w:hAnsi="Arial" w:cs="Arial"/>
        </w:rPr>
        <w:t xml:space="preserve">de compras </w:t>
      </w:r>
      <w:r w:rsidRPr="00597253">
        <w:rPr>
          <w:rFonts w:ascii="Arial" w:hAnsi="Arial" w:cs="Arial"/>
        </w:rPr>
        <w:t xml:space="preserve">con la evolución de los ahorros generados, ya que </w:t>
      </w:r>
      <w:r w:rsidR="00D27933">
        <w:rPr>
          <w:rFonts w:ascii="Arial" w:hAnsi="Arial" w:cs="Arial"/>
        </w:rPr>
        <w:t>así</w:t>
      </w:r>
      <w:r w:rsidRPr="00597253">
        <w:rPr>
          <w:rFonts w:ascii="Arial" w:hAnsi="Arial" w:cs="Arial"/>
        </w:rPr>
        <w:t xml:space="preserve"> podrán adaptar sus estrategias</w:t>
      </w:r>
      <w:r w:rsidR="00D27933">
        <w:rPr>
          <w:rFonts w:ascii="Arial" w:hAnsi="Arial" w:cs="Arial"/>
        </w:rPr>
        <w:t xml:space="preserve"> a su</w:t>
      </w:r>
      <w:r w:rsidR="002724B3">
        <w:rPr>
          <w:rFonts w:ascii="Arial" w:hAnsi="Arial" w:cs="Arial"/>
        </w:rPr>
        <w:t xml:space="preserve"> situación</w:t>
      </w:r>
      <w:r w:rsidRPr="00597253">
        <w:rPr>
          <w:rFonts w:ascii="Arial" w:hAnsi="Arial" w:cs="Arial"/>
        </w:rPr>
        <w:t xml:space="preserve">. Mientras </w:t>
      </w:r>
      <w:r w:rsidR="00B467B5" w:rsidRPr="00597253">
        <w:rPr>
          <w:rFonts w:ascii="Arial" w:hAnsi="Arial" w:cs="Arial"/>
        </w:rPr>
        <w:t>que,</w:t>
      </w:r>
      <w:r w:rsidRPr="00597253">
        <w:rPr>
          <w:rFonts w:ascii="Arial" w:hAnsi="Arial" w:cs="Arial"/>
        </w:rPr>
        <w:t xml:space="preserve"> desde </w:t>
      </w:r>
      <w:r w:rsidR="00063279">
        <w:rPr>
          <w:rFonts w:ascii="Arial" w:hAnsi="Arial" w:cs="Arial"/>
        </w:rPr>
        <w:t>el</w:t>
      </w:r>
      <w:r w:rsidRPr="00597253">
        <w:rPr>
          <w:rFonts w:ascii="Arial" w:hAnsi="Arial" w:cs="Arial"/>
        </w:rPr>
        <w:t xml:space="preserve"> punto de vista </w:t>
      </w:r>
      <w:r w:rsidR="000E6287">
        <w:rPr>
          <w:rFonts w:ascii="Arial" w:hAnsi="Arial" w:cs="Arial"/>
        </w:rPr>
        <w:t>académico</w:t>
      </w:r>
      <w:r w:rsidRPr="00597253">
        <w:rPr>
          <w:rFonts w:ascii="Arial" w:hAnsi="Arial" w:cs="Arial"/>
        </w:rPr>
        <w:t>,</w:t>
      </w:r>
      <w:r w:rsidR="000E6287">
        <w:rPr>
          <w:rFonts w:ascii="Arial" w:hAnsi="Arial" w:cs="Arial"/>
        </w:rPr>
        <w:t xml:space="preserve"> se </w:t>
      </w:r>
      <w:r w:rsidR="00134F82">
        <w:rPr>
          <w:rFonts w:ascii="Arial" w:hAnsi="Arial" w:cs="Arial"/>
        </w:rPr>
        <w:t>aporta en</w:t>
      </w:r>
      <w:r w:rsidR="00355BBB">
        <w:rPr>
          <w:rFonts w:ascii="Arial" w:hAnsi="Arial" w:cs="Arial"/>
        </w:rPr>
        <w:t xml:space="preserve"> </w:t>
      </w:r>
      <w:r w:rsidR="002F0B00">
        <w:rPr>
          <w:rFonts w:ascii="Arial" w:hAnsi="Arial" w:cs="Arial"/>
        </w:rPr>
        <w:t>un</w:t>
      </w:r>
      <w:r w:rsidR="00833336">
        <w:rPr>
          <w:rFonts w:ascii="Arial" w:hAnsi="Arial" w:cs="Arial"/>
        </w:rPr>
        <w:t xml:space="preserve"> </w:t>
      </w:r>
      <w:r w:rsidR="007D43A4">
        <w:rPr>
          <w:rFonts w:ascii="Arial" w:hAnsi="Arial" w:cs="Arial"/>
        </w:rPr>
        <w:t>campo en el que no existe demasiada literatura</w:t>
      </w:r>
      <w:r w:rsidR="00121D13">
        <w:rPr>
          <w:rFonts w:ascii="Arial" w:hAnsi="Arial" w:cs="Arial"/>
        </w:rPr>
        <w:t>.</w:t>
      </w:r>
      <w:r w:rsidRPr="00597253">
        <w:rPr>
          <w:rFonts w:ascii="Arial" w:hAnsi="Arial" w:cs="Arial"/>
        </w:rPr>
        <w:t xml:space="preserve"> Primer</w:t>
      </w:r>
      <w:r w:rsidR="00121D13">
        <w:rPr>
          <w:rFonts w:ascii="Arial" w:hAnsi="Arial" w:cs="Arial"/>
        </w:rPr>
        <w:t>o</w:t>
      </w:r>
      <w:r w:rsidRPr="00597253">
        <w:rPr>
          <w:rFonts w:ascii="Arial" w:hAnsi="Arial" w:cs="Arial"/>
        </w:rPr>
        <w:t>, respecto a la mayor complejidad de los ahorros en funciones PSM más maduras y segund</w:t>
      </w:r>
      <w:r w:rsidR="00121D13">
        <w:rPr>
          <w:rFonts w:ascii="Arial" w:hAnsi="Arial" w:cs="Arial"/>
        </w:rPr>
        <w:t>o</w:t>
      </w:r>
      <w:r w:rsidRPr="00597253">
        <w:rPr>
          <w:rFonts w:ascii="Arial" w:hAnsi="Arial" w:cs="Arial"/>
        </w:rPr>
        <w:t>, relaciona</w:t>
      </w:r>
      <w:r w:rsidR="005C5338">
        <w:rPr>
          <w:rFonts w:ascii="Arial" w:hAnsi="Arial" w:cs="Arial"/>
        </w:rPr>
        <w:t>n</w:t>
      </w:r>
      <w:r w:rsidRPr="00597253">
        <w:rPr>
          <w:rFonts w:ascii="Arial" w:hAnsi="Arial" w:cs="Arial"/>
        </w:rPr>
        <w:t xml:space="preserve">do los ahorros </w:t>
      </w:r>
      <w:r w:rsidR="002A1699">
        <w:rPr>
          <w:rFonts w:ascii="Arial" w:hAnsi="Arial" w:cs="Arial"/>
        </w:rPr>
        <w:t xml:space="preserve">con </w:t>
      </w:r>
      <w:r w:rsidR="00AC55AB">
        <w:rPr>
          <w:rFonts w:ascii="Arial" w:hAnsi="Arial" w:cs="Arial"/>
        </w:rPr>
        <w:t xml:space="preserve">una reducción en </w:t>
      </w:r>
      <w:r w:rsidRPr="00597253">
        <w:rPr>
          <w:rFonts w:ascii="Arial" w:hAnsi="Arial" w:cs="Arial"/>
        </w:rPr>
        <w:t>el impacto sobre el medio ambiente.</w:t>
      </w:r>
    </w:p>
    <w:p w14:paraId="16A54CEB" w14:textId="34FEDC2C" w:rsidR="00D0388A" w:rsidRDefault="00EB260C" w:rsidP="00705E36">
      <w:pPr>
        <w:ind w:right="140"/>
        <w:rPr>
          <w:rFonts w:ascii="Arial" w:hAnsi="Arial" w:cs="Arial"/>
        </w:rPr>
      </w:pPr>
      <w:r>
        <w:rPr>
          <w:rFonts w:ascii="Arial" w:hAnsi="Arial" w:cs="Arial"/>
        </w:rPr>
        <w:t>Otros</w:t>
      </w:r>
      <w:r w:rsidRPr="00EB260C">
        <w:rPr>
          <w:rFonts w:ascii="Arial" w:hAnsi="Arial" w:cs="Arial"/>
        </w:rPr>
        <w:t xml:space="preserve"> investigadores han reconocido que el papel de los profesionales de la gestión de compras y suministros (PSM) está cambiando y evolucionando sustancialmente en las últimas décadas. </w:t>
      </w:r>
      <w:r w:rsidR="008A34F8" w:rsidRPr="00BE2CF3">
        <w:rPr>
          <w:rFonts w:ascii="Arial" w:hAnsi="Arial" w:cs="Arial"/>
          <w:lang w:val="en-GB"/>
        </w:rPr>
        <w:fldChar w:fldCharType="begin"/>
      </w:r>
      <w:r w:rsidR="00A0344F" w:rsidRPr="00EB260C">
        <w:rPr>
          <w:rFonts w:ascii="Arial" w:hAnsi="Arial" w:cs="Arial"/>
        </w:rPr>
        <w:instrText xml:space="preserve"> ADDIN ZOTERO_ITEM CSL_CITATION {"citationID":"Vr2YfZR0","properties":{"unsorted":true,"formattedCitation":"(Wynstra et al., 2019; Johnson et al., 2014; Ellegaard, 2012)","plainCitation":"(Wynstra et al., 2019; Johnson et al., 2014; Ellegaard, 2012)","noteIndex":0},"citationItems":[{"id":478,"uris":["http://zotero.org/users/9514289/items/5DF3QMIH"],"itemData":{"id":478,"type":"article-journal","abstract":"Since the 1960s, research on Purchasing and Supply Management (PSM) has grown substantially, but in recent times various scholars have challenged the actual progress and coherence of the field. In delivering such critiques, the underlying, dominant view of PSM research is that it constitutes an academic discipline. In contrast, we offer an alternative perspective that views PSM as a multi-disciplinary field of research, drawing from Operations Management, Marketing and Strategy &amp; Organization as reference disciplines. Adopting this perspective, we conduct a review of 2522 purchasing and supply management publications in a multi-disciplinary set of 18 high-impact management journals, published in the period 1995–2014. We analyse how PSM research has developed over time; quantitatively and content-wise, in terms of the topics and theories being addressed. We find that across the three reference disciplines and the specialist PSM journals, there is diversity, with distinct features of each journal group in terms of the one or two most popular topics or theories. Still, considering the full base of PSM publications in each journal group, there is considerable overlap. Supplier Relationship Management is a popular topic throughout, and the top-5 of topics for each of the journal groups demonstrates a high degree of overlap, in any given lustrum period. With one exception, TCE is the most popular for all journal groups for all periods and of the 17 different theories identified, only four have been applied by just one journal group. Thus, we conclude that PSM research is characterised by ‘unity in diversity’: “E Pluribus Unum”, and offer recommendations how this multi-disciplinary composition of the field can be leveraged in future research.","container-title":"Journal of Purchasing and Supply Management","DOI":"10.1016/j.pursup.2019.100578","ISSN":"14784092","issue":"5","journalAbbreviation":"Journal of Purchasing and Supply Management","language":"en","page":"100578","source":"DOI.org (Crossref)","title":"Purchasing and supply management as a multidisciplinary research field: Unity in diversity?","title-short":"Purchasing and supply management as a multidisciplinary research field","volume":"25","author":[{"family":"Wynstra","given":"Finn"},{"family":"Suurmond","given":"Robert"},{"family":"Nullmeier","given":"Fabian"}],"issued":{"date-parts":[["2019",12]]}},"label":"pa</w:instrText>
      </w:r>
      <w:r w:rsidR="00A0344F">
        <w:rPr>
          <w:rFonts w:ascii="Arial" w:hAnsi="Arial" w:cs="Arial"/>
          <w:lang w:val="en-GB"/>
        </w:rPr>
        <w:instrText>ge"},{"id":1026,"uris":["http://zotero.org/users/9514289/items/NGUKWTZV"],"itemData":{"id":1026,"type":"article-journal","abstract":"The recent completion of a major survey of 249 large North American supply organizations in 2011 permits a longitudinal perspective on supply roles and responsibilities over a 24 year period. The latest survey complements three earlier CAPS studies in 1987, 1995 and 2003, thereby providing a valuable opportunity to examine trends and changes over time. Data was collected from 112 ﬁrms that responded in 2003 and 2011, which included 53 ﬁrms that responded in 1995, 2003 and 2011 and 24 ﬁrms that responded to all four surveys. Major areas of investigation included supply organizational structure, purchase category and supply chain responsibilities, supply involvement in major corporate activities, teams, and CPO reporting line, title and background. Findings indicate that the pace of organizational change remains high, which can represent signiﬁcant challenges for supply executives. Cluster analysis was used to assess the relationship between supply organizational changes and ﬁrm performance. Firms in the “underperforming” category more frequently changed their supply organizatio</w:instrText>
      </w:r>
      <w:r w:rsidR="00A0344F" w:rsidRPr="007D72DA">
        <w:rPr>
          <w:rFonts w:ascii="Arial" w:hAnsi="Arial" w:cs="Arial"/>
        </w:rPr>
        <w:instrText>nal structure, and these changes were more likely directed towards greater centralization, compared to the “growing” and “pro</w:instrText>
      </w:r>
      <w:r w:rsidR="00A0344F">
        <w:rPr>
          <w:rFonts w:ascii="Arial" w:hAnsi="Arial" w:cs="Arial"/>
          <w:lang w:val="en-GB"/>
        </w:rPr>
        <w:instrText>ﬁ</w:instrText>
      </w:r>
      <w:r w:rsidR="00A0344F" w:rsidRPr="007D72DA">
        <w:rPr>
          <w:rFonts w:ascii="Arial" w:hAnsi="Arial" w:cs="Arial"/>
        </w:rPr>
        <w:instrText>table” clusters. Findings provide important implications for supply executives and opportunities for future research are also identi</w:instrText>
      </w:r>
      <w:r w:rsidR="00A0344F">
        <w:rPr>
          <w:rFonts w:ascii="Arial" w:hAnsi="Arial" w:cs="Arial"/>
          <w:lang w:val="en-GB"/>
        </w:rPr>
        <w:instrText>ﬁ</w:instrText>
      </w:r>
      <w:r w:rsidR="00A0344F" w:rsidRPr="007D72DA">
        <w:rPr>
          <w:rFonts w:ascii="Arial" w:hAnsi="Arial" w:cs="Arial"/>
        </w:rPr>
        <w:instrText xml:space="preserve">ed.","container-title":"Journal of Purchasing and Supply Management","DOI":"10.1016/j.pursup.2014.01.003","ISSN":"14784092","issue":"2","journalAbbreviation":"Journal of Purchasing and Supply Management","language":"en","page":"130-141","source":"DOI.org (Crossref)","title":"Supply organizations in North America: A 24 year perspective on roles and responsibilities 1987–2011","title-short":"Supply organizations in North America","volume":"20","author":[{"family":"Johnson","given":"P. Fraser"},{"family":"Shafiq","given":"Asad"},{"family":"Awaysheh","given":"Amrou"},{"family":"Leenders","given":"Michiel"}],"issued":{"date-parts":[["2014",6]]}}},{"id":156,"uris":["http://zotero.org/users/9514289/items/23P27UW9"],"itemData":{"id":156,"type":"article-journal","container-title":"Journal of Purchasing and Supply Management","DOI":"10.1016/j.pursup.2011.07.001","ISSN":"14784092","issue":"2","journalAbbreviation":"Journal of Purchasing and Supply Management","language":"en","page":"122","source":"DOI.org (Crossref)","title":"Book reviews","volume":"18","author":[{"family":"Ellegaard","given":"Chris"}],"issued":{"date-parts":[["2012",6]]}}}],"schema":"https://github.com/citation-style-language/schema/raw/master/csl-citation.json"} </w:instrText>
      </w:r>
      <w:r w:rsidR="008A34F8" w:rsidRPr="00BE2CF3">
        <w:rPr>
          <w:rFonts w:ascii="Arial" w:hAnsi="Arial" w:cs="Arial"/>
          <w:lang w:val="en-GB"/>
        </w:rPr>
        <w:fldChar w:fldCharType="separate"/>
      </w:r>
      <w:r w:rsidR="00A0344F" w:rsidRPr="007D72DA">
        <w:rPr>
          <w:rFonts w:ascii="Arial" w:hAnsi="Arial" w:cs="Arial"/>
        </w:rPr>
        <w:t>(Wynstra et al., 2019; Johnson et al., 2014; Ellegaard, 2012)</w:t>
      </w:r>
      <w:r w:rsidR="008A34F8" w:rsidRPr="00BE2CF3">
        <w:rPr>
          <w:rFonts w:ascii="Arial" w:hAnsi="Arial" w:cs="Arial"/>
          <w:lang w:val="en-GB"/>
        </w:rPr>
        <w:fldChar w:fldCharType="end"/>
      </w:r>
      <w:r w:rsidR="008A34F8" w:rsidRPr="007D72DA">
        <w:rPr>
          <w:rFonts w:ascii="Arial" w:hAnsi="Arial" w:cs="Arial"/>
        </w:rPr>
        <w:t xml:space="preserve">. </w:t>
      </w:r>
      <w:r w:rsidR="00A14725">
        <w:rPr>
          <w:rFonts w:ascii="Arial" w:hAnsi="Arial" w:cs="Arial"/>
        </w:rPr>
        <w:t xml:space="preserve">Y que </w:t>
      </w:r>
      <w:r w:rsidR="00D0388A" w:rsidRPr="007E14D0">
        <w:rPr>
          <w:rFonts w:ascii="Arial" w:hAnsi="Arial" w:cs="Arial"/>
        </w:rPr>
        <w:t xml:space="preserve">ha pasado de tener un papel transaccional y centrado en la reducción de costes a un papel estratégico </w:t>
      </w:r>
      <w:r w:rsidR="00D0388A" w:rsidRPr="00BE2CF3">
        <w:rPr>
          <w:rFonts w:ascii="Arial" w:hAnsi="Arial" w:cs="Arial"/>
          <w:lang w:val="en-GB"/>
        </w:rPr>
        <w:fldChar w:fldCharType="begin"/>
      </w:r>
      <w:r w:rsidR="000968AF">
        <w:rPr>
          <w:rFonts w:ascii="Arial" w:hAnsi="Arial" w:cs="Arial"/>
        </w:rPr>
        <w:instrText xml:space="preserve"> ADDIN ZOTERO_ITEM CSL_CITATION {"citationID":"tgK2MNPX","properties":{"formattedCitation":"(Chiang et al., 2012)","plainCitation":"(Chiang et al., 2012)","noteIndex":0},"citationItems":[{"id":"b1IaCvtg/PaNkJWKL","uris":["http://zotero.org/users/9514289/items/WNK44EZS"],"itemData":{"id":982,"type":"article-journal","abstract":"Purpose – The purpose of this paper is to investigate two potentially key drivers of a ﬁrm’s supply chain agility, namely strategic sourcing and ﬁrm’s strategic ﬂexibility. Despite some theoretical and conceptual works suggesting that some elements of these two constructs may relate to agility, this has not yet been assessed together empirically. This study aims to address this gap in the literature.","container-title":"International Journal of Operations &amp; Production Management","DOI":"10.1108/01443571211195736","ISSN":"0144-3577","issue":"1","language":"en","page":"49-78","source":"DOI.org (Crossref)","title":"An empirical investigation of the impact of strategic sourcing and flexibility on firm's supply chain agility","volume":"32","author":[{"family":"Chiang","given":"Chung</w:instrText>
      </w:r>
      <w:r w:rsidR="000968AF">
        <w:rPr>
          <w:rFonts w:ascii="Cambria Math" w:hAnsi="Cambria Math" w:cs="Cambria Math"/>
        </w:rPr>
        <w:instrText>‐</w:instrText>
      </w:r>
      <w:r w:rsidR="000968AF">
        <w:rPr>
          <w:rFonts w:ascii="Arial" w:hAnsi="Arial" w:cs="Arial"/>
        </w:rPr>
        <w:instrText>Yean"},{"family":"Kocabasoglu</w:instrText>
      </w:r>
      <w:r w:rsidR="000968AF">
        <w:rPr>
          <w:rFonts w:ascii="Cambria Math" w:hAnsi="Cambria Math" w:cs="Cambria Math"/>
        </w:rPr>
        <w:instrText>‐</w:instrText>
      </w:r>
      <w:r w:rsidR="000968AF">
        <w:rPr>
          <w:rFonts w:ascii="Arial" w:hAnsi="Arial" w:cs="Arial"/>
        </w:rPr>
        <w:instrText xml:space="preserve">Hillmer","given":"Canan"},{"family":"Suresh","given":"Nallan"}],"issued":{"date-parts":[["2012",1,6]]}}}],"schema":"https://github.com/citation-style-language/schema/raw/master/csl-citation.json"} </w:instrText>
      </w:r>
      <w:r w:rsidR="00D0388A" w:rsidRPr="00BE2CF3">
        <w:rPr>
          <w:rFonts w:ascii="Arial" w:hAnsi="Arial" w:cs="Arial"/>
          <w:lang w:val="en-GB"/>
        </w:rPr>
        <w:fldChar w:fldCharType="separate"/>
      </w:r>
      <w:r w:rsidR="00D0388A" w:rsidRPr="007E14D0">
        <w:rPr>
          <w:rFonts w:ascii="Arial" w:hAnsi="Arial" w:cs="Arial"/>
        </w:rPr>
        <w:t>(Chiang et al., 2012)</w:t>
      </w:r>
      <w:r w:rsidR="00D0388A" w:rsidRPr="00BE2CF3">
        <w:rPr>
          <w:rFonts w:ascii="Arial" w:hAnsi="Arial" w:cs="Arial"/>
          <w:lang w:val="en-GB"/>
        </w:rPr>
        <w:fldChar w:fldCharType="end"/>
      </w:r>
      <w:r w:rsidR="00D0388A" w:rsidRPr="007E14D0">
        <w:rPr>
          <w:rFonts w:ascii="Arial" w:hAnsi="Arial" w:cs="Arial"/>
        </w:rPr>
        <w:t xml:space="preserve">. </w:t>
      </w:r>
      <w:r w:rsidR="0024502B">
        <w:rPr>
          <w:rFonts w:ascii="Arial" w:hAnsi="Arial" w:cs="Arial"/>
        </w:rPr>
        <w:t xml:space="preserve">Aunque </w:t>
      </w:r>
      <w:r w:rsidR="00F62452">
        <w:rPr>
          <w:rFonts w:ascii="Arial" w:hAnsi="Arial" w:cs="Arial"/>
        </w:rPr>
        <w:t xml:space="preserve">estos cambios </w:t>
      </w:r>
      <w:r w:rsidR="006F0832">
        <w:rPr>
          <w:rFonts w:ascii="Arial" w:hAnsi="Arial" w:cs="Arial"/>
        </w:rPr>
        <w:t xml:space="preserve">necesitan tiempo </w:t>
      </w:r>
      <w:r w:rsidR="00F62452">
        <w:rPr>
          <w:rFonts w:ascii="Arial" w:hAnsi="Arial" w:cs="Arial"/>
        </w:rPr>
        <w:t xml:space="preserve">y </w:t>
      </w:r>
      <w:r w:rsidR="00D0388A" w:rsidRPr="007E14D0">
        <w:rPr>
          <w:rFonts w:ascii="Arial" w:hAnsi="Arial" w:cs="Arial"/>
        </w:rPr>
        <w:t xml:space="preserve">PSM </w:t>
      </w:r>
      <w:r w:rsidR="00D0388A">
        <w:rPr>
          <w:rFonts w:ascii="Arial" w:hAnsi="Arial" w:cs="Arial"/>
        </w:rPr>
        <w:t>s</w:t>
      </w:r>
      <w:r w:rsidR="00D0388A" w:rsidRPr="00CC555F">
        <w:rPr>
          <w:rFonts w:ascii="Arial" w:hAnsi="Arial" w:cs="Arial"/>
        </w:rPr>
        <w:t>igue luchando con su identidad</w:t>
      </w:r>
      <w:r w:rsidR="00D0388A" w:rsidRPr="007E14D0">
        <w:rPr>
          <w:rFonts w:ascii="Arial" w:hAnsi="Arial" w:cs="Arial"/>
        </w:rPr>
        <w:t xml:space="preserve"> </w:t>
      </w:r>
      <w:r w:rsidR="00D0388A" w:rsidRPr="00BE2CF3">
        <w:rPr>
          <w:rFonts w:ascii="Arial" w:hAnsi="Arial" w:cs="Arial"/>
          <w:lang w:val="en-GB"/>
        </w:rPr>
        <w:fldChar w:fldCharType="begin"/>
      </w:r>
      <w:r w:rsidR="000968AF">
        <w:rPr>
          <w:rFonts w:ascii="Arial" w:hAnsi="Arial" w:cs="Arial"/>
        </w:rPr>
        <w:instrText xml:space="preserve"> ADDIN ZOTERO_ITEM CSL_CITATION {"citationID":"F3olMh1s","properties":{"formattedCitation":"(Ellram et al., 2020a; Tchokogu\\uc0\\u233{} et al., 2017)","plainCitation":"(Ellram et al., 2020a; Tchokogué et al., 2017)","noteIndex":0},"citationItems":[{"id":"b1IaCvtg/nnbVEne2","uris":["http://zotero.org/users/9514289/items/YDBAX8K9"],"itemData":{"id":218,"type":"article-journal","abstract":"Purchasing and Supply Management (PSM) has been subjected to a number of examinations, all concluding that PSM is not an academic discipline as it lacks its own theories and common themes of research. It is perceived by many as an applied social science and field of research applying theories from other disciplines. But, to date, these examinations have not revealed more definitively what PSM is, i.e., its identity. This Notes and Debates paper was stimulated by two focused meetings, a question panel at IPSERA 2019 and solicited views from IPSERA participants. These were synthesized and developed through grounding them in identity and social identity theories. They are provided to stimulate the debate on PSM's internal and external identity coherence and legitimacy.","container-title":"Journal of Purchasing and Supply Management","DOI":"10.1016/j.pursup.2019.100583","ISSN":"14784092","issue":"1","journalAbbreviation":"Journal of Purchasing and Supply Management","language":"en","page":"100583","source":"DOI.org (Crossref)","title":"Purchasing and supply management's identity: Crisis? What crisis?","title-short":"Purchasing and supply management's identity","volume":"26","author":[{"family":"Ellram","given":"Lisa M."},{"family":"Harland","given":"Christine M."},{"family":"Weele","given":"Arjan","non-dropping-particle":"van"},{"family":"Essig","given":"Michael"},{"family":"Johnsen","given":"Thomas"},{"family":"Nassimbeni","given":"Guido"},{"family":"Pagell","given":"Mark"},{"family":"Raaij","given":"Erik","non-dropping-particle":"van"},{"family":"Rozemeijer","given":"Frank"},{"family":"Tate","given":"Wendy L."},{"family":"Wynstra","given":"Finn"}],"issued":{"date-parts":[["2020",1]]}}},{"id":1065,"uris":["http://zotero.org/users/9514289/items/LBSV6A3L"],"itemData":{"id":1065,"type":"article-journal","abstract":"Since the mid-1970s, authors from academia and from business have recognized that the strategic contribution made by supply is multi-faceted, although their work does not distinguish among the levels of strategic contribution. This study makes this diﬀerentiation by using a systematic literature review of the last 30 years and by performing a content analysis of 131 selected articles. The analysis of the increasing sophistication of supply's strategic contributions leads to three main observations: 1) the diﬀerent types of contributions can indeed be classiﬁed into categories: category I (support to corporate improvement targets), category II (support to the organizational competitive advantage), and category III (source of sustainable competitive advantage); 2) contribution types in category I have been recognized since at least the early 1980s, while recognition has progressively taken place mostly in the 1990s for categories II and III; and 3) the contribution types in category I are perceived both as contributions that the supply function must master before it can take on those in categories II and III, and as contributions expected even when the supply function already contributes well to categories II and III. Therefore, supply professionals should develop their ability to better utilize the currently acknowledged strategic contributions, while being ready to take advantage of the new types of contributions.","container-title":"Journal of Purchasing and Supply Management","DOI":"10.1016/j.pursup.2016.07.003","ISSN":"14784092","issue":"2","journalAbbreviation":"Journal of Purchasing and Supply Management","language":"en","page":"105-122","source":"DOI.org (Crossref)","title":"Supply's strategic contribution: An empirical reality","title-short":"Supply's strategic contribution","volume":"23","author":[{"family":"Tchokogué","given":"André"},{"family":"Nollet","given":"Jean"},{"family":"Robineau","given":"Julien"}],"issued":{"date-parts":[["2017",3]]}}}],"schema":"https://github.com/citation-style-language/schema/raw/master/csl-citation.json"} </w:instrText>
      </w:r>
      <w:r w:rsidR="00D0388A" w:rsidRPr="00BE2CF3">
        <w:rPr>
          <w:rFonts w:ascii="Arial" w:hAnsi="Arial" w:cs="Arial"/>
          <w:lang w:val="en-GB"/>
        </w:rPr>
        <w:fldChar w:fldCharType="separate"/>
      </w:r>
      <w:r w:rsidR="00D0388A" w:rsidRPr="00E70AC4">
        <w:rPr>
          <w:rFonts w:ascii="Arial" w:hAnsi="Arial" w:cs="Arial"/>
          <w:kern w:val="0"/>
        </w:rPr>
        <w:t>(Ellram et al., 2020a; Tchokogué et al., 2017)</w:t>
      </w:r>
      <w:r w:rsidR="00D0388A" w:rsidRPr="00BE2CF3">
        <w:rPr>
          <w:rFonts w:ascii="Arial" w:hAnsi="Arial" w:cs="Arial"/>
          <w:lang w:val="en-GB"/>
        </w:rPr>
        <w:fldChar w:fldCharType="end"/>
      </w:r>
      <w:r w:rsidR="00D0388A" w:rsidRPr="00E70AC4">
        <w:rPr>
          <w:rFonts w:ascii="Arial" w:hAnsi="Arial" w:cs="Arial"/>
        </w:rPr>
        <w:t>. Si bien la reducción de cost</w:t>
      </w:r>
      <w:r w:rsidR="00F82EF6">
        <w:rPr>
          <w:rFonts w:ascii="Arial" w:hAnsi="Arial" w:cs="Arial"/>
        </w:rPr>
        <w:t>e</w:t>
      </w:r>
      <w:r w:rsidR="00D0388A" w:rsidRPr="00E70AC4">
        <w:rPr>
          <w:rFonts w:ascii="Arial" w:hAnsi="Arial" w:cs="Arial"/>
        </w:rPr>
        <w:t xml:space="preserve">s siempre será una medida importante de la responsabilidad de PSM </w:t>
      </w:r>
      <w:r w:rsidR="00D0388A" w:rsidRPr="00BE2CF3">
        <w:rPr>
          <w:rFonts w:ascii="Arial" w:hAnsi="Arial" w:cs="Arial"/>
          <w:lang w:val="en-GB"/>
        </w:rPr>
        <w:fldChar w:fldCharType="begin"/>
      </w:r>
      <w:r w:rsidR="00D0388A" w:rsidRPr="00E70AC4">
        <w:rPr>
          <w:rFonts w:ascii="Arial" w:hAnsi="Arial" w:cs="Arial"/>
        </w:rPr>
        <w:instrText xml:space="preserve"> ADDIN ZOTERO_ITEM CSL_CITATION {"citationID":"mUA91XPn","properties":{"formattedCitation":"(Ellram et al., 2020b)","plainCitation":"(Ellram et al., 2020b)","noteIndex":0},"citationItems":[{"id":1074,"uris":["http://zotero.org/users/9514289/items/QC7TWSAA"],"itemData":{"id":1074,"type":"article-journal","container-title":"Journal of Supply Chain Management","DOI":"10.1111/jscm.12217","ISSN":"1523-2409, 1745-493X","issue":"1","journalAbbreviation":"J Supply Chain Manag","language":"en","page":"3-32","source":"DOI.org (Crossref)","title":"The Conflicted Role of Purchasing in New Product Development Costing","volume":"56","author":[{"family":"Ellram","given":"Lisa M."},{"family":"Tate","given":"Wendy L."},{"family":"Choi","given":"Thomas Y."}],"issued":{"date-parts":[["2020",1]]}}}],"schema":"https://github.com/citation-style-language/schema/raw/master/csl-citation.json"} </w:instrText>
      </w:r>
      <w:r w:rsidR="00D0388A" w:rsidRPr="00BE2CF3">
        <w:rPr>
          <w:rFonts w:ascii="Arial" w:hAnsi="Arial" w:cs="Arial"/>
          <w:lang w:val="en-GB"/>
        </w:rPr>
        <w:fldChar w:fldCharType="separate"/>
      </w:r>
      <w:r w:rsidR="00D0388A" w:rsidRPr="00E70AC4">
        <w:rPr>
          <w:rFonts w:ascii="Arial" w:hAnsi="Arial" w:cs="Arial"/>
        </w:rPr>
        <w:t>(Ellram et al., 2020b)</w:t>
      </w:r>
      <w:r w:rsidR="00D0388A" w:rsidRPr="00BE2CF3">
        <w:rPr>
          <w:rFonts w:ascii="Arial" w:hAnsi="Arial" w:cs="Arial"/>
          <w:lang w:val="en-GB"/>
        </w:rPr>
        <w:fldChar w:fldCharType="end"/>
      </w:r>
      <w:r w:rsidR="00D0388A" w:rsidRPr="00E70AC4">
        <w:rPr>
          <w:rFonts w:ascii="Arial" w:hAnsi="Arial" w:cs="Arial"/>
        </w:rPr>
        <w:t xml:space="preserve">, PSM </w:t>
      </w:r>
      <w:r w:rsidR="00D0388A" w:rsidRPr="00765EE6">
        <w:rPr>
          <w:rFonts w:ascii="Arial" w:hAnsi="Arial" w:cs="Arial"/>
        </w:rPr>
        <w:t xml:space="preserve">quiere ser reconocido por </w:t>
      </w:r>
      <w:r w:rsidR="00EB0D16">
        <w:rPr>
          <w:rFonts w:ascii="Arial" w:hAnsi="Arial" w:cs="Arial"/>
        </w:rPr>
        <w:t>una</w:t>
      </w:r>
      <w:r w:rsidR="00D0388A" w:rsidRPr="00765EE6">
        <w:rPr>
          <w:rFonts w:ascii="Arial" w:hAnsi="Arial" w:cs="Arial"/>
        </w:rPr>
        <w:t xml:space="preserve"> creación de valor más estratégic</w:t>
      </w:r>
      <w:r w:rsidR="00335FF7">
        <w:rPr>
          <w:rFonts w:ascii="Arial" w:hAnsi="Arial" w:cs="Arial"/>
        </w:rPr>
        <w:t>o</w:t>
      </w:r>
      <w:r w:rsidR="00D0388A" w:rsidRPr="00E70AC4">
        <w:rPr>
          <w:rFonts w:ascii="Arial" w:hAnsi="Arial" w:cs="Arial"/>
        </w:rPr>
        <w:t xml:space="preserve"> </w:t>
      </w:r>
      <w:r w:rsidR="00D0388A" w:rsidRPr="00BE2CF3">
        <w:rPr>
          <w:rFonts w:ascii="Arial" w:hAnsi="Arial" w:cs="Arial"/>
          <w:lang w:val="en-GB"/>
        </w:rPr>
        <w:fldChar w:fldCharType="begin"/>
      </w:r>
      <w:r w:rsidR="000968AF">
        <w:rPr>
          <w:rFonts w:ascii="Arial" w:hAnsi="Arial" w:cs="Arial"/>
        </w:rPr>
        <w:instrText xml:space="preserve"> ADDIN ZOTERO_ITEM CSL_CITATION {"citationID":"ING7OX13","properties":{"unsorted":true,"formattedCitation":"(Sch\\uc0\\u252{}tz et al., 2020; Pohl and F\\uc0\\u246{}rstl, 2011)","plainCitation":"(Schütz et al., 2020; Pohl and Förstl, 2011)","noteIndex":0},"citationItems":[{"id":"b1IaCvtg/RablZoXU","uris":["http://zotero.org/users/9514289/items/UVQA8V79"],"itemData":{"id":"qQ6WEL1m/pyfEklQ5","type":"article-journal","abstract":"The competitive advantage purchasing provides has been debated for decades. For a novel perspective we derive a theoretical framework grounded in the knowledge-based view in order to examine how purchasing knowledge and purchasing integration impact cost and strategic performance. The derived hypotheses are tested based on extensive secondary data from a large European multinational utility company. The 179 studied ‘purchasinginternal client relationships’ contain real contracted savings data and internal client ratings of purchasing knowledge, purchasing integration and strategic purchasing performance. We show that purchasing knowledge is a major antecedent for both savings and strategic purchasing performance. This effect is further amplified by purchasing integration. With this study, we extend the understanding of the purchasing knowledge–performance link. We conclude that purchasing knowledge becomes particularly valuable when combined with other functions' processes through purchasing integration. This causal chain is also supported through general knowledgebased view theory. Moreover, we provide numerical evidence of the value of knowledge creation and integration processes to purchasing professionals in our managerial implications based on results obtained from actual purchasing savings data.","container-title":"Journal of Purchasing and Supply Management","DOI":"10.1016/j.pursup.2019.04.002","ISSN":"14784092","issue":"2","journalAbbreviation":"Journal of Purchasing and Supply Management","language":"en","page":"100534","source":"DOI.org (Crossref)","title":"How to achieve cost savings and strategic performance in purchasing simultaneously: A knowledge-based view","title-short":"How to achieve cost savings and strategic performance in purchasing simultaneously","volume":"26","author":[{"family":"Schütz","given":"Kai"},{"family":"Kässer","given":"Matthias"},{"family":"Blome","given":"Constantin"},{"family":"Foerstl","given":"Kai"}],"issued":{"date-parts":[["2020",3]]}}},{"id":487,"uris":["http://zotero.org/users/9514289/items/MXZNXVK6"],"itemData":{"id":487,"type":"article-journal","abstract":"Purchasing competence, the level of strategic integration and alignment, is a key determinant of the purchasing function’s impact on overall corporate success. Previous research has revealed that the implementation of a mature purchasing performance measurement system (PPMS) can be a means to attain a high level of functional strategic integration. In this research, we develop ﬁve propositions on how PPMS should be designed to facilitate strategic integration. We challenge these propositions using data gathered from four case studies with German companies from different industrial sectors. While each of these companies pursues multiple strategic objectives within Purchasing, the PPMSs designs focus heavily on cost-related strategy and performance dimensions. Thus, our ﬁndings indicate the need to develop PPMS schemes allowing a direct linkage between ﬁnancial performance and non-ﬁnancial performance measures in order to incentivize the desired multiple strategic goals beyond periodical cost reduction. Moreover, such measurement systems need to be adapted at the category level of purchasing practices to obtain the desired level of pre-deﬁned strategic performance dimensions. Hence, the level of purchasing competence is determined at category level and a PPMS must transform strategy into measurable goals at this level.","container-title":"Journal of Purchasing and Supply Management","DOI":"10.1016/j.pursup.2011.04.001","ISSN":"14784092","issue":"4","journalAbbreviation":"Journal of Purchasing and Supply Management","language":"en","page":"231-245","source":"DOI.org (Crossref)","title":"Achieving purchasing competence through purchasing performance measurement system design—A multiple-case study analysis","volume":"17","author":[{"family":"Pohl","given":"Mathies"},{"family":"Förstl","given":"Kai"}],"issued":{"date-parts":[["2011",12]]}},"label":"page"}],"schema":"https://github.com/citation-style-language/schema/raw/master/csl-citation.json"} </w:instrText>
      </w:r>
      <w:r w:rsidR="00D0388A" w:rsidRPr="00BE2CF3">
        <w:rPr>
          <w:rFonts w:ascii="Arial" w:hAnsi="Arial" w:cs="Arial"/>
          <w:lang w:val="en-GB"/>
        </w:rPr>
        <w:fldChar w:fldCharType="separate"/>
      </w:r>
      <w:r w:rsidR="00D0388A" w:rsidRPr="00080A2B">
        <w:rPr>
          <w:rFonts w:ascii="Arial" w:hAnsi="Arial" w:cs="Arial"/>
          <w:kern w:val="0"/>
        </w:rPr>
        <w:t>(Schütz et al., 2020; Pohl and Förstl, 2011)</w:t>
      </w:r>
      <w:r w:rsidR="00D0388A" w:rsidRPr="00BE2CF3">
        <w:rPr>
          <w:rFonts w:ascii="Arial" w:hAnsi="Arial" w:cs="Arial"/>
          <w:lang w:val="en-GB"/>
        </w:rPr>
        <w:fldChar w:fldCharType="end"/>
      </w:r>
      <w:r w:rsidR="00D0388A" w:rsidRPr="00080A2B">
        <w:rPr>
          <w:rFonts w:ascii="Arial" w:hAnsi="Arial" w:cs="Arial"/>
        </w:rPr>
        <w:t>.</w:t>
      </w:r>
    </w:p>
    <w:p w14:paraId="2F399600" w14:textId="47D71419" w:rsidR="0098403F" w:rsidRPr="008020E9" w:rsidRDefault="0098403F" w:rsidP="00705E36">
      <w:pPr>
        <w:ind w:right="140"/>
        <w:rPr>
          <w:rFonts w:ascii="Arial" w:hAnsi="Arial" w:cs="Arial"/>
        </w:rPr>
      </w:pPr>
      <w:r w:rsidRPr="00CD55B5">
        <w:rPr>
          <w:rFonts w:ascii="Arial" w:hAnsi="Arial" w:cs="Arial"/>
        </w:rPr>
        <w:t xml:space="preserve">La gestión de compras y suministros (PSM) desempeña un papel fundamental en el aumento de la competitividad general de la organización. </w:t>
      </w:r>
      <w:r w:rsidR="00335FF7">
        <w:rPr>
          <w:rFonts w:ascii="Arial" w:hAnsi="Arial" w:cs="Arial"/>
        </w:rPr>
        <w:t>Ya que e</w:t>
      </w:r>
      <w:r w:rsidRPr="008020E9">
        <w:rPr>
          <w:rFonts w:ascii="Arial" w:hAnsi="Arial" w:cs="Arial"/>
        </w:rPr>
        <w:t>ntre el 60 y el 80 por ciento de los cost</w:t>
      </w:r>
      <w:r w:rsidR="00F82EF6">
        <w:rPr>
          <w:rFonts w:ascii="Arial" w:hAnsi="Arial" w:cs="Arial"/>
        </w:rPr>
        <w:t>e</w:t>
      </w:r>
      <w:r w:rsidRPr="008020E9">
        <w:rPr>
          <w:rFonts w:ascii="Arial" w:hAnsi="Arial" w:cs="Arial"/>
        </w:rPr>
        <w:t xml:space="preserve">s totales </w:t>
      </w:r>
      <w:r w:rsidRPr="00BE2CF3">
        <w:rPr>
          <w:rFonts w:ascii="Arial" w:hAnsi="Arial" w:cs="Arial"/>
          <w:lang w:val="en-GB"/>
        </w:rPr>
        <w:fldChar w:fldCharType="begin"/>
      </w:r>
      <w:r w:rsidRPr="008020E9">
        <w:rPr>
          <w:rFonts w:ascii="Arial" w:hAnsi="Arial" w:cs="Arial"/>
        </w:rPr>
        <w:instrText xml:space="preserve"> ADDIN ZOTERO_ITEM CSL_CITATION {"citationID":"dujbnBmf","properties":{"formattedCitation":"(van Weele and van Raaij, 2014)","plainCitation":"(van Weele and van Raaij, 2014)","noteIndex":0},"citationItems":[{"id":481,"uris":["http://zotero.org/users/9514289/items/83ZR9ZEE"],"itemData":{"id":481,"type":"article-journal","container-title":"Journal of Supply Chain Management","DOI":"10.1111/jscm.12042","ISSN":"15232409","issue":"1","journalAbbreviation":"J Supply Chain Manag","language":"en","page":"56-72","source":"DOI.org (Crossref)","title":"The Future of Purchasing and Supply Management Research: About Relevance and Rigor","title-short":"The Future of Purchasing and Supply Management Research","volume":"50","author":[{"family":"Weele","given":"Arjan J.","non-dropping-particle":"van"},{"family":"Raaij","given":"Erik M.","non-dropping-particle":"van"}],"issued":{"date-parts":[["2014",1]]}}}],"schema":"https://github.com/citation-style-language/schema/raw/master/csl-citation.json"} </w:instrText>
      </w:r>
      <w:r w:rsidRPr="00BE2CF3">
        <w:rPr>
          <w:rFonts w:ascii="Arial" w:hAnsi="Arial" w:cs="Arial"/>
          <w:lang w:val="en-GB"/>
        </w:rPr>
        <w:fldChar w:fldCharType="separate"/>
      </w:r>
      <w:r w:rsidRPr="008020E9">
        <w:rPr>
          <w:rFonts w:ascii="Arial" w:hAnsi="Arial" w:cs="Arial"/>
        </w:rPr>
        <w:t>(van Weele and van Raaij, 2014)</w:t>
      </w:r>
      <w:r w:rsidRPr="00BE2CF3">
        <w:rPr>
          <w:rFonts w:ascii="Arial" w:hAnsi="Arial" w:cs="Arial"/>
          <w:lang w:val="en-GB"/>
        </w:rPr>
        <w:fldChar w:fldCharType="end"/>
      </w:r>
      <w:r w:rsidRPr="008020E9">
        <w:rPr>
          <w:rFonts w:ascii="Arial" w:hAnsi="Arial" w:cs="Arial"/>
        </w:rPr>
        <w:t xml:space="preserve"> (Monczka et al., 2010) son externos a la organización, es decir, se pagan a los proveedores, por lo que el papel de PSM es </w:t>
      </w:r>
      <w:r>
        <w:rPr>
          <w:rFonts w:ascii="Arial" w:hAnsi="Arial" w:cs="Arial"/>
        </w:rPr>
        <w:t>traspasar</w:t>
      </w:r>
      <w:r w:rsidRPr="008020E9">
        <w:rPr>
          <w:rFonts w:ascii="Arial" w:hAnsi="Arial" w:cs="Arial"/>
        </w:rPr>
        <w:t xml:space="preserve"> los límites </w:t>
      </w:r>
      <w:r>
        <w:rPr>
          <w:rFonts w:ascii="Arial" w:hAnsi="Arial" w:cs="Arial"/>
        </w:rPr>
        <w:t xml:space="preserve">de la </w:t>
      </w:r>
      <w:r w:rsidRPr="008020E9">
        <w:rPr>
          <w:rFonts w:ascii="Arial" w:hAnsi="Arial" w:cs="Arial"/>
        </w:rPr>
        <w:t>organizaci</w:t>
      </w:r>
      <w:r>
        <w:rPr>
          <w:rFonts w:ascii="Arial" w:hAnsi="Arial" w:cs="Arial"/>
        </w:rPr>
        <w:t>ón</w:t>
      </w:r>
      <w:r w:rsidRPr="008020E9">
        <w:rPr>
          <w:rFonts w:ascii="Arial" w:hAnsi="Arial" w:cs="Arial"/>
        </w:rPr>
        <w:t xml:space="preserve"> y la gestión de estas redes externas se ha vuelto cada vez más importante </w:t>
      </w:r>
      <w:r w:rsidRPr="00BE2CF3">
        <w:rPr>
          <w:rFonts w:ascii="Arial" w:hAnsi="Arial" w:cs="Arial"/>
          <w:lang w:val="en-GB"/>
        </w:rPr>
        <w:fldChar w:fldCharType="begin"/>
      </w:r>
      <w:r w:rsidRPr="008020E9">
        <w:rPr>
          <w:rFonts w:ascii="Arial" w:hAnsi="Arial" w:cs="Arial"/>
        </w:rPr>
        <w:instrText xml:space="preserve"> ADDIN ZOTERO_ITEM CSL_CITATION {"citationID":"k6yruw0b","properties":{"formattedCitation":"(van Weele and van Raaij, 2014)","plainCitation":"(van Weele and van Raaij, 2014)","noteIndex":0},"citationItems":[{"id":481,"uris":["http://zotero.org/users/9514289/items/83ZR9ZEE"],"itemData":{"id":481,"type":"article-journal","container-title":"Journal of Supply Chain Management","DOI":"10.1111/jscm.12042","ISSN":"15232409","issue":"1","journalAbbreviation":"J Supply Chain Manag","language":"en","page":"56-72","source":"DOI.org (Crossref)","title":"The Future of Purchasing and Supply Management Research: About Relevance and Rigor","title-short":"The Future of Purchasing and Supply Management Research","volume":"50","author":[{"family":"Weele","given":"Arjan J.","non-dropping-particle":"van"},{"family":"Raaij","given":"Erik M.","non-dropping-particle":"van"}],"issued":{"date-parts":[["2014",1]]}}}],"schema":"https://github.com/citation-style-language/schema/raw/master/csl-citation.json"} </w:instrText>
      </w:r>
      <w:r w:rsidRPr="00BE2CF3">
        <w:rPr>
          <w:rFonts w:ascii="Arial" w:hAnsi="Arial" w:cs="Arial"/>
          <w:lang w:val="en-GB"/>
        </w:rPr>
        <w:fldChar w:fldCharType="separate"/>
      </w:r>
      <w:r w:rsidRPr="008020E9">
        <w:rPr>
          <w:rFonts w:ascii="Arial" w:hAnsi="Arial" w:cs="Arial"/>
        </w:rPr>
        <w:t>(van Weele and van Raaij, 2014)</w:t>
      </w:r>
      <w:r w:rsidRPr="00BE2CF3">
        <w:rPr>
          <w:rFonts w:ascii="Arial" w:hAnsi="Arial" w:cs="Arial"/>
          <w:lang w:val="en-GB"/>
        </w:rPr>
        <w:fldChar w:fldCharType="end"/>
      </w:r>
      <w:r w:rsidRPr="008020E9">
        <w:rPr>
          <w:rFonts w:ascii="Arial" w:hAnsi="Arial" w:cs="Arial"/>
        </w:rPr>
        <w:t>.</w:t>
      </w:r>
    </w:p>
    <w:p w14:paraId="2C11EE27" w14:textId="77777777" w:rsidR="00FF5082" w:rsidRDefault="00080A2B" w:rsidP="00705E36">
      <w:pPr>
        <w:ind w:right="140"/>
        <w:rPr>
          <w:rFonts w:ascii="Arial" w:hAnsi="Arial" w:cs="Arial"/>
        </w:rPr>
      </w:pPr>
      <w:r>
        <w:rPr>
          <w:rFonts w:ascii="Arial" w:hAnsi="Arial" w:cs="Arial"/>
        </w:rPr>
        <w:t>En</w:t>
      </w:r>
      <w:r w:rsidR="00176F38">
        <w:rPr>
          <w:rFonts w:ascii="Arial" w:hAnsi="Arial" w:cs="Arial"/>
        </w:rPr>
        <w:t xml:space="preserve"> </w:t>
      </w:r>
      <w:r w:rsidR="008A2A2A">
        <w:rPr>
          <w:rFonts w:ascii="Arial" w:hAnsi="Arial" w:cs="Arial"/>
        </w:rPr>
        <w:t>est</w:t>
      </w:r>
      <w:r w:rsidR="00C83605">
        <w:rPr>
          <w:rFonts w:ascii="Arial" w:hAnsi="Arial" w:cs="Arial"/>
        </w:rPr>
        <w:t>e</w:t>
      </w:r>
      <w:r w:rsidR="007D72DA" w:rsidRPr="007D72DA">
        <w:rPr>
          <w:rFonts w:ascii="Arial" w:hAnsi="Arial" w:cs="Arial"/>
        </w:rPr>
        <w:t xml:space="preserve"> </w:t>
      </w:r>
      <w:r w:rsidR="001073B5">
        <w:rPr>
          <w:rFonts w:ascii="Arial" w:hAnsi="Arial" w:cs="Arial"/>
        </w:rPr>
        <w:t>artículo</w:t>
      </w:r>
      <w:r w:rsidR="007D72DA" w:rsidRPr="007D72DA">
        <w:rPr>
          <w:rFonts w:ascii="Arial" w:hAnsi="Arial" w:cs="Arial"/>
        </w:rPr>
        <w:t xml:space="preserve"> </w:t>
      </w:r>
      <w:r>
        <w:rPr>
          <w:rFonts w:ascii="Arial" w:hAnsi="Arial" w:cs="Arial"/>
        </w:rPr>
        <w:t xml:space="preserve">se </w:t>
      </w:r>
      <w:r w:rsidR="007D72DA" w:rsidRPr="007D72DA">
        <w:rPr>
          <w:rFonts w:ascii="Arial" w:hAnsi="Arial" w:cs="Arial"/>
        </w:rPr>
        <w:t xml:space="preserve">acepta que la propuesta de valor de PSM </w:t>
      </w:r>
      <w:r w:rsidR="00947761">
        <w:rPr>
          <w:rFonts w:ascii="Arial" w:hAnsi="Arial" w:cs="Arial"/>
        </w:rPr>
        <w:t xml:space="preserve">va </w:t>
      </w:r>
      <w:r w:rsidR="008A2A2A">
        <w:rPr>
          <w:rFonts w:ascii="Arial" w:hAnsi="Arial" w:cs="Arial"/>
        </w:rPr>
        <w:t>m</w:t>
      </w:r>
      <w:r w:rsidR="00A53D02">
        <w:rPr>
          <w:rFonts w:ascii="Arial" w:hAnsi="Arial" w:cs="Arial"/>
        </w:rPr>
        <w:t xml:space="preserve">ás </w:t>
      </w:r>
      <w:r w:rsidR="00947761">
        <w:rPr>
          <w:rFonts w:ascii="Arial" w:hAnsi="Arial" w:cs="Arial"/>
        </w:rPr>
        <w:t>allá de</w:t>
      </w:r>
      <w:r w:rsidR="00A53D02">
        <w:rPr>
          <w:rFonts w:ascii="Arial" w:hAnsi="Arial" w:cs="Arial"/>
        </w:rPr>
        <w:t xml:space="preserve"> </w:t>
      </w:r>
      <w:r w:rsidR="007D72DA" w:rsidRPr="007D72DA">
        <w:rPr>
          <w:rFonts w:ascii="Arial" w:hAnsi="Arial" w:cs="Arial"/>
        </w:rPr>
        <w:t xml:space="preserve">la </w:t>
      </w:r>
      <w:r w:rsidR="00F96D9F">
        <w:rPr>
          <w:rFonts w:ascii="Arial" w:hAnsi="Arial" w:cs="Arial"/>
        </w:rPr>
        <w:t xml:space="preserve">simple </w:t>
      </w:r>
      <w:r w:rsidR="007D72DA" w:rsidRPr="007D72DA">
        <w:rPr>
          <w:rFonts w:ascii="Arial" w:hAnsi="Arial" w:cs="Arial"/>
        </w:rPr>
        <w:t>reducción de cost</w:t>
      </w:r>
      <w:r w:rsidR="00BE36CE">
        <w:rPr>
          <w:rFonts w:ascii="Arial" w:hAnsi="Arial" w:cs="Arial"/>
        </w:rPr>
        <w:t>e</w:t>
      </w:r>
      <w:r w:rsidR="007D72DA" w:rsidRPr="007D72DA">
        <w:rPr>
          <w:rFonts w:ascii="Arial" w:hAnsi="Arial" w:cs="Arial"/>
        </w:rPr>
        <w:t xml:space="preserve">s, y </w:t>
      </w:r>
      <w:r w:rsidR="00C83605">
        <w:rPr>
          <w:rFonts w:ascii="Arial" w:hAnsi="Arial" w:cs="Arial"/>
        </w:rPr>
        <w:t xml:space="preserve">que </w:t>
      </w:r>
      <w:r w:rsidR="00F96D9F">
        <w:rPr>
          <w:rFonts w:ascii="Arial" w:hAnsi="Arial" w:cs="Arial"/>
        </w:rPr>
        <w:t>est</w:t>
      </w:r>
      <w:r w:rsidR="00C83605">
        <w:rPr>
          <w:rFonts w:ascii="Arial" w:hAnsi="Arial" w:cs="Arial"/>
        </w:rPr>
        <w:t>a</w:t>
      </w:r>
      <w:r w:rsidR="001073B5">
        <w:rPr>
          <w:rFonts w:ascii="Arial" w:hAnsi="Arial" w:cs="Arial"/>
        </w:rPr>
        <w:t>s</w:t>
      </w:r>
      <w:r w:rsidR="007D72DA" w:rsidRPr="007D72DA">
        <w:rPr>
          <w:rFonts w:ascii="Arial" w:hAnsi="Arial" w:cs="Arial"/>
        </w:rPr>
        <w:t xml:space="preserve"> </w:t>
      </w:r>
      <w:r w:rsidR="001073B5">
        <w:rPr>
          <w:rFonts w:ascii="Arial" w:hAnsi="Arial" w:cs="Arial"/>
        </w:rPr>
        <w:t>son</w:t>
      </w:r>
      <w:r w:rsidR="002043BC">
        <w:rPr>
          <w:rFonts w:ascii="Arial" w:hAnsi="Arial" w:cs="Arial"/>
        </w:rPr>
        <w:t xml:space="preserve"> </w:t>
      </w:r>
      <w:r w:rsidR="007D72DA" w:rsidRPr="007D72DA">
        <w:rPr>
          <w:rFonts w:ascii="Arial" w:hAnsi="Arial" w:cs="Arial"/>
        </w:rPr>
        <w:t xml:space="preserve">consecuencia de </w:t>
      </w:r>
      <w:r w:rsidR="00260F1C">
        <w:rPr>
          <w:rFonts w:ascii="Arial" w:hAnsi="Arial" w:cs="Arial"/>
        </w:rPr>
        <w:t>vari</w:t>
      </w:r>
      <w:r w:rsidR="007E2FD1">
        <w:rPr>
          <w:rFonts w:ascii="Arial" w:hAnsi="Arial" w:cs="Arial"/>
        </w:rPr>
        <w:t>o</w:t>
      </w:r>
      <w:r w:rsidR="002043BC">
        <w:rPr>
          <w:rFonts w:ascii="Arial" w:hAnsi="Arial" w:cs="Arial"/>
        </w:rPr>
        <w:t>s</w:t>
      </w:r>
      <w:r w:rsidR="00260F1C">
        <w:rPr>
          <w:rFonts w:ascii="Arial" w:hAnsi="Arial" w:cs="Arial"/>
        </w:rPr>
        <w:t xml:space="preserve"> </w:t>
      </w:r>
      <w:r w:rsidR="007E2FD1">
        <w:rPr>
          <w:rFonts w:ascii="Arial" w:hAnsi="Arial" w:cs="Arial"/>
        </w:rPr>
        <w:t>actores</w:t>
      </w:r>
      <w:r w:rsidR="00260F1C">
        <w:rPr>
          <w:rFonts w:ascii="Arial" w:hAnsi="Arial" w:cs="Arial"/>
        </w:rPr>
        <w:t xml:space="preserve"> </w:t>
      </w:r>
      <w:r w:rsidR="007D72DA" w:rsidRPr="007D72DA">
        <w:rPr>
          <w:rFonts w:ascii="Arial" w:hAnsi="Arial" w:cs="Arial"/>
        </w:rPr>
        <w:t>de la cadena de valor</w:t>
      </w:r>
      <w:r w:rsidR="00CB0DF4">
        <w:rPr>
          <w:rFonts w:ascii="Arial" w:hAnsi="Arial" w:cs="Arial"/>
        </w:rPr>
        <w:t>, dentro y fuera de la empresa</w:t>
      </w:r>
      <w:r w:rsidR="007D72DA" w:rsidRPr="007D72DA">
        <w:rPr>
          <w:rFonts w:ascii="Arial" w:hAnsi="Arial" w:cs="Arial"/>
        </w:rPr>
        <w:t xml:space="preserve">. </w:t>
      </w:r>
      <w:r w:rsidR="00510D37">
        <w:rPr>
          <w:rFonts w:ascii="Arial" w:hAnsi="Arial" w:cs="Arial"/>
        </w:rPr>
        <w:t>Y p</w:t>
      </w:r>
      <w:r w:rsidR="00EF60CB">
        <w:rPr>
          <w:rFonts w:ascii="Arial" w:hAnsi="Arial" w:cs="Arial"/>
        </w:rPr>
        <w:t xml:space="preserve">ara </w:t>
      </w:r>
      <w:r w:rsidR="00791E72">
        <w:rPr>
          <w:rFonts w:ascii="Arial" w:hAnsi="Arial" w:cs="Arial"/>
        </w:rPr>
        <w:t>entenderlo, s</w:t>
      </w:r>
      <w:r w:rsidR="001D0E54">
        <w:rPr>
          <w:rFonts w:ascii="Arial" w:hAnsi="Arial" w:cs="Arial"/>
        </w:rPr>
        <w:t xml:space="preserve">e comienza </w:t>
      </w:r>
      <w:r w:rsidR="007D72DA" w:rsidRPr="00BE36CE">
        <w:rPr>
          <w:rFonts w:ascii="Arial" w:hAnsi="Arial" w:cs="Arial"/>
        </w:rPr>
        <w:t>explora</w:t>
      </w:r>
      <w:r w:rsidR="001D0E54">
        <w:rPr>
          <w:rFonts w:ascii="Arial" w:hAnsi="Arial" w:cs="Arial"/>
        </w:rPr>
        <w:t>ndo</w:t>
      </w:r>
      <w:r w:rsidR="007D72DA" w:rsidRPr="00BE36CE">
        <w:rPr>
          <w:rFonts w:ascii="Arial" w:hAnsi="Arial" w:cs="Arial"/>
        </w:rPr>
        <w:t xml:space="preserve"> el significado actual de los ahorros generados por los profesionales de PSM</w:t>
      </w:r>
      <w:r w:rsidR="00D33BF1">
        <w:rPr>
          <w:rFonts w:ascii="Arial" w:hAnsi="Arial" w:cs="Arial"/>
        </w:rPr>
        <w:t>.</w:t>
      </w:r>
      <w:r w:rsidR="007D72DA" w:rsidRPr="00BE36CE">
        <w:rPr>
          <w:rFonts w:ascii="Arial" w:hAnsi="Arial" w:cs="Arial"/>
        </w:rPr>
        <w:t xml:space="preserve"> </w:t>
      </w:r>
      <w:r w:rsidR="00D33BF1">
        <w:rPr>
          <w:rFonts w:ascii="Arial" w:hAnsi="Arial" w:cs="Arial"/>
        </w:rPr>
        <w:t>P</w:t>
      </w:r>
      <w:r w:rsidR="001B0EB5">
        <w:rPr>
          <w:rFonts w:ascii="Arial" w:hAnsi="Arial" w:cs="Arial"/>
        </w:rPr>
        <w:t>ara</w:t>
      </w:r>
      <w:r w:rsidR="0081605A">
        <w:rPr>
          <w:rFonts w:ascii="Arial" w:hAnsi="Arial" w:cs="Arial"/>
        </w:rPr>
        <w:t xml:space="preserve"> </w:t>
      </w:r>
      <w:r w:rsidR="00DF5C03">
        <w:rPr>
          <w:rFonts w:ascii="Arial" w:hAnsi="Arial" w:cs="Arial"/>
        </w:rPr>
        <w:t xml:space="preserve">después </w:t>
      </w:r>
      <w:r w:rsidR="007D72DA" w:rsidRPr="00BE36CE">
        <w:rPr>
          <w:rFonts w:ascii="Arial" w:hAnsi="Arial" w:cs="Arial"/>
        </w:rPr>
        <w:t>trata</w:t>
      </w:r>
      <w:r w:rsidR="001B0EB5">
        <w:rPr>
          <w:rFonts w:ascii="Arial" w:hAnsi="Arial" w:cs="Arial"/>
        </w:rPr>
        <w:t>r</w:t>
      </w:r>
      <w:r w:rsidR="007D72DA" w:rsidRPr="00BE36CE">
        <w:rPr>
          <w:rFonts w:ascii="Arial" w:hAnsi="Arial" w:cs="Arial"/>
        </w:rPr>
        <w:t xml:space="preserve"> de </w:t>
      </w:r>
      <w:r w:rsidR="003A7713">
        <w:rPr>
          <w:rFonts w:ascii="Arial" w:hAnsi="Arial" w:cs="Arial"/>
        </w:rPr>
        <w:t xml:space="preserve">demostrar </w:t>
      </w:r>
      <w:r w:rsidR="007D72DA" w:rsidRPr="00BE36CE">
        <w:rPr>
          <w:rFonts w:ascii="Arial" w:hAnsi="Arial" w:cs="Arial"/>
        </w:rPr>
        <w:t>si un</w:t>
      </w:r>
      <w:r w:rsidR="00FC72E1">
        <w:rPr>
          <w:rFonts w:ascii="Arial" w:hAnsi="Arial" w:cs="Arial"/>
        </w:rPr>
        <w:t xml:space="preserve">a visión </w:t>
      </w:r>
      <w:r w:rsidR="007D72DA" w:rsidRPr="00BE36CE">
        <w:rPr>
          <w:rFonts w:ascii="Arial" w:hAnsi="Arial" w:cs="Arial"/>
        </w:rPr>
        <w:t>más ampli</w:t>
      </w:r>
      <w:r w:rsidR="00FC72E1">
        <w:rPr>
          <w:rFonts w:ascii="Arial" w:hAnsi="Arial" w:cs="Arial"/>
        </w:rPr>
        <w:t>a</w:t>
      </w:r>
      <w:r w:rsidR="007D72DA" w:rsidRPr="00BE36CE">
        <w:rPr>
          <w:rFonts w:ascii="Arial" w:hAnsi="Arial" w:cs="Arial"/>
        </w:rPr>
        <w:t xml:space="preserve"> </w:t>
      </w:r>
      <w:r w:rsidR="00470D68">
        <w:rPr>
          <w:rFonts w:ascii="Arial" w:hAnsi="Arial" w:cs="Arial"/>
        </w:rPr>
        <w:t xml:space="preserve">de estos ahorros </w:t>
      </w:r>
      <w:r w:rsidR="00D76AE5">
        <w:rPr>
          <w:rFonts w:ascii="Arial" w:hAnsi="Arial" w:cs="Arial"/>
        </w:rPr>
        <w:t>generados</w:t>
      </w:r>
      <w:r w:rsidR="00470D68">
        <w:rPr>
          <w:rFonts w:ascii="Arial" w:hAnsi="Arial" w:cs="Arial"/>
        </w:rPr>
        <w:t xml:space="preserve"> </w:t>
      </w:r>
      <w:r w:rsidR="00673790">
        <w:rPr>
          <w:rFonts w:ascii="Arial" w:hAnsi="Arial" w:cs="Arial"/>
        </w:rPr>
        <w:t xml:space="preserve">es </w:t>
      </w:r>
      <w:r w:rsidR="007D72DA" w:rsidRPr="00BE36CE">
        <w:rPr>
          <w:rFonts w:ascii="Arial" w:hAnsi="Arial" w:cs="Arial"/>
        </w:rPr>
        <w:t>útil</w:t>
      </w:r>
      <w:r w:rsidR="00D76AE5">
        <w:rPr>
          <w:rFonts w:ascii="Arial" w:hAnsi="Arial" w:cs="Arial"/>
        </w:rPr>
        <w:t>,</w:t>
      </w:r>
      <w:r w:rsidR="007D72DA" w:rsidRPr="00BE36CE">
        <w:rPr>
          <w:rFonts w:ascii="Arial" w:hAnsi="Arial" w:cs="Arial"/>
        </w:rPr>
        <w:t xml:space="preserve"> como forma </w:t>
      </w:r>
      <w:r w:rsidR="00150BD0">
        <w:rPr>
          <w:rFonts w:ascii="Arial" w:hAnsi="Arial" w:cs="Arial"/>
        </w:rPr>
        <w:t xml:space="preserve">de cuantificar </w:t>
      </w:r>
      <w:r w:rsidR="007D72DA" w:rsidRPr="00BE36CE">
        <w:rPr>
          <w:rFonts w:ascii="Arial" w:hAnsi="Arial" w:cs="Arial"/>
        </w:rPr>
        <w:t>la</w:t>
      </w:r>
      <w:r w:rsidR="00763451">
        <w:rPr>
          <w:rFonts w:ascii="Arial" w:hAnsi="Arial" w:cs="Arial"/>
        </w:rPr>
        <w:t>s diferentes</w:t>
      </w:r>
      <w:r w:rsidR="007D72DA" w:rsidRPr="00BE36CE">
        <w:rPr>
          <w:rFonts w:ascii="Arial" w:hAnsi="Arial" w:cs="Arial"/>
        </w:rPr>
        <w:t xml:space="preserve"> </w:t>
      </w:r>
      <w:r w:rsidR="00F4668F">
        <w:rPr>
          <w:rFonts w:ascii="Arial" w:hAnsi="Arial" w:cs="Arial"/>
        </w:rPr>
        <w:t>aportaciones</w:t>
      </w:r>
      <w:r w:rsidR="007D72DA" w:rsidRPr="00BE36CE">
        <w:rPr>
          <w:rFonts w:ascii="Arial" w:hAnsi="Arial" w:cs="Arial"/>
        </w:rPr>
        <w:t xml:space="preserve"> de valor de PSM</w:t>
      </w:r>
      <w:r w:rsidR="0042304C">
        <w:rPr>
          <w:rFonts w:ascii="Arial" w:hAnsi="Arial" w:cs="Arial"/>
        </w:rPr>
        <w:t xml:space="preserve"> en la empresa</w:t>
      </w:r>
      <w:r w:rsidR="007D72DA" w:rsidRPr="00BE36CE">
        <w:rPr>
          <w:rFonts w:ascii="Arial" w:hAnsi="Arial" w:cs="Arial"/>
        </w:rPr>
        <w:t xml:space="preserve">. </w:t>
      </w:r>
    </w:p>
    <w:p w14:paraId="524D800C" w14:textId="2D3B8D1B" w:rsidR="00484FEC" w:rsidRPr="00BB3924" w:rsidRDefault="007D72DA" w:rsidP="00705E36">
      <w:pPr>
        <w:ind w:right="140"/>
        <w:rPr>
          <w:rFonts w:ascii="Arial" w:hAnsi="Arial" w:cs="Arial"/>
        </w:rPr>
      </w:pPr>
      <w:r w:rsidRPr="00BE36CE">
        <w:rPr>
          <w:rFonts w:ascii="Arial" w:hAnsi="Arial" w:cs="Arial"/>
        </w:rPr>
        <w:t xml:space="preserve">En </w:t>
      </w:r>
      <w:r w:rsidR="00491841">
        <w:rPr>
          <w:rFonts w:ascii="Arial" w:hAnsi="Arial" w:cs="Arial"/>
        </w:rPr>
        <w:t xml:space="preserve">el </w:t>
      </w:r>
      <w:r w:rsidRPr="00BE36CE">
        <w:rPr>
          <w:rFonts w:ascii="Arial" w:hAnsi="Arial" w:cs="Arial"/>
        </w:rPr>
        <w:t>entorno dinámico e incierto de hoy, PSM puede y agrega valor al éxito empresarial en muchas dimensiones</w:t>
      </w:r>
      <w:r w:rsidR="005D7E54" w:rsidRPr="00BE36CE">
        <w:rPr>
          <w:rFonts w:ascii="Arial" w:hAnsi="Arial" w:cs="Arial"/>
        </w:rPr>
        <w:t xml:space="preserve"> </w:t>
      </w:r>
      <w:r w:rsidR="005D7E54" w:rsidRPr="00BE2CF3">
        <w:rPr>
          <w:rFonts w:ascii="Arial" w:hAnsi="Arial" w:cs="Arial"/>
          <w:lang w:val="en-GB"/>
        </w:rPr>
        <w:fldChar w:fldCharType="begin"/>
      </w:r>
      <w:r w:rsidR="005D7E54" w:rsidRPr="00BE36CE">
        <w:rPr>
          <w:rFonts w:ascii="Arial" w:hAnsi="Arial" w:cs="Arial"/>
        </w:rPr>
        <w:instrText xml:space="preserve"> ADDIN ZOTERO_ITEM CSL_CITATION {"citationID":"ZdqvijDe","properties":{"formattedCitation":"(Ueltschy Murfield et al., 2021)","plainCitation":"(Ueltschy Murfield et al., 2021)","noteIndex":0},"citationItems":[{"id":479,"uris":["http://zotero.org/users/9514289/items/REQCPAMY"],"itemData":{"id":479,"type":"article-journal","abstract":"Practitioners and researchers recognize that purchasing and supply management (PSM) contributes value to business performance beyond reported cost reductions, though capturing and evaluating such contributions is often challenging. The goal of this research is to understand roadblocks impeding the recognition of PSM’s contributions beyond cost reduction, and suggest potential solutions to these challenges. Social identity theory offers a conceptual framework to study PSM’s self-identity and how it is perceived by others in the organization. Gaining acceptance for value-added metrics is critical to move perceptions of PSM’s contribution beyond cost reduction and achieve its full potential. Social identity theory is used as a lens to assess the data and develop propositions. Using a qualitative interview method, the researchers identified important roadblocks hindering PSM’s attainment of a broader value-based perception. PSM’s identity is closely linked to cost-savings by itself, other functions and upper management. These perceptions are further reinforced by PSM through excessive cost reporting metrics. We provide two suggested solutions for PSM to expand its recognition beyond cost savings: 1) PSM must change its narrative and associated self-identity; and 2) PSM needs to develop metrics that are meaningful across multiple areas of the business.","container-title":"Journal of Purchasing and Supply Management","DOI":"10.1016/j.pursup.2021.100687","ISSN":"14784092","issue":"3","journalAbbreviation":"Journal of Purchasing and Supply Management","language":"en","page":"100687","source":"DOI.org (Crossref)","title":"Moving purchasing &amp; supply management beyond a cost-focused identity","volume":"27","author":[{"family":"Ueltschy Murfield","given":"Monique L."},{"family":"Ellram","given":"Lisa M."},{"family":"Giunipero","given":"Larry C."}],"issued":{"date-parts":[["2021",6]]}}}],"schema":"https://github.com/citation-style-language/schema/raw/master/csl-citation.json"} </w:instrText>
      </w:r>
      <w:r w:rsidR="005D7E54" w:rsidRPr="00BE2CF3">
        <w:rPr>
          <w:rFonts w:ascii="Arial" w:hAnsi="Arial" w:cs="Arial"/>
          <w:lang w:val="en-GB"/>
        </w:rPr>
        <w:fldChar w:fldCharType="separate"/>
      </w:r>
      <w:r w:rsidR="005D7E54" w:rsidRPr="00491841">
        <w:rPr>
          <w:rFonts w:ascii="Arial" w:hAnsi="Arial" w:cs="Arial"/>
        </w:rPr>
        <w:t>(Ueltschy Murfield et al., 2021)</w:t>
      </w:r>
      <w:r w:rsidR="005D7E54" w:rsidRPr="00BE2CF3">
        <w:rPr>
          <w:rFonts w:ascii="Arial" w:hAnsi="Arial" w:cs="Arial"/>
          <w:lang w:val="en-GB"/>
        </w:rPr>
        <w:fldChar w:fldCharType="end"/>
      </w:r>
      <w:r w:rsidR="001F54A1" w:rsidRPr="001F54A1">
        <w:rPr>
          <w:rFonts w:ascii="Arial" w:hAnsi="Arial" w:cs="Arial"/>
        </w:rPr>
        <w:t>.</w:t>
      </w:r>
      <w:r w:rsidR="00CF193E">
        <w:rPr>
          <w:rFonts w:ascii="Arial" w:hAnsi="Arial" w:cs="Arial"/>
        </w:rPr>
        <w:t xml:space="preserve"> </w:t>
      </w:r>
      <w:r w:rsidR="003948DB">
        <w:rPr>
          <w:rFonts w:ascii="Arial" w:hAnsi="Arial" w:cs="Arial"/>
        </w:rPr>
        <w:t>A</w:t>
      </w:r>
      <w:r w:rsidR="002F2568" w:rsidRPr="002F2568">
        <w:rPr>
          <w:rFonts w:ascii="Arial" w:hAnsi="Arial" w:cs="Arial"/>
        </w:rPr>
        <w:t xml:space="preserve">barca </w:t>
      </w:r>
      <w:r w:rsidR="00023235">
        <w:rPr>
          <w:rFonts w:ascii="Arial" w:hAnsi="Arial" w:cs="Arial"/>
        </w:rPr>
        <w:t xml:space="preserve">los </w:t>
      </w:r>
      <w:r w:rsidR="002F2568" w:rsidRPr="002F2568">
        <w:rPr>
          <w:rFonts w:ascii="Arial" w:hAnsi="Arial" w:cs="Arial"/>
        </w:rPr>
        <w:t>resultados empresariales a nivel de empresa y va más allá de la reducción de costes</w:t>
      </w:r>
      <w:r w:rsidR="00892B34" w:rsidRPr="002F2568">
        <w:rPr>
          <w:rFonts w:ascii="Arial" w:hAnsi="Arial" w:cs="Arial"/>
        </w:rPr>
        <w:t xml:space="preserve"> </w:t>
      </w:r>
      <w:r w:rsidR="00892B34" w:rsidRPr="00BE2CF3">
        <w:rPr>
          <w:rFonts w:ascii="Arial" w:hAnsi="Arial" w:cs="Arial"/>
          <w:lang w:val="en-GB"/>
        </w:rPr>
        <w:fldChar w:fldCharType="begin"/>
      </w:r>
      <w:r w:rsidR="005418EF" w:rsidRPr="002F2568">
        <w:rPr>
          <w:rFonts w:ascii="Arial" w:hAnsi="Arial" w:cs="Arial"/>
        </w:rPr>
        <w:instrText xml:space="preserve"> ADDIN ZOTERO_ITEM CSL_CITATION {"citationID":"ZxAcqCkb","properties":{"unsorted":true,"formattedCitation":"(Schiele, 2007; Cousins et al., 2006)","plainCitation":"(Schiele, 2007; Cousins et al., 2006)","noteIndex":0},"citationItems":[{"id":471,"uris":["http://zotero.org/users/9514289/items/XI9X8ZE6"],"itemData":{"id":471,"type":"article-journal","abstract":"The relationship between the development level a purchasing organisation has reached—maturity—and its impact on the performance of a </w:instrText>
      </w:r>
      <w:r w:rsidR="005418EF">
        <w:rPr>
          <w:rFonts w:ascii="Arial" w:hAnsi="Arial" w:cs="Arial"/>
          <w:lang w:val="en-GB"/>
        </w:rPr>
        <w:instrText>ﬁ</w:instrText>
      </w:r>
      <w:r w:rsidR="005418EF" w:rsidRPr="002F2568">
        <w:rPr>
          <w:rFonts w:ascii="Arial" w:hAnsi="Arial" w:cs="Arial"/>
        </w:rPr>
        <w:instrText xml:space="preserve">rm has received only limited attention until now. We conducted extensive purchasing audits using a comprehensive tool to assess </w:instrText>
      </w:r>
      <w:r w:rsidR="005418EF">
        <w:rPr>
          <w:rFonts w:ascii="Arial" w:hAnsi="Arial" w:cs="Arial"/>
          <w:lang w:val="en-GB"/>
        </w:rPr>
        <w:instrText>ﬁ</w:instrText>
      </w:r>
      <w:r w:rsidR="005418EF" w:rsidRPr="002F2568">
        <w:rPr>
          <w:rFonts w:ascii="Arial" w:hAnsi="Arial" w:cs="Arial"/>
        </w:rPr>
        <w:instrText xml:space="preserve">rms’ maturity level. These </w:instrText>
      </w:r>
      <w:r w:rsidR="005418EF">
        <w:rPr>
          <w:rFonts w:ascii="Arial" w:hAnsi="Arial" w:cs="Arial"/>
          <w:lang w:val="en-GB"/>
        </w:rPr>
        <w:instrText>ﬁ</w:instrText>
      </w:r>
      <w:r w:rsidR="005418EF" w:rsidRPr="002F2568">
        <w:rPr>
          <w:rFonts w:ascii="Arial" w:hAnsi="Arial" w:cs="Arial"/>
        </w:rPr>
        <w:instrText>rms’ performance was then measured by their success in a purchasing cost-reduction programme. The results showed a highly signi</w:instrText>
      </w:r>
      <w:r w:rsidR="005418EF">
        <w:rPr>
          <w:rFonts w:ascii="Arial" w:hAnsi="Arial" w:cs="Arial"/>
          <w:lang w:val="en-GB"/>
        </w:rPr>
        <w:instrText>ﬁ</w:instrText>
      </w:r>
      <w:r w:rsidR="005418EF" w:rsidRPr="002F2568">
        <w:rPr>
          <w:rFonts w:ascii="Arial" w:hAnsi="Arial" w:cs="Arial"/>
        </w:rPr>
        <w:instrText>cant relationship between purchasing’s maturity level and cost-reduction results. Somewhat counterintuitively, larger saving potential was identi</w:instrText>
      </w:r>
      <w:r w:rsidR="005418EF">
        <w:rPr>
          <w:rFonts w:ascii="Arial" w:hAnsi="Arial" w:cs="Arial"/>
          <w:lang w:val="en-GB"/>
        </w:rPr>
        <w:instrText>ﬁ</w:instrText>
      </w:r>
      <w:r w:rsidR="005418EF" w:rsidRPr="002F2568">
        <w:rPr>
          <w:rFonts w:ascii="Arial" w:hAnsi="Arial" w:cs="Arial"/>
        </w:rPr>
        <w:instrText xml:space="preserve">ed in more developed </w:instrText>
      </w:r>
      <w:r w:rsidR="005418EF">
        <w:rPr>
          <w:rFonts w:ascii="Arial" w:hAnsi="Arial" w:cs="Arial"/>
          <w:lang w:val="en-GB"/>
        </w:rPr>
        <w:instrText>ﬁ</w:instrText>
      </w:r>
      <w:r w:rsidR="005418EF" w:rsidRPr="002F2568">
        <w:rPr>
          <w:rFonts w:ascii="Arial" w:hAnsi="Arial" w:cs="Arial"/>
        </w:rPr>
        <w:instrText xml:space="preserve">rms. This </w:instrText>
      </w:r>
      <w:r w:rsidR="005418EF">
        <w:rPr>
          <w:rFonts w:ascii="Arial" w:hAnsi="Arial" w:cs="Arial"/>
          <w:lang w:val="en-GB"/>
        </w:rPr>
        <w:instrText>ﬁ</w:instrText>
      </w:r>
      <w:r w:rsidR="005418EF" w:rsidRPr="002F2568">
        <w:rPr>
          <w:rFonts w:ascii="Arial" w:hAnsi="Arial" w:cs="Arial"/>
        </w:rPr>
        <w:instrText>nding may be explained by a new concept called ‘‘purchasing absorptive capacity’’. If an organisation’s maturity is too low, the introduction of best practices, such as an innovative costreduction method, may fail.","container-title":"Journal of Purchasing and Supply Management","DOI":"10.1016/j.pursup.2007.10.002","ISSN":"14784092","issue":"4","journalAbbreviation":"Journal of Purchasing and Supply Management","language":"en","page":"274-293","source":"DOI.org (Crossref)","title":"Supply-management maturity, cost savings and purchasing absorptive capacity: Testing the procurement–performance link","title-short":"Supply-management maturity, cost savings and purchasing absorptive capacity","volume":"13","author":[{"family":"Schiele","given":"Holger"}],"issued":{"date-parts":[["2007",12]]}}},{"id":1097,"uris":["http://zotero.org/users/9514289/items/TF26LI5C"],"itemData":{"id":1097,"type":"article-journal","abstract":"Purpose – The purpose of this paper is to investigate the different patterns of purchasing function con</w:instrText>
      </w:r>
      <w:r w:rsidR="005418EF">
        <w:rPr>
          <w:rFonts w:ascii="Arial" w:hAnsi="Arial" w:cs="Arial"/>
          <w:lang w:val="en-GB"/>
        </w:rPr>
        <w:instrText>ﬁ</w:instrText>
      </w:r>
      <w:r w:rsidR="005418EF" w:rsidRPr="002F2568">
        <w:rPr>
          <w:rFonts w:ascii="Arial" w:hAnsi="Arial" w:cs="Arial"/>
        </w:rPr>
        <w:instrText>guration, and the relationship between such patterns and organisational performance. Design/methodology/approach – Despite considerable attention, there is little evidence showing the current situation toward the development of purchasing functions within organisations. Through quantitative data collected from 151 UK purchasing executives, cluster analysis is used to uncover and characterize four purchasing function con</w:instrText>
      </w:r>
      <w:r w:rsidR="005418EF">
        <w:rPr>
          <w:rFonts w:ascii="Arial" w:hAnsi="Arial" w:cs="Arial"/>
          <w:lang w:val="en-GB"/>
        </w:rPr>
        <w:instrText>ﬁ</w:instrText>
      </w:r>
      <w:r w:rsidR="005418EF" w:rsidRPr="002F2568">
        <w:rPr>
          <w:rFonts w:ascii="Arial" w:hAnsi="Arial" w:cs="Arial"/>
        </w:rPr>
        <w:instrText>gurations.","container-title":"International Journal of Operations &amp; Production Management","DOI":"10.1108/01443570610672239","ISSN":"0144-3577","issue":"7","language":"en","page":"775-794","source":"DOI.org (Crossref)","title":"An empirical taxonomy of purchasing functions","volume":"26","editor":[{"family":"Cousins","given":"Paul D."}],"author":[{"family":"Cousins","given":"Paul D."},{"family":"Lawson","given":"Benn"},{"family":"Squire","given":"Brian"}],"issued":</w:instrText>
      </w:r>
      <w:r w:rsidR="005418EF" w:rsidRPr="00185ECF">
        <w:rPr>
          <w:rFonts w:ascii="Arial" w:hAnsi="Arial" w:cs="Arial"/>
        </w:rPr>
        <w:instrText xml:space="preserve">{"date-parts":[["2006",7,1]]}},"label":"page"}],"schema":"https://github.com/citation-style-language/schema/raw/master/csl-citation.json"} </w:instrText>
      </w:r>
      <w:r w:rsidR="00892B34" w:rsidRPr="00BE2CF3">
        <w:rPr>
          <w:rFonts w:ascii="Arial" w:hAnsi="Arial" w:cs="Arial"/>
          <w:lang w:val="en-GB"/>
        </w:rPr>
        <w:fldChar w:fldCharType="separate"/>
      </w:r>
      <w:r w:rsidR="005418EF" w:rsidRPr="00185ECF">
        <w:rPr>
          <w:rFonts w:ascii="Arial" w:hAnsi="Arial" w:cs="Arial"/>
        </w:rPr>
        <w:t>(Schiele, 2007; Cousins et al., 2006)</w:t>
      </w:r>
      <w:r w:rsidR="00892B34" w:rsidRPr="00BE2CF3">
        <w:rPr>
          <w:rFonts w:ascii="Arial" w:hAnsi="Arial" w:cs="Arial"/>
          <w:lang w:val="en-GB"/>
        </w:rPr>
        <w:fldChar w:fldCharType="end"/>
      </w:r>
      <w:r w:rsidR="00484FEC" w:rsidRPr="00185ECF">
        <w:rPr>
          <w:rFonts w:ascii="Arial" w:hAnsi="Arial" w:cs="Arial"/>
        </w:rPr>
        <w:t xml:space="preserve">, </w:t>
      </w:r>
      <w:r w:rsidR="00185ECF" w:rsidRPr="00185ECF">
        <w:rPr>
          <w:rFonts w:ascii="Arial" w:hAnsi="Arial" w:cs="Arial"/>
        </w:rPr>
        <w:t xml:space="preserve">incluyendo áreas como generación de ingresos, </w:t>
      </w:r>
      <w:r w:rsidR="00C86AC9">
        <w:rPr>
          <w:rFonts w:ascii="Arial" w:hAnsi="Arial" w:cs="Arial"/>
        </w:rPr>
        <w:t>fondo de maniobra</w:t>
      </w:r>
      <w:r w:rsidR="00185ECF" w:rsidRPr="00185ECF">
        <w:rPr>
          <w:rFonts w:ascii="Arial" w:hAnsi="Arial" w:cs="Arial"/>
        </w:rPr>
        <w:t xml:space="preserve"> y flujo de caja, innovación, desarrollo de nuevos productos, mitigación de riesgos y continuidad del suministro</w:t>
      </w:r>
      <w:r w:rsidR="00484FEC" w:rsidRPr="00185ECF">
        <w:rPr>
          <w:rFonts w:ascii="Arial" w:hAnsi="Arial" w:cs="Arial"/>
        </w:rPr>
        <w:t xml:space="preserve"> </w:t>
      </w:r>
      <w:r w:rsidR="00484FEC" w:rsidRPr="00BE2CF3">
        <w:rPr>
          <w:rFonts w:ascii="Arial" w:hAnsi="Arial" w:cs="Arial"/>
          <w:lang w:val="en-GB"/>
        </w:rPr>
        <w:fldChar w:fldCharType="begin"/>
      </w:r>
      <w:r w:rsidR="00484FEC" w:rsidRPr="00185ECF">
        <w:rPr>
          <w:rFonts w:ascii="Arial" w:hAnsi="Arial" w:cs="Arial"/>
        </w:rPr>
        <w:instrText xml:space="preserve"> ADDIN ZOTERO_ITEM CSL_CITATION {"citationID":"pmewZl3s","properties":{"formattedCitation":"(Ueltschy Murfield et al., 2021)","plainCitation":"(Ueltschy Murfield et al., 2021)","noteIndex":0},"citationItems":[{"id":479,"uris":["http://zotero.org/users/9514289/items/REQCPAMY"],"itemData":{"id":479,"type":"article-journal","abstract":"Practitioners and researchers recognize that purchasing and supply management (PSM) contributes value to business performance beyond reported cost reductions, though capturing and evaluating such contributions is often challenging. The goal of this research is to understand roadblocks impeding the recognition of PSM’s contributions beyond cost reduction, and suggest potential solutions to these challenges. Social identity theory offers a conceptual framework to study PSM’s self-identity and how it is perceived by others in the organization. Gaining acceptance for value-added metrics is critical to move perceptions of PSM’s contribution beyond cost reduction and achieve its full potential. Social identity theory is used as a lens to assess the data and develop propositions. Using a qualitative interview method, the researchers identified important roadblocks hindering PSM’s attainment of a broader value-based perception. PSM’s identity is closely linked to cost-s</w:instrText>
      </w:r>
      <w:r w:rsidR="00484FEC" w:rsidRPr="00C86AC9">
        <w:rPr>
          <w:rFonts w:ascii="Arial" w:hAnsi="Arial" w:cs="Arial"/>
        </w:rPr>
        <w:instrText>avings by itself</w:instrText>
      </w:r>
      <w:r w:rsidR="00484FEC" w:rsidRPr="00BB3924">
        <w:rPr>
          <w:rFonts w:ascii="Arial" w:hAnsi="Arial" w:cs="Arial"/>
        </w:rPr>
        <w:instrText xml:space="preserve">, other functions and upper management. These perceptions are further reinforced by PSM through excessive cost reporting metrics. We provide two suggested solutions for PSM to expand its recognition beyond cost savings: 1) PSM must change its narrative and associated self-identity; and 2) PSM needs to develop metrics that are meaningful across multiple areas of the business.","container-title":"Journal of Purchasing and Supply Management","DOI":"10.1016/j.pursup.2021.100687","ISSN":"14784092","issue":"3","journalAbbreviation":"Journal of Purchasing and Supply Management","language":"en","page":"100687","source":"DOI.org (Crossref)","title":"Moving purchasing &amp; supply management beyond a cost-focused identity","volume":"27","author":[{"family":"Ueltschy Murfield","given":"Monique L."},{"family":"Ellram","given":"Lisa M."},{"family":"Giunipero","given":"Larry C."}],"issued":{"date-parts":[["2021",6]]}}}],"schema":"https://github.com/citation-style-language/schema/raw/master/csl-citation.json"} </w:instrText>
      </w:r>
      <w:r w:rsidR="00484FEC" w:rsidRPr="00BE2CF3">
        <w:rPr>
          <w:rFonts w:ascii="Arial" w:hAnsi="Arial" w:cs="Arial"/>
          <w:lang w:val="en-GB"/>
        </w:rPr>
        <w:fldChar w:fldCharType="separate"/>
      </w:r>
      <w:r w:rsidR="00484FEC" w:rsidRPr="00BB3924">
        <w:rPr>
          <w:rFonts w:ascii="Arial" w:hAnsi="Arial" w:cs="Arial"/>
        </w:rPr>
        <w:t>(Ueltschy Murfield et al., 2021)</w:t>
      </w:r>
      <w:r w:rsidR="00484FEC" w:rsidRPr="00BE2CF3">
        <w:rPr>
          <w:rFonts w:ascii="Arial" w:hAnsi="Arial" w:cs="Arial"/>
          <w:lang w:val="en-GB"/>
        </w:rPr>
        <w:fldChar w:fldCharType="end"/>
      </w:r>
      <w:r w:rsidR="00484FEC" w:rsidRPr="00BB3924">
        <w:rPr>
          <w:rFonts w:ascii="Arial" w:hAnsi="Arial" w:cs="Arial"/>
        </w:rPr>
        <w:t>.</w:t>
      </w:r>
    </w:p>
    <w:p w14:paraId="0236406E" w14:textId="2AD3BCB5" w:rsidR="00484FEC" w:rsidRPr="006261E4" w:rsidRDefault="00DA327D" w:rsidP="00705E36">
      <w:pPr>
        <w:ind w:right="140"/>
        <w:rPr>
          <w:rFonts w:ascii="Arial" w:hAnsi="Arial" w:cs="Arial"/>
        </w:rPr>
      </w:pPr>
      <w:r w:rsidRPr="00DA327D">
        <w:rPr>
          <w:rFonts w:ascii="Arial" w:hAnsi="Arial" w:cs="Arial"/>
        </w:rPr>
        <w:t>Parte del desafío de ir más allá de una identidad centrada en los cost</w:t>
      </w:r>
      <w:r w:rsidR="00F634A0">
        <w:rPr>
          <w:rFonts w:ascii="Arial" w:hAnsi="Arial" w:cs="Arial"/>
        </w:rPr>
        <w:t>e</w:t>
      </w:r>
      <w:r w:rsidRPr="00DA327D">
        <w:rPr>
          <w:rFonts w:ascii="Arial" w:hAnsi="Arial" w:cs="Arial"/>
        </w:rPr>
        <w:t>s es que la medición del desempeño de PSM a menudo está sesgada hacia las actividades de reducción de cost</w:t>
      </w:r>
      <w:r w:rsidR="00F634A0">
        <w:rPr>
          <w:rFonts w:ascii="Arial" w:hAnsi="Arial" w:cs="Arial"/>
        </w:rPr>
        <w:t>e</w:t>
      </w:r>
      <w:r w:rsidRPr="00DA327D">
        <w:rPr>
          <w:rFonts w:ascii="Arial" w:hAnsi="Arial" w:cs="Arial"/>
        </w:rPr>
        <w:t>s.</w:t>
      </w:r>
      <w:r w:rsidR="00C42658" w:rsidRPr="00DA327D">
        <w:rPr>
          <w:rFonts w:ascii="Arial" w:hAnsi="Arial" w:cs="Arial"/>
        </w:rPr>
        <w:t xml:space="preserve"> </w:t>
      </w:r>
      <w:r w:rsidR="00C42658" w:rsidRPr="00BE2CF3">
        <w:rPr>
          <w:rFonts w:ascii="Arial" w:hAnsi="Arial" w:cs="Arial"/>
          <w:lang w:val="en-GB"/>
        </w:rPr>
        <w:fldChar w:fldCharType="begin"/>
      </w:r>
      <w:r w:rsidR="00C42658" w:rsidRPr="00DA327D">
        <w:rPr>
          <w:rFonts w:ascii="Arial" w:hAnsi="Arial" w:cs="Arial"/>
        </w:rPr>
        <w:instrText xml:space="preserve"> ADDIN ZOTERO_ITEM CSL_CITATION {"citationID":"ydguj147","properties":{"formattedCitation":"(Pohl and F\\uc0\\u246{}rstl, 2011)","plainCitation":"(Pohl and Förstl, 2011)","noteIndex":0},"citationItems":[{"id":487,"uris":["http://zotero.org/users/9514289/items/MXZNXVK6"],"itemData":{"id":487,"type":"article-journal","abstract":"Purchasing competence, the level of strategic integration and alignment, is a key determinant of the purchasing function’s impact on overall corporate success. Previous research has revealed that the implementation of a mature purchasing performance measurement system (PPMS) can be a means to attain a high level of functional strategic integration. In this research, we develop </w:instrText>
      </w:r>
      <w:r w:rsidR="00C42658" w:rsidRPr="00BE2CF3">
        <w:rPr>
          <w:rFonts w:ascii="Arial" w:hAnsi="Arial" w:cs="Arial"/>
          <w:lang w:val="en-GB"/>
        </w:rPr>
        <w:instrText>ﬁ</w:instrText>
      </w:r>
      <w:r w:rsidR="00C42658" w:rsidRPr="00DA327D">
        <w:rPr>
          <w:rFonts w:ascii="Arial" w:hAnsi="Arial" w:cs="Arial"/>
        </w:rPr>
        <w:instrText xml:space="preserve">ve propositions on how PPMS should be designed to facilitate strategic integration. We challenge these propositions using data gathered from four case studies with German companies from different industrial sectors. While each of these companies pursues multiple strategic objectives within Purchasing, the PPMSs designs focus heavily on cost-related strategy and performance dimensions. Thus, our </w:instrText>
      </w:r>
      <w:r w:rsidR="00C42658" w:rsidRPr="00BE2CF3">
        <w:rPr>
          <w:rFonts w:ascii="Arial" w:hAnsi="Arial" w:cs="Arial"/>
          <w:lang w:val="en-GB"/>
        </w:rPr>
        <w:instrText>ﬁ</w:instrText>
      </w:r>
      <w:r w:rsidR="00C42658" w:rsidRPr="00DA327D">
        <w:rPr>
          <w:rFonts w:ascii="Arial" w:hAnsi="Arial" w:cs="Arial"/>
        </w:rPr>
        <w:instrText xml:space="preserve">ndings indicate the need to develop PPMS schemes allowing a direct linkage between </w:instrText>
      </w:r>
      <w:r w:rsidR="00C42658" w:rsidRPr="00BE2CF3">
        <w:rPr>
          <w:rFonts w:ascii="Arial" w:hAnsi="Arial" w:cs="Arial"/>
          <w:lang w:val="en-GB"/>
        </w:rPr>
        <w:instrText>ﬁ</w:instrText>
      </w:r>
      <w:r w:rsidR="00C42658" w:rsidRPr="00DA327D">
        <w:rPr>
          <w:rFonts w:ascii="Arial" w:hAnsi="Arial" w:cs="Arial"/>
        </w:rPr>
        <w:instrText>nancial performance and non-</w:instrText>
      </w:r>
      <w:r w:rsidR="00C42658" w:rsidRPr="00BE2CF3">
        <w:rPr>
          <w:rFonts w:ascii="Arial" w:hAnsi="Arial" w:cs="Arial"/>
          <w:lang w:val="en-GB"/>
        </w:rPr>
        <w:instrText>ﬁ</w:instrText>
      </w:r>
      <w:r w:rsidR="00C42658" w:rsidRPr="00DA327D">
        <w:rPr>
          <w:rFonts w:ascii="Arial" w:hAnsi="Arial" w:cs="Arial"/>
        </w:rPr>
        <w:instrText>nancial performance measures in order to incentivize the desired multiple strategic goals beyond periodical cost reduction. Moreover, such measurement systems need to be adapted at the category level of purchasing practices to obtain the desired level of pre-de</w:instrText>
      </w:r>
      <w:r w:rsidR="00C42658" w:rsidRPr="00BE2CF3">
        <w:rPr>
          <w:rFonts w:ascii="Arial" w:hAnsi="Arial" w:cs="Arial"/>
          <w:lang w:val="en-GB"/>
        </w:rPr>
        <w:instrText>ﬁ</w:instrText>
      </w:r>
      <w:r w:rsidR="00C42658" w:rsidRPr="00DA327D">
        <w:rPr>
          <w:rFonts w:ascii="Arial" w:hAnsi="Arial" w:cs="Arial"/>
        </w:rPr>
        <w:instrText xml:space="preserve">ned strategic performance dimensions. Hence, the level of purchasing competence is determined at category level and a PPMS must transform strategy into measurable goals at this level.","container-title":"Journal of Purchasing and Supply Management","DOI":"10.1016/j.pursup.2011.04.001","ISSN":"14784092","issue":"4","journalAbbreviation":"Journal of Purchasing and Supply Management","language":"en","page":"231-245","source":"DOI.org (Crossref)","title":"Achieving purchasing competence through purchasing performance measurement system design—A multiple-case study analysis","volume":"17","author":[{"family":"Pohl","given":"Mathies"},{"family":"Förstl","given":"Kai"}],"issued":{"date-parts":[["2011",12]]}}}],"schema":"https://github.com/citation-style-language/schema/raw/master/csl-citation.json"} </w:instrText>
      </w:r>
      <w:r w:rsidR="00C42658" w:rsidRPr="00BE2CF3">
        <w:rPr>
          <w:rFonts w:ascii="Arial" w:hAnsi="Arial" w:cs="Arial"/>
          <w:lang w:val="en-GB"/>
        </w:rPr>
        <w:fldChar w:fldCharType="separate"/>
      </w:r>
      <w:r w:rsidR="00C42658" w:rsidRPr="007613F8">
        <w:rPr>
          <w:rFonts w:ascii="Arial" w:hAnsi="Arial" w:cs="Arial"/>
          <w:szCs w:val="24"/>
        </w:rPr>
        <w:t>(Pohl and Förstl, 2011)</w:t>
      </w:r>
      <w:r w:rsidR="00C42658" w:rsidRPr="00BE2CF3">
        <w:rPr>
          <w:rFonts w:ascii="Arial" w:hAnsi="Arial" w:cs="Arial"/>
          <w:lang w:val="en-GB"/>
        </w:rPr>
        <w:fldChar w:fldCharType="end"/>
      </w:r>
      <w:r w:rsidR="00484FEC" w:rsidRPr="007613F8">
        <w:rPr>
          <w:rFonts w:ascii="Arial" w:hAnsi="Arial" w:cs="Arial"/>
        </w:rPr>
        <w:t xml:space="preserve">, </w:t>
      </w:r>
      <w:r w:rsidR="007613F8" w:rsidRPr="007613F8">
        <w:rPr>
          <w:rFonts w:ascii="Arial" w:hAnsi="Arial" w:cs="Arial"/>
        </w:rPr>
        <w:t>y otras áreas de contribución de valor (por ejemplo, mitigación de riesgos o innovación) pueden ser más cualitativas y difíciles de evaluar.</w:t>
      </w:r>
      <w:r w:rsidR="000A4E4D" w:rsidRPr="007613F8">
        <w:rPr>
          <w:rFonts w:ascii="Arial" w:hAnsi="Arial" w:cs="Arial"/>
        </w:rPr>
        <w:t xml:space="preserve"> </w:t>
      </w:r>
      <w:r w:rsidR="000A4E4D" w:rsidRPr="00BE2CF3">
        <w:rPr>
          <w:rFonts w:ascii="Arial" w:hAnsi="Arial" w:cs="Arial"/>
          <w:lang w:val="en-GB"/>
        </w:rPr>
        <w:fldChar w:fldCharType="begin"/>
      </w:r>
      <w:r w:rsidR="000A4E4D" w:rsidRPr="007613F8">
        <w:rPr>
          <w:rFonts w:ascii="Arial" w:hAnsi="Arial" w:cs="Arial"/>
        </w:rPr>
        <w:instrText xml:space="preserve"> ADDIN ZOTERO_ITEM CSL_CITATION {"citationID":"bi13OGHo","properties":{"formattedCitation":"(van Hoek et al., 2020)","plainCitation":"(van Hoek et al., 2020)","noteIndex":0},"citationItems":[{"id":466,"uris":["http://zotero.org/users/9514289/items/R84YLRKN"],"itemData":{"id":466,"type":"article-journal","abstract":"Procurement is a young field with much potential for further business impact in industry and insight generation through research. In this article four executives from different industries and continents offer their perspective on procurement, purchasing and supply management (PSM) capability development potential and research that can support this. These executives each addressed one of the following important themes and provided candid comment regarding the nexus between academia and practice. (1) Emerging industry 4.0 technologies that can enable new PSM capability development. These technologies should be evaluated in terms of what PSM challenges they can help resolve, not just in terms of how technically promising they may be. (2) PSM talent is key to the realization of new PSM capability and the development of this talent will require executive engagement in creating lifelong learning opportunities for PSM professionals to ensure new competencies and capabilities. (3) Sustainability efforts that are often housed in PSM organizations have much potential to expand these efforts more comprehensively throughout the supply chain and to expand the scope of the eff</w:instrText>
      </w:r>
      <w:r w:rsidR="000A4E4D" w:rsidRPr="006261E4">
        <w:rPr>
          <w:rFonts w:ascii="Arial" w:hAnsi="Arial" w:cs="Arial"/>
        </w:rPr>
        <w:instrText xml:space="preserve">orts. (4) Supplier enabled innovation (SEI) offers a pathway for PSM to meet current business needs with suppliers but also to collaborate with suppliers to create new revenue and customer value. The successful achievement of future PSM capability will require leadership in industry and research to help close the gap between known opportunity areas and actual real-world accomplishment. These executive perspective help us to realize that simplified roadmaps and maturity models underestimate interrelations between these four areas of opportunity and no “single path” currently exists.","container-title":"Journal of Purchasing and Supply Management","DOI":"10.1016/j.pursup.2020.100621","ISSN":"14784092","issue":"3","journalAbbreviation":"Journal of Purchasing and Supply Management","language":"en","page":"100621","source":"DOI.org (Crossref)","title":"Where we are heading and the research that can help us get there – Executive perspectives on the anniversary of the Journal of Purchasing and Supply Management","volume":"26","author":[{"family":"Hoek","given":"Remko","non-dropping-particle":"van"},{"family":"Sankararaman","given":"Vijay"},{"family":"Udesen","given":"Thomas"},{"family":"Geurts","given":"Ton"},{"family":"Palumbo-Miele","given":"Donna"}],"issued":{"date-parts":[["2020",6]]}}}],"schema":"https://github.com/citation-style-language/schema/raw/master/csl-citation.json"} </w:instrText>
      </w:r>
      <w:r w:rsidR="000A4E4D" w:rsidRPr="00BE2CF3">
        <w:rPr>
          <w:rFonts w:ascii="Arial" w:hAnsi="Arial" w:cs="Arial"/>
          <w:lang w:val="en-GB"/>
        </w:rPr>
        <w:fldChar w:fldCharType="separate"/>
      </w:r>
      <w:r w:rsidR="000A4E4D" w:rsidRPr="006261E4">
        <w:rPr>
          <w:rFonts w:ascii="Arial" w:hAnsi="Arial" w:cs="Arial"/>
        </w:rPr>
        <w:t>(van Hoek et al., 2020)</w:t>
      </w:r>
      <w:r w:rsidR="000A4E4D" w:rsidRPr="00BE2CF3">
        <w:rPr>
          <w:rFonts w:ascii="Arial" w:hAnsi="Arial" w:cs="Arial"/>
          <w:lang w:val="en-GB"/>
        </w:rPr>
        <w:fldChar w:fldCharType="end"/>
      </w:r>
      <w:r w:rsidR="000A4E4D" w:rsidRPr="006261E4">
        <w:rPr>
          <w:rFonts w:ascii="Arial" w:hAnsi="Arial" w:cs="Arial"/>
        </w:rPr>
        <w:t>.</w:t>
      </w:r>
      <w:r w:rsidR="00484FEC" w:rsidRPr="006261E4">
        <w:rPr>
          <w:rFonts w:ascii="Arial" w:hAnsi="Arial" w:cs="Arial"/>
        </w:rPr>
        <w:t xml:space="preserve"> </w:t>
      </w:r>
    </w:p>
    <w:p w14:paraId="4A4DA680" w14:textId="2438276A" w:rsidR="0085148E" w:rsidRPr="006261E4" w:rsidRDefault="006261E4" w:rsidP="00705E36">
      <w:pPr>
        <w:ind w:right="140"/>
        <w:rPr>
          <w:rFonts w:ascii="Arial" w:hAnsi="Arial" w:cs="Arial"/>
        </w:rPr>
      </w:pPr>
      <w:r w:rsidRPr="006261E4">
        <w:rPr>
          <w:rFonts w:ascii="Arial" w:hAnsi="Arial" w:cs="Arial"/>
        </w:rPr>
        <w:t xml:space="preserve">Aunque se ha subestimado la creación de valor en PSM, </w:t>
      </w:r>
      <w:r w:rsidR="006340E7">
        <w:rPr>
          <w:rFonts w:ascii="Arial" w:hAnsi="Arial" w:cs="Arial"/>
        </w:rPr>
        <w:t>su</w:t>
      </w:r>
      <w:r w:rsidRPr="006261E4">
        <w:rPr>
          <w:rFonts w:ascii="Arial" w:hAnsi="Arial" w:cs="Arial"/>
        </w:rPr>
        <w:t xml:space="preserve"> posición en la organización </w:t>
      </w:r>
      <w:r w:rsidR="006340E7">
        <w:rPr>
          <w:rFonts w:ascii="Arial" w:hAnsi="Arial" w:cs="Arial"/>
        </w:rPr>
        <w:t xml:space="preserve">le </w:t>
      </w:r>
      <w:r w:rsidRPr="006261E4">
        <w:rPr>
          <w:rFonts w:ascii="Arial" w:hAnsi="Arial" w:cs="Arial"/>
        </w:rPr>
        <w:t>proporciona un “rol natural para combinar el valor creado por varias empresas”</w:t>
      </w:r>
      <w:r w:rsidR="0023285A">
        <w:rPr>
          <w:rFonts w:ascii="Arial" w:hAnsi="Arial" w:cs="Arial"/>
        </w:rPr>
        <w:t xml:space="preserve"> </w:t>
      </w:r>
      <w:r w:rsidR="00E46B82" w:rsidRPr="00BE2CF3">
        <w:rPr>
          <w:rFonts w:ascii="Arial" w:hAnsi="Arial" w:cs="Arial"/>
          <w:lang w:val="en-GB"/>
        </w:rPr>
        <w:fldChar w:fldCharType="begin"/>
      </w:r>
      <w:r w:rsidR="00E46B82" w:rsidRPr="006261E4">
        <w:rPr>
          <w:rFonts w:ascii="Arial" w:hAnsi="Arial" w:cs="Arial"/>
        </w:rPr>
        <w:instrText xml:space="preserve"> ADDIN ZOTERO_ITEM CSL_CITATION {"citationID":"XhabjxNb","properties":{"formattedCitation":"(J\\uc0\\u228{}\\uc0\\u228{}skel\\uc0\\u228{}inen and Heikkil\\uc0\\u228{}, 2019)","plainCitation":"(Jääskeläinen and Heikkilä, 2019)","noteIndex":0},"citationItems":[{"id":1095,"uris":["http://zotero.org/users/9514289/items/GTLQ99M7"],"itemData":{"id":1095,"type":"article-journal","abstract":"Purpose – How do purchasing and supply management (PSM) practices create value for the business customers of a focal company? The purpose of this study is to approach the question by investigating the delivery of value over three tiers in the supply chain, that is, from suppliers to the focal company, and further to the focal company’s customers following value chain logic.","container-title":"Supply Chain Management: An International Journal","DOI":"10.1108/SCM-04-2018-0173","ISSN":"1359-8546","issue":"3","journalAbbreviation":"SCM","language":"en","page":"317-333","source":"DOI.org (Crossref)","title":"Purchasing and supply management practices in customer value creation","volume":"24","author":[{"family":"Jääskeläinen","given":"Aki"},{"family":"Heikkilä","given":"Jussi"}],"issued":{"date-parts":[["2019",5,7]]}}}],"schema":"https://github.com/citation-style-language/schema/raw/master/csl-citation.json"} </w:instrText>
      </w:r>
      <w:r w:rsidR="00E46B82" w:rsidRPr="00BE2CF3">
        <w:rPr>
          <w:rFonts w:ascii="Arial" w:hAnsi="Arial" w:cs="Arial"/>
          <w:lang w:val="en-GB"/>
        </w:rPr>
        <w:fldChar w:fldCharType="separate"/>
      </w:r>
      <w:r w:rsidR="00E46B82" w:rsidRPr="006261E4">
        <w:rPr>
          <w:rFonts w:ascii="Arial" w:hAnsi="Arial" w:cs="Arial"/>
          <w:szCs w:val="24"/>
        </w:rPr>
        <w:t>(Jääskeläinen and Heikkilä, 2019)</w:t>
      </w:r>
      <w:r w:rsidR="00E46B82" w:rsidRPr="00BE2CF3">
        <w:rPr>
          <w:rFonts w:ascii="Arial" w:hAnsi="Arial" w:cs="Arial"/>
          <w:lang w:val="en-GB"/>
        </w:rPr>
        <w:fldChar w:fldCharType="end"/>
      </w:r>
      <w:r w:rsidR="00484FEC" w:rsidRPr="006261E4">
        <w:rPr>
          <w:rFonts w:ascii="Arial" w:hAnsi="Arial" w:cs="Arial"/>
        </w:rPr>
        <w:t xml:space="preserve">, </w:t>
      </w:r>
      <w:r w:rsidR="003A6C6B" w:rsidRPr="003A6C6B">
        <w:rPr>
          <w:rFonts w:ascii="Arial" w:hAnsi="Arial" w:cs="Arial"/>
        </w:rPr>
        <w:t>actuando como puente entre fronteras, tanto interna como externamente</w:t>
      </w:r>
      <w:r w:rsidR="00C05449" w:rsidRPr="006261E4">
        <w:rPr>
          <w:rFonts w:ascii="Arial" w:hAnsi="Arial" w:cs="Arial"/>
        </w:rPr>
        <w:t xml:space="preserve"> </w:t>
      </w:r>
      <w:r w:rsidR="00C05449" w:rsidRPr="00BE2CF3">
        <w:rPr>
          <w:rFonts w:ascii="Arial" w:hAnsi="Arial" w:cs="Arial"/>
          <w:lang w:val="en-GB"/>
        </w:rPr>
        <w:fldChar w:fldCharType="begin"/>
      </w:r>
      <w:r w:rsidR="00C05449" w:rsidRPr="006261E4">
        <w:rPr>
          <w:rFonts w:ascii="Arial" w:hAnsi="Arial" w:cs="Arial"/>
        </w:rPr>
        <w:instrText xml:space="preserve"> ADDIN ZOTERO_ITEM CSL_CITATION {"citationID":"5M2rEFdk","properties":{"formattedCitation":"(Ellram et al., 2020b)","plainCitation":"(Ellram et al., 2020b)","noteIndex":0},"citationItems":[{"id":1074,"uris":["http://zotero.org/users/9514289/items/QC7TWSAA"],"itemData":{"id":1074,"type":"article-journal","container-title":"Journal of Supply Chain Management","DOI":"10.1111/jscm.12217","ISSN":"1523-2409, 1745-493X","issue":"1","journalAbbreviation":"J Supply Chain Manag","language":"en","page":"3-32","source":"DOI.org (Crossref)","title":"The Conflicted Role of Purchasing in New Product Development Costing","volume":"56","author":[{"family":"Ellram","given":"Lisa M."},{"family":"Tate","given":"Wendy L."},{"family":"Choi","given":"Thomas Y."}],"issued":{"date-parts":[["2020",1]]}}}],"schema":"https://github.com/citation-style-language/schema/raw/master/csl-citation.json"} </w:instrText>
      </w:r>
      <w:r w:rsidR="00C05449" w:rsidRPr="00BE2CF3">
        <w:rPr>
          <w:rFonts w:ascii="Arial" w:hAnsi="Arial" w:cs="Arial"/>
          <w:lang w:val="en-GB"/>
        </w:rPr>
        <w:fldChar w:fldCharType="separate"/>
      </w:r>
      <w:r w:rsidR="00C05449" w:rsidRPr="006261E4">
        <w:rPr>
          <w:rFonts w:ascii="Arial" w:hAnsi="Arial" w:cs="Arial"/>
        </w:rPr>
        <w:t>(Ellram et al., 2020b)</w:t>
      </w:r>
      <w:r w:rsidR="00C05449" w:rsidRPr="00BE2CF3">
        <w:rPr>
          <w:rFonts w:ascii="Arial" w:hAnsi="Arial" w:cs="Arial"/>
          <w:lang w:val="en-GB"/>
        </w:rPr>
        <w:fldChar w:fldCharType="end"/>
      </w:r>
      <w:r w:rsidR="00484FEC" w:rsidRPr="006261E4">
        <w:rPr>
          <w:rFonts w:ascii="Arial" w:hAnsi="Arial" w:cs="Arial"/>
        </w:rPr>
        <w:t>.</w:t>
      </w:r>
      <w:r w:rsidR="00EB6683">
        <w:rPr>
          <w:rFonts w:ascii="Arial" w:hAnsi="Arial" w:cs="Arial"/>
        </w:rPr>
        <w:t xml:space="preserve"> </w:t>
      </w:r>
      <w:r w:rsidR="00FF5372">
        <w:rPr>
          <w:rFonts w:ascii="Arial" w:hAnsi="Arial" w:cs="Arial"/>
        </w:rPr>
        <w:t xml:space="preserve">Y </w:t>
      </w:r>
      <w:r w:rsidR="00755A9F">
        <w:rPr>
          <w:rFonts w:ascii="Arial" w:hAnsi="Arial" w:cs="Arial"/>
        </w:rPr>
        <w:t xml:space="preserve">este carácter transversal </w:t>
      </w:r>
      <w:r w:rsidR="00BD7683">
        <w:rPr>
          <w:rFonts w:ascii="Arial" w:hAnsi="Arial" w:cs="Arial"/>
        </w:rPr>
        <w:t xml:space="preserve">de la actividad de compras </w:t>
      </w:r>
      <w:r w:rsidR="00755A9F">
        <w:rPr>
          <w:rFonts w:ascii="Arial" w:hAnsi="Arial" w:cs="Arial"/>
        </w:rPr>
        <w:t xml:space="preserve">en la empresa hace que la gestión de los grupos de interés dentro y fuera de la empresa </w:t>
      </w:r>
      <w:r w:rsidR="00E11E71">
        <w:rPr>
          <w:rFonts w:ascii="Arial" w:hAnsi="Arial" w:cs="Arial"/>
        </w:rPr>
        <w:t xml:space="preserve">sea crítico para </w:t>
      </w:r>
      <w:r w:rsidR="00111AD0">
        <w:rPr>
          <w:rFonts w:ascii="Arial" w:hAnsi="Arial" w:cs="Arial"/>
        </w:rPr>
        <w:t>su</w:t>
      </w:r>
      <w:r w:rsidR="004A4D66">
        <w:rPr>
          <w:rFonts w:ascii="Arial" w:hAnsi="Arial" w:cs="Arial"/>
        </w:rPr>
        <w:t xml:space="preserve"> aportación de valor. </w:t>
      </w:r>
    </w:p>
    <w:p w14:paraId="537EF63B" w14:textId="5CA65D60" w:rsidR="0044102F" w:rsidRPr="00BB3924" w:rsidRDefault="00BE13B3" w:rsidP="00705E36">
      <w:pPr>
        <w:ind w:right="140"/>
        <w:rPr>
          <w:rFonts w:ascii="Arial" w:hAnsi="Arial" w:cs="Arial"/>
        </w:rPr>
      </w:pPr>
      <w:r w:rsidRPr="00BE13B3">
        <w:rPr>
          <w:rFonts w:ascii="Arial" w:hAnsi="Arial" w:cs="Arial"/>
        </w:rPr>
        <w:t>Y esto también es válido para las cuestiones de sostenibilidad, que adquieren cada vez más importancia en la cadena de valor y ya no pueden considerarse una moda pasajera: la gestión de compras y de la cadena de suministro es una palanca potente hacia un comportamiento sostenible en la cadena de suministro, siempre que la sostenibilidad sea una parte integral de la estrategia, los procesos y las funciones de la organización. Las compras tradicionales y las compras sostenibles son diferentes, pero estas últimas no pueden aislarse con un conjunto de tareas diferenciadas, sino que la sostenibilidad debe integrarse en todos los procesos de compras.</w:t>
      </w:r>
      <w:r w:rsidR="0044102F" w:rsidRPr="00BE13B3">
        <w:rPr>
          <w:rFonts w:ascii="Arial" w:hAnsi="Arial" w:cs="Arial"/>
        </w:rPr>
        <w:t xml:space="preserve"> </w:t>
      </w:r>
      <w:r w:rsidR="0044102F" w:rsidRPr="00BB3924">
        <w:rPr>
          <w:rFonts w:ascii="Arial" w:hAnsi="Arial" w:cs="Arial"/>
        </w:rPr>
        <w:t>(Johnsen et al., 2018).</w:t>
      </w:r>
    </w:p>
    <w:p w14:paraId="2434CB25" w14:textId="3737B0D2" w:rsidR="00DD774B" w:rsidRPr="007E21C6" w:rsidRDefault="007E21C6" w:rsidP="00705E36">
      <w:pPr>
        <w:widowControl w:val="0"/>
        <w:suppressAutoHyphens/>
        <w:ind w:right="140"/>
        <w:rPr>
          <w:rFonts w:ascii="Arial" w:hAnsi="Arial" w:cs="Arial"/>
        </w:rPr>
      </w:pPr>
      <w:r w:rsidRPr="007E21C6">
        <w:rPr>
          <w:rFonts w:ascii="Arial" w:hAnsi="Arial" w:cs="Arial"/>
        </w:rPr>
        <w:t>Para centrar estos temas en esta investigación surgen dos preguntas:</w:t>
      </w:r>
    </w:p>
    <w:p w14:paraId="523A7F63" w14:textId="3DA6429F" w:rsidR="00397B37" w:rsidRPr="00F87E03" w:rsidRDefault="003A0244" w:rsidP="00705E36">
      <w:pPr>
        <w:ind w:left="708" w:right="140" w:hanging="708"/>
        <w:rPr>
          <w:rFonts w:ascii="Arial" w:hAnsi="Arial" w:cs="Arial"/>
        </w:rPr>
      </w:pPr>
      <w:bookmarkStart w:id="2" w:name="_Hlk131397722"/>
      <w:r w:rsidRPr="00F87E03">
        <w:rPr>
          <w:rFonts w:ascii="Arial" w:hAnsi="Arial" w:cs="Arial"/>
        </w:rPr>
        <w:t>RQ1</w:t>
      </w:r>
      <w:r w:rsidR="00CA4CBB" w:rsidRPr="00F87E03">
        <w:rPr>
          <w:rFonts w:ascii="Arial" w:hAnsi="Arial" w:cs="Arial"/>
        </w:rPr>
        <w:t>.-</w:t>
      </w:r>
      <w:r w:rsidR="00CA4CBB" w:rsidRPr="00F87E03">
        <w:rPr>
          <w:rFonts w:ascii="Arial" w:hAnsi="Arial" w:cs="Arial"/>
        </w:rPr>
        <w:tab/>
      </w:r>
      <w:r w:rsidR="00F87E03" w:rsidRPr="00F87E03">
        <w:rPr>
          <w:rFonts w:ascii="Arial" w:hAnsi="Arial" w:cs="Arial"/>
        </w:rPr>
        <w:t>¿Cómo influye la madurez de la función PSM dentro de las empresas en la generación de ahorro?</w:t>
      </w:r>
    </w:p>
    <w:p w14:paraId="4F67D080" w14:textId="5B8FCDA6" w:rsidR="00B31C07" w:rsidRPr="008E7139" w:rsidRDefault="00CA4CBB" w:rsidP="00705E36">
      <w:pPr>
        <w:ind w:right="140"/>
        <w:rPr>
          <w:rFonts w:ascii="Arial" w:hAnsi="Arial" w:cs="Arial"/>
        </w:rPr>
      </w:pPr>
      <w:r w:rsidRPr="008E7139">
        <w:rPr>
          <w:rFonts w:ascii="Arial" w:hAnsi="Arial" w:cs="Arial"/>
        </w:rPr>
        <w:t>RQ2.-</w:t>
      </w:r>
      <w:r w:rsidRPr="008E7139">
        <w:rPr>
          <w:rFonts w:ascii="Arial" w:hAnsi="Arial" w:cs="Arial"/>
        </w:rPr>
        <w:tab/>
      </w:r>
      <w:r w:rsidR="008E7139" w:rsidRPr="008E7139">
        <w:rPr>
          <w:rFonts w:ascii="Arial" w:hAnsi="Arial" w:cs="Arial"/>
        </w:rPr>
        <w:t>¿Tienen estos ahorros efecto</w:t>
      </w:r>
      <w:r w:rsidR="00B125B6">
        <w:rPr>
          <w:rFonts w:ascii="Arial" w:hAnsi="Arial" w:cs="Arial"/>
        </w:rPr>
        <w:t>s</w:t>
      </w:r>
      <w:r w:rsidR="008E7139" w:rsidRPr="008E7139">
        <w:rPr>
          <w:rFonts w:ascii="Arial" w:hAnsi="Arial" w:cs="Arial"/>
        </w:rPr>
        <w:t xml:space="preserve"> positivo</w:t>
      </w:r>
      <w:r w:rsidR="00B125B6">
        <w:rPr>
          <w:rFonts w:ascii="Arial" w:hAnsi="Arial" w:cs="Arial"/>
        </w:rPr>
        <w:t>s</w:t>
      </w:r>
      <w:r w:rsidR="008E7139" w:rsidRPr="008E7139">
        <w:rPr>
          <w:rFonts w:ascii="Arial" w:hAnsi="Arial" w:cs="Arial"/>
        </w:rPr>
        <w:t xml:space="preserve"> sobre las cuestiones medioambientales</w:t>
      </w:r>
      <w:r w:rsidR="00A51DB8">
        <w:rPr>
          <w:rFonts w:ascii="Arial" w:hAnsi="Arial" w:cs="Arial"/>
        </w:rPr>
        <w:t xml:space="preserve"> y de sostenibilidad</w:t>
      </w:r>
      <w:r w:rsidR="008E7139" w:rsidRPr="008E7139">
        <w:rPr>
          <w:rFonts w:ascii="Arial" w:hAnsi="Arial" w:cs="Arial"/>
        </w:rPr>
        <w:t>?</w:t>
      </w:r>
    </w:p>
    <w:bookmarkEnd w:id="2"/>
    <w:p w14:paraId="04EAF915" w14:textId="698E9A91" w:rsidR="004749C0" w:rsidRPr="00652F23" w:rsidRDefault="00324061" w:rsidP="00705E36">
      <w:pPr>
        <w:ind w:right="140"/>
        <w:rPr>
          <w:rFonts w:ascii="Arial" w:hAnsi="Arial" w:cs="Arial"/>
        </w:rPr>
      </w:pPr>
      <w:r w:rsidRPr="00324061">
        <w:rPr>
          <w:rFonts w:ascii="Arial" w:hAnsi="Arial" w:cs="Arial"/>
        </w:rPr>
        <w:t>El aporte que se busca con este artículo está relacionado con el Costo Total de Propiedad</w:t>
      </w:r>
      <w:r w:rsidR="00CF5F36">
        <w:rPr>
          <w:rFonts w:ascii="Arial" w:hAnsi="Arial" w:cs="Arial"/>
        </w:rPr>
        <w:t>,</w:t>
      </w:r>
      <w:r w:rsidR="0038427B">
        <w:rPr>
          <w:rFonts w:ascii="Arial" w:hAnsi="Arial" w:cs="Arial"/>
        </w:rPr>
        <w:t xml:space="preserve"> por sus siglas en inglés</w:t>
      </w:r>
      <w:r w:rsidRPr="00324061">
        <w:rPr>
          <w:rFonts w:ascii="Arial" w:hAnsi="Arial" w:cs="Arial"/>
        </w:rPr>
        <w:t xml:space="preserve"> (TCO), donde hay un cost</w:t>
      </w:r>
      <w:r w:rsidR="00B5186B">
        <w:rPr>
          <w:rFonts w:ascii="Arial" w:hAnsi="Arial" w:cs="Arial"/>
        </w:rPr>
        <w:t>e</w:t>
      </w:r>
      <w:r w:rsidRPr="00324061">
        <w:rPr>
          <w:rFonts w:ascii="Arial" w:hAnsi="Arial" w:cs="Arial"/>
        </w:rPr>
        <w:t xml:space="preserve"> hay una oportunidad de generar ahorros.</w:t>
      </w:r>
      <w:r w:rsidR="006F2B69" w:rsidRPr="00324061">
        <w:rPr>
          <w:rFonts w:ascii="Arial" w:hAnsi="Arial" w:cs="Arial"/>
        </w:rPr>
        <w:t xml:space="preserve"> </w:t>
      </w:r>
      <w:r w:rsidR="00715B4D">
        <w:rPr>
          <w:rFonts w:ascii="Arial" w:hAnsi="Arial" w:cs="Arial"/>
        </w:rPr>
        <w:t>Y d</w:t>
      </w:r>
      <w:r w:rsidR="009E4C0B" w:rsidRPr="009E4C0B">
        <w:rPr>
          <w:rFonts w:ascii="Arial" w:hAnsi="Arial" w:cs="Arial"/>
        </w:rPr>
        <w:t xml:space="preserve">etrás de cada nueva responsabilidad adquirida </w:t>
      </w:r>
      <w:r w:rsidR="009E4C0B">
        <w:rPr>
          <w:rFonts w:ascii="Arial" w:hAnsi="Arial" w:cs="Arial"/>
        </w:rPr>
        <w:t xml:space="preserve">con </w:t>
      </w:r>
      <w:r w:rsidR="009E4C0B" w:rsidRPr="009E4C0B">
        <w:rPr>
          <w:rFonts w:ascii="Arial" w:hAnsi="Arial" w:cs="Arial"/>
        </w:rPr>
        <w:t xml:space="preserve">la evolución de la función PSM, hay nuevas oportunidades para generar ahorros, pero estos deben ser fácilmente medibles y </w:t>
      </w:r>
      <w:r w:rsidR="009E4C0B">
        <w:rPr>
          <w:rFonts w:ascii="Arial" w:hAnsi="Arial" w:cs="Arial"/>
        </w:rPr>
        <w:t>fiables</w:t>
      </w:r>
      <w:r w:rsidR="006B749D" w:rsidRPr="009E4C0B">
        <w:rPr>
          <w:rFonts w:ascii="Arial" w:hAnsi="Arial" w:cs="Arial"/>
        </w:rPr>
        <w:t>.</w:t>
      </w:r>
      <w:r w:rsidR="00723385" w:rsidRPr="009E4C0B">
        <w:rPr>
          <w:rFonts w:ascii="Arial" w:hAnsi="Arial" w:cs="Arial"/>
        </w:rPr>
        <w:t xml:space="preserve"> </w:t>
      </w:r>
      <w:r w:rsidR="0041572C">
        <w:rPr>
          <w:rFonts w:ascii="Arial" w:hAnsi="Arial" w:cs="Arial"/>
        </w:rPr>
        <w:t>Lo que</w:t>
      </w:r>
      <w:r w:rsidR="00652F23" w:rsidRPr="00652F23">
        <w:rPr>
          <w:rFonts w:ascii="Arial" w:hAnsi="Arial" w:cs="Arial"/>
        </w:rPr>
        <w:t xml:space="preserve"> plantea interrogantes sobre la calidad de los datos disponibles en las empresas, </w:t>
      </w:r>
      <w:r w:rsidR="00AA4F6E">
        <w:rPr>
          <w:rFonts w:ascii="Arial" w:hAnsi="Arial" w:cs="Arial"/>
        </w:rPr>
        <w:t xml:space="preserve">que son </w:t>
      </w:r>
      <w:r w:rsidR="00652F23" w:rsidRPr="00652F23">
        <w:rPr>
          <w:rFonts w:ascii="Arial" w:hAnsi="Arial" w:cs="Arial"/>
        </w:rPr>
        <w:t>fundamenta</w:t>
      </w:r>
      <w:r w:rsidR="00AA4F6E">
        <w:rPr>
          <w:rFonts w:ascii="Arial" w:hAnsi="Arial" w:cs="Arial"/>
        </w:rPr>
        <w:t>les</w:t>
      </w:r>
      <w:r w:rsidR="00652F23" w:rsidRPr="00652F23">
        <w:rPr>
          <w:rFonts w:ascii="Arial" w:hAnsi="Arial" w:cs="Arial"/>
        </w:rPr>
        <w:t xml:space="preserve"> para poder demostrar est</w:t>
      </w:r>
      <w:r w:rsidR="00A73595">
        <w:rPr>
          <w:rFonts w:ascii="Arial" w:hAnsi="Arial" w:cs="Arial"/>
        </w:rPr>
        <w:t>a</w:t>
      </w:r>
      <w:r w:rsidR="00652F23" w:rsidRPr="00652F23">
        <w:rPr>
          <w:rFonts w:ascii="Arial" w:hAnsi="Arial" w:cs="Arial"/>
        </w:rPr>
        <w:t>s</w:t>
      </w:r>
      <w:r w:rsidR="00A73595">
        <w:rPr>
          <w:rFonts w:ascii="Arial" w:hAnsi="Arial" w:cs="Arial"/>
        </w:rPr>
        <w:t xml:space="preserve"> eficiencias y </w:t>
      </w:r>
      <w:r w:rsidR="00652F23" w:rsidRPr="00652F23">
        <w:rPr>
          <w:rFonts w:ascii="Arial" w:hAnsi="Arial" w:cs="Arial"/>
        </w:rPr>
        <w:t xml:space="preserve">tipos de ahorros </w:t>
      </w:r>
      <w:r w:rsidR="005C7141">
        <w:rPr>
          <w:rFonts w:ascii="Arial" w:hAnsi="Arial" w:cs="Arial"/>
        </w:rPr>
        <w:t>más</w:t>
      </w:r>
      <w:r w:rsidR="00B05399">
        <w:rPr>
          <w:rFonts w:ascii="Arial" w:hAnsi="Arial" w:cs="Arial"/>
        </w:rPr>
        <w:t xml:space="preserve"> complejos</w:t>
      </w:r>
      <w:r w:rsidR="00810C91">
        <w:rPr>
          <w:rFonts w:ascii="Arial" w:hAnsi="Arial" w:cs="Arial"/>
        </w:rPr>
        <w:t xml:space="preserve"> </w:t>
      </w:r>
      <w:r w:rsidR="00652F23" w:rsidRPr="00652F23">
        <w:rPr>
          <w:rFonts w:ascii="Arial" w:hAnsi="Arial" w:cs="Arial"/>
        </w:rPr>
        <w:t>generad</w:t>
      </w:r>
      <w:r w:rsidR="00A73595">
        <w:rPr>
          <w:rFonts w:ascii="Arial" w:hAnsi="Arial" w:cs="Arial"/>
        </w:rPr>
        <w:t>o</w:t>
      </w:r>
      <w:r w:rsidR="00652F23" w:rsidRPr="00652F23">
        <w:rPr>
          <w:rFonts w:ascii="Arial" w:hAnsi="Arial" w:cs="Arial"/>
        </w:rPr>
        <w:t>s. Por ello, digitalizar las actividades de PSM es clave para poder crear una propuesta de valor creíble para la función.</w:t>
      </w:r>
    </w:p>
    <w:p w14:paraId="33C6959B" w14:textId="77777777" w:rsidR="000D4261" w:rsidRPr="00652F23" w:rsidRDefault="000D4261" w:rsidP="00705E36">
      <w:pPr>
        <w:ind w:right="140"/>
        <w:rPr>
          <w:rFonts w:ascii="Arial" w:hAnsi="Arial" w:cs="Arial"/>
        </w:rPr>
      </w:pPr>
    </w:p>
    <w:p w14:paraId="6ECBDD70" w14:textId="49184EB0" w:rsidR="00B66D72" w:rsidRPr="00BE2CF3" w:rsidRDefault="008D4D72" w:rsidP="00705E36">
      <w:pPr>
        <w:pStyle w:val="Heading1"/>
        <w:numPr>
          <w:ilvl w:val="0"/>
          <w:numId w:val="1"/>
        </w:numPr>
        <w:ind w:right="140"/>
        <w:rPr>
          <w:rFonts w:ascii="Arial" w:hAnsi="Arial" w:cs="Arial"/>
          <w:lang w:val="en-GB"/>
        </w:rPr>
      </w:pPr>
      <w:bookmarkStart w:id="3" w:name="_Toc183376712"/>
      <w:r>
        <w:rPr>
          <w:rFonts w:ascii="Arial" w:hAnsi="Arial" w:cs="Arial"/>
          <w:lang w:val="en-GB"/>
        </w:rPr>
        <w:t>Antecedentes teóricos</w:t>
      </w:r>
      <w:bookmarkEnd w:id="3"/>
    </w:p>
    <w:p w14:paraId="64976704" w14:textId="77777777" w:rsidR="00806456" w:rsidRDefault="00806456" w:rsidP="00705E36">
      <w:pPr>
        <w:ind w:right="140"/>
        <w:rPr>
          <w:rFonts w:ascii="Arial" w:hAnsi="Arial" w:cs="Arial"/>
          <w:lang w:val="en-GB"/>
        </w:rPr>
      </w:pPr>
    </w:p>
    <w:p w14:paraId="09E28AEA" w14:textId="3837574B" w:rsidR="00E92510" w:rsidRPr="00680CA2" w:rsidRDefault="00680CA2" w:rsidP="00705E36">
      <w:pPr>
        <w:ind w:right="140"/>
        <w:rPr>
          <w:rFonts w:ascii="Arial" w:hAnsi="Arial" w:cs="Arial"/>
        </w:rPr>
      </w:pPr>
      <w:r w:rsidRPr="00680CA2">
        <w:rPr>
          <w:rFonts w:ascii="Arial" w:hAnsi="Arial" w:cs="Arial"/>
        </w:rPr>
        <w:t>Dentro del marco teórico se introduce primero una revisión de la literatura y luego una breve explicación de términos y definiciones que ayudan en la comprensión de este trabajo.</w:t>
      </w:r>
    </w:p>
    <w:p w14:paraId="39227607" w14:textId="77777777" w:rsidR="00D47D9C" w:rsidRPr="00680CA2" w:rsidRDefault="00D47D9C" w:rsidP="00705E36">
      <w:pPr>
        <w:ind w:right="140"/>
        <w:rPr>
          <w:rFonts w:ascii="Arial" w:hAnsi="Arial" w:cs="Arial"/>
        </w:rPr>
      </w:pPr>
    </w:p>
    <w:p w14:paraId="0A2B4715" w14:textId="2E7FB8E6" w:rsidR="00806456" w:rsidRPr="006F35A6" w:rsidRDefault="00A96E1D" w:rsidP="00705E36">
      <w:pPr>
        <w:pStyle w:val="Heading2"/>
        <w:numPr>
          <w:ilvl w:val="1"/>
          <w:numId w:val="1"/>
        </w:numPr>
        <w:ind w:right="140"/>
        <w:rPr>
          <w:rFonts w:ascii="Arial" w:hAnsi="Arial" w:cs="Arial"/>
          <w:lang w:val="en-GB"/>
        </w:rPr>
      </w:pPr>
      <w:bookmarkStart w:id="4" w:name="_Toc183376713"/>
      <w:r w:rsidRPr="006F35A6">
        <w:rPr>
          <w:rFonts w:ascii="Arial" w:hAnsi="Arial" w:cs="Arial"/>
          <w:lang w:val="en-GB"/>
        </w:rPr>
        <w:t>Revisión de la literatura</w:t>
      </w:r>
      <w:bookmarkEnd w:id="4"/>
    </w:p>
    <w:p w14:paraId="5B547D28" w14:textId="77777777" w:rsidR="00806456" w:rsidRPr="00BE2CF3" w:rsidRDefault="00806456" w:rsidP="00705E36">
      <w:pPr>
        <w:ind w:right="140"/>
        <w:rPr>
          <w:rFonts w:ascii="Arial" w:hAnsi="Arial" w:cs="Arial"/>
          <w:lang w:val="en-GB"/>
        </w:rPr>
      </w:pPr>
    </w:p>
    <w:p w14:paraId="4A432C44" w14:textId="1582F0F5" w:rsidR="005E559A" w:rsidRPr="00C415E7" w:rsidRDefault="006F4B62" w:rsidP="00705E36">
      <w:pPr>
        <w:ind w:right="140"/>
        <w:rPr>
          <w:rFonts w:ascii="Arial" w:hAnsi="Arial" w:cs="Arial"/>
        </w:rPr>
      </w:pPr>
      <w:r w:rsidRPr="006F4B62">
        <w:rPr>
          <w:rFonts w:ascii="Arial" w:hAnsi="Arial" w:cs="Arial"/>
        </w:rPr>
        <w:t xml:space="preserve">La base teórica de </w:t>
      </w:r>
      <w:r w:rsidR="003D1711">
        <w:rPr>
          <w:rFonts w:ascii="Arial" w:hAnsi="Arial" w:cs="Arial"/>
        </w:rPr>
        <w:t xml:space="preserve">este trabajo </w:t>
      </w:r>
      <w:r w:rsidRPr="006F4B62">
        <w:rPr>
          <w:rFonts w:ascii="Arial" w:hAnsi="Arial" w:cs="Arial"/>
        </w:rPr>
        <w:t xml:space="preserve">es la </w:t>
      </w:r>
      <w:r w:rsidR="00356B60">
        <w:rPr>
          <w:rFonts w:ascii="Arial" w:hAnsi="Arial" w:cs="Arial"/>
        </w:rPr>
        <w:t>t</w:t>
      </w:r>
      <w:r w:rsidRPr="006F4B62">
        <w:rPr>
          <w:rFonts w:ascii="Arial" w:hAnsi="Arial" w:cs="Arial"/>
        </w:rPr>
        <w:t>eoría de lo</w:t>
      </w:r>
      <w:r>
        <w:rPr>
          <w:rFonts w:ascii="Arial" w:hAnsi="Arial" w:cs="Arial"/>
        </w:rPr>
        <w:t>s grupos de interés</w:t>
      </w:r>
      <w:r w:rsidR="00356B60">
        <w:rPr>
          <w:rFonts w:ascii="Arial" w:hAnsi="Arial" w:cs="Arial"/>
        </w:rPr>
        <w:t xml:space="preserve"> en inglés “</w:t>
      </w:r>
      <w:r w:rsidRPr="006F4B62">
        <w:rPr>
          <w:rFonts w:ascii="Arial" w:hAnsi="Arial" w:cs="Arial"/>
        </w:rPr>
        <w:t>Stakeholders</w:t>
      </w:r>
      <w:r w:rsidR="00356B60">
        <w:rPr>
          <w:rFonts w:ascii="Arial" w:hAnsi="Arial" w:cs="Arial"/>
        </w:rPr>
        <w:t xml:space="preserve"> Theory”</w:t>
      </w:r>
      <w:r w:rsidRPr="006F4B62">
        <w:rPr>
          <w:rFonts w:ascii="Arial" w:hAnsi="Arial" w:cs="Arial"/>
        </w:rPr>
        <w:t xml:space="preserve"> (SHT) </w:t>
      </w:r>
      <w:r w:rsidR="003D1711">
        <w:rPr>
          <w:rFonts w:ascii="Arial" w:hAnsi="Arial" w:cs="Arial"/>
        </w:rPr>
        <w:t xml:space="preserve">que sirve </w:t>
      </w:r>
      <w:r w:rsidRPr="006F4B62">
        <w:rPr>
          <w:rFonts w:ascii="Arial" w:hAnsi="Arial" w:cs="Arial"/>
        </w:rPr>
        <w:t xml:space="preserve">como marco para </w:t>
      </w:r>
      <w:r w:rsidR="00436C22">
        <w:rPr>
          <w:rFonts w:ascii="Arial" w:hAnsi="Arial" w:cs="Arial"/>
        </w:rPr>
        <w:t xml:space="preserve">el enfoque de la investigación y para </w:t>
      </w:r>
      <w:r w:rsidRPr="006F4B62">
        <w:rPr>
          <w:rFonts w:ascii="Arial" w:hAnsi="Arial" w:cs="Arial"/>
        </w:rPr>
        <w:t xml:space="preserve">la interpretación de los </w:t>
      </w:r>
      <w:r w:rsidR="003D1711">
        <w:rPr>
          <w:rFonts w:ascii="Arial" w:hAnsi="Arial" w:cs="Arial"/>
        </w:rPr>
        <w:t>resultados</w:t>
      </w:r>
      <w:r w:rsidRPr="006F4B62">
        <w:rPr>
          <w:rFonts w:ascii="Arial" w:hAnsi="Arial" w:cs="Arial"/>
        </w:rPr>
        <w:t xml:space="preserve">. </w:t>
      </w:r>
      <w:r w:rsidR="00436C22">
        <w:rPr>
          <w:rFonts w:ascii="Arial" w:hAnsi="Arial" w:cs="Arial"/>
        </w:rPr>
        <w:t>Por otro lado</w:t>
      </w:r>
      <w:r w:rsidRPr="006F4B62">
        <w:rPr>
          <w:rFonts w:ascii="Arial" w:hAnsi="Arial" w:cs="Arial"/>
        </w:rPr>
        <w:t xml:space="preserve">, </w:t>
      </w:r>
      <w:r w:rsidR="00393771">
        <w:rPr>
          <w:rFonts w:ascii="Arial" w:hAnsi="Arial" w:cs="Arial"/>
        </w:rPr>
        <w:t xml:space="preserve">se utilizan los modelos conceptuales </w:t>
      </w:r>
      <w:r w:rsidR="00C96D6E">
        <w:rPr>
          <w:rFonts w:ascii="Arial" w:hAnsi="Arial" w:cs="Arial"/>
        </w:rPr>
        <w:t xml:space="preserve">para relacionar la </w:t>
      </w:r>
      <w:r w:rsidR="00393771">
        <w:rPr>
          <w:rFonts w:ascii="Arial" w:hAnsi="Arial" w:cs="Arial"/>
        </w:rPr>
        <w:t xml:space="preserve">madurez </w:t>
      </w:r>
      <w:r w:rsidR="00C96D6E">
        <w:rPr>
          <w:rFonts w:ascii="Arial" w:hAnsi="Arial" w:cs="Arial"/>
        </w:rPr>
        <w:t>con los ahorros</w:t>
      </w:r>
      <w:r w:rsidR="00756119">
        <w:rPr>
          <w:rFonts w:ascii="Arial" w:hAnsi="Arial" w:cs="Arial"/>
        </w:rPr>
        <w:t xml:space="preserve">, </w:t>
      </w:r>
      <w:r w:rsidR="00DF290A">
        <w:rPr>
          <w:rFonts w:ascii="Arial" w:hAnsi="Arial" w:cs="Arial"/>
        </w:rPr>
        <w:t>de lo</w:t>
      </w:r>
      <w:r w:rsidRPr="006F4B62">
        <w:rPr>
          <w:rFonts w:ascii="Arial" w:hAnsi="Arial" w:cs="Arial"/>
        </w:rPr>
        <w:t xml:space="preserve">s </w:t>
      </w:r>
      <w:r w:rsidR="00C415E7">
        <w:rPr>
          <w:rFonts w:ascii="Arial" w:hAnsi="Arial" w:cs="Arial"/>
        </w:rPr>
        <w:t>trabajos</w:t>
      </w:r>
      <w:r w:rsidR="00B5515B" w:rsidRPr="006F4B62">
        <w:rPr>
          <w:rFonts w:ascii="Arial" w:hAnsi="Arial" w:cs="Arial"/>
        </w:rPr>
        <w:t xml:space="preserve"> </w:t>
      </w:r>
      <w:r w:rsidR="005C2129">
        <w:rPr>
          <w:rFonts w:ascii="Arial" w:hAnsi="Arial" w:cs="Arial"/>
        </w:rPr>
        <w:t xml:space="preserve">de </w:t>
      </w:r>
      <w:r w:rsidR="00022D46">
        <w:rPr>
          <w:rFonts w:ascii="Arial" w:hAnsi="Arial" w:cs="Arial"/>
          <w:lang w:val="en-GB"/>
        </w:rPr>
        <w:fldChar w:fldCharType="begin"/>
      </w:r>
      <w:r w:rsidR="00D95879" w:rsidRPr="006F4B62">
        <w:rPr>
          <w:rFonts w:ascii="Arial" w:hAnsi="Arial" w:cs="Arial"/>
        </w:rPr>
        <w:instrText xml:space="preserve"> ADDIN ZOTERO_ITEM CSL_CITATION {"citationID":"sCWejvyj","properties":{"unsorted":true,"formattedCitation":"(\\uc0\\u218{}beda et al., 2015; Schiele, 2007)","plainCitation":"(Úbeda et al., 2015; Schiele, 2007)","noteIndex":0},"citationItems":[{"id":675,"uris":["http://zotero.org/users/9514289/items/A7PTSIAL"],"itemData":{"id":675,"type":"article-journal","abstract":"Latin American countries show a lack of productivity and innovation compared with OECD economies. Business networks constitute a tool to improve this situation, and purchasing can help organizations create business networks with suppliers, as purchasing has evolved from a support function to a key strategic tool for organizations. Purchasing maturity models re</w:instrText>
      </w:r>
      <w:r w:rsidR="00D95879">
        <w:rPr>
          <w:rFonts w:ascii="Arial" w:hAnsi="Arial" w:cs="Arial"/>
          <w:lang w:val="en-GB"/>
        </w:rPr>
        <w:instrText>ﬂ</w:instrText>
      </w:r>
      <w:r w:rsidR="00D95879" w:rsidRPr="006F4B62">
        <w:rPr>
          <w:rFonts w:ascii="Arial" w:hAnsi="Arial" w:cs="Arial"/>
        </w:rPr>
        <w:instrText xml:space="preserve">ect this evolution. As their level of purchasing maturity increases, organizations experience increased performance. Unfortunately, however, current models do not specify the purchasing tools and methodologies that </w:instrText>
      </w:r>
      <w:r w:rsidR="00D95879">
        <w:rPr>
          <w:rFonts w:ascii="Arial" w:hAnsi="Arial" w:cs="Arial"/>
          <w:lang w:val="en-GB"/>
        </w:rPr>
        <w:instrText>ﬁ</w:instrText>
      </w:r>
      <w:r w:rsidR="00D95879" w:rsidRPr="006F4B62">
        <w:rPr>
          <w:rFonts w:ascii="Arial" w:hAnsi="Arial" w:cs="Arial"/>
        </w:rPr>
        <w:instrText>rms should use to enhance their purchasing maturity level and thus increase their cost savings. This study advances the literature by identifying 16 tools, methodologies, and strategic and nonstrategic activities, as well as 10 cost-saving levers linked to the stages of purchasing maturity. Based on a study of 278 Chilean companies, this paper identi</w:instrText>
      </w:r>
      <w:r w:rsidR="00D95879">
        <w:rPr>
          <w:rFonts w:ascii="Arial" w:hAnsi="Arial" w:cs="Arial"/>
          <w:lang w:val="en-GB"/>
        </w:rPr>
        <w:instrText>ﬁ</w:instrText>
      </w:r>
      <w:r w:rsidR="00D95879" w:rsidRPr="006F4B62">
        <w:rPr>
          <w:rFonts w:ascii="Arial" w:hAnsi="Arial" w:cs="Arial"/>
        </w:rPr>
        <w:instrText>es which key activities, tools, and methodologies that organizations can use to improve their purchasing performance.","container-title":"Journal of Business Research","DOI":"10.1016/j.jbusres.2014.09.026","ISSN":"01482963","issue":"2","journalAbbreviation":"Journal of Business Research","language":"en","page":"177-188","source":"DOI.org (Crossref)","title":"Purchasing models and organizational performance: a study of key strategic tools","title-short":"Purchasing models and organizational performance","volume":"68","author":[{"family":"Úbeda","given":"Ricardo"},{"family":"Alsua","given":"Carlos"},{"family":"Carrasco","given":"Nelson"}],"issued":{"date-parts":[["2015",2]]}}},{"id":471,"uris":["http://zotero.org/users/9514289/items/XI9X8ZE6"],"itemData":{"id":471,"type":"article-journal","abs</w:instrText>
      </w:r>
      <w:r w:rsidR="00D95879" w:rsidRPr="00C415E7">
        <w:rPr>
          <w:rFonts w:ascii="Arial" w:hAnsi="Arial" w:cs="Arial"/>
        </w:rPr>
        <w:instrText xml:space="preserve">tract":"The relationship between the development level a purchasing organisation has reached—maturity—and its impact on the performance of a </w:instrText>
      </w:r>
      <w:r w:rsidR="00D95879">
        <w:rPr>
          <w:rFonts w:ascii="Arial" w:hAnsi="Arial" w:cs="Arial"/>
          <w:lang w:val="en-GB"/>
        </w:rPr>
        <w:instrText>ﬁ</w:instrText>
      </w:r>
      <w:r w:rsidR="00D95879" w:rsidRPr="00C415E7">
        <w:rPr>
          <w:rFonts w:ascii="Arial" w:hAnsi="Arial" w:cs="Arial"/>
        </w:rPr>
        <w:instrText xml:space="preserve">rm has received only limited attention until now. We conducted extensive purchasing audits using a comprehensive tool to assess </w:instrText>
      </w:r>
      <w:r w:rsidR="00D95879">
        <w:rPr>
          <w:rFonts w:ascii="Arial" w:hAnsi="Arial" w:cs="Arial"/>
          <w:lang w:val="en-GB"/>
        </w:rPr>
        <w:instrText>ﬁ</w:instrText>
      </w:r>
      <w:r w:rsidR="00D95879" w:rsidRPr="00C415E7">
        <w:rPr>
          <w:rFonts w:ascii="Arial" w:hAnsi="Arial" w:cs="Arial"/>
        </w:rPr>
        <w:instrText xml:space="preserve">rms’ maturity level. These </w:instrText>
      </w:r>
      <w:r w:rsidR="00D95879">
        <w:rPr>
          <w:rFonts w:ascii="Arial" w:hAnsi="Arial" w:cs="Arial"/>
          <w:lang w:val="en-GB"/>
        </w:rPr>
        <w:instrText>ﬁ</w:instrText>
      </w:r>
      <w:r w:rsidR="00D95879" w:rsidRPr="00C415E7">
        <w:rPr>
          <w:rFonts w:ascii="Arial" w:hAnsi="Arial" w:cs="Arial"/>
        </w:rPr>
        <w:instrText>rms’ performance was then measured by their success in a purchasing cost-reduction programme. The results showed a highly signi</w:instrText>
      </w:r>
      <w:r w:rsidR="00D95879">
        <w:rPr>
          <w:rFonts w:ascii="Arial" w:hAnsi="Arial" w:cs="Arial"/>
          <w:lang w:val="en-GB"/>
        </w:rPr>
        <w:instrText>ﬁ</w:instrText>
      </w:r>
      <w:r w:rsidR="00D95879" w:rsidRPr="00C415E7">
        <w:rPr>
          <w:rFonts w:ascii="Arial" w:hAnsi="Arial" w:cs="Arial"/>
        </w:rPr>
        <w:instrText>cant relationship between purchasing’s maturity level and cost-reduction results. Somewhat counterintuitively, larger saving potential was identi</w:instrText>
      </w:r>
      <w:r w:rsidR="00D95879">
        <w:rPr>
          <w:rFonts w:ascii="Arial" w:hAnsi="Arial" w:cs="Arial"/>
          <w:lang w:val="en-GB"/>
        </w:rPr>
        <w:instrText>ﬁ</w:instrText>
      </w:r>
      <w:r w:rsidR="00D95879" w:rsidRPr="00C415E7">
        <w:rPr>
          <w:rFonts w:ascii="Arial" w:hAnsi="Arial" w:cs="Arial"/>
        </w:rPr>
        <w:instrText xml:space="preserve">ed in more developed </w:instrText>
      </w:r>
      <w:r w:rsidR="00D95879">
        <w:rPr>
          <w:rFonts w:ascii="Arial" w:hAnsi="Arial" w:cs="Arial"/>
          <w:lang w:val="en-GB"/>
        </w:rPr>
        <w:instrText>ﬁ</w:instrText>
      </w:r>
      <w:r w:rsidR="00D95879" w:rsidRPr="00C415E7">
        <w:rPr>
          <w:rFonts w:ascii="Arial" w:hAnsi="Arial" w:cs="Arial"/>
        </w:rPr>
        <w:instrText xml:space="preserve">rms. This </w:instrText>
      </w:r>
      <w:r w:rsidR="00D95879">
        <w:rPr>
          <w:rFonts w:ascii="Arial" w:hAnsi="Arial" w:cs="Arial"/>
          <w:lang w:val="en-GB"/>
        </w:rPr>
        <w:instrText>ﬁ</w:instrText>
      </w:r>
      <w:r w:rsidR="00D95879" w:rsidRPr="00C415E7">
        <w:rPr>
          <w:rFonts w:ascii="Arial" w:hAnsi="Arial" w:cs="Arial"/>
        </w:rPr>
        <w:instrText xml:space="preserve">nding may be explained by a new concept called ‘‘purchasing absorptive capacity’’. If an organisation’s maturity is too low, the introduction of best practices, such as an innovative costreduction method, may fail.","container-title":"Journal of Purchasing and Supply Management","DOI":"10.1016/j.pursup.2007.10.002","ISSN":"14784092","issue":"4","journalAbbreviation":"Journal of Purchasing and Supply Management","language":"en","page":"274-293","source":"DOI.org (Crossref)","title":"Supply-management maturity, cost savings and purchasing absorptive capacity: Testing the procurement–performance link","title-short":"Supply-management maturity, cost savings and purchasing absorptive capacity","volume":"13","author":[{"family":"Schiele","given":"Holger"}],"issued":{"date-parts":[["2007",12]]}}}],"schema":"https://github.com/citation-style-language/schema/raw/master/csl-citation.json"} </w:instrText>
      </w:r>
      <w:r w:rsidR="00022D46">
        <w:rPr>
          <w:rFonts w:ascii="Arial" w:hAnsi="Arial" w:cs="Arial"/>
          <w:lang w:val="en-GB"/>
        </w:rPr>
        <w:fldChar w:fldCharType="separate"/>
      </w:r>
      <w:r w:rsidR="008A2071" w:rsidRPr="008A2071">
        <w:rPr>
          <w:rFonts w:ascii="Arial" w:hAnsi="Arial" w:cs="Arial"/>
          <w:kern w:val="0"/>
        </w:rPr>
        <w:t>(Úbeda et al., 2015; Schiele, 2007)</w:t>
      </w:r>
      <w:r w:rsidR="00022D46">
        <w:rPr>
          <w:rFonts w:ascii="Arial" w:hAnsi="Arial" w:cs="Arial"/>
          <w:lang w:val="en-GB"/>
        </w:rPr>
        <w:fldChar w:fldCharType="end"/>
      </w:r>
      <w:r w:rsidR="00B05D1A" w:rsidRPr="002429DC">
        <w:rPr>
          <w:rFonts w:ascii="Arial" w:hAnsi="Arial" w:cs="Arial"/>
        </w:rPr>
        <w:t>.</w:t>
      </w:r>
    </w:p>
    <w:p w14:paraId="0BF6E43F" w14:textId="6013007F" w:rsidR="00734F78" w:rsidRPr="00C415E7" w:rsidRDefault="00315EEC" w:rsidP="00705E36">
      <w:pPr>
        <w:ind w:right="140"/>
        <w:rPr>
          <w:rFonts w:ascii="Arial" w:hAnsi="Arial" w:cs="Arial"/>
        </w:rPr>
      </w:pPr>
      <w:r w:rsidRPr="00315EEC">
        <w:rPr>
          <w:rFonts w:ascii="Arial" w:hAnsi="Arial" w:cs="Arial"/>
        </w:rPr>
        <w:t>Para simplificar, en esta investigación, PSM, compras y adquisiciones se utilizan indistintamente para describir la función. Lo mismo ocurre con producción, operaciones y fabricación, términos aquí con significado similar.</w:t>
      </w:r>
      <w:r w:rsidR="00734F78" w:rsidRPr="00C415E7">
        <w:rPr>
          <w:rFonts w:ascii="Arial" w:hAnsi="Arial" w:cs="Arial"/>
        </w:rPr>
        <w:t xml:space="preserve"> </w:t>
      </w:r>
    </w:p>
    <w:p w14:paraId="6CBA2B99" w14:textId="4F6214F7" w:rsidR="00B9125D" w:rsidRPr="00C415E7" w:rsidRDefault="004F3E7F" w:rsidP="00705E36">
      <w:pPr>
        <w:ind w:right="140"/>
        <w:rPr>
          <w:rFonts w:ascii="Arial" w:hAnsi="Arial" w:cs="Arial"/>
          <w:shd w:val="clear" w:color="auto" w:fill="FFFFFF" w:themeFill="background1"/>
        </w:rPr>
      </w:pPr>
      <w:r w:rsidRPr="004F3E7F">
        <w:rPr>
          <w:rFonts w:ascii="Arial" w:hAnsi="Arial" w:cs="Arial"/>
          <w:shd w:val="clear" w:color="auto" w:fill="FFFFFF" w:themeFill="background1"/>
        </w:rPr>
        <w:t xml:space="preserve">Para comenzar, es obligatorio mencionar a Porter, M.E. en 1980 – 1985, y sus famosas contribuciones de la cadena de valor y el modelo de las cinco fuerzas, donde compras </w:t>
      </w:r>
      <w:r w:rsidR="005018EE">
        <w:rPr>
          <w:rFonts w:ascii="Arial" w:hAnsi="Arial" w:cs="Arial"/>
          <w:shd w:val="clear" w:color="auto" w:fill="FFFFFF" w:themeFill="background1"/>
        </w:rPr>
        <w:t>es</w:t>
      </w:r>
      <w:r w:rsidRPr="004F3E7F">
        <w:rPr>
          <w:rFonts w:ascii="Arial" w:hAnsi="Arial" w:cs="Arial"/>
          <w:shd w:val="clear" w:color="auto" w:fill="FFFFFF" w:themeFill="background1"/>
        </w:rPr>
        <w:t xml:space="preserve"> reconocida </w:t>
      </w:r>
      <w:r w:rsidR="003870F6">
        <w:rPr>
          <w:rFonts w:ascii="Arial" w:hAnsi="Arial" w:cs="Arial"/>
          <w:shd w:val="clear" w:color="auto" w:fill="FFFFFF" w:themeFill="background1"/>
        </w:rPr>
        <w:t>académicamente</w:t>
      </w:r>
      <w:r w:rsidRPr="004F3E7F">
        <w:rPr>
          <w:rFonts w:ascii="Arial" w:hAnsi="Arial" w:cs="Arial"/>
          <w:shd w:val="clear" w:color="auto" w:fill="FFFFFF" w:themeFill="background1"/>
        </w:rPr>
        <w:t xml:space="preserve"> como un</w:t>
      </w:r>
      <w:r w:rsidR="00DD3B2E">
        <w:rPr>
          <w:rFonts w:ascii="Arial" w:hAnsi="Arial" w:cs="Arial"/>
          <w:shd w:val="clear" w:color="auto" w:fill="FFFFFF" w:themeFill="background1"/>
        </w:rPr>
        <w:t xml:space="preserve"> área</w:t>
      </w:r>
      <w:r w:rsidRPr="004F3E7F">
        <w:rPr>
          <w:rFonts w:ascii="Arial" w:hAnsi="Arial" w:cs="Arial"/>
          <w:shd w:val="clear" w:color="auto" w:fill="FFFFFF" w:themeFill="background1"/>
        </w:rPr>
        <w:t xml:space="preserve"> dentro de las empresas.</w:t>
      </w:r>
      <w:r w:rsidR="00B9125D" w:rsidRPr="00C415E7">
        <w:rPr>
          <w:rFonts w:ascii="Arial" w:hAnsi="Arial" w:cs="Arial"/>
          <w:shd w:val="clear" w:color="auto" w:fill="FFFFFF" w:themeFill="background1"/>
        </w:rPr>
        <w:t xml:space="preserve"> </w:t>
      </w:r>
    </w:p>
    <w:p w14:paraId="696BDADF" w14:textId="7C9ACC5C" w:rsidR="002B12E3" w:rsidRPr="00983EB4" w:rsidRDefault="00A124A7" w:rsidP="00705E36">
      <w:pPr>
        <w:ind w:right="140"/>
        <w:rPr>
          <w:rFonts w:ascii="Arial" w:hAnsi="Arial" w:cs="Arial"/>
        </w:rPr>
      </w:pPr>
      <w:r w:rsidRPr="00A124A7">
        <w:rPr>
          <w:rFonts w:ascii="Arial" w:hAnsi="Arial" w:cs="Arial"/>
        </w:rPr>
        <w:t>Desde entonces, la literatura analiza los conocimientos, habilidades y competencias del área de compras</w:t>
      </w:r>
      <w:r w:rsidR="000A07FE">
        <w:rPr>
          <w:rFonts w:ascii="Arial" w:hAnsi="Arial" w:cs="Arial"/>
        </w:rPr>
        <w:t>,</w:t>
      </w:r>
      <w:r w:rsidRPr="00A124A7">
        <w:rPr>
          <w:rFonts w:ascii="Arial" w:hAnsi="Arial" w:cs="Arial"/>
        </w:rPr>
        <w:t xml:space="preserve"> así como la evolución estratégica de la función</w:t>
      </w:r>
      <w:r w:rsidR="000A07FE">
        <w:rPr>
          <w:rFonts w:ascii="Arial" w:hAnsi="Arial" w:cs="Arial"/>
        </w:rPr>
        <w:t xml:space="preserve">, </w:t>
      </w:r>
      <w:r w:rsidR="007A25AB">
        <w:rPr>
          <w:rFonts w:ascii="Arial" w:hAnsi="Arial" w:cs="Arial"/>
        </w:rPr>
        <w:t xml:space="preserve">principalmente </w:t>
      </w:r>
      <w:r w:rsidR="000A07FE">
        <w:rPr>
          <w:rFonts w:ascii="Arial" w:hAnsi="Arial" w:cs="Arial"/>
        </w:rPr>
        <w:t>desde una perspectiva</w:t>
      </w:r>
      <w:r w:rsidR="000A07FE" w:rsidRPr="00A124A7">
        <w:rPr>
          <w:rFonts w:ascii="Arial" w:hAnsi="Arial" w:cs="Arial"/>
        </w:rPr>
        <w:t xml:space="preserve"> del ahorro de costes</w:t>
      </w:r>
      <w:r w:rsidR="002D231C">
        <w:rPr>
          <w:rFonts w:ascii="Arial" w:hAnsi="Arial" w:cs="Arial"/>
        </w:rPr>
        <w:t>,</w:t>
      </w:r>
      <w:r w:rsidR="00E10778">
        <w:rPr>
          <w:rFonts w:ascii="Arial" w:hAnsi="Arial" w:cs="Arial"/>
        </w:rPr>
        <w:t xml:space="preserve"> </w:t>
      </w:r>
      <w:r w:rsidR="002D231C">
        <w:rPr>
          <w:rFonts w:ascii="Arial" w:hAnsi="Arial" w:cs="Arial"/>
        </w:rPr>
        <w:t>a</w:t>
      </w:r>
      <w:r w:rsidR="00CC1204">
        <w:rPr>
          <w:rFonts w:ascii="Arial" w:hAnsi="Arial" w:cs="Arial"/>
        </w:rPr>
        <w:t>unque</w:t>
      </w:r>
      <w:r w:rsidR="00E10778">
        <w:rPr>
          <w:rFonts w:ascii="Arial" w:hAnsi="Arial" w:cs="Arial"/>
        </w:rPr>
        <w:t xml:space="preserve"> </w:t>
      </w:r>
      <w:r w:rsidR="00CC1204">
        <w:rPr>
          <w:rFonts w:ascii="Arial" w:hAnsi="Arial" w:cs="Arial"/>
        </w:rPr>
        <w:t>en las últimas décadas se amplía</w:t>
      </w:r>
      <w:r w:rsidR="00D02EBC">
        <w:rPr>
          <w:rFonts w:ascii="Arial" w:hAnsi="Arial" w:cs="Arial"/>
        </w:rPr>
        <w:t>.</w:t>
      </w:r>
      <w:r w:rsidR="00693097">
        <w:rPr>
          <w:rFonts w:ascii="Arial" w:hAnsi="Arial" w:cs="Arial"/>
        </w:rPr>
        <w:t xml:space="preserve"> </w:t>
      </w:r>
      <w:r w:rsidR="00BC186A">
        <w:rPr>
          <w:rFonts w:ascii="Arial" w:hAnsi="Arial" w:cs="Arial"/>
        </w:rPr>
        <w:t>Ya</w:t>
      </w:r>
      <w:r w:rsidR="00693097" w:rsidRPr="00553A81">
        <w:rPr>
          <w:rFonts w:ascii="Arial" w:hAnsi="Arial" w:cs="Arial"/>
        </w:rPr>
        <w:t xml:space="preserve"> que los profesionales de compras, para actuar estratégicamente, necesitan tener </w:t>
      </w:r>
      <w:r w:rsidR="00BC186A">
        <w:rPr>
          <w:rFonts w:ascii="Arial" w:hAnsi="Arial" w:cs="Arial"/>
        </w:rPr>
        <w:t xml:space="preserve">otros </w:t>
      </w:r>
      <w:r w:rsidR="00693097" w:rsidRPr="00553A81">
        <w:rPr>
          <w:rFonts w:ascii="Arial" w:hAnsi="Arial" w:cs="Arial"/>
        </w:rPr>
        <w:t>conocimiento</w:t>
      </w:r>
      <w:r w:rsidR="00BC186A">
        <w:rPr>
          <w:rFonts w:ascii="Arial" w:hAnsi="Arial" w:cs="Arial"/>
        </w:rPr>
        <w:t>s</w:t>
      </w:r>
      <w:r w:rsidR="0036086E">
        <w:rPr>
          <w:rFonts w:ascii="Arial" w:hAnsi="Arial" w:cs="Arial"/>
        </w:rPr>
        <w:t>.</w:t>
      </w:r>
      <w:r w:rsidR="005903E4">
        <w:rPr>
          <w:rFonts w:ascii="Arial" w:hAnsi="Arial" w:cs="Arial"/>
        </w:rPr>
        <w:t xml:space="preserve"> </w:t>
      </w:r>
      <w:r w:rsidR="00FF6213">
        <w:rPr>
          <w:rFonts w:ascii="Arial" w:hAnsi="Arial" w:cs="Arial"/>
        </w:rPr>
        <w:t xml:space="preserve">Como </w:t>
      </w:r>
      <w:r w:rsidR="00693097" w:rsidRPr="00553A81">
        <w:rPr>
          <w:rFonts w:ascii="Arial" w:hAnsi="Arial" w:cs="Arial"/>
        </w:rPr>
        <w:t>los mercados de proveedores, conocimiento de sus socios comerciales internos y habilidades técnicas, así como conocimiento de los objetivos estratégicos generales de la empresa</w:t>
      </w:r>
      <w:r w:rsidR="00E10778">
        <w:rPr>
          <w:rFonts w:ascii="Arial" w:hAnsi="Arial" w:cs="Arial"/>
        </w:rPr>
        <w:t xml:space="preserve"> </w:t>
      </w:r>
      <w:r w:rsidR="007640B3" w:rsidRPr="00BE2CF3">
        <w:rPr>
          <w:rFonts w:ascii="Arial" w:hAnsi="Arial" w:cs="Arial"/>
          <w:lang w:val="en-GB"/>
        </w:rPr>
        <w:fldChar w:fldCharType="begin"/>
      </w:r>
      <w:r w:rsidR="007640B3" w:rsidRPr="00C415E7">
        <w:rPr>
          <w:rFonts w:ascii="Arial" w:hAnsi="Arial" w:cs="Arial"/>
        </w:rPr>
        <w:instrText xml:space="preserve"> ADDIN ZOTERO_ITEM CSL_CITATION {"citationID":"0AhIuyFO","properties":{"formattedCitation":"(Carr and Smeltzer, 2000)","plainCitation":"(Carr and Smeltzer, 2000)","noteIndex":0},"citationItems":[{"id":1105,"uris":["http://zotero.org/users/9514289/items/FDYX7V6W"],"itemData":{"id":1105,"type":"article-journal","container-title":"The Journal of Supply Chain Management","DOI":"10.1111/j.1745-493X.2000.tb00250.x","ISSN":"1523-2409, 1745-493X","issue":"3","journalAbbreviation":"J Supply Chain Management","language":"en","page":"40-54","source":"DOI.org (Crossref)","title":"An Empirical Study of the Relationships among Purchasing Skills and Strategic Purchasing, Financial Performance, and Supplier Responsiveness","volume":"36","author":[{"family":"Carr","given":"Amelia S."},{"family":"Smeltzer","given":"Larry R."}],"issued":{"date-parts":[["2000",6]]}}}]</w:instrText>
      </w:r>
      <w:r w:rsidR="007640B3" w:rsidRPr="00A124A7">
        <w:rPr>
          <w:rFonts w:ascii="Arial" w:hAnsi="Arial" w:cs="Arial"/>
        </w:rPr>
        <w:instrText xml:space="preserve">,"schema":"https://github.com/citation-style-language/schema/raw/master/csl-citation.json"} </w:instrText>
      </w:r>
      <w:r w:rsidR="007640B3" w:rsidRPr="00BE2CF3">
        <w:rPr>
          <w:rFonts w:ascii="Arial" w:hAnsi="Arial" w:cs="Arial"/>
          <w:lang w:val="en-GB"/>
        </w:rPr>
        <w:fldChar w:fldCharType="separate"/>
      </w:r>
      <w:r w:rsidR="007640B3" w:rsidRPr="00553A81">
        <w:rPr>
          <w:rFonts w:ascii="Arial" w:hAnsi="Arial" w:cs="Arial"/>
        </w:rPr>
        <w:t>(Carr and Smeltzer, 2000)</w:t>
      </w:r>
      <w:r w:rsidR="007640B3" w:rsidRPr="00BE2CF3">
        <w:rPr>
          <w:rFonts w:ascii="Arial" w:hAnsi="Arial" w:cs="Arial"/>
          <w:lang w:val="en-GB"/>
        </w:rPr>
        <w:fldChar w:fldCharType="end"/>
      </w:r>
      <w:r w:rsidR="00553A81" w:rsidRPr="00553A81">
        <w:rPr>
          <w:rFonts w:ascii="Arial" w:hAnsi="Arial" w:cs="Arial"/>
        </w:rPr>
        <w:t>.</w:t>
      </w:r>
      <w:r w:rsidR="00517023">
        <w:rPr>
          <w:rFonts w:ascii="Arial" w:hAnsi="Arial" w:cs="Arial"/>
        </w:rPr>
        <w:t xml:space="preserve"> </w:t>
      </w:r>
      <w:r w:rsidR="008C139A">
        <w:rPr>
          <w:rFonts w:ascii="Arial" w:hAnsi="Arial" w:cs="Arial"/>
        </w:rPr>
        <w:t>También s</w:t>
      </w:r>
      <w:r w:rsidR="00D15C33">
        <w:rPr>
          <w:rFonts w:ascii="Arial" w:hAnsi="Arial" w:cs="Arial"/>
        </w:rPr>
        <w:t xml:space="preserve">e </w:t>
      </w:r>
      <w:r w:rsidR="00517023">
        <w:rPr>
          <w:rFonts w:ascii="Arial" w:hAnsi="Arial" w:cs="Arial"/>
        </w:rPr>
        <w:t>defin</w:t>
      </w:r>
      <w:r w:rsidR="008C139A">
        <w:rPr>
          <w:rFonts w:ascii="Arial" w:hAnsi="Arial" w:cs="Arial"/>
        </w:rPr>
        <w:t>e</w:t>
      </w:r>
      <w:r w:rsidR="00517023">
        <w:rPr>
          <w:rFonts w:ascii="Arial" w:hAnsi="Arial" w:cs="Arial"/>
        </w:rPr>
        <w:t xml:space="preserve"> </w:t>
      </w:r>
      <w:r w:rsidR="00517023" w:rsidRPr="00983EB4">
        <w:rPr>
          <w:rFonts w:ascii="Arial" w:hAnsi="Arial" w:cs="Arial"/>
        </w:rPr>
        <w:t xml:space="preserve">el conocimiento de compras (como el conocimiento del mercado de proveedores y las habilidades con las herramientas) como el principal diferenciador </w:t>
      </w:r>
      <w:r w:rsidR="00517023">
        <w:rPr>
          <w:rFonts w:ascii="Arial" w:hAnsi="Arial" w:cs="Arial"/>
        </w:rPr>
        <w:t>del</w:t>
      </w:r>
      <w:r w:rsidR="00517023" w:rsidRPr="00983EB4">
        <w:rPr>
          <w:rFonts w:ascii="Arial" w:hAnsi="Arial" w:cs="Arial"/>
        </w:rPr>
        <w:t xml:space="preserve"> desempeño de las funciones de compras</w:t>
      </w:r>
      <w:r w:rsidR="00AB2949" w:rsidRPr="00553A81">
        <w:rPr>
          <w:rFonts w:ascii="Arial" w:hAnsi="Arial" w:cs="Arial"/>
        </w:rPr>
        <w:t xml:space="preserve"> </w:t>
      </w:r>
      <w:r w:rsidR="00EE04BA" w:rsidRPr="00BE2CF3">
        <w:rPr>
          <w:rFonts w:ascii="Arial" w:hAnsi="Arial" w:cs="Arial"/>
          <w:lang w:val="en-GB"/>
        </w:rPr>
        <w:fldChar w:fldCharType="begin"/>
      </w:r>
      <w:r w:rsidR="00EE04BA" w:rsidRPr="00553A81">
        <w:rPr>
          <w:rFonts w:ascii="Arial" w:hAnsi="Arial" w:cs="Arial"/>
        </w:rPr>
        <w:instrText xml:space="preserve"> ADDIN ZOTERO_ITEM CSL_CITATION {"citationID":"UTKKGmSx","properties":{"formattedCitation":"(Cousins et al., 2006)","plainCitation":"(Cousins et al., 2006)","noteIndex":0},"citationItems":[{"id":1097,"uris":["http://zotero.org/users/9514289/items/TF26LI5C"],"itemData":{"id":1097,"type":"article-journal","abstract":"Purpose – The purpose of this paper is to investigate the different patterns of purchasing function con</w:instrText>
      </w:r>
      <w:r w:rsidR="00EE04BA" w:rsidRPr="00BE2CF3">
        <w:rPr>
          <w:rFonts w:ascii="Arial" w:hAnsi="Arial" w:cs="Arial"/>
          <w:lang w:val="en-GB"/>
        </w:rPr>
        <w:instrText>ﬁ</w:instrText>
      </w:r>
      <w:r w:rsidR="00EE04BA" w:rsidRPr="00553A81">
        <w:rPr>
          <w:rFonts w:ascii="Arial" w:hAnsi="Arial" w:cs="Arial"/>
        </w:rPr>
        <w:instrText>guration, and the relationship between such patterns and organisational performance. Design/methodology/approach – Despite considerable attention, there is little evidence showing the current situation toward the development of purchasing functions within organisations. Through quantitative data collected from 151 UK purchasing executives, cluster analysis is used to uncover and characterize four purchasing function con</w:instrText>
      </w:r>
      <w:r w:rsidR="00EE04BA" w:rsidRPr="00BE2CF3">
        <w:rPr>
          <w:rFonts w:ascii="Arial" w:hAnsi="Arial" w:cs="Arial"/>
          <w:lang w:val="en-GB"/>
        </w:rPr>
        <w:instrText>ﬁ</w:instrText>
      </w:r>
      <w:r w:rsidR="00EE04BA" w:rsidRPr="00553A81">
        <w:rPr>
          <w:rFonts w:ascii="Arial" w:hAnsi="Arial" w:cs="Arial"/>
        </w:rPr>
        <w:instrText xml:space="preserve">gurations.","container-title":"International Journal of Operations &amp; Production Management","DOI":"10.1108/01443570610672239","ISSN":"0144-3577","issue":"7","language":"en","page":"775-794","source":"DOI.org (Crossref)","title":"An empirical taxonomy of purchasing functions","volume":"26","editor":[{"family":"Cousins","given":"Paul D."}],"author":[{"family":"Cousins","given":"Paul D."},{"family":"Lawson","given":"Benn"},{"family":"Squire","given":"Brian"}],"issued":{"date-parts":[["2006",7,1]]}}}],"schema":"https://github.com/citation-style-language/schema/raw/master/csl-citation.json"} </w:instrText>
      </w:r>
      <w:r w:rsidR="00EE04BA" w:rsidRPr="00BE2CF3">
        <w:rPr>
          <w:rFonts w:ascii="Arial" w:hAnsi="Arial" w:cs="Arial"/>
          <w:lang w:val="en-GB"/>
        </w:rPr>
        <w:fldChar w:fldCharType="separate"/>
      </w:r>
      <w:r w:rsidR="00EE04BA" w:rsidRPr="00983EB4">
        <w:rPr>
          <w:rFonts w:ascii="Arial" w:hAnsi="Arial" w:cs="Arial"/>
        </w:rPr>
        <w:t>(Cousins et al., 2006)</w:t>
      </w:r>
      <w:r w:rsidR="00EE04BA" w:rsidRPr="00BE2CF3">
        <w:rPr>
          <w:rFonts w:ascii="Arial" w:hAnsi="Arial" w:cs="Arial"/>
          <w:lang w:val="en-GB"/>
        </w:rPr>
        <w:fldChar w:fldCharType="end"/>
      </w:r>
      <w:r w:rsidR="00983EB4" w:rsidRPr="00983EB4">
        <w:rPr>
          <w:rFonts w:ascii="Arial" w:hAnsi="Arial" w:cs="Arial"/>
        </w:rPr>
        <w:t>.</w:t>
      </w:r>
    </w:p>
    <w:p w14:paraId="073EDEA3" w14:textId="52D10567" w:rsidR="005F266F" w:rsidRPr="00B063EC" w:rsidRDefault="00C45E97" w:rsidP="00705E36">
      <w:pPr>
        <w:ind w:right="140"/>
        <w:rPr>
          <w:rFonts w:ascii="Arial" w:hAnsi="Arial" w:cs="Arial"/>
        </w:rPr>
      </w:pPr>
      <w:r w:rsidRPr="00C45E97">
        <w:rPr>
          <w:rFonts w:ascii="Arial" w:hAnsi="Arial" w:cs="Arial"/>
        </w:rPr>
        <w:t xml:space="preserve">Existe literatura sobre la evolución del PSM dentro de las empresas, </w:t>
      </w:r>
      <w:r w:rsidR="00C753AE">
        <w:rPr>
          <w:rFonts w:ascii="Arial" w:hAnsi="Arial" w:cs="Arial"/>
        </w:rPr>
        <w:t>con</w:t>
      </w:r>
      <w:r w:rsidRPr="00C45E97">
        <w:rPr>
          <w:rFonts w:ascii="Arial" w:hAnsi="Arial" w:cs="Arial"/>
        </w:rPr>
        <w:t xml:space="preserve"> dos contribuciones principales que vinculan la madurez y el desempeño del PSM, medido en ahorros.</w:t>
      </w:r>
      <w:r w:rsidR="00A35BF0" w:rsidRPr="00C45E97">
        <w:rPr>
          <w:rFonts w:ascii="Arial" w:hAnsi="Arial" w:cs="Arial"/>
        </w:rPr>
        <w:t>,</w:t>
      </w:r>
      <w:r w:rsidR="00A958CC">
        <w:rPr>
          <w:rFonts w:ascii="Arial" w:hAnsi="Arial" w:cs="Arial"/>
          <w:lang w:val="en-GB"/>
        </w:rPr>
        <w:fldChar w:fldCharType="begin"/>
      </w:r>
      <w:r w:rsidR="00D124E2" w:rsidRPr="00C45E97">
        <w:rPr>
          <w:rFonts w:ascii="Arial" w:hAnsi="Arial" w:cs="Arial"/>
        </w:rPr>
        <w:instrText xml:space="preserve"> ADDIN ZOTERO_ITEM CSL_CITATION {"citationID":"S25k2SNH","properties":{"unsorted":true,"formattedCitation":"(\\uc0\\u218{}beda et al., 2015; Schiele, 2007)","plainCitation":"(Úbeda et al., 2015; Schiele, 2007)","noteIndex":0},"citationItems":[{"id":675,"uris":["http://zotero.org/users/9514289/items/A7PTSIAL"],"itemData":{"id":675,"type":"article-journal","abstract":"Latin American countries show a lack of productivity and innovation compared with OECD economies. Business networks constitute a tool to improve this situation, and purchasing can help organizations create business networks with suppliers, as purchasing has evolved from a support function to a key strategic tool for organizations. Purchasing maturity models re</w:instrText>
      </w:r>
      <w:r w:rsidR="00D124E2">
        <w:rPr>
          <w:rFonts w:ascii="Arial" w:hAnsi="Arial" w:cs="Arial"/>
          <w:lang w:val="en-GB"/>
        </w:rPr>
        <w:instrText>ﬂ</w:instrText>
      </w:r>
      <w:r w:rsidR="00D124E2" w:rsidRPr="00C45E97">
        <w:rPr>
          <w:rFonts w:ascii="Arial" w:hAnsi="Arial" w:cs="Arial"/>
        </w:rPr>
        <w:instrText xml:space="preserve">ect this evolution. As their level of purchasing maturity increases, organizations experience increased performance. Unfortunately, however, current models do not specify the purchasing tools and methodologies that </w:instrText>
      </w:r>
      <w:r w:rsidR="00D124E2">
        <w:rPr>
          <w:rFonts w:ascii="Arial" w:hAnsi="Arial" w:cs="Arial"/>
          <w:lang w:val="en-GB"/>
        </w:rPr>
        <w:instrText>ﬁ</w:instrText>
      </w:r>
      <w:r w:rsidR="00D124E2" w:rsidRPr="00C45E97">
        <w:rPr>
          <w:rFonts w:ascii="Arial" w:hAnsi="Arial" w:cs="Arial"/>
        </w:rPr>
        <w:instrText>rms should use to enhance their purchasing maturity level and thus increase their cost savings. This study advances the literature by identifying 16 tools, methodologies, and strategic and nonstrategic activities, as well as 10 cost-saving levers linked to the stages of purchasing maturity. Based on a study of 278 Chilean companies, this paper identi</w:instrText>
      </w:r>
      <w:r w:rsidR="00D124E2">
        <w:rPr>
          <w:rFonts w:ascii="Arial" w:hAnsi="Arial" w:cs="Arial"/>
          <w:lang w:val="en-GB"/>
        </w:rPr>
        <w:instrText>ﬁ</w:instrText>
      </w:r>
      <w:r w:rsidR="00D124E2" w:rsidRPr="00C45E97">
        <w:rPr>
          <w:rFonts w:ascii="Arial" w:hAnsi="Arial" w:cs="Arial"/>
        </w:rPr>
        <w:instrText xml:space="preserve">es which key activities, tools, and methodologies that organizations can use to improve their purchasing performance.","container-title":"Journal of Business Research","DOI":"10.1016/j.jbusres.2014.09.026","ISSN":"01482963","issue":"2","journalAbbreviation":"Journal of Business Research","language":"en","page":"177-188","source":"DOI.org (Crossref)","title":"Purchasing models and organizational performance: a study of key strategic tools","title-short":"Purchasing models and organizational performance","volume":"68","author":[{"family":"Úbeda","given":"Ricardo"},{"family":"Alsua","given":"Carlos"},{"family":"Carrasco","given":"Nelson"}],"issued":{"date-parts":[["2015",2]]}}},{"id":471,"uris":["http://zotero.org/users/9514289/items/XI9X8ZE6"],"itemData":{"id":471,"type":"article-journal","abstract":"The relationship between the development level a purchasing organisation has reached—maturity—and its impact on the performance of a </w:instrText>
      </w:r>
      <w:r w:rsidR="00D124E2">
        <w:rPr>
          <w:rFonts w:ascii="Arial" w:hAnsi="Arial" w:cs="Arial"/>
          <w:lang w:val="en-GB"/>
        </w:rPr>
        <w:instrText>ﬁ</w:instrText>
      </w:r>
      <w:r w:rsidR="00D124E2" w:rsidRPr="00C45E97">
        <w:rPr>
          <w:rFonts w:ascii="Arial" w:hAnsi="Arial" w:cs="Arial"/>
        </w:rPr>
        <w:instrText xml:space="preserve">rm has received only limited attention until now. We conducted extensive purchasing audits using a comprehensive tool to assess </w:instrText>
      </w:r>
      <w:r w:rsidR="00D124E2">
        <w:rPr>
          <w:rFonts w:ascii="Arial" w:hAnsi="Arial" w:cs="Arial"/>
          <w:lang w:val="en-GB"/>
        </w:rPr>
        <w:instrText>ﬁ</w:instrText>
      </w:r>
      <w:r w:rsidR="00D124E2" w:rsidRPr="00C45E97">
        <w:rPr>
          <w:rFonts w:ascii="Arial" w:hAnsi="Arial" w:cs="Arial"/>
        </w:rPr>
        <w:instrText xml:space="preserve">rms’ maturity level. These </w:instrText>
      </w:r>
      <w:r w:rsidR="00D124E2">
        <w:rPr>
          <w:rFonts w:ascii="Arial" w:hAnsi="Arial" w:cs="Arial"/>
          <w:lang w:val="en-GB"/>
        </w:rPr>
        <w:instrText>ﬁ</w:instrText>
      </w:r>
      <w:r w:rsidR="00D124E2" w:rsidRPr="00C45E97">
        <w:rPr>
          <w:rFonts w:ascii="Arial" w:hAnsi="Arial" w:cs="Arial"/>
        </w:rPr>
        <w:instrText>rms’ performance was then measured by their success in a purchasing cost-reduction programme. The results showed a highly signi</w:instrText>
      </w:r>
      <w:r w:rsidR="00D124E2">
        <w:rPr>
          <w:rFonts w:ascii="Arial" w:hAnsi="Arial" w:cs="Arial"/>
          <w:lang w:val="en-GB"/>
        </w:rPr>
        <w:instrText>ﬁ</w:instrText>
      </w:r>
      <w:r w:rsidR="00D124E2" w:rsidRPr="00C45E97">
        <w:rPr>
          <w:rFonts w:ascii="Arial" w:hAnsi="Arial" w:cs="Arial"/>
        </w:rPr>
        <w:instrText>cant relationship between purchasing’s maturity level and cost-reduction results. Somewhat counterintuitively, larger saving potential was identi</w:instrText>
      </w:r>
      <w:r w:rsidR="00D124E2">
        <w:rPr>
          <w:rFonts w:ascii="Arial" w:hAnsi="Arial" w:cs="Arial"/>
          <w:lang w:val="en-GB"/>
        </w:rPr>
        <w:instrText>ﬁ</w:instrText>
      </w:r>
      <w:r w:rsidR="00D124E2" w:rsidRPr="00C45E97">
        <w:rPr>
          <w:rFonts w:ascii="Arial" w:hAnsi="Arial" w:cs="Arial"/>
        </w:rPr>
        <w:instrText xml:space="preserve">ed in more developed </w:instrText>
      </w:r>
      <w:r w:rsidR="00D124E2">
        <w:rPr>
          <w:rFonts w:ascii="Arial" w:hAnsi="Arial" w:cs="Arial"/>
          <w:lang w:val="en-GB"/>
        </w:rPr>
        <w:instrText>ﬁ</w:instrText>
      </w:r>
      <w:r w:rsidR="00D124E2" w:rsidRPr="00C45E97">
        <w:rPr>
          <w:rFonts w:ascii="Arial" w:hAnsi="Arial" w:cs="Arial"/>
        </w:rPr>
        <w:instrText xml:space="preserve">rms. This </w:instrText>
      </w:r>
      <w:r w:rsidR="00D124E2">
        <w:rPr>
          <w:rFonts w:ascii="Arial" w:hAnsi="Arial" w:cs="Arial"/>
          <w:lang w:val="en-GB"/>
        </w:rPr>
        <w:instrText>ﬁ</w:instrText>
      </w:r>
      <w:r w:rsidR="00D124E2" w:rsidRPr="00C45E97">
        <w:rPr>
          <w:rFonts w:ascii="Arial" w:hAnsi="Arial" w:cs="Arial"/>
        </w:rPr>
        <w:instrText>nding may be explained by a new concept called ‘‘purchasing absorptive capacity’’. If an organisation’s maturi</w:instrText>
      </w:r>
      <w:r w:rsidR="00D124E2" w:rsidRPr="00C753AE">
        <w:rPr>
          <w:rFonts w:ascii="Arial" w:hAnsi="Arial" w:cs="Arial"/>
        </w:rPr>
        <w:instrText>ty is too l</w:instrText>
      </w:r>
      <w:r w:rsidR="00D124E2" w:rsidRPr="00B063EC">
        <w:rPr>
          <w:rFonts w:ascii="Arial" w:hAnsi="Arial" w:cs="Arial"/>
        </w:rPr>
        <w:instrText xml:space="preserve">ow, the introduction of best practices, such as an innovative costreduction method, may fail.","container-title":"Journal of Purchasing and Supply Management","DOI":"10.1016/j.pursup.2007.10.002","ISSN":"14784092","issue":"4","journalAbbreviation":"Journal of Purchasing and Supply Management","language":"en","page":"274-293","source":"DOI.org (Crossref)","title":"Supply-management maturity, cost savings and purchasing absorptive capacity: Testing the procurement–performance link","title-short":"Supply-management maturity, cost savings and purchasing absorptive capacity","volume":"13","author":[{"family":"Schiele","given":"Holger"}],"issued":{"date-parts":[["2007",12]]}}}],"schema":"https://github.com/citation-style-language/schema/raw/master/csl-citation.json"} </w:instrText>
      </w:r>
      <w:r w:rsidR="00A958CC">
        <w:rPr>
          <w:rFonts w:ascii="Arial" w:hAnsi="Arial" w:cs="Arial"/>
          <w:lang w:val="en-GB"/>
        </w:rPr>
        <w:fldChar w:fldCharType="separate"/>
      </w:r>
      <w:r w:rsidR="00D124E2" w:rsidRPr="00B063EC">
        <w:rPr>
          <w:rFonts w:ascii="Arial" w:hAnsi="Arial" w:cs="Arial"/>
          <w:kern w:val="0"/>
        </w:rPr>
        <w:t>(Úbeda et al., 2015; Schiele, 2007)</w:t>
      </w:r>
      <w:r w:rsidR="00A958CC">
        <w:rPr>
          <w:rFonts w:ascii="Arial" w:hAnsi="Arial" w:cs="Arial"/>
          <w:lang w:val="en-GB"/>
        </w:rPr>
        <w:fldChar w:fldCharType="end"/>
      </w:r>
      <w:r w:rsidR="00FF0490" w:rsidRPr="00B063EC">
        <w:rPr>
          <w:rFonts w:ascii="Arial" w:hAnsi="Arial" w:cs="Arial"/>
        </w:rPr>
        <w:t>.</w:t>
      </w:r>
      <w:r w:rsidR="00B60845" w:rsidRPr="00B063EC">
        <w:rPr>
          <w:rFonts w:ascii="Arial" w:hAnsi="Arial" w:cs="Arial"/>
        </w:rPr>
        <w:t xml:space="preserve"> </w:t>
      </w:r>
      <w:r w:rsidR="00B063EC" w:rsidRPr="00B063EC">
        <w:rPr>
          <w:rFonts w:ascii="Arial" w:hAnsi="Arial" w:cs="Arial"/>
        </w:rPr>
        <w:t xml:space="preserve">Sin embargo, existe un vacío respecto a la evolución </w:t>
      </w:r>
      <w:r w:rsidR="0024729C">
        <w:rPr>
          <w:rFonts w:ascii="Arial" w:hAnsi="Arial" w:cs="Arial"/>
        </w:rPr>
        <w:t>de</w:t>
      </w:r>
      <w:r w:rsidR="00B063EC" w:rsidRPr="00B063EC">
        <w:rPr>
          <w:rFonts w:ascii="Arial" w:hAnsi="Arial" w:cs="Arial"/>
        </w:rPr>
        <w:t xml:space="preserve"> los </w:t>
      </w:r>
      <w:r w:rsidR="00482338">
        <w:rPr>
          <w:rFonts w:ascii="Arial" w:hAnsi="Arial" w:cs="Arial"/>
        </w:rPr>
        <w:t xml:space="preserve">tipos de </w:t>
      </w:r>
      <w:r w:rsidR="00B063EC" w:rsidRPr="00B063EC">
        <w:rPr>
          <w:rFonts w:ascii="Arial" w:hAnsi="Arial" w:cs="Arial"/>
        </w:rPr>
        <w:t>ahorros generados por la función PSM dentro de las empresas.</w:t>
      </w:r>
    </w:p>
    <w:p w14:paraId="0D2FC9B6" w14:textId="44511A74" w:rsidR="008E2992" w:rsidRPr="00BB3924" w:rsidRDefault="0076569A" w:rsidP="00705E36">
      <w:pPr>
        <w:ind w:right="140"/>
        <w:rPr>
          <w:rFonts w:ascii="Arial" w:hAnsi="Arial" w:cs="Arial"/>
        </w:rPr>
      </w:pPr>
      <w:r w:rsidRPr="0076569A">
        <w:rPr>
          <w:rFonts w:ascii="Arial" w:hAnsi="Arial" w:cs="Arial"/>
        </w:rPr>
        <w:t>Hasta ahora, la relación entre el nivel de desarrollo que ha alcanzado una organización de compras (madurez) y su impacto en el desempeño de una empresa ha recibido sólo una atención limitada.</w:t>
      </w:r>
      <w:r w:rsidR="008E2992" w:rsidRPr="0076569A">
        <w:rPr>
          <w:rFonts w:ascii="Arial" w:hAnsi="Arial" w:cs="Arial"/>
        </w:rPr>
        <w:t xml:space="preserve"> </w:t>
      </w:r>
      <w:r w:rsidR="008E2992" w:rsidRPr="00BE2CF3">
        <w:rPr>
          <w:rFonts w:ascii="Arial" w:hAnsi="Arial" w:cs="Arial"/>
          <w:lang w:val="en-GB"/>
        </w:rPr>
        <w:fldChar w:fldCharType="begin"/>
      </w:r>
      <w:r w:rsidR="008E2992" w:rsidRPr="0076569A">
        <w:rPr>
          <w:rFonts w:ascii="Arial" w:hAnsi="Arial" w:cs="Arial"/>
        </w:rPr>
        <w:instrText xml:space="preserve"> ADDIN ZOTERO_ITEM CSL_CITATION {"citationID":"YZOGCFO5","properties":{"formattedCitation":"(Schiele, 2007)","plainCitation":"(Schiele, 2007)","noteIndex":0},"citationItems":[{"id":471,"uris":["http://zotero.org/users/9514289/items/XI9X8ZE6"],"itemData":{"id":471,"type":"article-journal","abstract":"The relationship between the development level a purchasing organisation has reached—maturity—and its impact on the performance of a </w:instrText>
      </w:r>
      <w:r w:rsidR="008E2992" w:rsidRPr="00BE2CF3">
        <w:rPr>
          <w:rFonts w:ascii="Arial" w:hAnsi="Arial" w:cs="Arial"/>
          <w:lang w:val="en-GB"/>
        </w:rPr>
        <w:instrText>ﬁ</w:instrText>
      </w:r>
      <w:r w:rsidR="008E2992" w:rsidRPr="0076569A">
        <w:rPr>
          <w:rFonts w:ascii="Arial" w:hAnsi="Arial" w:cs="Arial"/>
        </w:rPr>
        <w:instrText xml:space="preserve">rm has received only limited attention until now. We conducted extensive purchasing audits using a comprehensive tool to assess </w:instrText>
      </w:r>
      <w:r w:rsidR="008E2992" w:rsidRPr="00BE2CF3">
        <w:rPr>
          <w:rFonts w:ascii="Arial" w:hAnsi="Arial" w:cs="Arial"/>
          <w:lang w:val="en-GB"/>
        </w:rPr>
        <w:instrText>ﬁ</w:instrText>
      </w:r>
      <w:r w:rsidR="008E2992" w:rsidRPr="0076569A">
        <w:rPr>
          <w:rFonts w:ascii="Arial" w:hAnsi="Arial" w:cs="Arial"/>
        </w:rPr>
        <w:instrText xml:space="preserve">rms’ maturity level. These </w:instrText>
      </w:r>
      <w:r w:rsidR="008E2992" w:rsidRPr="00BE2CF3">
        <w:rPr>
          <w:rFonts w:ascii="Arial" w:hAnsi="Arial" w:cs="Arial"/>
          <w:lang w:val="en-GB"/>
        </w:rPr>
        <w:instrText>ﬁ</w:instrText>
      </w:r>
      <w:r w:rsidR="008E2992" w:rsidRPr="0076569A">
        <w:rPr>
          <w:rFonts w:ascii="Arial" w:hAnsi="Arial" w:cs="Arial"/>
        </w:rPr>
        <w:instrText>rms’ performance was then measured by their success in a purchasing cost-reduction programme. The results showed a highly signi</w:instrText>
      </w:r>
      <w:r w:rsidR="008E2992" w:rsidRPr="00BE2CF3">
        <w:rPr>
          <w:rFonts w:ascii="Arial" w:hAnsi="Arial" w:cs="Arial"/>
          <w:lang w:val="en-GB"/>
        </w:rPr>
        <w:instrText>ﬁ</w:instrText>
      </w:r>
      <w:r w:rsidR="008E2992" w:rsidRPr="0076569A">
        <w:rPr>
          <w:rFonts w:ascii="Arial" w:hAnsi="Arial" w:cs="Arial"/>
        </w:rPr>
        <w:instrText>cant relationship between purchasing’s maturity level and cost-reduction results. Somewhat counterintuitively, larger saving potential was identi</w:instrText>
      </w:r>
      <w:r w:rsidR="008E2992" w:rsidRPr="00BE2CF3">
        <w:rPr>
          <w:rFonts w:ascii="Arial" w:hAnsi="Arial" w:cs="Arial"/>
          <w:lang w:val="en-GB"/>
        </w:rPr>
        <w:instrText>ﬁ</w:instrText>
      </w:r>
      <w:r w:rsidR="008E2992" w:rsidRPr="0076569A">
        <w:rPr>
          <w:rFonts w:ascii="Arial" w:hAnsi="Arial" w:cs="Arial"/>
        </w:rPr>
        <w:instrText xml:space="preserve">ed in more developed </w:instrText>
      </w:r>
      <w:r w:rsidR="008E2992" w:rsidRPr="00BE2CF3">
        <w:rPr>
          <w:rFonts w:ascii="Arial" w:hAnsi="Arial" w:cs="Arial"/>
          <w:lang w:val="en-GB"/>
        </w:rPr>
        <w:instrText>ﬁ</w:instrText>
      </w:r>
      <w:r w:rsidR="008E2992" w:rsidRPr="0076569A">
        <w:rPr>
          <w:rFonts w:ascii="Arial" w:hAnsi="Arial" w:cs="Arial"/>
        </w:rPr>
        <w:instrText xml:space="preserve">rms. This </w:instrText>
      </w:r>
      <w:r w:rsidR="008E2992" w:rsidRPr="00BE2CF3">
        <w:rPr>
          <w:rFonts w:ascii="Arial" w:hAnsi="Arial" w:cs="Arial"/>
          <w:lang w:val="en-GB"/>
        </w:rPr>
        <w:instrText>ﬁ</w:instrText>
      </w:r>
      <w:r w:rsidR="008E2992" w:rsidRPr="0076569A">
        <w:rPr>
          <w:rFonts w:ascii="Arial" w:hAnsi="Arial" w:cs="Arial"/>
        </w:rPr>
        <w:instrText xml:space="preserve">nding may be explained by a new concept called ‘‘purchasing absorptive capacity’’. If an organisation’s maturity is too low, the introduction of best practices, such as an innovative costreduction method, may fail.","container-title":"Journal of Purchasing and Supply Management","DOI":"10.1016/j.pursup.2007.10.002","ISSN":"14784092","issue":"4","journalAbbreviation":"Journal of Purchasing and Supply Management","language":"en","page":"274-293","source":"DOI.org (Crossref)","title":"Supply-management maturity, cost savings and purchasing absorptive capacity: Testing the procurement–performance link","title-short":"Supply-management maturity, cost savings and purchasing absorptive capacity","volume":"13","author":[{"family":"Schiele","given":"Holger"}],"issued":{"date-parts":[["2007",12]]}}}],"schema":"https://github.com/citation-style-language/schema/raw/master/csl-citation.json"} </w:instrText>
      </w:r>
      <w:r w:rsidR="008E2992" w:rsidRPr="00BE2CF3">
        <w:rPr>
          <w:rFonts w:ascii="Arial" w:hAnsi="Arial" w:cs="Arial"/>
          <w:lang w:val="en-GB"/>
        </w:rPr>
        <w:fldChar w:fldCharType="separate"/>
      </w:r>
      <w:r w:rsidR="008E2992" w:rsidRPr="00BB3924">
        <w:rPr>
          <w:rFonts w:ascii="Arial" w:hAnsi="Arial" w:cs="Arial"/>
        </w:rPr>
        <w:t>(Schiele, 2007)</w:t>
      </w:r>
      <w:r w:rsidR="008E2992" w:rsidRPr="00BE2CF3">
        <w:rPr>
          <w:rFonts w:ascii="Arial" w:hAnsi="Arial" w:cs="Arial"/>
          <w:lang w:val="en-GB"/>
        </w:rPr>
        <w:fldChar w:fldCharType="end"/>
      </w:r>
      <w:r w:rsidR="008E2992" w:rsidRPr="00BB3924">
        <w:rPr>
          <w:rFonts w:ascii="Arial" w:hAnsi="Arial" w:cs="Arial"/>
        </w:rPr>
        <w:t>.</w:t>
      </w:r>
      <w:r w:rsidR="00B74909" w:rsidRPr="00BB3924">
        <w:rPr>
          <w:rFonts w:ascii="Arial" w:hAnsi="Arial" w:cs="Arial"/>
        </w:rPr>
        <w:t xml:space="preserve"> </w:t>
      </w:r>
    </w:p>
    <w:p w14:paraId="58083888" w14:textId="63782E0B" w:rsidR="001C2007" w:rsidRPr="00FD3987" w:rsidRDefault="00D76DB6" w:rsidP="00705E36">
      <w:pPr>
        <w:ind w:right="140"/>
        <w:rPr>
          <w:rFonts w:ascii="Arial" w:hAnsi="Arial" w:cs="Arial"/>
        </w:rPr>
      </w:pPr>
      <w:r w:rsidRPr="00D76DB6">
        <w:rPr>
          <w:rFonts w:ascii="Arial" w:hAnsi="Arial" w:cs="Arial"/>
        </w:rPr>
        <w:t>Si bien durante los últimos años ha habido un aumento continuo de contribuciones y literatura académica relacionada con la actividad cotidiana más estratégica de compras dentro de la empresa</w:t>
      </w:r>
      <w:r w:rsidR="001C2007" w:rsidRPr="00D76DB6">
        <w:rPr>
          <w:rFonts w:ascii="Arial" w:hAnsi="Arial" w:cs="Arial"/>
        </w:rPr>
        <w:t xml:space="preserve"> </w:t>
      </w:r>
      <w:r w:rsidR="001C2007" w:rsidRPr="00BE2CF3">
        <w:rPr>
          <w:rFonts w:ascii="Arial" w:hAnsi="Arial" w:cs="Arial"/>
          <w:lang w:val="en-GB"/>
        </w:rPr>
        <w:fldChar w:fldCharType="begin"/>
      </w:r>
      <w:r w:rsidR="001C2007" w:rsidRPr="00D76DB6">
        <w:rPr>
          <w:rFonts w:ascii="Arial" w:hAnsi="Arial" w:cs="Arial"/>
        </w:rPr>
        <w:instrText xml:space="preserve"> ADDIN ZOTERO_ITEM CSL_CITATION {"citationID":"Bg8CDAW7","properties":{"formattedCitation":"(Gonz\\uc0\\u225{}lez-Benito, 2007)","plainCitation":"(González-Benito, 2007)","noteIndex":0},"citationItems":[{"id":492,"uris":["http://zotero.org/users/9514289/items/JQUBHE5G"],"itemData":{"id":492,"type":"article-journal","abstract":"Although the strategic importance of purchasing has been acknowledged in recent years, few studies analyze its contribution to business performance. The alignment of the purchasing function with business strategy is essential, but previous work links better performance with the implementation of speci</w:instrText>
      </w:r>
      <w:r w:rsidR="001C2007" w:rsidRPr="00BE2CF3">
        <w:rPr>
          <w:rFonts w:ascii="Arial" w:hAnsi="Arial" w:cs="Arial"/>
          <w:lang w:val="en-GB"/>
        </w:rPr>
        <w:instrText>ﬁ</w:instrText>
      </w:r>
      <w:r w:rsidR="001C2007" w:rsidRPr="00D76DB6">
        <w:rPr>
          <w:rFonts w:ascii="Arial" w:hAnsi="Arial" w:cs="Arial"/>
        </w:rPr>
        <w:instrText xml:space="preserve">c purchasing practices. This article develops a different approach focused on purchasing capabilities rather than purchasing practices and proposes that purchasing’s contribution to business performance depends on the degree to which purchasing capabilities </w:instrText>
      </w:r>
      <w:r w:rsidR="001C2007" w:rsidRPr="00BE2CF3">
        <w:rPr>
          <w:rFonts w:ascii="Arial" w:hAnsi="Arial" w:cs="Arial"/>
          <w:lang w:val="en-GB"/>
        </w:rPr>
        <w:instrText>ﬁ</w:instrText>
      </w:r>
      <w:r w:rsidR="001C2007" w:rsidRPr="00D76DB6">
        <w:rPr>
          <w:rFonts w:ascii="Arial" w:hAnsi="Arial" w:cs="Arial"/>
        </w:rPr>
        <w:instrText xml:space="preserve">t with and support the business strategy. By adapting the Theory of Production Competence to the purchasing context, this article distinguishes two levels of </w:instrText>
      </w:r>
      <w:r w:rsidR="001C2007" w:rsidRPr="00BE2CF3">
        <w:rPr>
          <w:rFonts w:ascii="Arial" w:hAnsi="Arial" w:cs="Arial"/>
          <w:lang w:val="en-GB"/>
        </w:rPr>
        <w:instrText>ﬁ</w:instrText>
      </w:r>
      <w:r w:rsidR="001C2007" w:rsidRPr="00D76DB6">
        <w:rPr>
          <w:rFonts w:ascii="Arial" w:hAnsi="Arial" w:cs="Arial"/>
        </w:rPr>
        <w:instrText>t: between purchasing strategic objectives and purchasing capabilities, de</w:instrText>
      </w:r>
      <w:r w:rsidR="001C2007" w:rsidRPr="00BE2CF3">
        <w:rPr>
          <w:rFonts w:ascii="Arial" w:hAnsi="Arial" w:cs="Arial"/>
          <w:lang w:val="en-GB"/>
        </w:rPr>
        <w:instrText>ﬁ</w:instrText>
      </w:r>
      <w:r w:rsidR="001C2007" w:rsidRPr="00D76DB6">
        <w:rPr>
          <w:rFonts w:ascii="Arial" w:hAnsi="Arial" w:cs="Arial"/>
        </w:rPr>
        <w:instrText>ned as ‘‘purchasing ef</w:instrText>
      </w:r>
      <w:r w:rsidR="001C2007" w:rsidRPr="00BE2CF3">
        <w:rPr>
          <w:rFonts w:ascii="Arial" w:hAnsi="Arial" w:cs="Arial"/>
          <w:lang w:val="en-GB"/>
        </w:rPr>
        <w:instrText>ﬁ</w:instrText>
      </w:r>
      <w:r w:rsidR="001C2007" w:rsidRPr="00D76DB6">
        <w:rPr>
          <w:rFonts w:ascii="Arial" w:hAnsi="Arial" w:cs="Arial"/>
        </w:rPr>
        <w:instrText xml:space="preserve">cacy,’’ and between business strategy and purchasing strategic objectives, which is viewed as an immediate consequence of the strategic integration of purchasing. The interaction between both levels of </w:instrText>
      </w:r>
      <w:r w:rsidR="001C2007" w:rsidRPr="00BE2CF3">
        <w:rPr>
          <w:rFonts w:ascii="Arial" w:hAnsi="Arial" w:cs="Arial"/>
          <w:lang w:val="en-GB"/>
        </w:rPr>
        <w:instrText>ﬁ</w:instrText>
      </w:r>
      <w:r w:rsidR="001C2007" w:rsidRPr="00D76DB6">
        <w:rPr>
          <w:rFonts w:ascii="Arial" w:hAnsi="Arial" w:cs="Arial"/>
        </w:rPr>
        <w:instrText>t in</w:instrText>
      </w:r>
      <w:r w:rsidR="001C2007" w:rsidRPr="00BE2CF3">
        <w:rPr>
          <w:rFonts w:ascii="Arial" w:hAnsi="Arial" w:cs="Arial"/>
          <w:lang w:val="en-GB"/>
        </w:rPr>
        <w:instrText>ﬂ</w:instrText>
      </w:r>
      <w:r w:rsidR="001C2007" w:rsidRPr="00D76DB6">
        <w:rPr>
          <w:rFonts w:ascii="Arial" w:hAnsi="Arial" w:cs="Arial"/>
        </w:rPr>
        <w:instrText xml:space="preserve">uences business commercial and </w:instrText>
      </w:r>
      <w:r w:rsidR="001C2007" w:rsidRPr="00BE2CF3">
        <w:rPr>
          <w:rFonts w:ascii="Arial" w:hAnsi="Arial" w:cs="Arial"/>
          <w:lang w:val="en-GB"/>
        </w:rPr>
        <w:instrText>ﬁ</w:instrText>
      </w:r>
      <w:r w:rsidR="001C2007" w:rsidRPr="00D76DB6">
        <w:rPr>
          <w:rFonts w:ascii="Arial" w:hAnsi="Arial" w:cs="Arial"/>
        </w:rPr>
        <w:instrText xml:space="preserve">nancial performance, and an empirical analysis of 141 industrial companies supports this proposition.","container-title":"Journal of Operations Management","DOI":"10.1016/j.jom.2007.02.001","ISSN":"02726963","issue":"4","journalAbbreviation":"Journal of Operations Management","language":"en","page":"901-917","source":"DOI.org (Crossref)","title":"A theory of purchasing's contribution to business performance","volume":"25","author":[{"family":"González-Benito","given":"Javier"}],"issued":{"date-parts":[["2007",6]]}}}],"schema":"https://github.com/citation-style-language/schema/raw/master/csl-citation.json"} </w:instrText>
      </w:r>
      <w:r w:rsidR="001C2007" w:rsidRPr="00BE2CF3">
        <w:rPr>
          <w:rFonts w:ascii="Arial" w:hAnsi="Arial" w:cs="Arial"/>
          <w:lang w:val="en-GB"/>
        </w:rPr>
        <w:fldChar w:fldCharType="separate"/>
      </w:r>
      <w:r w:rsidR="001C2007" w:rsidRPr="00D76DB6">
        <w:rPr>
          <w:rFonts w:ascii="Arial" w:hAnsi="Arial" w:cs="Arial"/>
          <w:szCs w:val="24"/>
        </w:rPr>
        <w:t>(González-Benito, 2007)</w:t>
      </w:r>
      <w:r w:rsidR="001C2007" w:rsidRPr="00BE2CF3">
        <w:rPr>
          <w:rFonts w:ascii="Arial" w:hAnsi="Arial" w:cs="Arial"/>
          <w:lang w:val="en-GB"/>
        </w:rPr>
        <w:fldChar w:fldCharType="end"/>
      </w:r>
      <w:r w:rsidR="001C2007" w:rsidRPr="00D76DB6">
        <w:rPr>
          <w:rFonts w:ascii="Arial" w:hAnsi="Arial" w:cs="Arial"/>
        </w:rPr>
        <w:t xml:space="preserve">. </w:t>
      </w:r>
      <w:r w:rsidR="00725372" w:rsidRPr="00725372">
        <w:rPr>
          <w:rFonts w:ascii="Arial" w:hAnsi="Arial" w:cs="Arial"/>
        </w:rPr>
        <w:t>Sin embargo, tanto los académicos como los profesionales todavía consideran que el ahorro de cost</w:t>
      </w:r>
      <w:r w:rsidR="00F634A0">
        <w:rPr>
          <w:rFonts w:ascii="Arial" w:hAnsi="Arial" w:cs="Arial"/>
        </w:rPr>
        <w:t>e</w:t>
      </w:r>
      <w:r w:rsidR="00725372" w:rsidRPr="00725372">
        <w:rPr>
          <w:rFonts w:ascii="Arial" w:hAnsi="Arial" w:cs="Arial"/>
        </w:rPr>
        <w:t>s puro es la principal contribución de las compras</w:t>
      </w:r>
      <w:r w:rsidR="001C2007" w:rsidRPr="00725372">
        <w:rPr>
          <w:rFonts w:ascii="Arial" w:hAnsi="Arial" w:cs="Arial"/>
        </w:rPr>
        <w:t xml:space="preserve"> </w:t>
      </w:r>
      <w:r w:rsidR="001C2007" w:rsidRPr="00BE2CF3">
        <w:rPr>
          <w:rFonts w:ascii="Arial" w:hAnsi="Arial" w:cs="Arial"/>
          <w:lang w:val="en-GB"/>
        </w:rPr>
        <w:fldChar w:fldCharType="begin"/>
      </w:r>
      <w:r w:rsidR="000968AF">
        <w:rPr>
          <w:rFonts w:ascii="Arial" w:hAnsi="Arial" w:cs="Arial"/>
        </w:rPr>
        <w:instrText xml:space="preserve"> ADDIN ZOTERO_ITEM CSL_CITATION {"citationID":"o72vPqD0","properties":{"unsorted":true,"formattedCitation":"(Sch\\uc0\\u252{}tz et al., 2020; Hartmann et al., 2012)","plainCitation":"(Schütz et al., 2020; Hartmann et al., 2012)","noteIndex":0},"citationItems":[{"id":"b1IaCvtg/RablZoXU","uris":["http://zotero.org/users/9514289/items/UVQA8V79"],"itemData":{"id":"K8MX2f90/bS7SOnQL","type":"article-journal","abstract":"The competitive advantage purchasing provides has been debated for decades. For a novel perspective we derive a theoretical framework grounded in the knowledge-based view in order to examine how purchasing knowledge and purchasing integration impact cost and strategic performance. The derived hypotheses are tested based on extensive secondary data from a large European multinational utility company. The 179 studied ‘purchasinginternal client relationships’ contain real contracted savings data and internal client ratings of purchasing knowledge, purchasing integration and strategic purchasing performance. We show that purchasing knowledge is a major antecedent for both savings and strategic purchasing performance. This effect is further amplified by purchasing integration. With this study, we extend the understanding of the purchasing knowledge–performance link. We conclude that purchasing knowledge becomes particularly valuable when combined with other functions' processes through purchasing integration. This causal chain is also supported through general knowledgebased view theory. Moreover, we provide numerical evidence of the value of knowledge creation and integration processes to purchasing professionals in our managerial implications based on results obtained from actual purchasing savings data.","container-title":"Journal of Purchasing and Supply Management","DOI":"10.1016/j.pursup.2019.04.002","ISSN":"14784092","issue":"2","journalAbbreviation":"Journal of Purchasing and Supply Management","language":"en","page":"100534","source":"DOI.org (Crossref)","title":"How to achieve cost savings and strategic performance in purchasing simultaneously: A knowledge-based view","title-short":"How to achieve cost savings and strategic performance in purchasing simultaneously","volume":"26","author":[{"family":"Schütz","given":"Kai"},{"family":"Kässer","given":"Matthias"},{"family":"Blome","given":"Constantin"},{"family":"Foerstl","given":"Kai"}],"issued":{"date-parts":[["2020",3]]}}},{"id":611,"uris":["http://zotero.org/users/9514289/items/A9ZE24JN"],"itemData":{"id":611,"type":"article-journal","abstract":"Getting a substantial value addition out of investments in purchasing and supply management (PSM) is of central importance to senior management. However, the empirical evidence of a ﬁnancial value contribution is fragmented. The current study addresses this fragmentation by using a comprehensive performance measurement model to validate empirically (a) whether PSM contributes to the company’s ﬁnancial success and (b) whether the ﬁnancial value contribution is mediated by beneﬁts of three operational performances (cost, quality, and innovation performance). Our ﬁndings from an international survey of 306 major companies from eight industry sectors suggest that an advanced, comprehensive implementation of PSM activities contributes to an improvement in PSM outcomes, which in turn mediates company success.","container-title":"Journal of Purchasing and Supply Management","DOI":"10.1016/j.pursup.2011.12.001","ISSN":"14784092","issue":"1","journalAbbreviation":"Journal of Purchasing and Supply Management","language":"en","page":"22-34","source":"DOI.org (Crossref)","title":"Top and bottom line relevance of purchasing and supply management","volume":"18","author":[{"family":"Hartmann","given":"Evi"},{"family":"Kerkfeld","given":"Dieter"},{"family":"Henke","given":"Michael"}],"issued":{"date-parts":[["2012",3]]}}}],"schema":"https://github.com/citation-style-language/schema/raw/master/csl-citation.json"} </w:instrText>
      </w:r>
      <w:r w:rsidR="001C2007" w:rsidRPr="00BE2CF3">
        <w:rPr>
          <w:rFonts w:ascii="Arial" w:hAnsi="Arial" w:cs="Arial"/>
          <w:lang w:val="en-GB"/>
        </w:rPr>
        <w:fldChar w:fldCharType="separate"/>
      </w:r>
      <w:r w:rsidR="00F562D9" w:rsidRPr="00901F3B">
        <w:rPr>
          <w:rFonts w:ascii="Arial" w:hAnsi="Arial" w:cs="Arial"/>
          <w:kern w:val="0"/>
        </w:rPr>
        <w:t>(Schütz et al., 2020; Hartmann et al., 2012)</w:t>
      </w:r>
      <w:r w:rsidR="001C2007" w:rsidRPr="00BE2CF3">
        <w:rPr>
          <w:rFonts w:ascii="Arial" w:hAnsi="Arial" w:cs="Arial"/>
          <w:lang w:val="en-GB"/>
        </w:rPr>
        <w:fldChar w:fldCharType="end"/>
      </w:r>
      <w:r w:rsidR="001C2007" w:rsidRPr="00901F3B">
        <w:rPr>
          <w:rFonts w:ascii="Arial" w:hAnsi="Arial" w:cs="Arial"/>
        </w:rPr>
        <w:t>.</w:t>
      </w:r>
      <w:r w:rsidR="00690BDC" w:rsidRPr="00901F3B">
        <w:rPr>
          <w:rFonts w:ascii="Arial" w:hAnsi="Arial" w:cs="Arial"/>
        </w:rPr>
        <w:t xml:space="preserve"> </w:t>
      </w:r>
      <w:r w:rsidR="00901F3B" w:rsidRPr="00901F3B">
        <w:rPr>
          <w:rFonts w:ascii="Arial" w:hAnsi="Arial" w:cs="Arial"/>
        </w:rPr>
        <w:t>Incluso desde posiciones más estratégicas</w:t>
      </w:r>
      <w:r w:rsidR="002B0117">
        <w:rPr>
          <w:rFonts w:ascii="Arial" w:hAnsi="Arial" w:cs="Arial"/>
        </w:rPr>
        <w:t xml:space="preserve"> compras se relaciona con los ahorros</w:t>
      </w:r>
      <w:r w:rsidR="00901F3B" w:rsidRPr="00901F3B">
        <w:rPr>
          <w:rFonts w:ascii="Arial" w:hAnsi="Arial" w:cs="Arial"/>
        </w:rPr>
        <w:t>,</w:t>
      </w:r>
      <w:r w:rsidR="00D576BA">
        <w:rPr>
          <w:rFonts w:ascii="Arial" w:hAnsi="Arial" w:cs="Arial"/>
        </w:rPr>
        <w:t xml:space="preserve"> </w:t>
      </w:r>
      <w:r w:rsidR="00330C44">
        <w:rPr>
          <w:rFonts w:ascii="Arial" w:hAnsi="Arial" w:cs="Arial"/>
        </w:rPr>
        <w:t>indicando que</w:t>
      </w:r>
      <w:r w:rsidR="00901F3B" w:rsidRPr="00901F3B">
        <w:rPr>
          <w:rFonts w:ascii="Arial" w:hAnsi="Arial" w:cs="Arial"/>
        </w:rPr>
        <w:t xml:space="preserve"> un mayor tiempo dedicado a actividades estratégicas de PSM se traduce en mayores ahorros de cost</w:t>
      </w:r>
      <w:r w:rsidR="00B76905">
        <w:rPr>
          <w:rFonts w:ascii="Arial" w:hAnsi="Arial" w:cs="Arial"/>
        </w:rPr>
        <w:t>e</w:t>
      </w:r>
      <w:r w:rsidR="00901F3B" w:rsidRPr="00901F3B">
        <w:rPr>
          <w:rFonts w:ascii="Arial" w:hAnsi="Arial" w:cs="Arial"/>
        </w:rPr>
        <w:t>s</w:t>
      </w:r>
      <w:r w:rsidR="00535F66" w:rsidRPr="00901F3B">
        <w:rPr>
          <w:rFonts w:ascii="Arial" w:hAnsi="Arial" w:cs="Arial"/>
        </w:rPr>
        <w:t xml:space="preserve"> </w:t>
      </w:r>
      <w:r w:rsidR="0006612E">
        <w:rPr>
          <w:rFonts w:ascii="Arial" w:hAnsi="Arial" w:cs="Arial"/>
          <w:lang w:val="en-GB"/>
        </w:rPr>
        <w:fldChar w:fldCharType="begin"/>
      </w:r>
      <w:r w:rsidR="0006612E" w:rsidRPr="00901F3B">
        <w:rPr>
          <w:rFonts w:ascii="Arial" w:hAnsi="Arial" w:cs="Arial"/>
        </w:rPr>
        <w:instrText xml:space="preserve"> ADDIN ZOTERO_ITEM CSL_CITATION {"citationID":"EB96FlgW","properties":{"formattedCitation":"(\\uc0\\u218{}beda et al., 2015)","plainCitation":"(Úbeda et al., 2015)","noteIndex":0},"citationItems":[{"id":675,"uris":["http://zotero.org/users/9514289/items/A7PTSIAL"],"itemData":{"id":675,"type":"article-journal","abstract":"Latin American countries show a lack of productivity and innovation compared with OECD economies. Business networks constitute a tool to improve this situation, and purchasing can help organizations create business networks with suppliers, as purchasing has evolved from a support function to a key strategic tool for organizations. Purchasing maturity models re</w:instrText>
      </w:r>
      <w:r w:rsidR="0006612E">
        <w:rPr>
          <w:rFonts w:ascii="Arial" w:hAnsi="Arial" w:cs="Arial"/>
          <w:lang w:val="en-GB"/>
        </w:rPr>
        <w:instrText>ﬂ</w:instrText>
      </w:r>
      <w:r w:rsidR="0006612E" w:rsidRPr="00901F3B">
        <w:rPr>
          <w:rFonts w:ascii="Arial" w:hAnsi="Arial" w:cs="Arial"/>
        </w:rPr>
        <w:instrText xml:space="preserve">ect this evolution. As their level of purchasing maturity increases, organizations experience increased performance. Unfortunately, however, current models do not specify the purchasing tools and methodologies that </w:instrText>
      </w:r>
      <w:r w:rsidR="0006612E">
        <w:rPr>
          <w:rFonts w:ascii="Arial" w:hAnsi="Arial" w:cs="Arial"/>
          <w:lang w:val="en-GB"/>
        </w:rPr>
        <w:instrText>ﬁ</w:instrText>
      </w:r>
      <w:r w:rsidR="0006612E" w:rsidRPr="00901F3B">
        <w:rPr>
          <w:rFonts w:ascii="Arial" w:hAnsi="Arial" w:cs="Arial"/>
        </w:rPr>
        <w:instrText>rms should use to enhance their purchasing maturity level and thus increase their cost savings. This study advances the literature by identifying 16 tools, methodologies, and strategic and nonstrategic activities, as well as 10 cost-saving levers linked to the stages of purchasing maturity. Based on a study of 278 Chilean companies, this paper identi</w:instrText>
      </w:r>
      <w:r w:rsidR="0006612E">
        <w:rPr>
          <w:rFonts w:ascii="Arial" w:hAnsi="Arial" w:cs="Arial"/>
          <w:lang w:val="en-GB"/>
        </w:rPr>
        <w:instrText>ﬁ</w:instrText>
      </w:r>
      <w:r w:rsidR="0006612E" w:rsidRPr="00901F3B">
        <w:rPr>
          <w:rFonts w:ascii="Arial" w:hAnsi="Arial" w:cs="Arial"/>
        </w:rPr>
        <w:instrText>es which key activities, tools, and methodologies that organizati</w:instrText>
      </w:r>
      <w:r w:rsidR="0006612E" w:rsidRPr="00883322">
        <w:rPr>
          <w:rFonts w:ascii="Arial" w:hAnsi="Arial" w:cs="Arial"/>
        </w:rPr>
        <w:instrText>o</w:instrText>
      </w:r>
      <w:r w:rsidR="0006612E" w:rsidRPr="00FD3987">
        <w:rPr>
          <w:rFonts w:ascii="Arial" w:hAnsi="Arial" w:cs="Arial"/>
        </w:rPr>
        <w:instrText xml:space="preserve">ns can use to improve their purchasing performance.","container-title":"Journal of Business Research","DOI":"10.1016/j.jbusres.2014.09.026","ISSN":"01482963","issue":"2","journalAbbreviation":"Journal of Business Research","language":"en","page":"177-188","source":"DOI.org (Crossref)","title":"Purchasing models and organizational performance: a study of key strategic tools","title-short":"Purchasing models and organizational performance","volume":"68","author":[{"family":"Úbeda","given":"Ricardo"},{"family":"Alsua","given":"Carlos"},{"family":"Carrasco","given":"Nelson"}],"issued":{"date-parts":[["2015",2]]}}}],"schema":"https://github.com/citation-style-language/schema/raw/master/csl-citation.json"} </w:instrText>
      </w:r>
      <w:r w:rsidR="0006612E">
        <w:rPr>
          <w:rFonts w:ascii="Arial" w:hAnsi="Arial" w:cs="Arial"/>
          <w:lang w:val="en-GB"/>
        </w:rPr>
        <w:fldChar w:fldCharType="separate"/>
      </w:r>
      <w:r w:rsidR="0006612E" w:rsidRPr="00FD3987">
        <w:rPr>
          <w:rFonts w:ascii="Arial" w:hAnsi="Arial" w:cs="Arial"/>
          <w:kern w:val="0"/>
        </w:rPr>
        <w:t>(Úbeda et al., 2015)</w:t>
      </w:r>
      <w:r w:rsidR="0006612E">
        <w:rPr>
          <w:rFonts w:ascii="Arial" w:hAnsi="Arial" w:cs="Arial"/>
          <w:lang w:val="en-GB"/>
        </w:rPr>
        <w:fldChar w:fldCharType="end"/>
      </w:r>
      <w:r w:rsidR="0006612E" w:rsidRPr="00FD3987">
        <w:rPr>
          <w:rFonts w:ascii="Arial" w:hAnsi="Arial" w:cs="Arial"/>
        </w:rPr>
        <w:t>.</w:t>
      </w:r>
    </w:p>
    <w:p w14:paraId="34A4FC62" w14:textId="0C3674AE" w:rsidR="008A29E6" w:rsidRPr="00FD3987" w:rsidRDefault="00FD3987" w:rsidP="00705E36">
      <w:pPr>
        <w:ind w:right="140"/>
        <w:rPr>
          <w:rFonts w:ascii="Arial" w:hAnsi="Arial" w:cs="Arial"/>
        </w:rPr>
      </w:pPr>
      <w:r w:rsidRPr="00FD3987">
        <w:rPr>
          <w:rFonts w:ascii="Arial" w:hAnsi="Arial" w:cs="Arial"/>
        </w:rPr>
        <w:t>Por tanto, surge la pregunta: ¿cómo se pueden lograr ahorros de cost</w:t>
      </w:r>
      <w:r w:rsidR="00B76905">
        <w:rPr>
          <w:rFonts w:ascii="Arial" w:hAnsi="Arial" w:cs="Arial"/>
        </w:rPr>
        <w:t>e</w:t>
      </w:r>
      <w:r w:rsidRPr="00FD3987">
        <w:rPr>
          <w:rFonts w:ascii="Arial" w:hAnsi="Arial" w:cs="Arial"/>
        </w:rPr>
        <w:t xml:space="preserve">s elevados y, al mismo tiempo, aumentar el </w:t>
      </w:r>
      <w:r w:rsidR="008E581C">
        <w:rPr>
          <w:rFonts w:ascii="Arial" w:hAnsi="Arial" w:cs="Arial"/>
        </w:rPr>
        <w:t>desempeño</w:t>
      </w:r>
      <w:r w:rsidRPr="00FD3987">
        <w:rPr>
          <w:rFonts w:ascii="Arial" w:hAnsi="Arial" w:cs="Arial"/>
        </w:rPr>
        <w:t xml:space="preserve"> de compras </w:t>
      </w:r>
      <w:r w:rsidR="00BA5EE8">
        <w:rPr>
          <w:rFonts w:ascii="Arial" w:hAnsi="Arial" w:cs="Arial"/>
        </w:rPr>
        <w:t xml:space="preserve">en </w:t>
      </w:r>
      <w:r w:rsidRPr="00FD3987">
        <w:rPr>
          <w:rFonts w:ascii="Arial" w:hAnsi="Arial" w:cs="Arial"/>
        </w:rPr>
        <w:t xml:space="preserve">otras prioridades estratégicas, como la capacidad de </w:t>
      </w:r>
      <w:r w:rsidR="003134E1">
        <w:rPr>
          <w:rFonts w:ascii="Arial" w:hAnsi="Arial" w:cs="Arial"/>
        </w:rPr>
        <w:t>reacción</w:t>
      </w:r>
      <w:r w:rsidRPr="00FD3987">
        <w:rPr>
          <w:rFonts w:ascii="Arial" w:hAnsi="Arial" w:cs="Arial"/>
        </w:rPr>
        <w:t xml:space="preserve"> o la innovación? El logro de ahorros de cost</w:t>
      </w:r>
      <w:r w:rsidR="003134E1">
        <w:rPr>
          <w:rFonts w:ascii="Arial" w:hAnsi="Arial" w:cs="Arial"/>
        </w:rPr>
        <w:t>e</w:t>
      </w:r>
      <w:r w:rsidRPr="00FD3987">
        <w:rPr>
          <w:rFonts w:ascii="Arial" w:hAnsi="Arial" w:cs="Arial"/>
        </w:rPr>
        <w:t>s generalmente se considera una tarea táctica y de corto plazo que es fácil de medir y comunicar</w:t>
      </w:r>
      <w:r w:rsidR="008A29E6" w:rsidRPr="00FD3987">
        <w:rPr>
          <w:rFonts w:ascii="Arial" w:hAnsi="Arial" w:cs="Arial"/>
        </w:rPr>
        <w:t xml:space="preserve"> </w:t>
      </w:r>
      <w:r w:rsidR="008A29E6" w:rsidRPr="00BE2CF3">
        <w:rPr>
          <w:rFonts w:ascii="Arial" w:hAnsi="Arial" w:cs="Arial"/>
          <w:lang w:val="en-GB"/>
        </w:rPr>
        <w:fldChar w:fldCharType="begin"/>
      </w:r>
      <w:r w:rsidR="008A29E6" w:rsidRPr="00FD3987">
        <w:rPr>
          <w:rFonts w:ascii="Arial" w:hAnsi="Arial" w:cs="Arial"/>
        </w:rPr>
        <w:instrText xml:space="preserve"> ADDIN ZOTERO_ITEM CSL_CITATION {"citationID":"v208chGv","properties":{"formattedCitation":"(Schiele, 2007)","plainCitation":"(Schiele, 2007)","noteIndex":0},"citationItems":[{"id":471,"uris":["http://zotero.org/users/9514289/items/XI9X8ZE6"],"itemData":{"id":471,"type":"article-journal","abstract":"The relationship between the development level a purchasing organisation has reached—maturity—and its impact on the performance of a </w:instrText>
      </w:r>
      <w:r w:rsidR="008A29E6" w:rsidRPr="00BE2CF3">
        <w:rPr>
          <w:rFonts w:ascii="Arial" w:hAnsi="Arial" w:cs="Arial"/>
          <w:lang w:val="en-GB"/>
        </w:rPr>
        <w:instrText>ﬁ</w:instrText>
      </w:r>
      <w:r w:rsidR="008A29E6" w:rsidRPr="00FD3987">
        <w:rPr>
          <w:rFonts w:ascii="Arial" w:hAnsi="Arial" w:cs="Arial"/>
        </w:rPr>
        <w:instrText xml:space="preserve">rm has received only limited attention until now. We conducted extensive purchasing audits using a comprehensive tool to assess </w:instrText>
      </w:r>
      <w:r w:rsidR="008A29E6" w:rsidRPr="00BE2CF3">
        <w:rPr>
          <w:rFonts w:ascii="Arial" w:hAnsi="Arial" w:cs="Arial"/>
          <w:lang w:val="en-GB"/>
        </w:rPr>
        <w:instrText>ﬁ</w:instrText>
      </w:r>
      <w:r w:rsidR="008A29E6" w:rsidRPr="00FD3987">
        <w:rPr>
          <w:rFonts w:ascii="Arial" w:hAnsi="Arial" w:cs="Arial"/>
        </w:rPr>
        <w:instrText xml:space="preserve">rms’ maturity level. These </w:instrText>
      </w:r>
      <w:r w:rsidR="008A29E6" w:rsidRPr="00BE2CF3">
        <w:rPr>
          <w:rFonts w:ascii="Arial" w:hAnsi="Arial" w:cs="Arial"/>
          <w:lang w:val="en-GB"/>
        </w:rPr>
        <w:instrText>ﬁ</w:instrText>
      </w:r>
      <w:r w:rsidR="008A29E6" w:rsidRPr="00FD3987">
        <w:rPr>
          <w:rFonts w:ascii="Arial" w:hAnsi="Arial" w:cs="Arial"/>
        </w:rPr>
        <w:instrText>rms’ performance was then measured by their success in a purchasing cost-reduction programme. The results showed a highly signi</w:instrText>
      </w:r>
      <w:r w:rsidR="008A29E6" w:rsidRPr="00BE2CF3">
        <w:rPr>
          <w:rFonts w:ascii="Arial" w:hAnsi="Arial" w:cs="Arial"/>
          <w:lang w:val="en-GB"/>
        </w:rPr>
        <w:instrText>ﬁ</w:instrText>
      </w:r>
      <w:r w:rsidR="008A29E6" w:rsidRPr="00FD3987">
        <w:rPr>
          <w:rFonts w:ascii="Arial" w:hAnsi="Arial" w:cs="Arial"/>
        </w:rPr>
        <w:instrText>cant relationship between purchasing’s maturity level and cost-reduction results. Somewhat counterintuitively, larger saving potential was identi</w:instrText>
      </w:r>
      <w:r w:rsidR="008A29E6" w:rsidRPr="00BE2CF3">
        <w:rPr>
          <w:rFonts w:ascii="Arial" w:hAnsi="Arial" w:cs="Arial"/>
          <w:lang w:val="en-GB"/>
        </w:rPr>
        <w:instrText>ﬁ</w:instrText>
      </w:r>
      <w:r w:rsidR="008A29E6" w:rsidRPr="00FD3987">
        <w:rPr>
          <w:rFonts w:ascii="Arial" w:hAnsi="Arial" w:cs="Arial"/>
        </w:rPr>
        <w:instrText xml:space="preserve">ed in more developed </w:instrText>
      </w:r>
      <w:r w:rsidR="008A29E6" w:rsidRPr="00BE2CF3">
        <w:rPr>
          <w:rFonts w:ascii="Arial" w:hAnsi="Arial" w:cs="Arial"/>
          <w:lang w:val="en-GB"/>
        </w:rPr>
        <w:instrText>ﬁ</w:instrText>
      </w:r>
      <w:r w:rsidR="008A29E6" w:rsidRPr="00FD3987">
        <w:rPr>
          <w:rFonts w:ascii="Arial" w:hAnsi="Arial" w:cs="Arial"/>
        </w:rPr>
        <w:instrText xml:space="preserve">rms. This </w:instrText>
      </w:r>
      <w:r w:rsidR="008A29E6" w:rsidRPr="00BE2CF3">
        <w:rPr>
          <w:rFonts w:ascii="Arial" w:hAnsi="Arial" w:cs="Arial"/>
          <w:lang w:val="en-GB"/>
        </w:rPr>
        <w:instrText>ﬁ</w:instrText>
      </w:r>
      <w:r w:rsidR="008A29E6" w:rsidRPr="00FD3987">
        <w:rPr>
          <w:rFonts w:ascii="Arial" w:hAnsi="Arial" w:cs="Arial"/>
        </w:rPr>
        <w:instrText xml:space="preserve">nding may be explained by a new concept called ‘‘purchasing absorptive capacity’’. If an organisation’s maturity is too low, the introduction of best practices, such as an innovative costreduction method, may fail.","container-title":"Journal of Purchasing and Supply Management","DOI":"10.1016/j.pursup.2007.10.002","ISSN":"14784092","issue":"4","journalAbbreviation":"Journal of Purchasing and Supply Management","language":"en","page":"274-293","source":"DOI.org (Crossref)","title":"Supply-management maturity, cost savings and purchasing absorptive capacity: Testing the procurement–performance link","title-short":"Supply-management maturity, cost savings and purchasing absorptive capacity","volume":"13","author":[{"family":"Schiele","given":"Holger"}],"issued":{"date-parts":[["2007",12]]}}}],"schema":"https://github.com/citation-style-language/schema/raw/master/csl-citation.json"} </w:instrText>
      </w:r>
      <w:r w:rsidR="008A29E6" w:rsidRPr="00BE2CF3">
        <w:rPr>
          <w:rFonts w:ascii="Arial" w:hAnsi="Arial" w:cs="Arial"/>
          <w:lang w:val="en-GB"/>
        </w:rPr>
        <w:fldChar w:fldCharType="separate"/>
      </w:r>
      <w:r w:rsidR="008A29E6" w:rsidRPr="00FD3987">
        <w:rPr>
          <w:rFonts w:ascii="Arial" w:hAnsi="Arial" w:cs="Arial"/>
        </w:rPr>
        <w:t>(Schiele, 2007)</w:t>
      </w:r>
      <w:r w:rsidR="008A29E6" w:rsidRPr="00BE2CF3">
        <w:rPr>
          <w:rFonts w:ascii="Arial" w:hAnsi="Arial" w:cs="Arial"/>
          <w:lang w:val="en-GB"/>
        </w:rPr>
        <w:fldChar w:fldCharType="end"/>
      </w:r>
      <w:r w:rsidR="008A29E6" w:rsidRPr="00FD3987">
        <w:rPr>
          <w:rFonts w:ascii="Arial" w:hAnsi="Arial" w:cs="Arial"/>
        </w:rPr>
        <w:t>.</w:t>
      </w:r>
    </w:p>
    <w:p w14:paraId="3250BACF" w14:textId="55F95D83" w:rsidR="00257915" w:rsidRPr="00300A7C" w:rsidRDefault="002347FB" w:rsidP="00705E36">
      <w:pPr>
        <w:ind w:right="140"/>
        <w:rPr>
          <w:rFonts w:ascii="Arial" w:hAnsi="Arial" w:cs="Arial"/>
        </w:rPr>
      </w:pPr>
      <w:r w:rsidRPr="002347FB">
        <w:rPr>
          <w:rFonts w:ascii="Arial" w:hAnsi="Arial" w:cs="Arial"/>
        </w:rPr>
        <w:t xml:space="preserve">La legitimidad interna de las compras está vinculada al </w:t>
      </w:r>
      <w:r w:rsidR="00EC1E41">
        <w:rPr>
          <w:rFonts w:ascii="Arial" w:hAnsi="Arial" w:cs="Arial"/>
        </w:rPr>
        <w:t>dominio</w:t>
      </w:r>
      <w:r w:rsidRPr="002347FB">
        <w:rPr>
          <w:rFonts w:ascii="Arial" w:hAnsi="Arial" w:cs="Arial"/>
        </w:rPr>
        <w:t xml:space="preserve"> </w:t>
      </w:r>
      <w:r w:rsidR="00EC1E41">
        <w:rPr>
          <w:rFonts w:ascii="Arial" w:hAnsi="Arial" w:cs="Arial"/>
        </w:rPr>
        <w:t>de</w:t>
      </w:r>
      <w:r w:rsidRPr="002347FB">
        <w:rPr>
          <w:rFonts w:ascii="Arial" w:hAnsi="Arial" w:cs="Arial"/>
        </w:rPr>
        <w:t xml:space="preserve"> las prácticas de compra, donde </w:t>
      </w:r>
      <w:r w:rsidR="006D4B9E">
        <w:rPr>
          <w:rFonts w:ascii="Arial" w:hAnsi="Arial" w:cs="Arial"/>
        </w:rPr>
        <w:t xml:space="preserve">se </w:t>
      </w:r>
      <w:r w:rsidR="00A93B3A">
        <w:rPr>
          <w:rFonts w:ascii="Arial" w:hAnsi="Arial" w:cs="Arial"/>
        </w:rPr>
        <w:t xml:space="preserve">aplica </w:t>
      </w:r>
      <w:r w:rsidR="000D1BAF">
        <w:rPr>
          <w:rFonts w:ascii="Arial" w:hAnsi="Arial" w:cs="Arial"/>
        </w:rPr>
        <w:t>un análisis</w:t>
      </w:r>
      <w:r w:rsidRPr="002347FB">
        <w:rPr>
          <w:rFonts w:ascii="Arial" w:hAnsi="Arial" w:cs="Arial"/>
        </w:rPr>
        <w:t xml:space="preserve"> exploratorio de la oferta y </w:t>
      </w:r>
      <w:r w:rsidR="00592695">
        <w:rPr>
          <w:rFonts w:ascii="Arial" w:hAnsi="Arial" w:cs="Arial"/>
        </w:rPr>
        <w:t>d</w:t>
      </w:r>
      <w:r w:rsidRPr="002347FB">
        <w:rPr>
          <w:rFonts w:ascii="Arial" w:hAnsi="Arial" w:cs="Arial"/>
        </w:rPr>
        <w:t xml:space="preserve">el </w:t>
      </w:r>
      <w:r w:rsidR="00293F9C">
        <w:rPr>
          <w:rFonts w:ascii="Arial" w:hAnsi="Arial" w:cs="Arial"/>
        </w:rPr>
        <w:t>desempeño</w:t>
      </w:r>
      <w:r w:rsidRPr="002347FB">
        <w:rPr>
          <w:rFonts w:ascii="Arial" w:hAnsi="Arial" w:cs="Arial"/>
        </w:rPr>
        <w:t xml:space="preserve"> de la empresa compradora, mientras que </w:t>
      </w:r>
      <w:r w:rsidR="00CF3B53">
        <w:rPr>
          <w:rFonts w:ascii="Arial" w:hAnsi="Arial" w:cs="Arial"/>
        </w:rPr>
        <w:t>el</w:t>
      </w:r>
      <w:r w:rsidR="00525A2E">
        <w:rPr>
          <w:rFonts w:ascii="Arial" w:hAnsi="Arial" w:cs="Arial"/>
        </w:rPr>
        <w:t xml:space="preserve"> conocimiento de</w:t>
      </w:r>
      <w:r w:rsidR="00EA44DD">
        <w:rPr>
          <w:rFonts w:ascii="Arial" w:hAnsi="Arial" w:cs="Arial"/>
        </w:rPr>
        <w:t xml:space="preserve"> la</w:t>
      </w:r>
      <w:r w:rsidRPr="002347FB">
        <w:rPr>
          <w:rFonts w:ascii="Arial" w:hAnsi="Arial" w:cs="Arial"/>
        </w:rPr>
        <w:t xml:space="preserve"> explota</w:t>
      </w:r>
      <w:r w:rsidR="00D64B53">
        <w:rPr>
          <w:rFonts w:ascii="Arial" w:hAnsi="Arial" w:cs="Arial"/>
        </w:rPr>
        <w:t>ción</w:t>
      </w:r>
      <w:r w:rsidR="003E19DF">
        <w:rPr>
          <w:rFonts w:ascii="Arial" w:hAnsi="Arial" w:cs="Arial"/>
        </w:rPr>
        <w:t xml:space="preserve"> </w:t>
      </w:r>
      <w:r w:rsidR="00190ABB">
        <w:rPr>
          <w:rFonts w:ascii="Arial" w:hAnsi="Arial" w:cs="Arial"/>
        </w:rPr>
        <w:t xml:space="preserve">interna </w:t>
      </w:r>
      <w:r w:rsidRPr="002347FB">
        <w:rPr>
          <w:rFonts w:ascii="Arial" w:hAnsi="Arial" w:cs="Arial"/>
        </w:rPr>
        <w:t>requiere menos estatu</w:t>
      </w:r>
      <w:r w:rsidR="00D64B53">
        <w:rPr>
          <w:rFonts w:ascii="Arial" w:hAnsi="Arial" w:cs="Arial"/>
        </w:rPr>
        <w:t>s</w:t>
      </w:r>
      <w:r w:rsidRPr="002347FB">
        <w:rPr>
          <w:rFonts w:ascii="Arial" w:hAnsi="Arial" w:cs="Arial"/>
        </w:rPr>
        <w:t xml:space="preserve"> para lograr reducciones de cost</w:t>
      </w:r>
      <w:r w:rsidR="000A33F0">
        <w:rPr>
          <w:rFonts w:ascii="Arial" w:hAnsi="Arial" w:cs="Arial"/>
        </w:rPr>
        <w:t>e</w:t>
      </w:r>
      <w:r w:rsidRPr="002347FB">
        <w:rPr>
          <w:rFonts w:ascii="Arial" w:hAnsi="Arial" w:cs="Arial"/>
        </w:rPr>
        <w:t>s</w:t>
      </w:r>
      <w:r w:rsidR="00257915" w:rsidRPr="002347FB">
        <w:rPr>
          <w:rFonts w:ascii="Arial" w:hAnsi="Arial" w:cs="Arial"/>
        </w:rPr>
        <w:t xml:space="preserve"> </w:t>
      </w:r>
      <w:r w:rsidR="00257915" w:rsidRPr="00BE2CF3">
        <w:rPr>
          <w:rFonts w:ascii="Arial" w:hAnsi="Arial" w:cs="Arial"/>
          <w:lang w:val="en-GB"/>
        </w:rPr>
        <w:fldChar w:fldCharType="begin"/>
      </w:r>
      <w:r w:rsidR="00257915" w:rsidRPr="002347FB">
        <w:rPr>
          <w:rFonts w:ascii="Arial" w:hAnsi="Arial" w:cs="Arial"/>
        </w:rPr>
        <w:instrText xml:space="preserve"> ADDIN ZOTERO_ITEM CSL_CITATION {"citationID":"XC8fkwCT","properties":{"formattedCitation":"(Kilpi et al., 2018)","plainCitation":"(Kilpi et al., 2018)","noteIndex":0},"citationItems":[{"id":163,"uris":["http://zotero.org/users/9514289/items/AI4W7DM9"],"itemData":{"id":163,"type":"article-journal","abstract":"Given the increasingly strategic role of external resources, acquiring knowledge about current suppliers and the broader supply market is an important and demanding task for the purchasing and supply management (PSM) function of a </w:instrText>
      </w:r>
      <w:r w:rsidR="00257915" w:rsidRPr="00BE2CF3">
        <w:rPr>
          <w:rFonts w:ascii="Arial" w:hAnsi="Arial" w:cs="Arial"/>
          <w:lang w:val="en-GB"/>
        </w:rPr>
        <w:instrText>ﬁ</w:instrText>
      </w:r>
      <w:r w:rsidR="00257915" w:rsidRPr="002347FB">
        <w:rPr>
          <w:rFonts w:ascii="Arial" w:hAnsi="Arial" w:cs="Arial"/>
        </w:rPr>
        <w:instrText xml:space="preserve">rm. Performance-improvement-oriented application of external supply knowledge present further challenges for the function. To examine this, we draw on the knowledge-based view and develop a hypothesized model in which supply knowledge acquisition drives PSM exploration and exploitation orientations which in turn mediate the organizational status of PSM function in terms of supply performance. We test the model on an SME-focused and survey-based dataset, using structural equation modelling. Our results indicate that an exploitative orientation is associated with knowledge gained from the supply base, whereas an explorative orientation is predominantly associated with supply market knowledge and less with supply base knowledge, suggesting natural pairings. The </w:instrText>
      </w:r>
      <w:r w:rsidR="00257915" w:rsidRPr="00BE2CF3">
        <w:rPr>
          <w:rFonts w:ascii="Arial" w:hAnsi="Arial" w:cs="Arial"/>
          <w:lang w:val="en-GB"/>
        </w:rPr>
        <w:instrText>ﬁ</w:instrText>
      </w:r>
      <w:r w:rsidR="00257915" w:rsidRPr="002347FB">
        <w:rPr>
          <w:rFonts w:ascii="Arial" w:hAnsi="Arial" w:cs="Arial"/>
        </w:rPr>
        <w:instrText>ndings also show how an exploitative development orientation mediates the positive association of the PSM function's organizational status with supply performance. Driven by supply base knowledge, a status-empowered exploitative PSM orientation may suppress supply market based explorative orientation in resource-scarce SMEs, thus appearing to serve as the sole path to supply performance. Our research contributes by pointing out the signi</w:instrText>
      </w:r>
      <w:r w:rsidR="00257915" w:rsidRPr="00BE2CF3">
        <w:rPr>
          <w:rFonts w:ascii="Arial" w:hAnsi="Arial" w:cs="Arial"/>
          <w:lang w:val="en-GB"/>
        </w:rPr>
        <w:instrText>ﬁ</w:instrText>
      </w:r>
      <w:r w:rsidR="00257915" w:rsidRPr="002347FB">
        <w:rPr>
          <w:rFonts w:ascii="Arial" w:hAnsi="Arial" w:cs="Arial"/>
        </w:rPr>
        <w:instrText xml:space="preserve">cance of the knowledge-resource, and the knowledge-based view, in understanding performance in PSM.","container-title":"Journal of Purchasing and Supply Management","DOI":"10.1016/j.pursup.2017.08.001","ISSN":"14784092","issue":"3","journalAbbreviation":"Journal of Purchasing and Supply Management","language":"en","page":"247-259","source":"DOI.org (Crossref)","title":"The effect of external supply knowledge acquisition, development activities and organizational status on the supply performance of SMEs","volume":"24","author":[{"family":"Kilpi","given":"Vesa"},{"family":"Lorentz","given":"Harri"},{"family":"Solakivi","given":"Tomi"},{"family":"Malmsten","given":"Jarmo"}],"issued":{"date-parts":[["2018",6]]}}}],"schema":"https://github.com/citation-style-language/schema/raw/master/csl-citation.json"} </w:instrText>
      </w:r>
      <w:r w:rsidR="00257915" w:rsidRPr="00BE2CF3">
        <w:rPr>
          <w:rFonts w:ascii="Arial" w:hAnsi="Arial" w:cs="Arial"/>
          <w:lang w:val="en-GB"/>
        </w:rPr>
        <w:fldChar w:fldCharType="separate"/>
      </w:r>
      <w:r w:rsidR="00257915" w:rsidRPr="007F051D">
        <w:rPr>
          <w:rFonts w:ascii="Arial" w:hAnsi="Arial" w:cs="Arial"/>
        </w:rPr>
        <w:t>(Kilpi et al., 2018)</w:t>
      </w:r>
      <w:r w:rsidR="00257915" w:rsidRPr="00BE2CF3">
        <w:rPr>
          <w:rFonts w:ascii="Arial" w:hAnsi="Arial" w:cs="Arial"/>
          <w:lang w:val="en-GB"/>
        </w:rPr>
        <w:fldChar w:fldCharType="end"/>
      </w:r>
      <w:r w:rsidR="00257915" w:rsidRPr="007F051D">
        <w:rPr>
          <w:rFonts w:ascii="Arial" w:hAnsi="Arial" w:cs="Arial"/>
        </w:rPr>
        <w:t xml:space="preserve">. </w:t>
      </w:r>
      <w:r w:rsidR="006265F1" w:rsidRPr="006265F1">
        <w:rPr>
          <w:rFonts w:ascii="Arial" w:hAnsi="Arial" w:cs="Arial"/>
        </w:rPr>
        <w:t>Esta mejora en el estatus requiere un nuevo conjunto de conocimientos, incluido el desarrollo de proveedores, investigación de mercado, actividades de subcontratación, análisis de cost</w:t>
      </w:r>
      <w:r w:rsidR="007D06F3">
        <w:rPr>
          <w:rFonts w:ascii="Arial" w:hAnsi="Arial" w:cs="Arial"/>
        </w:rPr>
        <w:t>e</w:t>
      </w:r>
      <w:r w:rsidR="006265F1" w:rsidRPr="006265F1">
        <w:rPr>
          <w:rFonts w:ascii="Arial" w:hAnsi="Arial" w:cs="Arial"/>
        </w:rPr>
        <w:t xml:space="preserve">s, gestión de riesgos, así como estrategias de abastecimiento y </w:t>
      </w:r>
      <w:r w:rsidR="00CE3DEC">
        <w:rPr>
          <w:rFonts w:ascii="Arial" w:hAnsi="Arial" w:cs="Arial"/>
        </w:rPr>
        <w:t>materias primas</w:t>
      </w:r>
      <w:r w:rsidR="00257915" w:rsidRPr="006265F1">
        <w:rPr>
          <w:rFonts w:ascii="Arial" w:hAnsi="Arial" w:cs="Arial"/>
        </w:rPr>
        <w:t xml:space="preserve"> </w:t>
      </w:r>
      <w:r w:rsidR="00257915" w:rsidRPr="00BE2CF3">
        <w:rPr>
          <w:rFonts w:ascii="Arial" w:hAnsi="Arial" w:cs="Arial"/>
          <w:lang w:val="en-GB"/>
        </w:rPr>
        <w:fldChar w:fldCharType="begin"/>
      </w:r>
      <w:r w:rsidR="00FE1E14" w:rsidRPr="006265F1">
        <w:rPr>
          <w:rFonts w:ascii="Arial" w:hAnsi="Arial" w:cs="Arial"/>
        </w:rPr>
        <w:instrText xml:space="preserve"> ADDIN ZOTERO_ITEM CSL_CITATION {"citationID":"6c899FkT","properties":{"unsorted":true,"formattedCitation":"(Giunipero et al., 2019; Cousins et al., 2006; Carr and Smeltzer, 2000)","plainCitation":"(Giunipero et al., 2019; Cousins et al., 2006; Carr and Smeltzer, 2000)","noteIndex":0},"citationItems":[{"id":179,"uris":["http://zotero.org/users/9514289/items/Y5IDLHCS"],"itemData":{"id":179,"type":"article-journal","abstract":"Sourcing is an essential component of purchasing and supply chain management and has been extensively studied by academic researchers. A comprehensive scholarly literature review of sourcing was undertaken to provide guidance for future scholars through an in-depth review of past research. A total of twenty journals were selected, and 520 articles addressing sourcing topics were identified from 1995 to the present. The review process identified seven major sourcing categories within the literature. These included: strategic and relational, transactional/tactical, sourcing tools, global, sustainability, services, and new product development. Each of the seven sourcing categories is separately discussed by focusing on main themes, theories and methods. Findings indicated that strategic and tra</w:instrText>
      </w:r>
      <w:r w:rsidR="00FE1E14" w:rsidRPr="007D06F3">
        <w:rPr>
          <w:rFonts w:ascii="Arial" w:hAnsi="Arial" w:cs="Arial"/>
        </w:rPr>
        <w:instrText>n</w:instrText>
      </w:r>
      <w:r w:rsidR="00FE1E14" w:rsidRPr="00CE3DEC">
        <w:rPr>
          <w:rFonts w:ascii="Arial" w:hAnsi="Arial" w:cs="Arial"/>
        </w:rPr>
        <w:instrText>sactional categ</w:instrText>
      </w:r>
      <w:r w:rsidR="00FE1E14">
        <w:rPr>
          <w:rFonts w:ascii="Arial" w:hAnsi="Arial" w:cs="Arial"/>
          <w:lang w:val="en-GB"/>
        </w:rPr>
        <w:instrText xml:space="preserve">ories received the most attention from researchers. The area of sustainable sourcing has increased the most dramatically, while sourcing tools proved the most stable over the four time periods studied. Over 120 different theories were used to explain sourcing actions, with transaction cost economics being the most prominent. Surveys and quantitative modeling were the two most widely utilized research methods. Finally, conclusions to our findings are presented.","container-title":"Journal of Purchasing and Supply Management","DOI":"10.1016/j.pursup.2018.11.001","ISSN":"14784092","issue":"5","journalAbbreviation":"Journal of Purchasing and Supply Management","language":"en","page":"100521","source":"DOI.org (Crossref)","title":"Analyzing the sourcing literature: Over two decades of research","title-short":"Analyzing the sourcing literature","volume":"25","author":[{"family":"Giunipero","given":"Larry C."},{"family":"Bittner","given":"Samantha"},{"family":"Shanks","given":"Ilana"},{"family":"Cho","given":"Mee Hee"}],"issued":{"date-parts":[["2019",12]]}}},{"id":1097,"uris":["http://zotero.org/users/9514289/items/TF26LI5C"],"itemData":{"id":1097,"type":"article-journal","abstract":"Purpose – The purpose of this paper is to investigate the different patterns of purchasing function conﬁguration, and the relationship between such patterns and organisational performance. Design/methodology/approach – Despite considerable attention, there is little evidence showing the </w:instrText>
      </w:r>
      <w:r w:rsidR="00FE1E14" w:rsidRPr="00300A7C">
        <w:rPr>
          <w:rFonts w:ascii="Arial" w:hAnsi="Arial" w:cs="Arial"/>
        </w:rPr>
        <w:instrText>current situation toward the development of purchasing functions within organisations. Through quantitative data collected from 151 UK purchasing executives, cluster analysis is used to uncover and characterize four purchasing function con</w:instrText>
      </w:r>
      <w:r w:rsidR="00FE1E14">
        <w:rPr>
          <w:rFonts w:ascii="Arial" w:hAnsi="Arial" w:cs="Arial"/>
          <w:lang w:val="en-GB"/>
        </w:rPr>
        <w:instrText>ﬁ</w:instrText>
      </w:r>
      <w:r w:rsidR="00FE1E14" w:rsidRPr="00300A7C">
        <w:rPr>
          <w:rFonts w:ascii="Arial" w:hAnsi="Arial" w:cs="Arial"/>
        </w:rPr>
        <w:instrText xml:space="preserve">gurations.","container-title":"International Journal of Operations &amp; Production Management","DOI":"10.1108/01443570610672239","ISSN":"0144-3577","issue":"7","language":"en","page":"775-794","source":"DOI.org (Crossref)","title":"An empirical taxonomy of purchasing functions","volume":"26","editor":[{"family":"Cousins","given":"Paul D."}],"author":[{"family":"Cousins","given":"Paul D."},{"family":"Lawson","given":"Benn"},{"family":"Squire","given":"Brian"}],"issued":{"date-parts":[["2006",7,1]]}}},{"id":1105,"uris":["http://zotero.org/users/9514289/items/FDYX7V6W"],"itemData":{"id":1105,"type":"article-journal","container-title":"The Journal of Supply Chain Management","DOI":"10.1111/j.1745-493X.2000.tb00250.x","ISSN":"1523-2409, 1745-493X","issue":"3","journalAbbreviation":"J Supply Chain Management","language":"en","page":"40-54","source":"DOI.org (Crossref)","title":"An Empirical Study of the Relationships among Purchasing Skills and Strategic Purchasing, Financial Performance, and Supplier Responsiveness","volume":"36","author":[{"family":"Carr","given":"Amelia S."},{"family":"Smeltzer","given":"Larry R."}],"issued":{"date-parts":[["2000",6]]}}}],"schema":"https://github.com/citation-style-language/schema/raw/master/csl-citation.json"} </w:instrText>
      </w:r>
      <w:r w:rsidR="00257915" w:rsidRPr="00BE2CF3">
        <w:rPr>
          <w:rFonts w:ascii="Arial" w:hAnsi="Arial" w:cs="Arial"/>
          <w:lang w:val="en-GB"/>
        </w:rPr>
        <w:fldChar w:fldCharType="separate"/>
      </w:r>
      <w:r w:rsidR="00FE1E14" w:rsidRPr="00300A7C">
        <w:rPr>
          <w:rFonts w:ascii="Arial" w:hAnsi="Arial" w:cs="Arial"/>
        </w:rPr>
        <w:t>(Giunipero et al., 2019; Cousins et al., 2006; Carr and Smeltzer, 2000)</w:t>
      </w:r>
      <w:r w:rsidR="00257915" w:rsidRPr="00BE2CF3">
        <w:rPr>
          <w:rFonts w:ascii="Arial" w:hAnsi="Arial" w:cs="Arial"/>
          <w:lang w:val="en-GB"/>
        </w:rPr>
        <w:fldChar w:fldCharType="end"/>
      </w:r>
      <w:r w:rsidR="00257915" w:rsidRPr="00300A7C">
        <w:rPr>
          <w:rFonts w:ascii="Arial" w:hAnsi="Arial" w:cs="Arial"/>
        </w:rPr>
        <w:t xml:space="preserve">. </w:t>
      </w:r>
      <w:r w:rsidR="00300A7C" w:rsidRPr="00300A7C">
        <w:rPr>
          <w:rFonts w:ascii="Arial" w:hAnsi="Arial" w:cs="Arial"/>
        </w:rPr>
        <w:t xml:space="preserve">En </w:t>
      </w:r>
      <w:r w:rsidR="00300A7C">
        <w:rPr>
          <w:rFonts w:ascii="Arial" w:hAnsi="Arial" w:cs="Arial"/>
        </w:rPr>
        <w:t>l</w:t>
      </w:r>
      <w:r w:rsidR="00300A7C" w:rsidRPr="00300A7C">
        <w:rPr>
          <w:rFonts w:ascii="Arial" w:hAnsi="Arial" w:cs="Arial"/>
        </w:rPr>
        <w:t xml:space="preserve">a era de </w:t>
      </w:r>
      <w:r w:rsidR="00300A7C">
        <w:rPr>
          <w:rFonts w:ascii="Arial" w:hAnsi="Arial" w:cs="Arial"/>
        </w:rPr>
        <w:t xml:space="preserve">la </w:t>
      </w:r>
      <w:r w:rsidR="00300A7C" w:rsidRPr="00300A7C">
        <w:rPr>
          <w:rFonts w:ascii="Arial" w:hAnsi="Arial" w:cs="Arial"/>
        </w:rPr>
        <w:t xml:space="preserve">digitalización, la evolución y extensión del conocimiento se </w:t>
      </w:r>
      <w:r w:rsidR="002B0593">
        <w:rPr>
          <w:rFonts w:ascii="Arial" w:hAnsi="Arial" w:cs="Arial"/>
        </w:rPr>
        <w:t>acelera</w:t>
      </w:r>
      <w:r w:rsidR="00300A7C" w:rsidRPr="00300A7C">
        <w:rPr>
          <w:rFonts w:ascii="Arial" w:hAnsi="Arial" w:cs="Arial"/>
        </w:rPr>
        <w:t xml:space="preserve"> aún más utilizando tecnologías interactivas y análisis de big data que aumentan la eficiencia y la eficacia de la producción y el intercambio de conocimientos</w:t>
      </w:r>
      <w:r w:rsidR="00257915" w:rsidRPr="00300A7C">
        <w:rPr>
          <w:rFonts w:ascii="Arial" w:hAnsi="Arial" w:cs="Arial"/>
        </w:rPr>
        <w:t xml:space="preserve"> </w:t>
      </w:r>
      <w:r w:rsidR="00257915" w:rsidRPr="00BE2CF3">
        <w:rPr>
          <w:rFonts w:ascii="Arial" w:hAnsi="Arial" w:cs="Arial"/>
          <w:lang w:val="en-GB"/>
        </w:rPr>
        <w:fldChar w:fldCharType="begin"/>
      </w:r>
      <w:r w:rsidR="000968AF">
        <w:rPr>
          <w:rFonts w:ascii="Arial" w:hAnsi="Arial" w:cs="Arial"/>
        </w:rPr>
        <w:instrText xml:space="preserve"> ADDIN ZOTERO_ITEM CSL_CITATION {"citationID":"fvG3xCQv","properties":{"formattedCitation":"(Sch\\uc0\\u252{}tz et al., 2020)","plainCitation":"(Schütz et al., 2020)","noteIndex":0},"citationItems":[{"id":"b1IaCvtg/RablZoXU","uris":["http://zotero.org/users/9514289/items/UVQA8V79"],"itemData":{"id":483,"type":"article-journal","abstract":"The competitive advantage purchasing provides has been debated for decades. For a novel perspective we derive a theoretical framework grounded in the knowledge-based view in order to examine how purchasing knowledge and purchasing integration impact cost and strategic performance. The derived hypotheses are tested based on extensive secondary data from a large European multinational utility company. The 179 studied ‘purchasinginternal client relationships’ contain real contracted savings data and internal client ratings of purchasing knowledge, purchasing integration and strategic purchasing performance. We show that purchasing knowledge is a major antecedent for both savings and strategic purchasing performance. This effect is further amplified by purchasing integration. With this study, we extend the understanding of the purchasing knowledge–performance link. We conclude that purchasing knowledge becomes particularly valuable when combined with other functions' processes through purchasing integration. This causal chain is also supported through general knowledgebased view theory. Moreover, we provide numerical evidence of the value of knowledge creation and integration processes to purchasing professionals in our managerial implications based on results obtained from actual purchasing savings data.","container-title":"Journal of Purchasing and Supply Management","DOI":"10.1016/j.pursup.2019.04.002","ISSN":"14784092","issue":"2","journalAbbreviation":"Journal of Purchasing and Supply Management","language":"en","page":"100534","source":"DOI.org (Crossref)","title":"How to achieve cost savings and strategic performance in purchasing simultaneously: A knowledge-based view","title-short":"How to achieve cost savings and strategic performance in purchasing simultaneously","volume":"26","author":[{"family":"Schütz","given":"Kai"},{"family":"Kässer","given":"Matthias"},{"family":"Blome","given":"Constantin"},{"family":"Foerstl","given":"Kai"}],"issued":{"date-parts":[["2020",3]]}}}],"schema":"https://github.com/citation-style-language/schema/raw/master/csl-citation.json"} </w:instrText>
      </w:r>
      <w:r w:rsidR="00257915" w:rsidRPr="00BE2CF3">
        <w:rPr>
          <w:rFonts w:ascii="Arial" w:hAnsi="Arial" w:cs="Arial"/>
          <w:lang w:val="en-GB"/>
        </w:rPr>
        <w:fldChar w:fldCharType="separate"/>
      </w:r>
      <w:r w:rsidR="00322BBC" w:rsidRPr="00300A7C">
        <w:rPr>
          <w:rFonts w:ascii="Arial" w:hAnsi="Arial" w:cs="Arial"/>
          <w:kern w:val="0"/>
          <w:szCs w:val="24"/>
        </w:rPr>
        <w:t>(Schütz et al., 2020)</w:t>
      </w:r>
      <w:r w:rsidR="00257915" w:rsidRPr="00BE2CF3">
        <w:rPr>
          <w:rFonts w:ascii="Arial" w:hAnsi="Arial" w:cs="Arial"/>
          <w:lang w:val="en-GB"/>
        </w:rPr>
        <w:fldChar w:fldCharType="end"/>
      </w:r>
      <w:r w:rsidR="00257915" w:rsidRPr="00300A7C">
        <w:rPr>
          <w:rFonts w:ascii="Arial" w:hAnsi="Arial" w:cs="Arial"/>
        </w:rPr>
        <w:t>.</w:t>
      </w:r>
    </w:p>
    <w:p w14:paraId="47C263AF" w14:textId="14D4CF4D" w:rsidR="00474D4E" w:rsidRPr="00CE40E5" w:rsidRDefault="00CE40E5" w:rsidP="00705E36">
      <w:pPr>
        <w:ind w:right="140"/>
        <w:rPr>
          <w:rFonts w:ascii="Arial" w:hAnsi="Arial" w:cs="Arial"/>
        </w:rPr>
      </w:pPr>
      <w:r w:rsidRPr="00CE40E5">
        <w:rPr>
          <w:rFonts w:ascii="Arial" w:hAnsi="Arial" w:cs="Arial"/>
        </w:rPr>
        <w:t>Los profesionales deben seguir demostrando su propuesta de valor con indicadores de desempeño adecuados, aunque se sabe que el desempeño de compras es el resultado de muchas actividades que, debido a su naturaleza intangible, son difíciles de evaluar. Desafortunadamente, el departamento de compras sigue siendo una de las áreas funcionales más difíciles de evaluar</w:t>
      </w:r>
      <w:r w:rsidR="006B1548" w:rsidRPr="00CE40E5">
        <w:rPr>
          <w:rFonts w:ascii="Arial" w:hAnsi="Arial" w:cs="Arial"/>
        </w:rPr>
        <w:t xml:space="preserve"> </w:t>
      </w:r>
      <w:r w:rsidR="004E7029" w:rsidRPr="00BE2CF3">
        <w:rPr>
          <w:rFonts w:ascii="Arial" w:hAnsi="Arial" w:cs="Arial"/>
          <w:lang w:val="en-GB"/>
        </w:rPr>
        <w:fldChar w:fldCharType="begin"/>
      </w:r>
      <w:r w:rsidR="004E7029" w:rsidRPr="00CE40E5">
        <w:rPr>
          <w:rFonts w:ascii="Arial" w:hAnsi="Arial" w:cs="Arial"/>
        </w:rPr>
        <w:instrText xml:space="preserve"> ADDIN ZOTERO_ITEM CSL_CITATION {"citationID":"9lFsUfg5","properties":{"formattedCitation":"(Easton et al., 2002)","plainCitation":"(Easton et al., 2002)","noteIndex":0},"citationItems":[{"id":1112,"uris":["http://zotero.org/users/9514289/items/T5KB2FIE"],"itemData":{"id":1112,"type":"article-journal","abstract":"Because of supply chain management and other factors, purchasing’s performance is considered an important element of corporate performance. Nonetheless, the measurement of purchasing performance, and comparing that performance to other purchasing departments has proven to be very dif</w:instrText>
      </w:r>
      <w:r w:rsidR="004E7029" w:rsidRPr="00BE2CF3">
        <w:rPr>
          <w:rFonts w:ascii="Arial" w:hAnsi="Arial" w:cs="Arial"/>
          <w:lang w:val="en-GB"/>
        </w:rPr>
        <w:instrText>ﬁ</w:instrText>
      </w:r>
      <w:r w:rsidR="004E7029" w:rsidRPr="00CE40E5">
        <w:rPr>
          <w:rFonts w:ascii="Arial" w:hAnsi="Arial" w:cs="Arial"/>
        </w:rPr>
        <w:instrText>cult. These dif</w:instrText>
      </w:r>
      <w:r w:rsidR="004E7029" w:rsidRPr="00BE2CF3">
        <w:rPr>
          <w:rFonts w:ascii="Arial" w:hAnsi="Arial" w:cs="Arial"/>
          <w:lang w:val="en-GB"/>
        </w:rPr>
        <w:instrText>ﬁ</w:instrText>
      </w:r>
      <w:r w:rsidR="004E7029" w:rsidRPr="00CE40E5">
        <w:rPr>
          <w:rFonts w:ascii="Arial" w:hAnsi="Arial" w:cs="Arial"/>
        </w:rPr>
        <w:instrText xml:space="preserve">culties stem from the lack of valid measurement criteria and adequate methodologies to aggregate individual performance measures into a single index of overall performance. Many methodologies are unable to account for the relative importance of performance measures, which varies among </w:instrText>
      </w:r>
      <w:r w:rsidR="004E7029" w:rsidRPr="00BE2CF3">
        <w:rPr>
          <w:rFonts w:ascii="Arial" w:hAnsi="Arial" w:cs="Arial"/>
          <w:lang w:val="en-GB"/>
        </w:rPr>
        <w:instrText>ﬁ</w:instrText>
      </w:r>
      <w:r w:rsidR="004E7029" w:rsidRPr="00CE40E5">
        <w:rPr>
          <w:rFonts w:ascii="Arial" w:hAnsi="Arial" w:cs="Arial"/>
        </w:rPr>
        <w:instrText xml:space="preserve">rms.","container-title":"European Journal of Purchasing &amp; Supply Management","DOI":"10.1016/S0969-7012(02)00002-3","ISSN":"09697012","issue":"3","journalAbbreviation":"European Journal of Purchasing &amp; Supply Management","language":"en","page":"123-134","source":"DOI.org (Crossref)","title":"Purchasing performance evaluation: with data envelopment analysis","title-short":"Purchasing performance evaluation","volume":"8","author":[{"family":"Easton","given":"Liane"},{"family":"Murphy","given":"David J."},{"family":"Pearson","given":"John N."}],"issued":{"date-parts":[["2002",9]]}}}],"schema":"https://github.com/citation-style-language/schema/raw/master/csl-citation.json"} </w:instrText>
      </w:r>
      <w:r w:rsidR="004E7029" w:rsidRPr="00BE2CF3">
        <w:rPr>
          <w:rFonts w:ascii="Arial" w:hAnsi="Arial" w:cs="Arial"/>
          <w:lang w:val="en-GB"/>
        </w:rPr>
        <w:fldChar w:fldCharType="separate"/>
      </w:r>
      <w:r w:rsidR="004E7029" w:rsidRPr="00CE40E5">
        <w:rPr>
          <w:rFonts w:ascii="Arial" w:hAnsi="Arial" w:cs="Arial"/>
        </w:rPr>
        <w:t>(Easton et al., 2002)</w:t>
      </w:r>
      <w:r w:rsidR="004E7029" w:rsidRPr="00BE2CF3">
        <w:rPr>
          <w:rFonts w:ascii="Arial" w:hAnsi="Arial" w:cs="Arial"/>
          <w:lang w:val="en-GB"/>
        </w:rPr>
        <w:fldChar w:fldCharType="end"/>
      </w:r>
      <w:r w:rsidR="00474D4E" w:rsidRPr="00CE40E5">
        <w:rPr>
          <w:rFonts w:ascii="Arial" w:hAnsi="Arial" w:cs="Arial"/>
        </w:rPr>
        <w:t>.</w:t>
      </w:r>
      <w:r w:rsidR="00B9369E" w:rsidRPr="00CE40E5">
        <w:rPr>
          <w:rFonts w:ascii="Arial" w:hAnsi="Arial" w:cs="Arial"/>
        </w:rPr>
        <w:t xml:space="preserve"> </w:t>
      </w:r>
    </w:p>
    <w:p w14:paraId="5C9EDD4B" w14:textId="4BB20E5A" w:rsidR="00127A3C" w:rsidRPr="00662E0D" w:rsidRDefault="00662E0D" w:rsidP="00705E36">
      <w:pPr>
        <w:ind w:right="140"/>
        <w:rPr>
          <w:rFonts w:ascii="Arial" w:hAnsi="Arial" w:cs="Arial"/>
        </w:rPr>
      </w:pPr>
      <w:r w:rsidRPr="00662E0D">
        <w:rPr>
          <w:rFonts w:ascii="Arial" w:hAnsi="Arial" w:cs="Arial"/>
        </w:rPr>
        <w:t xml:space="preserve">En los últimos años, el volumen de compras expresado como porcentaje de la facturación total de una empresa ha aumentado considerablemente. En estas circunstancias, un mejor desempeño de la función de compras puede contribuir considerablemente al desempeño general de una empresa. Sin embargo, la medida en que la función de compras pueda cumplir con esta nueva responsabilidad </w:t>
      </w:r>
      <w:r w:rsidR="00047DDA">
        <w:rPr>
          <w:rFonts w:ascii="Arial" w:hAnsi="Arial" w:cs="Arial"/>
        </w:rPr>
        <w:t>va a</w:t>
      </w:r>
      <w:r w:rsidRPr="00662E0D">
        <w:rPr>
          <w:rFonts w:ascii="Arial" w:hAnsi="Arial" w:cs="Arial"/>
        </w:rPr>
        <w:t xml:space="preserve"> depender de su nivel de desarrollo o madurez</w:t>
      </w:r>
      <w:r w:rsidR="005E7B55" w:rsidRPr="00662E0D">
        <w:rPr>
          <w:rFonts w:ascii="Arial" w:hAnsi="Arial" w:cs="Arial"/>
        </w:rPr>
        <w:t xml:space="preserve"> </w:t>
      </w:r>
      <w:r w:rsidR="00B118AB" w:rsidRPr="00BE2CF3">
        <w:rPr>
          <w:rFonts w:ascii="Arial" w:hAnsi="Arial" w:cs="Arial"/>
          <w:lang w:val="en-GB"/>
        </w:rPr>
        <w:fldChar w:fldCharType="begin"/>
      </w:r>
      <w:r w:rsidR="00127A3C" w:rsidRPr="00662E0D">
        <w:rPr>
          <w:rFonts w:ascii="Arial" w:hAnsi="Arial" w:cs="Arial"/>
        </w:rPr>
        <w:instrText xml:space="preserve"> ADDIN ZOTERO_ITEM CSL_CITATION {"citationID":"sh5Qjmwb","properties":{"formattedCitation":"(Narasimhan and Das, 2001; Shin et al., 2000)","plainCitation":"(Narasimhan and Das, 2001; Shin et al., 2000)","noteIndex":0},"citationItems":[{"id":606,"uris":["http://zotero.org/users/9514289/items/A9Z5XEBZ"],"itemData":{"id":606,"type":"article-journal","abstract":"Purchasing integration remains an under-researched concept, despite being described as a key competence in the literature. This study explicates the concept of purchasing integration and examines its relationships with purchasing practices and manufacturing performance. Purchasing integration refers to the integration of strategic purchasing practices and goals with a </w:instrText>
      </w:r>
      <w:r w:rsidR="00127A3C" w:rsidRPr="00BE2CF3">
        <w:rPr>
          <w:rFonts w:ascii="Arial" w:hAnsi="Arial" w:cs="Arial"/>
          <w:lang w:val="en-GB"/>
        </w:rPr>
        <w:instrText>ﬁ</w:instrText>
      </w:r>
      <w:r w:rsidR="00127A3C" w:rsidRPr="00662E0D">
        <w:rPr>
          <w:rFonts w:ascii="Arial" w:hAnsi="Arial" w:cs="Arial"/>
        </w:rPr>
        <w:instrText xml:space="preserve">rm’s objectives. Alternative models linking purchasing integration to purchasing practices and manufacturing performance are hypothesized and tested using empirical data. Purchasing integration was found to moderate the relationship between purchasing practices and manufacturing performance. Increased investments in purchasing integration were observed to lead to higher performance returns from investments in purchasing practices. © 2001 Elsevier Science B.V. All rights reserved.","container-title":"Journal of Operations Management","DOI":"10.1016/S0272-6963(01)00055-9","ISSN":"02726963","issue":"5","journalAbbreviation":"Journal of Operations Management","language":"en","page":"593-609","source":"DOI.org (Crossref)","title":"The impact of purchasing integration and practices on manufacturing performance","volume":"19","author":[{"family":"Narasimhan","given":"Ram"},{"family":"Das","given":"Ajay"}],"issued":{"date-parts":[["2001",10]]}}},{"id":582,"uris":["http://zotero.org/users/9514289/items/4IB53ZU7"],"itemData":{"id":582,"type":"article-journal","abstract":"Academics and practitioners agree that excellence in supply management results in better quality, customer service, and channel performance. Yet, most of these studies are either conceptual in nature or actual case studies. The primary objective of this research is to test the impact of a supply management orientation ŽSMO. on the suppliers’ operational performance and buyers’ competitive priorities Žcost, quality, delivery, flexibility.. Three major research hypotheses associated with SMO, Supplier Performance ŽSP., and Buyer Performance ŽBP. are tested using a confirmatory structural equation modeling approach. The results of this research support the conclusion that an improvement Žincrease. in the SMO improves both the suppliers’ and buyers’ performance Ži.e., a win–win situation for the supply chain.. In addition, the influence of SMO on delivery- and quality-related performance is more statistically significant than on cost or flexibility performance. In fact, when volume and process flexibility are top competitive priorities, a supply chain management orientation may not be an effective way to achieve the desired flexibility. The article ends by discussing other conclusions and suggests directions for future research. q 2000 Elsevier Science B.V. All rights reserved.","language":"en","page":"17","source":"Zotero","title":"Supply management orientation and supplierrbuyer performance","author":[{"family":"Shin","given":"Hojung"},{"family":"Collier","given":"David A"},{"family":"Wilson","given":"Darryl D"}],"issued":{"date-parts":[["2000"]]}}}],"schema":"https://github.com/citation-style-language/schema/raw/master/csl-citation.json"} </w:instrText>
      </w:r>
      <w:r w:rsidR="00B118AB" w:rsidRPr="00BE2CF3">
        <w:rPr>
          <w:rFonts w:ascii="Arial" w:hAnsi="Arial" w:cs="Arial"/>
          <w:lang w:val="en-GB"/>
        </w:rPr>
        <w:fldChar w:fldCharType="separate"/>
      </w:r>
      <w:r w:rsidR="007C3988" w:rsidRPr="00662E0D">
        <w:rPr>
          <w:rFonts w:ascii="Arial" w:hAnsi="Arial" w:cs="Arial"/>
        </w:rPr>
        <w:t>(Narasimhan and Das, 2001; Shin et al., 2000)</w:t>
      </w:r>
      <w:r w:rsidR="00B118AB" w:rsidRPr="00BE2CF3">
        <w:rPr>
          <w:rFonts w:ascii="Arial" w:hAnsi="Arial" w:cs="Arial"/>
          <w:lang w:val="en-GB"/>
        </w:rPr>
        <w:fldChar w:fldCharType="end"/>
      </w:r>
      <w:r w:rsidR="00D75202" w:rsidRPr="00662E0D">
        <w:rPr>
          <w:rFonts w:ascii="Arial" w:hAnsi="Arial" w:cs="Arial"/>
        </w:rPr>
        <w:t>.</w:t>
      </w:r>
    </w:p>
    <w:p w14:paraId="20972B09" w14:textId="0DC4B2F2" w:rsidR="007D603A" w:rsidRPr="00F72BB1" w:rsidRDefault="00F72BB1" w:rsidP="00705E36">
      <w:pPr>
        <w:ind w:right="140"/>
        <w:rPr>
          <w:rFonts w:ascii="Arial" w:hAnsi="Arial" w:cs="Arial"/>
        </w:rPr>
      </w:pPr>
      <w:r w:rsidRPr="00F72BB1">
        <w:rPr>
          <w:rFonts w:ascii="Arial" w:hAnsi="Arial" w:cs="Arial"/>
        </w:rPr>
        <w:t xml:space="preserve">Aunque la evolución de la madurez puede </w:t>
      </w:r>
      <w:r w:rsidR="00612B68">
        <w:rPr>
          <w:rFonts w:ascii="Arial" w:hAnsi="Arial" w:cs="Arial"/>
        </w:rPr>
        <w:t>considerarse</w:t>
      </w:r>
      <w:r w:rsidRPr="00F72BB1">
        <w:rPr>
          <w:rFonts w:ascii="Arial" w:hAnsi="Arial" w:cs="Arial"/>
        </w:rPr>
        <w:t xml:space="preserve"> un proceso cíclico y </w:t>
      </w:r>
      <w:r w:rsidR="00D578BC">
        <w:rPr>
          <w:rFonts w:ascii="Arial" w:hAnsi="Arial" w:cs="Arial"/>
        </w:rPr>
        <w:t xml:space="preserve">aunque </w:t>
      </w:r>
      <w:r w:rsidR="00D96568">
        <w:rPr>
          <w:rFonts w:ascii="Arial" w:hAnsi="Arial" w:cs="Arial"/>
        </w:rPr>
        <w:t xml:space="preserve">un </w:t>
      </w:r>
      <w:r w:rsidRPr="00F72BB1">
        <w:rPr>
          <w:rFonts w:ascii="Arial" w:hAnsi="Arial" w:cs="Arial"/>
        </w:rPr>
        <w:t>proceso de aprendizaje puede incluir algun</w:t>
      </w:r>
      <w:r w:rsidR="00D96568">
        <w:rPr>
          <w:rFonts w:ascii="Arial" w:hAnsi="Arial" w:cs="Arial"/>
        </w:rPr>
        <w:t>a</w:t>
      </w:r>
      <w:r w:rsidRPr="00F72BB1">
        <w:rPr>
          <w:rFonts w:ascii="Arial" w:hAnsi="Arial" w:cs="Arial"/>
        </w:rPr>
        <w:t xml:space="preserve">s </w:t>
      </w:r>
      <w:r w:rsidR="00D96568">
        <w:rPr>
          <w:rFonts w:ascii="Arial" w:hAnsi="Arial" w:cs="Arial"/>
        </w:rPr>
        <w:t>pruebas</w:t>
      </w:r>
      <w:r w:rsidRPr="00F72BB1">
        <w:rPr>
          <w:rFonts w:ascii="Arial" w:hAnsi="Arial" w:cs="Arial"/>
        </w:rPr>
        <w:t xml:space="preserve"> y errores, en este artículo se </w:t>
      </w:r>
      <w:r w:rsidR="00D96568">
        <w:rPr>
          <w:rFonts w:ascii="Arial" w:hAnsi="Arial" w:cs="Arial"/>
        </w:rPr>
        <w:t>asume</w:t>
      </w:r>
      <w:r w:rsidRPr="00F72BB1">
        <w:rPr>
          <w:rFonts w:ascii="Arial" w:hAnsi="Arial" w:cs="Arial"/>
        </w:rPr>
        <w:t xml:space="preserve"> que una mayor madurez está asociada con un mejor desempeño</w:t>
      </w:r>
      <w:r w:rsidR="00DD469B">
        <w:rPr>
          <w:rFonts w:ascii="Arial" w:hAnsi="Arial" w:cs="Arial"/>
        </w:rPr>
        <w:t xml:space="preserve"> de manera </w:t>
      </w:r>
      <w:r w:rsidR="00772C35">
        <w:rPr>
          <w:rFonts w:ascii="Arial" w:hAnsi="Arial" w:cs="Arial"/>
        </w:rPr>
        <w:t>general</w:t>
      </w:r>
      <w:r w:rsidRPr="00F72BB1">
        <w:rPr>
          <w:rFonts w:ascii="Arial" w:hAnsi="Arial" w:cs="Arial"/>
        </w:rPr>
        <w:t>. Por tanto, medir la madurez de compras puede ser útil para probar el vínculo entre la calidad de la función de compras y su contribución al desempeño de la empresa en general y a su</w:t>
      </w:r>
      <w:r w:rsidR="007F5475">
        <w:rPr>
          <w:rFonts w:ascii="Arial" w:hAnsi="Arial" w:cs="Arial"/>
        </w:rPr>
        <w:t xml:space="preserve"> resultado</w:t>
      </w:r>
      <w:r w:rsidRPr="00F72BB1">
        <w:rPr>
          <w:rFonts w:ascii="Arial" w:hAnsi="Arial" w:cs="Arial"/>
        </w:rPr>
        <w:t xml:space="preserve"> financiero en particular</w:t>
      </w:r>
      <w:r w:rsidR="009D684B">
        <w:rPr>
          <w:rFonts w:ascii="Arial" w:hAnsi="Arial" w:cs="Arial"/>
        </w:rPr>
        <w:t>. El concepto de la capacidad de absorción de compras, refleja esta idea de que las funciones más desarrolladas tienen mayor capacidad para identificar y aplicar nuevas y mejores prácticas</w:t>
      </w:r>
      <w:r w:rsidR="0035066A" w:rsidRPr="00F72BB1">
        <w:rPr>
          <w:rFonts w:ascii="Arial" w:hAnsi="Arial" w:cs="Arial"/>
        </w:rPr>
        <w:t xml:space="preserve"> </w:t>
      </w:r>
      <w:r w:rsidR="00894A58" w:rsidRPr="00BE2CF3">
        <w:rPr>
          <w:rFonts w:ascii="Arial" w:hAnsi="Arial" w:cs="Arial"/>
          <w:lang w:val="en-GB"/>
        </w:rPr>
        <w:fldChar w:fldCharType="begin"/>
      </w:r>
      <w:r w:rsidR="00894A58" w:rsidRPr="00F72BB1">
        <w:rPr>
          <w:rFonts w:ascii="Arial" w:hAnsi="Arial" w:cs="Arial"/>
        </w:rPr>
        <w:instrText xml:space="preserve"> ADDIN ZOTERO_ITEM CSL_CITATION {"citationID":"mrZlF3vw","properties":{"formattedCitation":"(Schiele, 2007)","plainCitation":"(Schiele, 2007)","noteIndex":0},"citationItems":[{"id":471,"uris":["http://zotero.org/users/9514289/items/XI9X8ZE6"],"itemData":{"id":471,"type":"article-journal","abstract":"The relationship between the development level a purchasing organisation has reached—maturity—and its impact on the performance of a </w:instrText>
      </w:r>
      <w:r w:rsidR="00894A58" w:rsidRPr="00BE2CF3">
        <w:rPr>
          <w:rFonts w:ascii="Arial" w:hAnsi="Arial" w:cs="Arial"/>
          <w:lang w:val="en-GB"/>
        </w:rPr>
        <w:instrText>ﬁ</w:instrText>
      </w:r>
      <w:r w:rsidR="00894A58" w:rsidRPr="00F72BB1">
        <w:rPr>
          <w:rFonts w:ascii="Arial" w:hAnsi="Arial" w:cs="Arial"/>
        </w:rPr>
        <w:instrText xml:space="preserve">rm has received only limited attention until now. We conducted extensive purchasing audits using a comprehensive tool to assess </w:instrText>
      </w:r>
      <w:r w:rsidR="00894A58" w:rsidRPr="00BE2CF3">
        <w:rPr>
          <w:rFonts w:ascii="Arial" w:hAnsi="Arial" w:cs="Arial"/>
          <w:lang w:val="en-GB"/>
        </w:rPr>
        <w:instrText>ﬁ</w:instrText>
      </w:r>
      <w:r w:rsidR="00894A58" w:rsidRPr="00F72BB1">
        <w:rPr>
          <w:rFonts w:ascii="Arial" w:hAnsi="Arial" w:cs="Arial"/>
        </w:rPr>
        <w:instrText xml:space="preserve">rms’ maturity level. These </w:instrText>
      </w:r>
      <w:r w:rsidR="00894A58" w:rsidRPr="00BE2CF3">
        <w:rPr>
          <w:rFonts w:ascii="Arial" w:hAnsi="Arial" w:cs="Arial"/>
          <w:lang w:val="en-GB"/>
        </w:rPr>
        <w:instrText>ﬁ</w:instrText>
      </w:r>
      <w:r w:rsidR="00894A58" w:rsidRPr="00F72BB1">
        <w:rPr>
          <w:rFonts w:ascii="Arial" w:hAnsi="Arial" w:cs="Arial"/>
        </w:rPr>
        <w:instrText>rms’ performance was then measured by their success in a purchasing cost-reduction programme. The results showed a highly signi</w:instrText>
      </w:r>
      <w:r w:rsidR="00894A58" w:rsidRPr="00BE2CF3">
        <w:rPr>
          <w:rFonts w:ascii="Arial" w:hAnsi="Arial" w:cs="Arial"/>
          <w:lang w:val="en-GB"/>
        </w:rPr>
        <w:instrText>ﬁ</w:instrText>
      </w:r>
      <w:r w:rsidR="00894A58" w:rsidRPr="00F72BB1">
        <w:rPr>
          <w:rFonts w:ascii="Arial" w:hAnsi="Arial" w:cs="Arial"/>
        </w:rPr>
        <w:instrText>cant relationship between purchasing’s maturity level and cost-reduction results. Somewhat counterintuitively, larger saving potential was identi</w:instrText>
      </w:r>
      <w:r w:rsidR="00894A58" w:rsidRPr="00BE2CF3">
        <w:rPr>
          <w:rFonts w:ascii="Arial" w:hAnsi="Arial" w:cs="Arial"/>
          <w:lang w:val="en-GB"/>
        </w:rPr>
        <w:instrText>ﬁ</w:instrText>
      </w:r>
      <w:r w:rsidR="00894A58" w:rsidRPr="00F72BB1">
        <w:rPr>
          <w:rFonts w:ascii="Arial" w:hAnsi="Arial" w:cs="Arial"/>
        </w:rPr>
        <w:instrText xml:space="preserve">ed in more developed </w:instrText>
      </w:r>
      <w:r w:rsidR="00894A58" w:rsidRPr="00BE2CF3">
        <w:rPr>
          <w:rFonts w:ascii="Arial" w:hAnsi="Arial" w:cs="Arial"/>
          <w:lang w:val="en-GB"/>
        </w:rPr>
        <w:instrText>ﬁ</w:instrText>
      </w:r>
      <w:r w:rsidR="00894A58" w:rsidRPr="00F72BB1">
        <w:rPr>
          <w:rFonts w:ascii="Arial" w:hAnsi="Arial" w:cs="Arial"/>
        </w:rPr>
        <w:instrText xml:space="preserve">rms. This </w:instrText>
      </w:r>
      <w:r w:rsidR="00894A58" w:rsidRPr="00BE2CF3">
        <w:rPr>
          <w:rFonts w:ascii="Arial" w:hAnsi="Arial" w:cs="Arial"/>
          <w:lang w:val="en-GB"/>
        </w:rPr>
        <w:instrText>ﬁ</w:instrText>
      </w:r>
      <w:r w:rsidR="00894A58" w:rsidRPr="00F72BB1">
        <w:rPr>
          <w:rFonts w:ascii="Arial" w:hAnsi="Arial" w:cs="Arial"/>
        </w:rPr>
        <w:instrText xml:space="preserve">nding may be explained by a new concept called ‘‘purchasing absorptive capacity’’. If an organisation’s maturity is too low, the introduction of best practices, such as an innovative costreduction method, may fail.","container-title":"Journal of Purchasing and Supply Management","DOI":"10.1016/j.pursup.2007.10.002","ISSN":"14784092","issue":"4","journalAbbreviation":"Journal of Purchasing and Supply Management","language":"en","page":"274-293","source":"DOI.org (Crossref)","title":"Supply-management maturity, cost savings and purchasing absorptive capacity: Testing the procurement–performance link","title-short":"Supply-management maturity, cost savings and purchasing absorptive capacity","volume":"13","author":[{"family":"Schiele","given":"Holger"}],"issued":{"date-parts":[["2007",12]]}}}],"schema":"https://github.com/citation-style-language/schema/raw/master/csl-citation.json"} </w:instrText>
      </w:r>
      <w:r w:rsidR="00894A58" w:rsidRPr="00BE2CF3">
        <w:rPr>
          <w:rFonts w:ascii="Arial" w:hAnsi="Arial" w:cs="Arial"/>
          <w:lang w:val="en-GB"/>
        </w:rPr>
        <w:fldChar w:fldCharType="separate"/>
      </w:r>
      <w:r w:rsidR="00894A58" w:rsidRPr="00F72BB1">
        <w:rPr>
          <w:rFonts w:ascii="Arial" w:hAnsi="Arial" w:cs="Arial"/>
        </w:rPr>
        <w:t>(Schiele, 2007)</w:t>
      </w:r>
      <w:r w:rsidR="00894A58" w:rsidRPr="00BE2CF3">
        <w:rPr>
          <w:rFonts w:ascii="Arial" w:hAnsi="Arial" w:cs="Arial"/>
          <w:lang w:val="en-GB"/>
        </w:rPr>
        <w:fldChar w:fldCharType="end"/>
      </w:r>
      <w:r w:rsidR="00556C19" w:rsidRPr="00F72BB1">
        <w:rPr>
          <w:rFonts w:ascii="Arial" w:hAnsi="Arial" w:cs="Arial"/>
        </w:rPr>
        <w:t>.</w:t>
      </w:r>
      <w:r w:rsidR="00CA3E02">
        <w:rPr>
          <w:rFonts w:ascii="Arial" w:hAnsi="Arial" w:cs="Arial"/>
        </w:rPr>
        <w:t xml:space="preserve"> </w:t>
      </w:r>
    </w:p>
    <w:p w14:paraId="2701A6F9" w14:textId="77777777" w:rsidR="00F42D69" w:rsidRPr="00F72BB1" w:rsidRDefault="00F42D69" w:rsidP="00705E36">
      <w:pPr>
        <w:ind w:right="140"/>
        <w:rPr>
          <w:rFonts w:ascii="Arial" w:hAnsi="Arial" w:cs="Arial"/>
        </w:rPr>
      </w:pPr>
    </w:p>
    <w:p w14:paraId="30785936" w14:textId="3827E14C" w:rsidR="004818AB" w:rsidRPr="006F35A6" w:rsidRDefault="00F851B3" w:rsidP="00705E36">
      <w:pPr>
        <w:pStyle w:val="Heading2"/>
        <w:ind w:right="140"/>
      </w:pPr>
      <w:bookmarkStart w:id="5" w:name="_Toc183376714"/>
      <w:r w:rsidRPr="006F35A6">
        <w:t>2.2.</w:t>
      </w:r>
      <w:r w:rsidR="00A37315" w:rsidRPr="006F35A6">
        <w:tab/>
      </w:r>
      <w:r w:rsidR="007F5475" w:rsidRPr="006F35A6">
        <w:t xml:space="preserve">La </w:t>
      </w:r>
      <w:r w:rsidR="00506FD4">
        <w:t>t</w:t>
      </w:r>
      <w:r w:rsidR="00506FD4" w:rsidRPr="006F35A6">
        <w:t>eor</w:t>
      </w:r>
      <w:r w:rsidR="00506FD4">
        <w:t>ía</w:t>
      </w:r>
      <w:r w:rsidR="007F5475" w:rsidRPr="006F35A6">
        <w:t xml:space="preserve"> de los grupos de interés </w:t>
      </w:r>
      <w:r w:rsidR="006F35A6" w:rsidRPr="006F35A6">
        <w:t xml:space="preserve">- </w:t>
      </w:r>
      <w:r w:rsidR="00BA534A" w:rsidRPr="006F35A6">
        <w:t xml:space="preserve">Stakeholder theory </w:t>
      </w:r>
      <w:r w:rsidR="009F100E" w:rsidRPr="006F35A6">
        <w:t>(SHT)</w:t>
      </w:r>
      <w:bookmarkEnd w:id="5"/>
      <w:r w:rsidR="009F100E" w:rsidRPr="006F35A6">
        <w:t xml:space="preserve"> </w:t>
      </w:r>
    </w:p>
    <w:p w14:paraId="631A0467" w14:textId="77777777" w:rsidR="004818AB" w:rsidRPr="006F35A6" w:rsidRDefault="004818AB" w:rsidP="00705E36">
      <w:pPr>
        <w:ind w:right="140"/>
        <w:rPr>
          <w:rFonts w:ascii="Arial" w:hAnsi="Arial" w:cs="Arial"/>
        </w:rPr>
      </w:pPr>
    </w:p>
    <w:p w14:paraId="4AFFA715" w14:textId="64C0C2A1" w:rsidR="009D1FBE" w:rsidRDefault="008B1FAE" w:rsidP="00705E36">
      <w:pPr>
        <w:ind w:right="140"/>
        <w:rPr>
          <w:rFonts w:ascii="Arial" w:hAnsi="Arial" w:cs="Arial"/>
        </w:rPr>
      </w:pPr>
      <w:r w:rsidRPr="008B1FAE">
        <w:rPr>
          <w:rFonts w:ascii="Arial" w:hAnsi="Arial" w:cs="Arial"/>
        </w:rPr>
        <w:t xml:space="preserve">En su nivel más simple, la teoría de los </w:t>
      </w:r>
      <w:r w:rsidR="009D1FBE">
        <w:rPr>
          <w:rFonts w:ascii="Arial" w:hAnsi="Arial" w:cs="Arial"/>
        </w:rPr>
        <w:t>grupos de interés</w:t>
      </w:r>
      <w:r w:rsidRPr="008B1FAE">
        <w:rPr>
          <w:rFonts w:ascii="Arial" w:hAnsi="Arial" w:cs="Arial"/>
        </w:rPr>
        <w:t xml:space="preserve"> se ha propuesto como una alternativa a las teorías de las organizaciones basadas en los accionistas (Freeman, 1994). Una </w:t>
      </w:r>
      <w:r w:rsidR="00150E87">
        <w:rPr>
          <w:rFonts w:ascii="Arial" w:hAnsi="Arial" w:cs="Arial"/>
        </w:rPr>
        <w:t>premisa</w:t>
      </w:r>
      <w:r w:rsidRPr="008B1FAE">
        <w:rPr>
          <w:rFonts w:ascii="Arial" w:hAnsi="Arial" w:cs="Arial"/>
        </w:rPr>
        <w:t xml:space="preserve"> fundamental de los argumentos basados ​​en los </w:t>
      </w:r>
      <w:r w:rsidR="00150E87">
        <w:rPr>
          <w:rFonts w:ascii="Arial" w:hAnsi="Arial" w:cs="Arial"/>
        </w:rPr>
        <w:t>grupos de interés</w:t>
      </w:r>
      <w:r w:rsidRPr="008B1FAE">
        <w:rPr>
          <w:rFonts w:ascii="Arial" w:hAnsi="Arial" w:cs="Arial"/>
        </w:rPr>
        <w:t xml:space="preserve"> es que las organizaciones deben gestionarse en beneficio de todos sus integrantes, no solo de los accionistas. </w:t>
      </w:r>
    </w:p>
    <w:p w14:paraId="17A610CA" w14:textId="029F4F9B" w:rsidR="004C4E03" w:rsidRPr="004A3B2E" w:rsidRDefault="00E92067" w:rsidP="00705E36">
      <w:pPr>
        <w:ind w:right="140"/>
        <w:rPr>
          <w:rFonts w:ascii="Arial" w:hAnsi="Arial" w:cs="Arial"/>
        </w:rPr>
      </w:pPr>
      <w:r>
        <w:rPr>
          <w:rFonts w:ascii="Arial" w:hAnsi="Arial" w:cs="Arial"/>
        </w:rPr>
        <w:t>La</w:t>
      </w:r>
      <w:r w:rsidR="00DC64B0" w:rsidRPr="00DC64B0">
        <w:rPr>
          <w:rFonts w:ascii="Arial" w:hAnsi="Arial" w:cs="Arial"/>
        </w:rPr>
        <w:t xml:space="preserve"> SHT critica las estrategias empresariales tradicionales, principalmente de carácter financiero, que estaban especialmente orientadas a satisfacer las necesidades e intereses de los accionistas. Si bien los accionistas son uno de los grupos de interés más relevantes, y existe una tendencia a priorizar las preocupaciones de los accionistas y ponerlos en primer lugar</w:t>
      </w:r>
      <w:r w:rsidR="003A0634" w:rsidRPr="00DC64B0">
        <w:rPr>
          <w:rFonts w:ascii="Arial" w:hAnsi="Arial" w:cs="Arial"/>
        </w:rPr>
        <w:t xml:space="preserve"> </w:t>
      </w:r>
      <w:r w:rsidR="003A0634" w:rsidRPr="00BE2CF3">
        <w:rPr>
          <w:rFonts w:ascii="Arial" w:hAnsi="Arial" w:cs="Arial"/>
          <w:lang w:val="en-GB"/>
        </w:rPr>
        <w:fldChar w:fldCharType="begin"/>
      </w:r>
      <w:r w:rsidR="003A0634" w:rsidRPr="00DC64B0">
        <w:rPr>
          <w:rFonts w:ascii="Arial" w:hAnsi="Arial" w:cs="Arial"/>
        </w:rPr>
        <w:instrText xml:space="preserve"> ADDIN ZOTERO_ITEM CSL_CITATION {"citationID":"R05xUw8Z","properties":{"formattedCitation":"(Gamache et al., 2020)","plainCitation":"(Gamache et al., 2020)","noteIndex":0},"citationItems":[{"id":1979,"uris":["http://zotero.org/users/9514289/items/2K3WC4RM"],"itemData":{"id":1979,"type":"article-journal","abstract":"Research summary: A fundamental question in stakeholder strategy research is why firms adopt certain strategies or approaches to engage with key stakeholders. Recent research suggests that CEOs' characteristics can influence their general decisions to engage with stakeholders, however, this work has yet to consider why CEOs might utilize specific stakeholder strategies. In this article, we demonstrate how CEO regulatory focus influences the nature of a firm's stakeholder strategy. Specifically, we argue that CEO prevention focus is positively associated with engagement in governance-oriented initiatives and receptivity to governance-oriented stakeholder activism, while CEO promotion focus is positively associated with engagement in socially-oriented initiatives and receptivity to socially-oriented stakeholder activism. We find strong support for our hypotheses in a sample of 374 publiclytraded firms.","container-title":"Strategic Management Journal","DOI":"10.1002/smj.3134","ISSN":"0143-2095, 1097-0266","issue":"7","journalAbbreviation":"Strategic Management Journal","language":"en","page":"1305-</w:instrText>
      </w:r>
      <w:r w:rsidR="003A0634" w:rsidRPr="00C96107">
        <w:rPr>
          <w:rFonts w:ascii="Arial" w:hAnsi="Arial" w:cs="Arial"/>
        </w:rPr>
        <w:instrText xml:space="preserve">1335","source":"DOI.org (Crossref)","title":"Serving differently: CEO regulatory focus and firm stakeholder strategy","title-short":"Serving differently","volume":"41","author":[{"family":"Gamache","given":"Daniel L"},{"family":"Neville","given":"François"},{"family":"Bundy","given":"Jonathan"},{"family":"Short","given":"Cole E"}],"issued":{"date-parts":[["2020",7]]}}}],"schema":"https://github.com/citation-style-language/schema/raw/master/csl-citation.json"} </w:instrText>
      </w:r>
      <w:r w:rsidR="003A0634" w:rsidRPr="00BE2CF3">
        <w:rPr>
          <w:rFonts w:ascii="Arial" w:hAnsi="Arial" w:cs="Arial"/>
          <w:lang w:val="en-GB"/>
        </w:rPr>
        <w:fldChar w:fldCharType="separate"/>
      </w:r>
      <w:r w:rsidR="003A0634" w:rsidRPr="00C96107">
        <w:rPr>
          <w:rFonts w:ascii="Arial" w:hAnsi="Arial" w:cs="Arial"/>
        </w:rPr>
        <w:t>(Gamache et al., 2020)</w:t>
      </w:r>
      <w:r w:rsidR="003A0634" w:rsidRPr="00BE2CF3">
        <w:rPr>
          <w:rFonts w:ascii="Arial" w:hAnsi="Arial" w:cs="Arial"/>
          <w:lang w:val="en-GB"/>
        </w:rPr>
        <w:fldChar w:fldCharType="end"/>
      </w:r>
      <w:r w:rsidR="00950BCE" w:rsidRPr="00C96107">
        <w:rPr>
          <w:rFonts w:ascii="Arial" w:hAnsi="Arial" w:cs="Arial"/>
        </w:rPr>
        <w:t>,</w:t>
      </w:r>
      <w:r w:rsidR="008F7263" w:rsidRPr="00C96107">
        <w:rPr>
          <w:rFonts w:ascii="Arial" w:hAnsi="Arial" w:cs="Arial"/>
        </w:rPr>
        <w:t xml:space="preserve"> </w:t>
      </w:r>
      <w:r w:rsidR="00C96107">
        <w:rPr>
          <w:rFonts w:ascii="Arial" w:hAnsi="Arial" w:cs="Arial"/>
        </w:rPr>
        <w:t>e</w:t>
      </w:r>
      <w:r w:rsidR="00C96107" w:rsidRPr="00C96107">
        <w:rPr>
          <w:rFonts w:ascii="Arial" w:hAnsi="Arial" w:cs="Arial"/>
        </w:rPr>
        <w:t>l objetivo de la teoría de l</w:t>
      </w:r>
      <w:r w:rsidR="00C96107">
        <w:rPr>
          <w:rFonts w:ascii="Arial" w:hAnsi="Arial" w:cs="Arial"/>
        </w:rPr>
        <w:t>o</w:t>
      </w:r>
      <w:r w:rsidR="00C96107" w:rsidRPr="00C96107">
        <w:rPr>
          <w:rFonts w:ascii="Arial" w:hAnsi="Arial" w:cs="Arial"/>
        </w:rPr>
        <w:t xml:space="preserve">s </w:t>
      </w:r>
      <w:r w:rsidR="00C96107">
        <w:rPr>
          <w:rFonts w:ascii="Arial" w:hAnsi="Arial" w:cs="Arial"/>
        </w:rPr>
        <w:t>grupos de interés</w:t>
      </w:r>
      <w:r w:rsidR="00C96107" w:rsidRPr="00C96107">
        <w:rPr>
          <w:rFonts w:ascii="Arial" w:hAnsi="Arial" w:cs="Arial"/>
        </w:rPr>
        <w:t xml:space="preserve"> es satisfacer a una amplia gama de grupos interesad</w:t>
      </w:r>
      <w:r w:rsidR="004F1CA3">
        <w:rPr>
          <w:rFonts w:ascii="Arial" w:hAnsi="Arial" w:cs="Arial"/>
        </w:rPr>
        <w:t>o</w:t>
      </w:r>
      <w:r w:rsidR="00C96107" w:rsidRPr="00C96107">
        <w:rPr>
          <w:rFonts w:ascii="Arial" w:hAnsi="Arial" w:cs="Arial"/>
        </w:rPr>
        <w:t>s en función de sus demandas específicas</w:t>
      </w:r>
      <w:r w:rsidR="00BA534A" w:rsidRPr="00C96107">
        <w:rPr>
          <w:rFonts w:ascii="Arial" w:hAnsi="Arial" w:cs="Arial"/>
        </w:rPr>
        <w:t xml:space="preserve"> </w:t>
      </w:r>
      <w:r w:rsidR="00861C31" w:rsidRPr="00BE2CF3">
        <w:rPr>
          <w:rFonts w:ascii="Arial" w:hAnsi="Arial" w:cs="Arial"/>
          <w:lang w:val="en-GB"/>
        </w:rPr>
        <w:fldChar w:fldCharType="begin"/>
      </w:r>
      <w:r w:rsidR="00861C31" w:rsidRPr="00C96107">
        <w:rPr>
          <w:rFonts w:ascii="Arial" w:hAnsi="Arial" w:cs="Arial"/>
        </w:rPr>
        <w:instrText xml:space="preserve"> ADDIN ZOTERO_ITEM CSL_CITATION {"citationID":"YSvYklC8","properties":{"formattedCitation":"(Harrison et al., 2010)","plainCitation":"(Harrison et al., 2010)","noteIndex":0},"citationItems":[{"id":1139,"uris":["http://zotero.org/users/9514289/items/J3Y74VTT"],"itemData":{"id":1139,"type":"article-journal","container-title":"Strategic Management Journal","DOI":"10.1002/smj.801","ISSN":"01432095, 10970266","issue":"1","journalAbbreviation":"Strat. Mgmt. J.","language":"en","page":"58-74","source":"DOI.org (Crossref)","title":"Managing for stakeholders, stakeholder utility functions, and competitive advantage","volume":"31","author":[{"family":"Harrison","given":"Jeffrey S."},{"family":"Bosse","given":"Douglas A."},{"family":"Phillips","given":"Robert A."}],"issued":{"date-parts":[["2010",1]]}}}],"schema":"https://github.com/citation-style-language/schema/raw/master/csl-citation.json"} </w:instrText>
      </w:r>
      <w:r w:rsidR="00861C31" w:rsidRPr="00BE2CF3">
        <w:rPr>
          <w:rFonts w:ascii="Arial" w:hAnsi="Arial" w:cs="Arial"/>
          <w:lang w:val="en-GB"/>
        </w:rPr>
        <w:fldChar w:fldCharType="separate"/>
      </w:r>
      <w:r w:rsidR="00861C31" w:rsidRPr="00C96107">
        <w:rPr>
          <w:rFonts w:ascii="Arial" w:hAnsi="Arial" w:cs="Arial"/>
        </w:rPr>
        <w:t>(Harrison et al., 2010)</w:t>
      </w:r>
      <w:r w:rsidR="00861C31" w:rsidRPr="00BE2CF3">
        <w:rPr>
          <w:rFonts w:ascii="Arial" w:hAnsi="Arial" w:cs="Arial"/>
          <w:lang w:val="en-GB"/>
        </w:rPr>
        <w:fldChar w:fldCharType="end"/>
      </w:r>
      <w:r w:rsidR="003A0634" w:rsidRPr="00C96107">
        <w:rPr>
          <w:rFonts w:ascii="Arial" w:hAnsi="Arial" w:cs="Arial"/>
        </w:rPr>
        <w:t>.</w:t>
      </w:r>
      <w:r w:rsidR="008C1E5B" w:rsidRPr="00C96107">
        <w:rPr>
          <w:rFonts w:ascii="Arial" w:hAnsi="Arial" w:cs="Arial"/>
        </w:rPr>
        <w:t xml:space="preserve"> </w:t>
      </w:r>
      <w:r w:rsidR="00F71A56">
        <w:rPr>
          <w:rFonts w:ascii="Arial" w:hAnsi="Arial" w:cs="Arial"/>
        </w:rPr>
        <w:t>Creando</w:t>
      </w:r>
      <w:r w:rsidR="00BF4997" w:rsidRPr="00BF4997">
        <w:rPr>
          <w:rFonts w:ascii="Arial" w:hAnsi="Arial" w:cs="Arial"/>
        </w:rPr>
        <w:t xml:space="preserve"> valor para diferentes partes interesadas </w:t>
      </w:r>
      <w:r w:rsidR="00E104E2">
        <w:rPr>
          <w:rFonts w:ascii="Arial" w:hAnsi="Arial" w:cs="Arial"/>
        </w:rPr>
        <w:t xml:space="preserve">lo que </w:t>
      </w:r>
      <w:r w:rsidR="00BF4997" w:rsidRPr="00BF4997">
        <w:rPr>
          <w:rFonts w:ascii="Arial" w:hAnsi="Arial" w:cs="Arial"/>
        </w:rPr>
        <w:t>tiene un efecto en la forma en que las empresas asignan sus recursos</w:t>
      </w:r>
      <w:r w:rsidR="000A74B5" w:rsidRPr="00BF4997">
        <w:rPr>
          <w:rFonts w:ascii="Arial" w:hAnsi="Arial" w:cs="Arial"/>
        </w:rPr>
        <w:t xml:space="preserve"> </w:t>
      </w:r>
      <w:r w:rsidR="000A74B5" w:rsidRPr="00BE2CF3">
        <w:rPr>
          <w:rFonts w:ascii="Arial" w:hAnsi="Arial" w:cs="Arial"/>
          <w:lang w:val="en-GB"/>
        </w:rPr>
        <w:fldChar w:fldCharType="begin"/>
      </w:r>
      <w:r w:rsidR="000A74B5" w:rsidRPr="00BF4997">
        <w:rPr>
          <w:rFonts w:ascii="Arial" w:hAnsi="Arial" w:cs="Arial"/>
        </w:rPr>
        <w:instrText xml:space="preserve"> ADDIN ZOTERO_ITEM CSL_CITATION {"citationID":"3b9trPrB","properties":{"formattedCitation":"(Freeman et al., 2007)","plainCitation":"(Freeman et al., 2007)","noteIndex":0},"citationItems":[{"id":462,"uris":["http://zotero.org/users/9514289/items/LSULGTJD"],"itemData":{"id":462,"type":"book","call-number":"HD31 .F752 2007","collection-title":"The Business Roundtable Institute For Corporate Ethics series in ethics and leadership","event-place":"New Haven","ISBN":"978-0-300-12528-3","language":"en","number-of-pages":"179","publisher":"Yale University Press","publisher-place":"New Haven","source":"Library of Congress ISBN","title":"Managing for stakeholders: survival, reputation, and success","title-short":"Managing for stakeholders","author":[{"family":"Freeman","given":"R. Edward"},{"family":"Harrison","given":"Jeffrey S."},{"family":"Wicks","given":"Andrew C."}],"issued":{"date-parts":[["2007"]]}}}],"schema":"https://github.com/citation-style-language/schema/raw/master/csl-citation.json"} </w:instrText>
      </w:r>
      <w:r w:rsidR="000A74B5" w:rsidRPr="00BE2CF3">
        <w:rPr>
          <w:rFonts w:ascii="Arial" w:hAnsi="Arial" w:cs="Arial"/>
          <w:lang w:val="en-GB"/>
        </w:rPr>
        <w:fldChar w:fldCharType="separate"/>
      </w:r>
      <w:r w:rsidR="000A74B5" w:rsidRPr="00BF4997">
        <w:rPr>
          <w:rFonts w:ascii="Arial" w:hAnsi="Arial" w:cs="Arial"/>
        </w:rPr>
        <w:t>(Freeman et al., 2007)</w:t>
      </w:r>
      <w:r w:rsidR="000A74B5" w:rsidRPr="00BE2CF3">
        <w:rPr>
          <w:rFonts w:ascii="Arial" w:hAnsi="Arial" w:cs="Arial"/>
          <w:lang w:val="en-GB"/>
        </w:rPr>
        <w:fldChar w:fldCharType="end"/>
      </w:r>
      <w:r w:rsidR="00BA534A" w:rsidRPr="00BF4997">
        <w:rPr>
          <w:rFonts w:ascii="Arial" w:hAnsi="Arial" w:cs="Arial"/>
        </w:rPr>
        <w:t xml:space="preserve">. </w:t>
      </w:r>
      <w:r w:rsidR="004A3B2E" w:rsidRPr="004A3B2E">
        <w:rPr>
          <w:rFonts w:ascii="Arial" w:hAnsi="Arial" w:cs="Arial"/>
        </w:rPr>
        <w:t>A través de la orientación hacia l</w:t>
      </w:r>
      <w:r w:rsidR="00263B5F">
        <w:rPr>
          <w:rFonts w:ascii="Arial" w:hAnsi="Arial" w:cs="Arial"/>
        </w:rPr>
        <w:t>o</w:t>
      </w:r>
      <w:r w:rsidR="004A3B2E" w:rsidRPr="004A3B2E">
        <w:rPr>
          <w:rFonts w:ascii="Arial" w:hAnsi="Arial" w:cs="Arial"/>
        </w:rPr>
        <w:t xml:space="preserve">s </w:t>
      </w:r>
      <w:r w:rsidR="00263B5F">
        <w:rPr>
          <w:rFonts w:ascii="Arial" w:hAnsi="Arial" w:cs="Arial"/>
        </w:rPr>
        <w:t xml:space="preserve">grupos de </w:t>
      </w:r>
      <w:r w:rsidR="004A3B2E" w:rsidRPr="004A3B2E">
        <w:rPr>
          <w:rFonts w:ascii="Arial" w:hAnsi="Arial" w:cs="Arial"/>
        </w:rPr>
        <w:t>inter</w:t>
      </w:r>
      <w:r w:rsidR="00263B5F">
        <w:rPr>
          <w:rFonts w:ascii="Arial" w:hAnsi="Arial" w:cs="Arial"/>
        </w:rPr>
        <w:t>és</w:t>
      </w:r>
      <w:r w:rsidR="004A3B2E" w:rsidRPr="004A3B2E">
        <w:rPr>
          <w:rFonts w:ascii="Arial" w:hAnsi="Arial" w:cs="Arial"/>
        </w:rPr>
        <w:t>, las empresas</w:t>
      </w:r>
      <w:r w:rsidR="007B43E9">
        <w:rPr>
          <w:rFonts w:ascii="Arial" w:hAnsi="Arial" w:cs="Arial"/>
        </w:rPr>
        <w:t xml:space="preserve"> y especialmente </w:t>
      </w:r>
      <w:r w:rsidR="00AB00C2">
        <w:rPr>
          <w:rFonts w:ascii="Arial" w:hAnsi="Arial" w:cs="Arial"/>
        </w:rPr>
        <w:t>a través de sus</w:t>
      </w:r>
      <w:r w:rsidR="007B43E9">
        <w:rPr>
          <w:rFonts w:ascii="Arial" w:hAnsi="Arial" w:cs="Arial"/>
        </w:rPr>
        <w:t xml:space="preserve"> áreas </w:t>
      </w:r>
      <w:r w:rsidR="00F75AF7">
        <w:rPr>
          <w:rFonts w:ascii="Arial" w:hAnsi="Arial" w:cs="Arial"/>
        </w:rPr>
        <w:t xml:space="preserve">de compras por tratarse </w:t>
      </w:r>
      <w:r w:rsidR="005710EB">
        <w:rPr>
          <w:rFonts w:ascii="Arial" w:hAnsi="Arial" w:cs="Arial"/>
        </w:rPr>
        <w:t xml:space="preserve">de una función transversal tanto dentro como fuera </w:t>
      </w:r>
      <w:r w:rsidR="00725A4A">
        <w:rPr>
          <w:rFonts w:ascii="Arial" w:hAnsi="Arial" w:cs="Arial"/>
        </w:rPr>
        <w:t xml:space="preserve">de la empresa, </w:t>
      </w:r>
      <w:r w:rsidR="004A3B2E" w:rsidRPr="004A3B2E">
        <w:rPr>
          <w:rFonts w:ascii="Arial" w:hAnsi="Arial" w:cs="Arial"/>
        </w:rPr>
        <w:t>pueden crear las actitudes y los comportamientos adecuados para satisfacer</w:t>
      </w:r>
      <w:r w:rsidR="001455BB">
        <w:rPr>
          <w:rFonts w:ascii="Arial" w:hAnsi="Arial" w:cs="Arial"/>
        </w:rPr>
        <w:t>l</w:t>
      </w:r>
      <w:r w:rsidR="00263B5F">
        <w:rPr>
          <w:rFonts w:ascii="Arial" w:hAnsi="Arial" w:cs="Arial"/>
        </w:rPr>
        <w:t>o</w:t>
      </w:r>
      <w:r w:rsidR="001455BB">
        <w:rPr>
          <w:rFonts w:ascii="Arial" w:hAnsi="Arial" w:cs="Arial"/>
        </w:rPr>
        <w:t>s</w:t>
      </w:r>
      <w:r w:rsidR="004A3B2E" w:rsidRPr="004A3B2E">
        <w:rPr>
          <w:rFonts w:ascii="Arial" w:hAnsi="Arial" w:cs="Arial"/>
        </w:rPr>
        <w:t xml:space="preserve"> y lograr simultáneamente un rendimiento superior de la empresa.</w:t>
      </w:r>
      <w:r w:rsidR="00BA534A" w:rsidRPr="004A3B2E">
        <w:rPr>
          <w:rFonts w:ascii="Arial" w:hAnsi="Arial" w:cs="Arial"/>
        </w:rPr>
        <w:t xml:space="preserve"> </w:t>
      </w:r>
    </w:p>
    <w:p w14:paraId="2642A6B7" w14:textId="01BC49EF" w:rsidR="000C26B0" w:rsidRPr="00BB3924" w:rsidRDefault="00263B5F" w:rsidP="00705E36">
      <w:pPr>
        <w:ind w:right="140"/>
        <w:rPr>
          <w:rFonts w:ascii="Arial" w:hAnsi="Arial" w:cs="Arial"/>
        </w:rPr>
      </w:pPr>
      <w:r w:rsidRPr="00263B5F">
        <w:rPr>
          <w:rFonts w:ascii="Arial" w:hAnsi="Arial" w:cs="Arial"/>
        </w:rPr>
        <w:t>Las orientaciones hacia l</w:t>
      </w:r>
      <w:r>
        <w:rPr>
          <w:rFonts w:ascii="Arial" w:hAnsi="Arial" w:cs="Arial"/>
        </w:rPr>
        <w:t>o</w:t>
      </w:r>
      <w:r w:rsidRPr="00263B5F">
        <w:rPr>
          <w:rFonts w:ascii="Arial" w:hAnsi="Arial" w:cs="Arial"/>
        </w:rPr>
        <w:t xml:space="preserve">s </w:t>
      </w:r>
      <w:r>
        <w:rPr>
          <w:rFonts w:ascii="Arial" w:hAnsi="Arial" w:cs="Arial"/>
        </w:rPr>
        <w:t>grupos de interés</w:t>
      </w:r>
      <w:r w:rsidRPr="00263B5F">
        <w:rPr>
          <w:rFonts w:ascii="Arial" w:hAnsi="Arial" w:cs="Arial"/>
        </w:rPr>
        <w:t xml:space="preserve"> dan como resultado competitividad empresarial porque un enfoque en </w:t>
      </w:r>
      <w:r w:rsidR="00BF6674">
        <w:rPr>
          <w:rFonts w:ascii="Arial" w:hAnsi="Arial" w:cs="Arial"/>
        </w:rPr>
        <w:t>su</w:t>
      </w:r>
      <w:r w:rsidRPr="00263B5F">
        <w:rPr>
          <w:rFonts w:ascii="Arial" w:hAnsi="Arial" w:cs="Arial"/>
        </w:rPr>
        <w:t xml:space="preserve"> satisfacción permite a </w:t>
      </w:r>
      <w:r w:rsidR="001F1502">
        <w:rPr>
          <w:rFonts w:ascii="Arial" w:hAnsi="Arial" w:cs="Arial"/>
        </w:rPr>
        <w:t>la</w:t>
      </w:r>
      <w:r w:rsidRPr="00263B5F">
        <w:rPr>
          <w:rFonts w:ascii="Arial" w:hAnsi="Arial" w:cs="Arial"/>
        </w:rPr>
        <w:t xml:space="preserve"> empresa desarrollar relaciones de confianza con ell</w:t>
      </w:r>
      <w:r w:rsidR="001F1502">
        <w:rPr>
          <w:rFonts w:ascii="Arial" w:hAnsi="Arial" w:cs="Arial"/>
        </w:rPr>
        <w:t>o</w:t>
      </w:r>
      <w:r w:rsidRPr="00263B5F">
        <w:rPr>
          <w:rFonts w:ascii="Arial" w:hAnsi="Arial" w:cs="Arial"/>
        </w:rPr>
        <w:t xml:space="preserve">s, dándoles la oportunidad de </w:t>
      </w:r>
      <w:r w:rsidR="001F1502">
        <w:rPr>
          <w:rFonts w:ascii="Arial" w:hAnsi="Arial" w:cs="Arial"/>
        </w:rPr>
        <w:t>afrontar</w:t>
      </w:r>
      <w:r w:rsidRPr="00263B5F">
        <w:rPr>
          <w:rFonts w:ascii="Arial" w:hAnsi="Arial" w:cs="Arial"/>
        </w:rPr>
        <w:t xml:space="preserve"> mejor los cambios en el entorno y, en consecuencia, estimular la innovación.</w:t>
      </w:r>
      <w:r w:rsidR="00FF444F" w:rsidRPr="00263B5F">
        <w:rPr>
          <w:rFonts w:ascii="Arial" w:hAnsi="Arial" w:cs="Arial"/>
        </w:rPr>
        <w:t xml:space="preserve"> </w:t>
      </w:r>
      <w:r w:rsidR="00FF444F" w:rsidRPr="00BE2CF3">
        <w:rPr>
          <w:rFonts w:ascii="Arial" w:hAnsi="Arial" w:cs="Arial"/>
          <w:lang w:val="en-GB"/>
        </w:rPr>
        <w:fldChar w:fldCharType="begin"/>
      </w:r>
      <w:r w:rsidR="00D22FEB" w:rsidRPr="00263B5F">
        <w:rPr>
          <w:rFonts w:ascii="Arial" w:hAnsi="Arial" w:cs="Arial"/>
        </w:rPr>
        <w:instrText xml:space="preserve"> ADDIN ZOTERO_ITEM CSL_CITATION {"citationID":"jRoQVWwR","properties":{"unsorted":true,"formattedCitation":"(Harrison et al., 2010; Freeman et al., 2007)","plainCitation":"(Harrison et al., 2010; Freeman et al., 2007)","noteIndex":0},"citationItems":[{"id":1139,"uris":["http://zotero.org/users/9514289/items/J3Y74VTT"],"itemData":{"id":1139,"type":"article-journal","container-title":"Strategic Management Journal","DOI":"10.1002/smj.801","ISSN":"01432095, 10970266","issue":"1","journalAbbreviation":"Strat. Mgmt. J.","language":"en","page":"58-74","source":"DOI.org (Crossref)","title":"Managing for stakeholders, stakeholder utility functions, and competitive advantage","volume":"31","author":[{"family":"Harrison","given":"Jeffrey S."},{"family":"Bosse","given":"Douglas A."},{"family":"Phillips","given":"Robert A."}],"issued":{"date-parts":[["2010",1]]}}},{"id":462,"uris":["http://zotero.org/users/9514289/items/LSULGTJD"],"itemData":{"id":462,"type":"book","call-number":"HD31 .F752 2007","collection-title":"The Business Roundtable Institute For Corporate Ethics series in ethics and leadership","event-place":"New Haven","ISBN":"978-0-300-12528-3","language":"en","number-of-pages":"179","publisher":"Yale University Press","publisher-place":"New Haven","source":"Library of Congress ISBN","title":"Managing for stakeholders: survival, reputation, and success","title-short":"Managing for stakeholders","author":[{"family":"Freeman","given":"R. Edward"},{"family":"Harrison","given":"Jeffrey S."},{"family":"Wicks","given":"Andrew C."}],"issued":{"date-parts":[["2007"]]}}}],"schema":"https://github.com/citation-style-language/schema/raw/master/csl-citation.json"} </w:instrText>
      </w:r>
      <w:r w:rsidR="00FF444F" w:rsidRPr="00BE2CF3">
        <w:rPr>
          <w:rFonts w:ascii="Arial" w:hAnsi="Arial" w:cs="Arial"/>
          <w:lang w:val="en-GB"/>
        </w:rPr>
        <w:fldChar w:fldCharType="separate"/>
      </w:r>
      <w:r w:rsidR="00D22FEB" w:rsidRPr="00BB3924">
        <w:rPr>
          <w:rFonts w:ascii="Arial" w:hAnsi="Arial" w:cs="Arial"/>
        </w:rPr>
        <w:t>(Harrison et al., 2010; Freeman et al., 2007)</w:t>
      </w:r>
      <w:r w:rsidR="00FF444F" w:rsidRPr="00BE2CF3">
        <w:rPr>
          <w:rFonts w:ascii="Arial" w:hAnsi="Arial" w:cs="Arial"/>
          <w:lang w:val="en-GB"/>
        </w:rPr>
        <w:fldChar w:fldCharType="end"/>
      </w:r>
      <w:r w:rsidR="00BA534A" w:rsidRPr="00BB3924">
        <w:rPr>
          <w:rFonts w:ascii="Arial" w:hAnsi="Arial" w:cs="Arial"/>
        </w:rPr>
        <w:t xml:space="preserve">. </w:t>
      </w:r>
    </w:p>
    <w:p w14:paraId="03EEC018" w14:textId="5E390BC9" w:rsidR="0005459F" w:rsidRPr="00396C15" w:rsidRDefault="003F5E61" w:rsidP="00705E36">
      <w:pPr>
        <w:ind w:right="140"/>
        <w:rPr>
          <w:rFonts w:ascii="Arial" w:hAnsi="Arial" w:cs="Arial"/>
        </w:rPr>
      </w:pPr>
      <w:r>
        <w:rPr>
          <w:rFonts w:ascii="Arial" w:hAnsi="Arial" w:cs="Arial"/>
        </w:rPr>
        <w:t>Basándose</w:t>
      </w:r>
      <w:r w:rsidR="00396C15" w:rsidRPr="00396C15">
        <w:rPr>
          <w:rFonts w:ascii="Arial" w:hAnsi="Arial" w:cs="Arial"/>
        </w:rPr>
        <w:t xml:space="preserve"> </w:t>
      </w:r>
      <w:r w:rsidR="00BB7E27">
        <w:rPr>
          <w:rFonts w:ascii="Arial" w:hAnsi="Arial" w:cs="Arial"/>
        </w:rPr>
        <w:t>en</w:t>
      </w:r>
      <w:r w:rsidR="00396C15" w:rsidRPr="00396C15">
        <w:rPr>
          <w:rFonts w:ascii="Arial" w:hAnsi="Arial" w:cs="Arial"/>
        </w:rPr>
        <w:t xml:space="preserve"> esta teoría,</w:t>
      </w:r>
      <w:r>
        <w:rPr>
          <w:rFonts w:ascii="Arial" w:hAnsi="Arial" w:cs="Arial"/>
        </w:rPr>
        <w:t xml:space="preserve"> por la que las empresas</w:t>
      </w:r>
      <w:r w:rsidR="00922AA2">
        <w:rPr>
          <w:rFonts w:ascii="Arial" w:hAnsi="Arial" w:cs="Arial"/>
        </w:rPr>
        <w:t xml:space="preserve"> y por lo tanto también la función de compras,</w:t>
      </w:r>
      <w:r>
        <w:rPr>
          <w:rFonts w:ascii="Arial" w:hAnsi="Arial" w:cs="Arial"/>
        </w:rPr>
        <w:t xml:space="preserve"> </w:t>
      </w:r>
      <w:r w:rsidR="006A62B7">
        <w:rPr>
          <w:rFonts w:ascii="Arial" w:hAnsi="Arial" w:cs="Arial"/>
        </w:rPr>
        <w:t>busca</w:t>
      </w:r>
      <w:r w:rsidR="00FE78BA">
        <w:rPr>
          <w:rFonts w:ascii="Arial" w:hAnsi="Arial" w:cs="Arial"/>
        </w:rPr>
        <w:t>n</w:t>
      </w:r>
      <w:r w:rsidR="006A62B7">
        <w:rPr>
          <w:rFonts w:ascii="Arial" w:hAnsi="Arial" w:cs="Arial"/>
        </w:rPr>
        <w:t xml:space="preserve"> satisfacer a un mayor número de grupos de interés, </w:t>
      </w:r>
      <w:r w:rsidR="00396C15" w:rsidRPr="00396C15">
        <w:rPr>
          <w:rFonts w:ascii="Arial" w:hAnsi="Arial" w:cs="Arial"/>
        </w:rPr>
        <w:t>est</w:t>
      </w:r>
      <w:r w:rsidR="00396C15">
        <w:rPr>
          <w:rFonts w:ascii="Arial" w:hAnsi="Arial" w:cs="Arial"/>
        </w:rPr>
        <w:t>e</w:t>
      </w:r>
      <w:r w:rsidR="00396C15" w:rsidRPr="00396C15">
        <w:rPr>
          <w:rFonts w:ascii="Arial" w:hAnsi="Arial" w:cs="Arial"/>
        </w:rPr>
        <w:t xml:space="preserve"> </w:t>
      </w:r>
      <w:r w:rsidR="00396C15">
        <w:rPr>
          <w:rFonts w:ascii="Arial" w:hAnsi="Arial" w:cs="Arial"/>
        </w:rPr>
        <w:t>articulo</w:t>
      </w:r>
      <w:r w:rsidR="00396C15" w:rsidRPr="00396C15">
        <w:rPr>
          <w:rFonts w:ascii="Arial" w:hAnsi="Arial" w:cs="Arial"/>
        </w:rPr>
        <w:t xml:space="preserve"> </w:t>
      </w:r>
      <w:r w:rsidR="00912292">
        <w:rPr>
          <w:rFonts w:ascii="Arial" w:hAnsi="Arial" w:cs="Arial"/>
        </w:rPr>
        <w:t>analiza</w:t>
      </w:r>
      <w:r w:rsidR="00267356">
        <w:rPr>
          <w:rFonts w:ascii="Arial" w:hAnsi="Arial" w:cs="Arial"/>
        </w:rPr>
        <w:t xml:space="preserve"> </w:t>
      </w:r>
      <w:r w:rsidR="00396C15" w:rsidRPr="00396C15">
        <w:rPr>
          <w:rFonts w:ascii="Arial" w:hAnsi="Arial" w:cs="Arial"/>
        </w:rPr>
        <w:t>la evolución de la madurez de PSM y los ahorros generados</w:t>
      </w:r>
      <w:r w:rsidR="005D4708">
        <w:rPr>
          <w:rFonts w:ascii="Arial" w:hAnsi="Arial" w:cs="Arial"/>
        </w:rPr>
        <w:t xml:space="preserve"> como </w:t>
      </w:r>
      <w:r w:rsidR="00201489">
        <w:rPr>
          <w:rFonts w:ascii="Arial" w:hAnsi="Arial" w:cs="Arial"/>
        </w:rPr>
        <w:t>una</w:t>
      </w:r>
      <w:r w:rsidR="005D4708">
        <w:rPr>
          <w:rFonts w:ascii="Arial" w:hAnsi="Arial" w:cs="Arial"/>
        </w:rPr>
        <w:t xml:space="preserve"> herramienta para </w:t>
      </w:r>
      <w:r w:rsidR="00AE75BD">
        <w:rPr>
          <w:rFonts w:ascii="Arial" w:hAnsi="Arial" w:cs="Arial"/>
        </w:rPr>
        <w:t>conseguir</w:t>
      </w:r>
      <w:r w:rsidR="005D4708">
        <w:rPr>
          <w:rFonts w:ascii="Arial" w:hAnsi="Arial" w:cs="Arial"/>
        </w:rPr>
        <w:t xml:space="preserve"> es</w:t>
      </w:r>
      <w:r w:rsidR="006C6D23">
        <w:rPr>
          <w:rFonts w:ascii="Arial" w:hAnsi="Arial" w:cs="Arial"/>
        </w:rPr>
        <w:t>t</w:t>
      </w:r>
      <w:r w:rsidR="005D4708">
        <w:rPr>
          <w:rFonts w:ascii="Arial" w:hAnsi="Arial" w:cs="Arial"/>
        </w:rPr>
        <w:t xml:space="preserve">e objetivo. </w:t>
      </w:r>
      <w:r w:rsidR="004F6536">
        <w:rPr>
          <w:rFonts w:ascii="Arial" w:hAnsi="Arial" w:cs="Arial"/>
        </w:rPr>
        <w:t>Empezando d</w:t>
      </w:r>
      <w:r w:rsidR="00396C15" w:rsidRPr="00396C15">
        <w:rPr>
          <w:rFonts w:ascii="Arial" w:hAnsi="Arial" w:cs="Arial"/>
        </w:rPr>
        <w:t>esde los más simples “hard</w:t>
      </w:r>
      <w:r w:rsidR="00BF5DDD">
        <w:rPr>
          <w:rFonts w:ascii="Arial" w:hAnsi="Arial" w:cs="Arial"/>
        </w:rPr>
        <w:t>-</w:t>
      </w:r>
      <w:r w:rsidR="00396C15" w:rsidRPr="00396C15">
        <w:rPr>
          <w:rFonts w:ascii="Arial" w:hAnsi="Arial" w:cs="Arial"/>
        </w:rPr>
        <w:t>savings”</w:t>
      </w:r>
      <w:r w:rsidR="006947D6">
        <w:rPr>
          <w:rFonts w:ascii="Arial" w:hAnsi="Arial" w:cs="Arial"/>
        </w:rPr>
        <w:t xml:space="preserve">, ahorros </w:t>
      </w:r>
      <w:r w:rsidR="00396C15" w:rsidRPr="00396C15">
        <w:rPr>
          <w:rFonts w:ascii="Arial" w:hAnsi="Arial" w:cs="Arial"/>
        </w:rPr>
        <w:t>en precio</w:t>
      </w:r>
      <w:r w:rsidR="004F6536">
        <w:rPr>
          <w:rFonts w:ascii="Arial" w:hAnsi="Arial" w:cs="Arial"/>
        </w:rPr>
        <w:t>,</w:t>
      </w:r>
      <w:r w:rsidR="00E54558">
        <w:rPr>
          <w:rFonts w:ascii="Arial" w:hAnsi="Arial" w:cs="Arial"/>
        </w:rPr>
        <w:t xml:space="preserve"> que </w:t>
      </w:r>
      <w:r w:rsidR="00D04A8D">
        <w:rPr>
          <w:rFonts w:ascii="Arial" w:hAnsi="Arial" w:cs="Arial"/>
        </w:rPr>
        <w:t xml:space="preserve">tradicionalmente </w:t>
      </w:r>
      <w:r w:rsidR="00E54558">
        <w:rPr>
          <w:rFonts w:ascii="Arial" w:hAnsi="Arial" w:cs="Arial"/>
        </w:rPr>
        <w:t xml:space="preserve">satisfacen a los accionistas, </w:t>
      </w:r>
      <w:r w:rsidR="00396C15" w:rsidRPr="00396C15">
        <w:rPr>
          <w:rFonts w:ascii="Arial" w:hAnsi="Arial" w:cs="Arial"/>
        </w:rPr>
        <w:t xml:space="preserve">hasta los más complejos </w:t>
      </w:r>
      <w:r w:rsidR="00541221">
        <w:rPr>
          <w:rFonts w:ascii="Arial" w:hAnsi="Arial" w:cs="Arial"/>
        </w:rPr>
        <w:t xml:space="preserve">e indirectos </w:t>
      </w:r>
      <w:r w:rsidR="00C0183F">
        <w:rPr>
          <w:rFonts w:ascii="Arial" w:hAnsi="Arial" w:cs="Arial"/>
        </w:rPr>
        <w:t>“complex</w:t>
      </w:r>
      <w:r w:rsidR="00396C15" w:rsidRPr="00396C15">
        <w:rPr>
          <w:rFonts w:ascii="Arial" w:hAnsi="Arial" w:cs="Arial"/>
        </w:rPr>
        <w:t>–soft-savings</w:t>
      </w:r>
      <w:r w:rsidR="00C0183F">
        <w:rPr>
          <w:rFonts w:ascii="Arial" w:hAnsi="Arial" w:cs="Arial"/>
        </w:rPr>
        <w:t>”</w:t>
      </w:r>
      <w:r w:rsidR="00541221">
        <w:rPr>
          <w:rFonts w:ascii="Arial" w:hAnsi="Arial" w:cs="Arial"/>
        </w:rPr>
        <w:t>.</w:t>
      </w:r>
      <w:r w:rsidR="00396C15" w:rsidRPr="00396C15">
        <w:rPr>
          <w:rFonts w:ascii="Arial" w:hAnsi="Arial" w:cs="Arial"/>
        </w:rPr>
        <w:t xml:space="preserve"> </w:t>
      </w:r>
      <w:r w:rsidR="009A4B36">
        <w:rPr>
          <w:rFonts w:ascii="Arial" w:hAnsi="Arial" w:cs="Arial"/>
        </w:rPr>
        <w:t>Como,</w:t>
      </w:r>
      <w:r w:rsidR="007E79AF">
        <w:rPr>
          <w:rFonts w:ascii="Arial" w:hAnsi="Arial" w:cs="Arial"/>
        </w:rPr>
        <w:t xml:space="preserve"> p</w:t>
      </w:r>
      <w:r w:rsidR="000058CC">
        <w:rPr>
          <w:rFonts w:ascii="Arial" w:hAnsi="Arial" w:cs="Arial"/>
        </w:rPr>
        <w:t xml:space="preserve">or ejemplo, </w:t>
      </w:r>
      <w:r w:rsidR="00193CD9">
        <w:rPr>
          <w:rFonts w:ascii="Arial" w:hAnsi="Arial" w:cs="Arial"/>
        </w:rPr>
        <w:t xml:space="preserve">los ahorros generados </w:t>
      </w:r>
      <w:r w:rsidR="001C4E8D">
        <w:rPr>
          <w:rFonts w:ascii="Arial" w:hAnsi="Arial" w:cs="Arial"/>
        </w:rPr>
        <w:t>al</w:t>
      </w:r>
      <w:r w:rsidR="00193CD9">
        <w:rPr>
          <w:rFonts w:ascii="Arial" w:hAnsi="Arial" w:cs="Arial"/>
        </w:rPr>
        <w:t xml:space="preserve"> </w:t>
      </w:r>
      <w:r w:rsidR="008B1BE8">
        <w:rPr>
          <w:rFonts w:ascii="Arial" w:hAnsi="Arial" w:cs="Arial"/>
        </w:rPr>
        <w:t xml:space="preserve">comprar </w:t>
      </w:r>
      <w:r w:rsidR="00C64198">
        <w:rPr>
          <w:rFonts w:ascii="Arial" w:hAnsi="Arial" w:cs="Arial"/>
        </w:rPr>
        <w:t>materias primas</w:t>
      </w:r>
      <w:r w:rsidR="008B1BE8">
        <w:rPr>
          <w:rFonts w:ascii="Arial" w:hAnsi="Arial" w:cs="Arial"/>
        </w:rPr>
        <w:t xml:space="preserve"> de mejor calidad que mejoran la productividad, reducen los </w:t>
      </w:r>
      <w:r w:rsidR="00BB21A9">
        <w:rPr>
          <w:rFonts w:ascii="Arial" w:hAnsi="Arial" w:cs="Arial"/>
        </w:rPr>
        <w:t xml:space="preserve">residuos y </w:t>
      </w:r>
      <w:r w:rsidR="00396C15" w:rsidRPr="00396C15">
        <w:rPr>
          <w:rFonts w:ascii="Arial" w:hAnsi="Arial" w:cs="Arial"/>
        </w:rPr>
        <w:t xml:space="preserve">el impacto </w:t>
      </w:r>
      <w:r w:rsidR="00C81B13">
        <w:rPr>
          <w:rFonts w:ascii="Arial" w:hAnsi="Arial" w:cs="Arial"/>
        </w:rPr>
        <w:t>en el</w:t>
      </w:r>
      <w:r w:rsidR="00396C15" w:rsidRPr="00396C15">
        <w:rPr>
          <w:rFonts w:ascii="Arial" w:hAnsi="Arial" w:cs="Arial"/>
        </w:rPr>
        <w:t xml:space="preserve"> medio ambiente, atendiendo así a una mayor variedad de </w:t>
      </w:r>
      <w:r w:rsidR="00276CF5">
        <w:rPr>
          <w:rFonts w:ascii="Arial" w:hAnsi="Arial" w:cs="Arial"/>
        </w:rPr>
        <w:t>grupos de interés</w:t>
      </w:r>
      <w:r w:rsidR="00396C15" w:rsidRPr="00396C15">
        <w:rPr>
          <w:rFonts w:ascii="Arial" w:hAnsi="Arial" w:cs="Arial"/>
        </w:rPr>
        <w:t>.</w:t>
      </w:r>
    </w:p>
    <w:p w14:paraId="3489D35E" w14:textId="03DDDFDB" w:rsidR="008E666A" w:rsidRDefault="00920390" w:rsidP="00705E36">
      <w:pPr>
        <w:ind w:right="140"/>
        <w:rPr>
          <w:rFonts w:ascii="Arial" w:hAnsi="Arial" w:cs="Arial"/>
        </w:rPr>
      </w:pPr>
      <w:r w:rsidRPr="00920390">
        <w:rPr>
          <w:rFonts w:ascii="Arial" w:hAnsi="Arial" w:cs="Arial"/>
        </w:rPr>
        <w:t>Las cadenas de suministro actuales están más desagregadas, con diferentes actores que realizan de forma muy especializada cada una de las aportaciones a la cadena de valor hacia el cliente final. Estos actores son una parte importante de los grupos de interés con los que las empresas están conectadas, manteniendo diferentes tipos de relaciones de dependencia. Tratar de satisfacer al máximo número de estos grupos de interés implica hacer esfuerzos para racionalizar y definir dónde las empresas gastan e invierten sus limitados recursos. Para ello, la búsqueda de ahorros es una herramienta práctica para una gestión eficiente, donde PSM juega un papel central.</w:t>
      </w:r>
    </w:p>
    <w:p w14:paraId="483204F1" w14:textId="77777777" w:rsidR="00A94DCC" w:rsidRPr="00D11B77" w:rsidRDefault="00A94DCC" w:rsidP="00705E36">
      <w:pPr>
        <w:ind w:right="140"/>
        <w:rPr>
          <w:rFonts w:ascii="Arial" w:hAnsi="Arial" w:cs="Arial"/>
        </w:rPr>
      </w:pPr>
    </w:p>
    <w:p w14:paraId="6017693B" w14:textId="125590C7" w:rsidR="008E666A" w:rsidRPr="00C352AA" w:rsidRDefault="008E666A" w:rsidP="00705E36">
      <w:pPr>
        <w:pStyle w:val="Heading2"/>
        <w:ind w:right="140"/>
      </w:pPr>
      <w:bookmarkStart w:id="6" w:name="_Toc183376715"/>
      <w:r w:rsidRPr="00C352AA">
        <w:t>2.</w:t>
      </w:r>
      <w:r w:rsidR="00876916" w:rsidRPr="00C352AA">
        <w:t>3</w:t>
      </w:r>
      <w:r w:rsidRPr="00C352AA">
        <w:t>.</w:t>
      </w:r>
      <w:r w:rsidRPr="00C352AA">
        <w:tab/>
      </w:r>
      <w:r w:rsidR="006A2809" w:rsidRPr="00C352AA">
        <w:t>Ahorros</w:t>
      </w:r>
      <w:bookmarkEnd w:id="6"/>
    </w:p>
    <w:p w14:paraId="626D7741" w14:textId="77777777" w:rsidR="008E666A" w:rsidRPr="00C352AA" w:rsidRDefault="008E666A" w:rsidP="00705E36">
      <w:pPr>
        <w:ind w:right="140"/>
        <w:rPr>
          <w:rFonts w:ascii="Arial" w:hAnsi="Arial" w:cs="Arial"/>
        </w:rPr>
      </w:pPr>
    </w:p>
    <w:p w14:paraId="2A6D1626" w14:textId="4A85AA7C" w:rsidR="00880FBE" w:rsidRPr="00953577" w:rsidRDefault="00C352AA" w:rsidP="00705E36">
      <w:pPr>
        <w:ind w:right="140"/>
        <w:rPr>
          <w:rFonts w:ascii="Arial" w:hAnsi="Arial" w:cs="Arial"/>
        </w:rPr>
      </w:pPr>
      <w:r w:rsidRPr="00C352AA">
        <w:rPr>
          <w:rFonts w:ascii="Arial" w:hAnsi="Arial" w:cs="Arial"/>
        </w:rPr>
        <w:t xml:space="preserve">El valor añadido por un departamento de compras resulta principalmente de la evaluación de los ahorros generados </w:t>
      </w:r>
      <w:r w:rsidR="00880FBE" w:rsidRPr="00C352AA">
        <w:rPr>
          <w:rFonts w:ascii="Arial" w:hAnsi="Arial" w:cs="Arial"/>
        </w:rPr>
        <w:t xml:space="preserve">(Van Weele, 2005). </w:t>
      </w:r>
      <w:r w:rsidR="006D711A">
        <w:rPr>
          <w:rFonts w:ascii="Arial" w:hAnsi="Arial" w:cs="Arial"/>
        </w:rPr>
        <w:t xml:space="preserve">Los más evidentes serían los ahorros en costes. </w:t>
      </w:r>
      <w:r w:rsidR="00953577" w:rsidRPr="00953577">
        <w:rPr>
          <w:rFonts w:ascii="Arial" w:hAnsi="Arial" w:cs="Arial"/>
        </w:rPr>
        <w:t xml:space="preserve">Sin embargo, la función de </w:t>
      </w:r>
      <w:r w:rsidR="00953577">
        <w:rPr>
          <w:rFonts w:ascii="Arial" w:hAnsi="Arial" w:cs="Arial"/>
        </w:rPr>
        <w:t>compras</w:t>
      </w:r>
      <w:r w:rsidR="00953577" w:rsidRPr="00953577">
        <w:rPr>
          <w:rFonts w:ascii="Arial" w:hAnsi="Arial" w:cs="Arial"/>
        </w:rPr>
        <w:t xml:space="preserve"> afecta una amplia gama de cost</w:t>
      </w:r>
      <w:r w:rsidR="00F82EF6">
        <w:rPr>
          <w:rFonts w:ascii="Arial" w:hAnsi="Arial" w:cs="Arial"/>
        </w:rPr>
        <w:t>e</w:t>
      </w:r>
      <w:r w:rsidR="00953577" w:rsidRPr="00953577">
        <w:rPr>
          <w:rFonts w:ascii="Arial" w:hAnsi="Arial" w:cs="Arial"/>
        </w:rPr>
        <w:t>s y ahorros.</w:t>
      </w:r>
    </w:p>
    <w:p w14:paraId="4DA594F4" w14:textId="7A59BCE8" w:rsidR="000C4571" w:rsidRDefault="001C2570" w:rsidP="00705E36">
      <w:pPr>
        <w:ind w:right="140"/>
        <w:rPr>
          <w:rFonts w:ascii="Arial" w:hAnsi="Arial" w:cs="Arial"/>
        </w:rPr>
      </w:pPr>
      <w:r>
        <w:rPr>
          <w:rFonts w:ascii="Arial" w:hAnsi="Arial" w:cs="Arial"/>
        </w:rPr>
        <w:t>Alineado</w:t>
      </w:r>
      <w:r w:rsidR="00F365C7" w:rsidRPr="001C2570">
        <w:rPr>
          <w:rFonts w:ascii="Arial" w:hAnsi="Arial" w:cs="Arial"/>
        </w:rPr>
        <w:t xml:space="preserve"> </w:t>
      </w:r>
      <w:r w:rsidR="004D7734" w:rsidRPr="001C2570">
        <w:rPr>
          <w:rFonts w:ascii="Arial" w:hAnsi="Arial" w:cs="Arial"/>
        </w:rPr>
        <w:t>con</w:t>
      </w:r>
      <w:r w:rsidR="00F365C7" w:rsidRPr="001C2570">
        <w:rPr>
          <w:rFonts w:ascii="Arial" w:hAnsi="Arial" w:cs="Arial"/>
        </w:rPr>
        <w:t xml:space="preserve"> SHT, aunque se recono</w:t>
      </w:r>
      <w:r w:rsidR="00F37908">
        <w:rPr>
          <w:rFonts w:ascii="Arial" w:hAnsi="Arial" w:cs="Arial"/>
        </w:rPr>
        <w:t>zca</w:t>
      </w:r>
      <w:r w:rsidR="00F365C7" w:rsidRPr="001C2570">
        <w:rPr>
          <w:rFonts w:ascii="Arial" w:hAnsi="Arial" w:cs="Arial"/>
        </w:rPr>
        <w:t xml:space="preserve"> el papel de los accionistas como parte interesada </w:t>
      </w:r>
      <w:r w:rsidR="00635B26">
        <w:rPr>
          <w:rFonts w:ascii="Arial" w:hAnsi="Arial" w:cs="Arial"/>
        </w:rPr>
        <w:t>principal</w:t>
      </w:r>
      <w:r w:rsidR="00265E2A" w:rsidRPr="001C2570">
        <w:rPr>
          <w:rFonts w:ascii="Arial" w:hAnsi="Arial" w:cs="Arial"/>
        </w:rPr>
        <w:t xml:space="preserve"> </w:t>
      </w:r>
      <w:r w:rsidR="00B1610D" w:rsidRPr="00BE2CF3">
        <w:rPr>
          <w:rFonts w:ascii="Arial" w:hAnsi="Arial" w:cs="Arial"/>
          <w:lang w:val="en-GB"/>
        </w:rPr>
        <w:fldChar w:fldCharType="begin"/>
      </w:r>
      <w:r w:rsidR="00B1610D" w:rsidRPr="001C2570">
        <w:rPr>
          <w:rFonts w:ascii="Arial" w:hAnsi="Arial" w:cs="Arial"/>
        </w:rPr>
        <w:instrText xml:space="preserve"> ADDIN ZOTERO_ITEM CSL_CITATION {"citationID":"ryvWAxZr","properties":{"formattedCitation":"(Gamache et al., 2020)","plainCitation":"(Gamache et al., 2020)","noteIndex":0},"citationItems":[{"id":1979,"uris":["http://zotero.org/users/9514289/items/2K3WC4RM"],"itemData":{"id":1979,"type":"article-journal","abstract":"Research summary: A fundamental question in stakeholder strategy research is why firms adopt certain strategies or approaches to engage with key stakeholders. Recent research suggests that CEOs' characteristics can influence their general decisions to engage with stakeholders, however, this work has yet to consider why CEOs might utilize specific stakeholder strategies. In this article, we demonstrate how CEO regulatory focus influences the nature of a firm's stakeholder strategy. Specifically, we argue that CEO prevention focus is positively associated with engagement in governance-oriented initiatives and receptivity to governance-oriented stakeholder activism, while CEO promotion focus is positively associated with engagement in socially-oriented initiatives and receptivity to socially-oriented stakeholder activism. We find strong support for our hypotheses in a sample of 374 publiclytraded firms.","container-title":"Strategic Management Journal","DOI":"10.1002/smj.3134","ISSN":"0143-2095, 1097-0266","issue":"7","journalAbbreviation":"Strategic Management Journal","language":"en","page":"1305-1335","source":"DOI.org (Crossref)","title":"Serving differently: CEO regulatory focus and firm stakeholder strategy","title-short":"Serving differently","volume":"41","author":[{"family":"Gamache","given":"Daniel L"},{"family":"Neville","given":"François"},{"family":"Bundy","given":"Jonathan"},{"family":"Short","given":"Cole E"}],"issued":{"date-parts":[["2020",7]]}}}],"schema":"https://github.com/citation-style-language/schema/raw/master/csl-citation.json"} </w:instrText>
      </w:r>
      <w:r w:rsidR="00B1610D" w:rsidRPr="00BE2CF3">
        <w:rPr>
          <w:rFonts w:ascii="Arial" w:hAnsi="Arial" w:cs="Arial"/>
          <w:lang w:val="en-GB"/>
        </w:rPr>
        <w:fldChar w:fldCharType="separate"/>
      </w:r>
      <w:r w:rsidR="00B1610D" w:rsidRPr="001C2570">
        <w:rPr>
          <w:rFonts w:ascii="Arial" w:hAnsi="Arial" w:cs="Arial"/>
        </w:rPr>
        <w:t>(Gamache et al., 2020)</w:t>
      </w:r>
      <w:r w:rsidR="00B1610D" w:rsidRPr="00BE2CF3">
        <w:rPr>
          <w:rFonts w:ascii="Arial" w:hAnsi="Arial" w:cs="Arial"/>
          <w:lang w:val="en-GB"/>
        </w:rPr>
        <w:fldChar w:fldCharType="end"/>
      </w:r>
      <w:r w:rsidR="00916B43" w:rsidRPr="001C2570">
        <w:rPr>
          <w:rFonts w:ascii="Arial" w:hAnsi="Arial" w:cs="Arial"/>
        </w:rPr>
        <w:t xml:space="preserve">, </w:t>
      </w:r>
      <w:r w:rsidR="00056C0C">
        <w:rPr>
          <w:rFonts w:ascii="Arial" w:hAnsi="Arial" w:cs="Arial"/>
        </w:rPr>
        <w:t>en la actualidad</w:t>
      </w:r>
      <w:r w:rsidR="00800F35">
        <w:rPr>
          <w:rFonts w:ascii="Arial" w:hAnsi="Arial" w:cs="Arial"/>
        </w:rPr>
        <w:t xml:space="preserve">, las empresas </w:t>
      </w:r>
      <w:r w:rsidRPr="001C2570">
        <w:rPr>
          <w:rFonts w:ascii="Arial" w:hAnsi="Arial" w:cs="Arial"/>
        </w:rPr>
        <w:t>identifica</w:t>
      </w:r>
      <w:r w:rsidR="001025CC">
        <w:rPr>
          <w:rFonts w:ascii="Arial" w:hAnsi="Arial" w:cs="Arial"/>
        </w:rPr>
        <w:t>n</w:t>
      </w:r>
      <w:r w:rsidRPr="001C2570">
        <w:rPr>
          <w:rFonts w:ascii="Arial" w:hAnsi="Arial" w:cs="Arial"/>
        </w:rPr>
        <w:t xml:space="preserve"> un </w:t>
      </w:r>
      <w:r w:rsidR="00350C7F">
        <w:rPr>
          <w:rFonts w:ascii="Arial" w:hAnsi="Arial" w:cs="Arial"/>
        </w:rPr>
        <w:t xml:space="preserve">amplio </w:t>
      </w:r>
      <w:r w:rsidRPr="001C2570">
        <w:rPr>
          <w:rFonts w:ascii="Arial" w:hAnsi="Arial" w:cs="Arial"/>
        </w:rPr>
        <w:t>espectro de ahorros</w:t>
      </w:r>
      <w:r w:rsidR="00350C7F">
        <w:rPr>
          <w:rFonts w:ascii="Arial" w:hAnsi="Arial" w:cs="Arial"/>
        </w:rPr>
        <w:t>.</w:t>
      </w:r>
      <w:r w:rsidRPr="001C2570">
        <w:rPr>
          <w:rFonts w:ascii="Arial" w:hAnsi="Arial" w:cs="Arial"/>
        </w:rPr>
        <w:t xml:space="preserve"> </w:t>
      </w:r>
      <w:r w:rsidR="00350C7F">
        <w:rPr>
          <w:rFonts w:ascii="Arial" w:hAnsi="Arial" w:cs="Arial"/>
        </w:rPr>
        <w:t>Estos ahorros</w:t>
      </w:r>
      <w:r w:rsidR="004D1BEA">
        <w:rPr>
          <w:rFonts w:ascii="Arial" w:hAnsi="Arial" w:cs="Arial"/>
        </w:rPr>
        <w:t>,</w:t>
      </w:r>
      <w:r w:rsidR="00350C7F">
        <w:rPr>
          <w:rFonts w:ascii="Arial" w:hAnsi="Arial" w:cs="Arial"/>
        </w:rPr>
        <w:t xml:space="preserve"> </w:t>
      </w:r>
      <w:r w:rsidR="00FE1716">
        <w:rPr>
          <w:rFonts w:ascii="Arial" w:hAnsi="Arial" w:cs="Arial"/>
        </w:rPr>
        <w:t xml:space="preserve">además de </w:t>
      </w:r>
      <w:r w:rsidRPr="001C2570">
        <w:rPr>
          <w:rFonts w:ascii="Arial" w:hAnsi="Arial" w:cs="Arial"/>
        </w:rPr>
        <w:t>se</w:t>
      </w:r>
      <w:r w:rsidR="00FE1716">
        <w:rPr>
          <w:rFonts w:ascii="Arial" w:hAnsi="Arial" w:cs="Arial"/>
        </w:rPr>
        <w:t>r</w:t>
      </w:r>
      <w:r w:rsidRPr="001C2570">
        <w:rPr>
          <w:rFonts w:ascii="Arial" w:hAnsi="Arial" w:cs="Arial"/>
        </w:rPr>
        <w:t xml:space="preserve"> un resultado tangible que impacta en </w:t>
      </w:r>
      <w:r w:rsidR="00853D90">
        <w:rPr>
          <w:rFonts w:ascii="Arial" w:hAnsi="Arial" w:cs="Arial"/>
        </w:rPr>
        <w:t>l</w:t>
      </w:r>
      <w:r w:rsidR="0038275A">
        <w:rPr>
          <w:rFonts w:ascii="Arial" w:hAnsi="Arial" w:cs="Arial"/>
        </w:rPr>
        <w:t>a</w:t>
      </w:r>
      <w:r w:rsidR="00853D90">
        <w:rPr>
          <w:rFonts w:ascii="Arial" w:hAnsi="Arial" w:cs="Arial"/>
        </w:rPr>
        <w:t>s</w:t>
      </w:r>
      <w:r w:rsidR="0038275A">
        <w:rPr>
          <w:rFonts w:ascii="Arial" w:hAnsi="Arial" w:cs="Arial"/>
        </w:rPr>
        <w:t xml:space="preserve"> cuentas de </w:t>
      </w:r>
      <w:r w:rsidRPr="001C2570">
        <w:rPr>
          <w:rFonts w:ascii="Arial" w:hAnsi="Arial" w:cs="Arial"/>
        </w:rPr>
        <w:t>resultado</w:t>
      </w:r>
      <w:r w:rsidR="00853D90">
        <w:rPr>
          <w:rFonts w:ascii="Arial" w:hAnsi="Arial" w:cs="Arial"/>
        </w:rPr>
        <w:t>s</w:t>
      </w:r>
      <w:r w:rsidRPr="001C2570">
        <w:rPr>
          <w:rFonts w:ascii="Arial" w:hAnsi="Arial" w:cs="Arial"/>
        </w:rPr>
        <w:t xml:space="preserve"> </w:t>
      </w:r>
      <w:r w:rsidR="00853D90">
        <w:rPr>
          <w:rFonts w:ascii="Arial" w:hAnsi="Arial" w:cs="Arial"/>
        </w:rPr>
        <w:t>empresariales</w:t>
      </w:r>
      <w:r w:rsidR="00D935C2">
        <w:rPr>
          <w:rFonts w:ascii="Arial" w:hAnsi="Arial" w:cs="Arial"/>
        </w:rPr>
        <w:t xml:space="preserve"> y</w:t>
      </w:r>
      <w:r w:rsidR="00CF1549">
        <w:rPr>
          <w:rFonts w:ascii="Arial" w:hAnsi="Arial" w:cs="Arial"/>
        </w:rPr>
        <w:t xml:space="preserve"> beneficia a los accionistas</w:t>
      </w:r>
      <w:r w:rsidR="00A620C6">
        <w:rPr>
          <w:rFonts w:ascii="Arial" w:hAnsi="Arial" w:cs="Arial"/>
        </w:rPr>
        <w:t>,</w:t>
      </w:r>
      <w:r w:rsidRPr="001C2570">
        <w:rPr>
          <w:rFonts w:ascii="Arial" w:hAnsi="Arial" w:cs="Arial"/>
        </w:rPr>
        <w:t xml:space="preserve"> </w:t>
      </w:r>
      <w:r w:rsidR="00CB4ABA">
        <w:rPr>
          <w:rFonts w:ascii="Arial" w:hAnsi="Arial" w:cs="Arial"/>
        </w:rPr>
        <w:t xml:space="preserve">también </w:t>
      </w:r>
      <w:r w:rsidRPr="001C2570">
        <w:rPr>
          <w:rFonts w:ascii="Arial" w:hAnsi="Arial" w:cs="Arial"/>
        </w:rPr>
        <w:t>satisface</w:t>
      </w:r>
      <w:r w:rsidR="00CB4ABA">
        <w:rPr>
          <w:rFonts w:ascii="Arial" w:hAnsi="Arial" w:cs="Arial"/>
        </w:rPr>
        <w:t>n</w:t>
      </w:r>
      <w:r w:rsidRPr="001C2570">
        <w:rPr>
          <w:rFonts w:ascii="Arial" w:hAnsi="Arial" w:cs="Arial"/>
        </w:rPr>
        <w:t xml:space="preserve"> a </w:t>
      </w:r>
      <w:r w:rsidR="00853D90">
        <w:rPr>
          <w:rFonts w:ascii="Arial" w:hAnsi="Arial" w:cs="Arial"/>
        </w:rPr>
        <w:t xml:space="preserve">otras </w:t>
      </w:r>
      <w:r w:rsidRPr="001C2570">
        <w:rPr>
          <w:rFonts w:ascii="Arial" w:hAnsi="Arial" w:cs="Arial"/>
        </w:rPr>
        <w:t>partes interesadas.</w:t>
      </w:r>
    </w:p>
    <w:p w14:paraId="26599315" w14:textId="59BFAD07" w:rsidR="00E61E69" w:rsidRPr="00E128BA" w:rsidRDefault="005B5118" w:rsidP="00705E36">
      <w:pPr>
        <w:ind w:right="140"/>
        <w:rPr>
          <w:rFonts w:ascii="Arial" w:hAnsi="Arial" w:cs="Arial"/>
        </w:rPr>
      </w:pPr>
      <w:r w:rsidRPr="005B5118">
        <w:rPr>
          <w:rFonts w:ascii="Arial" w:hAnsi="Arial" w:cs="Arial"/>
        </w:rPr>
        <w:t xml:space="preserve">Los ahorros </w:t>
      </w:r>
      <w:r w:rsidR="000803F1">
        <w:rPr>
          <w:rFonts w:ascii="Arial" w:hAnsi="Arial" w:cs="Arial"/>
        </w:rPr>
        <w:t xml:space="preserve">para este </w:t>
      </w:r>
      <w:r w:rsidR="003C27B2">
        <w:rPr>
          <w:rFonts w:ascii="Arial" w:hAnsi="Arial" w:cs="Arial"/>
        </w:rPr>
        <w:t>artículo</w:t>
      </w:r>
      <w:r w:rsidR="000803F1">
        <w:rPr>
          <w:rFonts w:ascii="Arial" w:hAnsi="Arial" w:cs="Arial"/>
        </w:rPr>
        <w:t xml:space="preserve"> </w:t>
      </w:r>
      <w:r w:rsidRPr="005B5118">
        <w:rPr>
          <w:rFonts w:ascii="Arial" w:hAnsi="Arial" w:cs="Arial"/>
        </w:rPr>
        <w:t xml:space="preserve">hacen referencia a todas las reducciones de costes </w:t>
      </w:r>
      <w:r w:rsidR="0088382C">
        <w:rPr>
          <w:rFonts w:ascii="Arial" w:hAnsi="Arial" w:cs="Arial"/>
        </w:rPr>
        <w:t>en</w:t>
      </w:r>
      <w:r w:rsidRPr="005B5118">
        <w:rPr>
          <w:rFonts w:ascii="Arial" w:hAnsi="Arial" w:cs="Arial"/>
        </w:rPr>
        <w:t xml:space="preserve"> la empresa, donde está involucrada la función PSM, </w:t>
      </w:r>
      <w:r w:rsidR="00552123">
        <w:rPr>
          <w:rFonts w:ascii="Arial" w:hAnsi="Arial" w:cs="Arial"/>
        </w:rPr>
        <w:t>concepto</w:t>
      </w:r>
      <w:r w:rsidRPr="005B5118">
        <w:rPr>
          <w:rFonts w:ascii="Arial" w:hAnsi="Arial" w:cs="Arial"/>
        </w:rPr>
        <w:t xml:space="preserve"> que está relacionado con el “Cost</w:t>
      </w:r>
      <w:r>
        <w:rPr>
          <w:rFonts w:ascii="Arial" w:hAnsi="Arial" w:cs="Arial"/>
        </w:rPr>
        <w:t>e</w:t>
      </w:r>
      <w:r w:rsidRPr="005B5118">
        <w:rPr>
          <w:rFonts w:ascii="Arial" w:hAnsi="Arial" w:cs="Arial"/>
        </w:rPr>
        <w:t xml:space="preserve"> Total de Propiedad”, (TCO</w:t>
      </w:r>
      <w:r w:rsidR="00E128BA">
        <w:rPr>
          <w:rFonts w:ascii="Arial" w:hAnsi="Arial" w:cs="Arial"/>
        </w:rPr>
        <w:t>, Total cost of ownership</w:t>
      </w:r>
      <w:r w:rsidRPr="005B5118">
        <w:rPr>
          <w:rFonts w:ascii="Arial" w:hAnsi="Arial" w:cs="Arial"/>
        </w:rPr>
        <w:t xml:space="preserve">) donde se incluyen los costes </w:t>
      </w:r>
      <w:r w:rsidR="00621EED">
        <w:rPr>
          <w:rFonts w:ascii="Arial" w:hAnsi="Arial" w:cs="Arial"/>
        </w:rPr>
        <w:t>totales</w:t>
      </w:r>
      <w:r w:rsidRPr="005B5118">
        <w:rPr>
          <w:rFonts w:ascii="Arial" w:hAnsi="Arial" w:cs="Arial"/>
        </w:rPr>
        <w:t xml:space="preserve"> a lo largo del ciclo de vida de un producto o servicio. Término desarrollado originalmente por Bill Kirwin, director en Gartner Inc. sugiriendo que la dirección ahora debería tener una perspectiva de largo plazo para valorar con precisión las compras dentro de las empresas.</w:t>
      </w:r>
      <w:r w:rsidR="005A38D5" w:rsidRPr="005B5118">
        <w:rPr>
          <w:rFonts w:ascii="Arial" w:hAnsi="Arial" w:cs="Arial"/>
        </w:rPr>
        <w:t xml:space="preserve"> </w:t>
      </w:r>
      <w:r w:rsidR="00B974B1" w:rsidRPr="00BE2CF3">
        <w:rPr>
          <w:rFonts w:ascii="Arial" w:hAnsi="Arial" w:cs="Arial"/>
          <w:lang w:val="en-GB"/>
        </w:rPr>
        <w:fldChar w:fldCharType="begin"/>
      </w:r>
      <w:r w:rsidR="000B72A6" w:rsidRPr="005B5118">
        <w:rPr>
          <w:rFonts w:ascii="Arial" w:hAnsi="Arial" w:cs="Arial"/>
        </w:rPr>
        <w:instrText xml:space="preserve"> ADDIN ZOTERO_ITEM CSL_CITATION {"citationID":"BHuikLBJ","properties":{"unsorted":true,"formattedCitation":"(Uyar, 2014; Ellram and Maltz, 1995)","plainCitation":"(Uyar, 2014; Ellram and Maltz, 1995)","noteIndex":0},"citationItems":[{"id":1464,"uris":["http://zotero.org/users/9514289/items/LSVMMF6P"],"itemData":{"id":1464,"type":"article-journal","abstract":"Business managements take into account only the price of product or services for purchasing decisions. Considering only the purchasing price might pose a risk with respect to the business budget and it could decrease firm’s profitability performance. At this point, total cost of ownership (TCO) affects purchasing costs, supplier selection and firm profitability. TCO is a cost accounting tool and philosophy which aims at understanding the true cost of buying a particular good or service from a particular supplier. TCO helps selection of the optimal supplier with respect to all the direct and indirect costs in the life of the product/service. The risk of budget failure decreases and the sources of the company are used more effectively. Additionally, the profit of the company increases. The aim of this paper is to examine how TCO helps companies make true decisions on purchasing activities in terms of cost accounting and how firm profitability performance is affected.","container-title":"Research Journal of Finance and Accounting","language":"en","source":"Zotero","title":"A Research on Total Cost of Ownership and Firm Profitability","author":[{"family":"Uyar","given":"Metin"}],"issued":{"date-parts":[["2014"]]}}},{"id":2406,"uris":["http://zotero.org/users/9514289/items/RMXC9EVC"],"itemData":{"id":2406,"type":"article-journal","container-title":"The International Journal of Logistics Management","DOI":"10.1108/09574099510805341","ISSN":"0957-4093","issue":"2","journalAbbreviation":"Int Jrnl Logistics Management","language":"en","page":"55-66","source":"DOI.org (Crossref)","title":"The Use of Total Cost of Ownership Concepts to Model the Outsourcing Decision","volume":"6","author":[{"family":"Ellram","given":"Lisa M."},{"family":"Maltz","given":"Arnold B."}],"issued":{"date-parts":[["1995",7]]}}}],"schema":"https://github.com/citation-style-language/schema/raw/master/csl-citation.json"} </w:instrText>
      </w:r>
      <w:r w:rsidR="00B974B1" w:rsidRPr="00BE2CF3">
        <w:rPr>
          <w:rFonts w:ascii="Arial" w:hAnsi="Arial" w:cs="Arial"/>
          <w:lang w:val="en-GB"/>
        </w:rPr>
        <w:fldChar w:fldCharType="separate"/>
      </w:r>
      <w:r w:rsidR="000B72A6" w:rsidRPr="00BB3924">
        <w:rPr>
          <w:rFonts w:ascii="Arial" w:hAnsi="Arial" w:cs="Arial"/>
        </w:rPr>
        <w:t>(Uyar, 2014; Ellram and Maltz, 1995)</w:t>
      </w:r>
      <w:r w:rsidR="00B974B1" w:rsidRPr="00BE2CF3">
        <w:rPr>
          <w:rFonts w:ascii="Arial" w:hAnsi="Arial" w:cs="Arial"/>
          <w:lang w:val="en-GB"/>
        </w:rPr>
        <w:fldChar w:fldCharType="end"/>
      </w:r>
      <w:r w:rsidR="00B76814" w:rsidRPr="00BB3924">
        <w:rPr>
          <w:rFonts w:ascii="Arial" w:hAnsi="Arial" w:cs="Arial"/>
        </w:rPr>
        <w:t>.</w:t>
      </w:r>
      <w:r w:rsidR="00796AD1" w:rsidRPr="00BB3924">
        <w:rPr>
          <w:rFonts w:ascii="Arial" w:hAnsi="Arial" w:cs="Arial"/>
        </w:rPr>
        <w:t xml:space="preserve"> </w:t>
      </w:r>
      <w:r w:rsidR="00E128BA" w:rsidRPr="00E128BA">
        <w:rPr>
          <w:rFonts w:ascii="Arial" w:hAnsi="Arial" w:cs="Arial"/>
        </w:rPr>
        <w:t>Donde hay un costo hay un ahorro potencial, por lo tanto, aplicado al ahorro, se denominaría como “Ahorro Total de Propiedad”, (TSO</w:t>
      </w:r>
      <w:r w:rsidR="00E128BA">
        <w:rPr>
          <w:rFonts w:ascii="Arial" w:hAnsi="Arial" w:cs="Arial"/>
        </w:rPr>
        <w:t>, Total Savings of Ownership</w:t>
      </w:r>
      <w:r w:rsidR="00E128BA" w:rsidRPr="00E128BA">
        <w:rPr>
          <w:rFonts w:ascii="Arial" w:hAnsi="Arial" w:cs="Arial"/>
        </w:rPr>
        <w:t>), reuniendo todos los tipos de ahorro.</w:t>
      </w:r>
    </w:p>
    <w:p w14:paraId="3CA9239F" w14:textId="1B0EC7E6" w:rsidR="009C1EBD" w:rsidRPr="00C37118" w:rsidRDefault="00260225" w:rsidP="00705E36">
      <w:pPr>
        <w:ind w:right="140"/>
        <w:rPr>
          <w:rFonts w:ascii="Arial" w:hAnsi="Arial" w:cs="Arial"/>
        </w:rPr>
      </w:pPr>
      <w:r>
        <w:rPr>
          <w:rFonts w:ascii="Arial" w:hAnsi="Arial" w:cs="Arial"/>
        </w:rPr>
        <w:t xml:space="preserve">Es generalmente aceptado </w:t>
      </w:r>
      <w:r w:rsidR="0057702F" w:rsidRPr="0057702F">
        <w:rPr>
          <w:rFonts w:ascii="Arial" w:hAnsi="Arial" w:cs="Arial"/>
        </w:rPr>
        <w:t>que los ahorros de cost</w:t>
      </w:r>
      <w:r w:rsidR="00F634A0">
        <w:rPr>
          <w:rFonts w:ascii="Arial" w:hAnsi="Arial" w:cs="Arial"/>
        </w:rPr>
        <w:t>e</w:t>
      </w:r>
      <w:r w:rsidR="0057702F" w:rsidRPr="0057702F">
        <w:rPr>
          <w:rFonts w:ascii="Arial" w:hAnsi="Arial" w:cs="Arial"/>
        </w:rPr>
        <w:t xml:space="preserve">s incluyen dos categorías: ahorros </w:t>
      </w:r>
      <w:r w:rsidR="00D027DD">
        <w:rPr>
          <w:rFonts w:ascii="Arial" w:hAnsi="Arial" w:cs="Arial"/>
        </w:rPr>
        <w:t xml:space="preserve">directos o </w:t>
      </w:r>
      <w:r w:rsidR="0057702F" w:rsidRPr="0057702F">
        <w:rPr>
          <w:rFonts w:ascii="Arial" w:hAnsi="Arial" w:cs="Arial"/>
        </w:rPr>
        <w:t xml:space="preserve">duros y ahorros </w:t>
      </w:r>
      <w:r w:rsidR="00D027DD">
        <w:rPr>
          <w:rFonts w:ascii="Arial" w:hAnsi="Arial" w:cs="Arial"/>
        </w:rPr>
        <w:t xml:space="preserve">indirectos o </w:t>
      </w:r>
      <w:r w:rsidR="0057702F" w:rsidRPr="0057702F">
        <w:rPr>
          <w:rFonts w:ascii="Arial" w:hAnsi="Arial" w:cs="Arial"/>
        </w:rPr>
        <w:t xml:space="preserve">blandos </w:t>
      </w:r>
      <w:r w:rsidR="006364F8" w:rsidRPr="00BE2CF3">
        <w:rPr>
          <w:rFonts w:ascii="Arial" w:hAnsi="Arial" w:cs="Arial"/>
          <w:lang w:val="en-GB"/>
        </w:rPr>
        <w:fldChar w:fldCharType="begin"/>
      </w:r>
      <w:r w:rsidR="006364F8" w:rsidRPr="0057702F">
        <w:rPr>
          <w:rFonts w:ascii="Arial" w:hAnsi="Arial" w:cs="Arial"/>
        </w:rPr>
        <w:instrText xml:space="preserve"> ADDIN ZOTERO_ITEM CSL_CITATION {"citationID":"YjkyqFoq","properties":{"formattedCitation":"(Dmytrenko, 1997)","plainCitation":"(Dmytrenko, 1997)","noteIndex":0},"citationItems":[{"id":1141,"uris":["http://zotero.org/users/9514289/items/YYTZXNB8"],"itemData":{"id":1141,"type":"article-journal","archive":"Academic Search Premier","archive_location":"9702232052","container-title":"Records Management Quarterly","ISSN":"1050-2343","issue":"1","journalAbbreviation":"Records Management Quarterly","page":"16-16-19","title":"Cost benefit analysis.","volume":"31","author":[{"family":"Dmytrenko","given":"April L."}],"issued":{"date-parts":[["1997",1,1]]}}}],"schema":"https://github.com/citation-style-language/schema/raw/master/csl-citation.json"} </w:instrText>
      </w:r>
      <w:r w:rsidR="006364F8" w:rsidRPr="00BE2CF3">
        <w:rPr>
          <w:rFonts w:ascii="Arial" w:hAnsi="Arial" w:cs="Arial"/>
          <w:lang w:val="en-GB"/>
        </w:rPr>
        <w:fldChar w:fldCharType="separate"/>
      </w:r>
      <w:r w:rsidR="006364F8" w:rsidRPr="0057702F">
        <w:rPr>
          <w:rFonts w:ascii="Arial" w:hAnsi="Arial" w:cs="Arial"/>
        </w:rPr>
        <w:t>(Dmytrenko, 1997)</w:t>
      </w:r>
      <w:r w:rsidR="006364F8" w:rsidRPr="00BE2CF3">
        <w:rPr>
          <w:rFonts w:ascii="Arial" w:hAnsi="Arial" w:cs="Arial"/>
          <w:lang w:val="en-GB"/>
        </w:rPr>
        <w:fldChar w:fldCharType="end"/>
      </w:r>
      <w:r w:rsidR="0020626E" w:rsidRPr="0057702F">
        <w:rPr>
          <w:rFonts w:ascii="Arial" w:hAnsi="Arial" w:cs="Arial"/>
        </w:rPr>
        <w:t>.</w:t>
      </w:r>
      <w:r w:rsidR="009C1EBD" w:rsidRPr="0057702F">
        <w:rPr>
          <w:rFonts w:ascii="Arial" w:hAnsi="Arial" w:cs="Arial"/>
        </w:rPr>
        <w:t xml:space="preserve"> </w:t>
      </w:r>
      <w:r w:rsidR="00C37118" w:rsidRPr="00C37118">
        <w:rPr>
          <w:rFonts w:ascii="Arial" w:hAnsi="Arial" w:cs="Arial"/>
        </w:rPr>
        <w:t xml:space="preserve">Una tercera categoría, </w:t>
      </w:r>
      <w:r w:rsidR="00C37118">
        <w:rPr>
          <w:rFonts w:ascii="Arial" w:hAnsi="Arial" w:cs="Arial"/>
        </w:rPr>
        <w:t>los costes evitados</w:t>
      </w:r>
      <w:r w:rsidR="00C37118" w:rsidRPr="00C37118">
        <w:rPr>
          <w:rFonts w:ascii="Arial" w:hAnsi="Arial" w:cs="Arial"/>
        </w:rPr>
        <w:t>,</w:t>
      </w:r>
      <w:r w:rsidR="00C37118">
        <w:rPr>
          <w:rFonts w:ascii="Arial" w:hAnsi="Arial" w:cs="Arial"/>
        </w:rPr>
        <w:t xml:space="preserve"> también se considera</w:t>
      </w:r>
      <w:r w:rsidR="00716739">
        <w:rPr>
          <w:rFonts w:ascii="Arial" w:hAnsi="Arial" w:cs="Arial"/>
        </w:rPr>
        <w:t xml:space="preserve"> habitualmente</w:t>
      </w:r>
      <w:r w:rsidR="00C37118">
        <w:rPr>
          <w:rFonts w:ascii="Arial" w:hAnsi="Arial" w:cs="Arial"/>
        </w:rPr>
        <w:t>.</w:t>
      </w:r>
    </w:p>
    <w:p w14:paraId="3FC86A12" w14:textId="25EF76D2" w:rsidR="009C1EBD" w:rsidRPr="00085A5A" w:rsidRDefault="003059AE" w:rsidP="00705E36">
      <w:pPr>
        <w:ind w:right="140"/>
        <w:rPr>
          <w:rFonts w:ascii="Arial" w:hAnsi="Arial" w:cs="Arial"/>
        </w:rPr>
      </w:pPr>
      <w:r w:rsidRPr="003059AE">
        <w:rPr>
          <w:rFonts w:ascii="Arial" w:hAnsi="Arial" w:cs="Arial"/>
        </w:rPr>
        <w:t xml:space="preserve">Los ahorros </w:t>
      </w:r>
      <w:r w:rsidR="00D027DD">
        <w:rPr>
          <w:rFonts w:ascii="Arial" w:hAnsi="Arial" w:cs="Arial"/>
        </w:rPr>
        <w:t>directos</w:t>
      </w:r>
      <w:r w:rsidRPr="003059AE">
        <w:rPr>
          <w:rFonts w:ascii="Arial" w:hAnsi="Arial" w:cs="Arial"/>
        </w:rPr>
        <w:t xml:space="preserve"> son por naturaleza cuantitativos, ya que se requiere información “tangible” para su medición </w:t>
      </w:r>
      <w:r w:rsidR="00C85402" w:rsidRPr="00BE2CF3">
        <w:rPr>
          <w:rFonts w:ascii="Arial" w:hAnsi="Arial" w:cs="Arial"/>
          <w:lang w:val="en-GB"/>
        </w:rPr>
        <w:fldChar w:fldCharType="begin"/>
      </w:r>
      <w:r w:rsidR="00C85402" w:rsidRPr="003059AE">
        <w:rPr>
          <w:rFonts w:ascii="Arial" w:hAnsi="Arial" w:cs="Arial"/>
        </w:rPr>
        <w:instrText xml:space="preserve"> ADDIN ZOTERO_ITEM CSL_CITATION {"citationID":"qTFFkDmI","properties":{"formattedCitation":"(Dmytrenko, 1997)","plainCitation":"(Dmytrenko, 1997)","noteIndex":0},"citationItems":[{"id":1141,"uris":["http://zotero.org/users/9514289/items/YYTZXNB8"],"itemData":{"id":1141,"type":"article-journal","archive":"Academic Search Premier","archive_location":"9702232052","container-title":"Records Management Quarterly","ISSN":"1050-2343","issue":"1","journalAbbreviation":"Records Management Quarterly","page":"16-16-19","title":"Cost benefit analysis.","volume":"31","author":[{"family":"Dmytrenko","given":"April L."}],"issued":{"date-parts":[["1997",1,1]]}}}],"schema":"https://github.com/citation-style-language/schema/raw/master/csl-citation.json"} </w:instrText>
      </w:r>
      <w:r w:rsidR="00C85402" w:rsidRPr="00BE2CF3">
        <w:rPr>
          <w:rFonts w:ascii="Arial" w:hAnsi="Arial" w:cs="Arial"/>
          <w:lang w:val="en-GB"/>
        </w:rPr>
        <w:fldChar w:fldCharType="separate"/>
      </w:r>
      <w:r w:rsidR="00C85402" w:rsidRPr="003059AE">
        <w:rPr>
          <w:rFonts w:ascii="Arial" w:hAnsi="Arial" w:cs="Arial"/>
        </w:rPr>
        <w:t>(Dmytrenko, 1997)</w:t>
      </w:r>
      <w:r w:rsidR="00C85402" w:rsidRPr="00BE2CF3">
        <w:rPr>
          <w:rFonts w:ascii="Arial" w:hAnsi="Arial" w:cs="Arial"/>
          <w:lang w:val="en-GB"/>
        </w:rPr>
        <w:fldChar w:fldCharType="end"/>
      </w:r>
      <w:r w:rsidR="009C1EBD" w:rsidRPr="003059AE">
        <w:rPr>
          <w:rFonts w:ascii="Arial" w:hAnsi="Arial" w:cs="Arial"/>
        </w:rPr>
        <w:t xml:space="preserve">. </w:t>
      </w:r>
      <w:r w:rsidR="00E67996" w:rsidRPr="00E67996">
        <w:rPr>
          <w:rFonts w:ascii="Arial" w:hAnsi="Arial" w:cs="Arial"/>
        </w:rPr>
        <w:t>Una reducción de costes se mide comparando el precio negociado con un precio referencial</w:t>
      </w:r>
      <w:r w:rsidR="00C23FF1" w:rsidRPr="00E67996">
        <w:rPr>
          <w:rFonts w:ascii="Arial" w:hAnsi="Arial" w:cs="Arial"/>
        </w:rPr>
        <w:t xml:space="preserve"> </w:t>
      </w:r>
      <w:r w:rsidR="006364F8" w:rsidRPr="00BE2CF3">
        <w:rPr>
          <w:rFonts w:ascii="Arial" w:hAnsi="Arial" w:cs="Arial"/>
          <w:lang w:val="en-GB"/>
        </w:rPr>
        <w:fldChar w:fldCharType="begin"/>
      </w:r>
      <w:r w:rsidR="006364F8" w:rsidRPr="00E67996">
        <w:rPr>
          <w:rFonts w:ascii="Arial" w:hAnsi="Arial" w:cs="Arial"/>
        </w:rPr>
        <w:instrText xml:space="preserve"> ADDIN ZOTERO_ITEM CSL_CITATION {"citationID":"hfIbEu4G","properties":{"formattedCitation":"(Monczka et al., 1993)","plainCitation":"(Monczka et al., 1993)","noteIndex":0},"citationItems":[{"id":1145,"uris":["http://zotero.org/users/9514289/items/Z69AD8CP"],"itemData":{"id":1145,"type":"article-journal","abstract":"Competing in the mid</w:instrText>
      </w:r>
      <w:r w:rsidR="006364F8" w:rsidRPr="00E67996">
        <w:rPr>
          <w:rFonts w:ascii="Cambria Math" w:hAnsi="Cambria Math" w:cs="Cambria Math"/>
        </w:rPr>
        <w:instrText>‐</w:instrText>
      </w:r>
      <w:r w:rsidR="006364F8" w:rsidRPr="00E67996">
        <w:rPr>
          <w:rFonts w:ascii="Arial" w:hAnsi="Arial" w:cs="Arial"/>
        </w:rPr>
        <w:instrText>to</w:instrText>
      </w:r>
      <w:r w:rsidR="006364F8" w:rsidRPr="00E67996">
        <w:rPr>
          <w:rFonts w:ascii="Cambria Math" w:hAnsi="Cambria Math" w:cs="Cambria Math"/>
        </w:rPr>
        <w:instrText>‐</w:instrText>
      </w:r>
      <w:r w:rsidR="006364F8" w:rsidRPr="00E67996">
        <w:rPr>
          <w:rFonts w:ascii="Arial" w:hAnsi="Arial" w:cs="Arial"/>
        </w:rPr>
        <w:instrText>late 1990s will require world</w:instrText>
      </w:r>
      <w:r w:rsidR="006364F8" w:rsidRPr="00E67996">
        <w:rPr>
          <w:rFonts w:ascii="Cambria Math" w:hAnsi="Cambria Math" w:cs="Cambria Math"/>
        </w:rPr>
        <w:instrText>‐</w:instrText>
      </w:r>
      <w:r w:rsidR="006364F8" w:rsidRPr="00E67996">
        <w:rPr>
          <w:rFonts w:ascii="Arial" w:hAnsi="Arial" w:cs="Arial"/>
        </w:rPr>
        <w:instrText>class firms\nto rely increasingly on their suppliers while at the same time\ndeveloping more aggressive and executive supported purchasing, supply\nbase and sourcing strategies, because suppliers′ performance is not\nmeeting expectations of purchasers. This finding was one result of a\nresearch effort with over 100 different firms over a five</w:instrText>
      </w:r>
      <w:r w:rsidR="006364F8" w:rsidRPr="00E67996">
        <w:rPr>
          <w:rFonts w:ascii="Cambria Math" w:hAnsi="Cambria Math" w:cs="Cambria Math"/>
        </w:rPr>
        <w:instrText>‐</w:instrText>
      </w:r>
      <w:r w:rsidR="006364F8" w:rsidRPr="00E67996">
        <w:rPr>
          <w:rFonts w:ascii="Arial" w:hAnsi="Arial" w:cs="Arial"/>
        </w:rPr>
        <w:instrText xml:space="preserve">year period to\ndetermine the importance of the supply base, current supplier\nperformance and emerging supply base/sourcing strategies being used by\nleading firms to contribute to competitive advantage. It was further\ndetermined that significant opportunities exist to accelerate\ndevelopment of supplier capabilities and performance. Identifies and\ndiscusses continuous improvement and breakthrough supply base and\nsourcing strategies to achieve supply base improvement.","container-title":"International Journal of Physical Distribution &amp; Logistics Management","DOI":"10.1108/09600039310041509","ISSN":"0960-0035","issue":"4","language":"en","page":"42-54","source":"DOI.org (Crossref)","title":"Supply Base Strategies to Maximize Supplier Performance","volume":"23","author":[{"family":"Monczka","given":"Robert M."},{"family":"Trent","given":"Robert J."},{"family":"Callahan","given":"Thomas J."}],"issued":{"date-parts":[["1993",4,1]]}}}],"schema":"https://github.com/citation-style-language/schema/raw/master/csl-citation.json"} </w:instrText>
      </w:r>
      <w:r w:rsidR="006364F8" w:rsidRPr="00BE2CF3">
        <w:rPr>
          <w:rFonts w:ascii="Arial" w:hAnsi="Arial" w:cs="Arial"/>
          <w:lang w:val="en-GB"/>
        </w:rPr>
        <w:fldChar w:fldCharType="separate"/>
      </w:r>
      <w:r w:rsidR="006364F8" w:rsidRPr="00E67996">
        <w:rPr>
          <w:rFonts w:ascii="Arial" w:hAnsi="Arial" w:cs="Arial"/>
        </w:rPr>
        <w:t>(Monczka et al., 1993)</w:t>
      </w:r>
      <w:r w:rsidR="006364F8" w:rsidRPr="00BE2CF3">
        <w:rPr>
          <w:rFonts w:ascii="Arial" w:hAnsi="Arial" w:cs="Arial"/>
          <w:lang w:val="en-GB"/>
        </w:rPr>
        <w:fldChar w:fldCharType="end"/>
      </w:r>
      <w:r w:rsidR="006364F8" w:rsidRPr="00E67996">
        <w:rPr>
          <w:rFonts w:ascii="Arial" w:hAnsi="Arial" w:cs="Arial"/>
        </w:rPr>
        <w:t>,</w:t>
      </w:r>
      <w:r w:rsidR="009C1EBD" w:rsidRPr="00E67996">
        <w:rPr>
          <w:rFonts w:ascii="Arial" w:hAnsi="Arial" w:cs="Arial"/>
        </w:rPr>
        <w:t xml:space="preserve"> </w:t>
      </w:r>
      <w:r w:rsidR="00085A5A" w:rsidRPr="00085A5A">
        <w:rPr>
          <w:rFonts w:ascii="Arial" w:hAnsi="Arial" w:cs="Arial"/>
        </w:rPr>
        <w:t xml:space="preserve">o con el último precio pagado. Los ahorros </w:t>
      </w:r>
      <w:r w:rsidR="00D027DD">
        <w:rPr>
          <w:rFonts w:ascii="Arial" w:hAnsi="Arial" w:cs="Arial"/>
        </w:rPr>
        <w:t>directos</w:t>
      </w:r>
      <w:r w:rsidR="00085A5A" w:rsidRPr="00085A5A">
        <w:rPr>
          <w:rFonts w:ascii="Arial" w:hAnsi="Arial" w:cs="Arial"/>
        </w:rPr>
        <w:t xml:space="preserve"> están relacionados con todas las acciones de los compradores que impactan directamente en el resultado </w:t>
      </w:r>
      <w:r w:rsidR="00E8321B">
        <w:rPr>
          <w:rFonts w:ascii="Arial" w:hAnsi="Arial" w:cs="Arial"/>
        </w:rPr>
        <w:t>financiero</w:t>
      </w:r>
      <w:r w:rsidR="00085A5A" w:rsidRPr="00085A5A">
        <w:rPr>
          <w:rFonts w:ascii="Arial" w:hAnsi="Arial" w:cs="Arial"/>
        </w:rPr>
        <w:t>, como las reducciones en el precio, en la fuerza laboral o en los cost</w:t>
      </w:r>
      <w:r w:rsidR="00F82EF6">
        <w:rPr>
          <w:rFonts w:ascii="Arial" w:hAnsi="Arial" w:cs="Arial"/>
        </w:rPr>
        <w:t>e</w:t>
      </w:r>
      <w:r w:rsidR="00085A5A" w:rsidRPr="00085A5A">
        <w:rPr>
          <w:rFonts w:ascii="Arial" w:hAnsi="Arial" w:cs="Arial"/>
        </w:rPr>
        <w:t>s de transacción.</w:t>
      </w:r>
    </w:p>
    <w:p w14:paraId="069A102E" w14:textId="4B26F802" w:rsidR="009C1EBD" w:rsidRPr="00461591" w:rsidRDefault="00EB0DC2" w:rsidP="00705E36">
      <w:pPr>
        <w:ind w:right="140"/>
        <w:rPr>
          <w:rFonts w:ascii="Arial" w:hAnsi="Arial" w:cs="Arial"/>
        </w:rPr>
      </w:pPr>
      <w:r w:rsidRPr="00EB0DC2">
        <w:rPr>
          <w:rFonts w:ascii="Arial" w:hAnsi="Arial" w:cs="Arial"/>
        </w:rPr>
        <w:t xml:space="preserve">Los ahorros indirectos se refieren a los ahorros generados por resultados basados ​​en criterios </w:t>
      </w:r>
      <w:r>
        <w:rPr>
          <w:rFonts w:ascii="Arial" w:hAnsi="Arial" w:cs="Arial"/>
        </w:rPr>
        <w:t>“</w:t>
      </w:r>
      <w:r w:rsidRPr="00EB0DC2">
        <w:rPr>
          <w:rFonts w:ascii="Arial" w:hAnsi="Arial" w:cs="Arial"/>
        </w:rPr>
        <w:t>cualitativos</w:t>
      </w:r>
      <w:r>
        <w:rPr>
          <w:rFonts w:ascii="Arial" w:hAnsi="Arial" w:cs="Arial"/>
        </w:rPr>
        <w:t>”</w:t>
      </w:r>
      <w:r w:rsidRPr="00EB0DC2">
        <w:rPr>
          <w:rFonts w:ascii="Arial" w:hAnsi="Arial" w:cs="Arial"/>
        </w:rPr>
        <w:t xml:space="preserve">; su impacto en el resultado </w:t>
      </w:r>
      <w:r>
        <w:rPr>
          <w:rFonts w:ascii="Arial" w:hAnsi="Arial" w:cs="Arial"/>
        </w:rPr>
        <w:t>financiero</w:t>
      </w:r>
      <w:r w:rsidRPr="00EB0DC2">
        <w:rPr>
          <w:rFonts w:ascii="Arial" w:hAnsi="Arial" w:cs="Arial"/>
        </w:rPr>
        <w:t xml:space="preserve"> </w:t>
      </w:r>
      <w:r w:rsidR="00B0652D">
        <w:rPr>
          <w:rFonts w:ascii="Arial" w:hAnsi="Arial" w:cs="Arial"/>
        </w:rPr>
        <w:t>es</w:t>
      </w:r>
      <w:r w:rsidRPr="00EB0DC2">
        <w:rPr>
          <w:rFonts w:ascii="Arial" w:hAnsi="Arial" w:cs="Arial"/>
        </w:rPr>
        <w:t xml:space="preserve"> indirecto, </w:t>
      </w:r>
      <w:r w:rsidR="00686163">
        <w:rPr>
          <w:rFonts w:ascii="Arial" w:hAnsi="Arial" w:cs="Arial"/>
        </w:rPr>
        <w:t xml:space="preserve">como </w:t>
      </w:r>
      <w:r w:rsidRPr="00EB0DC2">
        <w:rPr>
          <w:rFonts w:ascii="Arial" w:hAnsi="Arial" w:cs="Arial"/>
        </w:rPr>
        <w:t xml:space="preserve">cuando los beneficios se distribuyen entre varios departamentos. Por ejemplo, un ahorro podría resultar de una modificación del embalaje debido a una reducción del tiempo necesario en el almacén; este cambio podría aumentar la productividad </w:t>
      </w:r>
      <w:r w:rsidR="00461591" w:rsidRPr="00EB0DC2">
        <w:rPr>
          <w:rFonts w:ascii="Arial" w:hAnsi="Arial" w:cs="Arial"/>
        </w:rPr>
        <w:t>de</w:t>
      </w:r>
      <w:r w:rsidRPr="00EB0DC2">
        <w:rPr>
          <w:rFonts w:ascii="Arial" w:hAnsi="Arial" w:cs="Arial"/>
        </w:rPr>
        <w:t xml:space="preserve"> la fuerza laboral, pero no necesariamente reducir la fuerza laboral en sí. Dado que hay</w:t>
      </w:r>
      <w:r w:rsidR="00994CBE">
        <w:rPr>
          <w:rFonts w:ascii="Arial" w:hAnsi="Arial" w:cs="Arial"/>
        </w:rPr>
        <w:t xml:space="preserve"> </w:t>
      </w:r>
      <w:r w:rsidRPr="00EB0DC2">
        <w:rPr>
          <w:rFonts w:ascii="Arial" w:hAnsi="Arial" w:cs="Arial"/>
        </w:rPr>
        <w:t>más subjetividad involucrada, la complejidad de medir con precisión los ahorros indirectos es mayor</w:t>
      </w:r>
      <w:r w:rsidR="00F4228A" w:rsidRPr="00EB0DC2">
        <w:rPr>
          <w:rFonts w:ascii="Arial" w:hAnsi="Arial" w:cs="Arial"/>
        </w:rPr>
        <w:t xml:space="preserve"> </w:t>
      </w:r>
      <w:r w:rsidR="00F4228A">
        <w:rPr>
          <w:rFonts w:ascii="Arial" w:hAnsi="Arial" w:cs="Arial"/>
          <w:lang w:val="en-GB"/>
        </w:rPr>
        <w:fldChar w:fldCharType="begin"/>
      </w:r>
      <w:r w:rsidR="00F4228A" w:rsidRPr="00EB0DC2">
        <w:rPr>
          <w:rFonts w:ascii="Arial" w:hAnsi="Arial" w:cs="Arial"/>
        </w:rPr>
        <w:instrText xml:space="preserve"> ADDIN ZOTERO_ITEM CSL_CITATION {"citationID":"QSdiH5QK","properties":{"formattedCitation":"(Nollet et al., 2008)","plainCitation":"(Nollet et al., 2008)","noteIndex":0},"citationItems":[{"id":488,"uris":["http://zotero.org/users/9514289/items/F8HDHSAX"],"itemData":{"id":488,"type":"article-journal","abstract":"This paper presents the dynamics and complexity of implementing a cost savings measurement system in purchasing. It focuses on the technical and strategic aspects of the evolution of such a system in a renowned organisation. Few articles dealing with cost savings in purchasing use an empirical approach. Therefore, this research sheds light on signi</w:instrText>
      </w:r>
      <w:r w:rsidR="00F4228A">
        <w:rPr>
          <w:rFonts w:ascii="Arial" w:hAnsi="Arial" w:cs="Arial"/>
          <w:lang w:val="en-GB"/>
        </w:rPr>
        <w:instrText>ﬁ</w:instrText>
      </w:r>
      <w:r w:rsidR="00F4228A" w:rsidRPr="00EB0DC2">
        <w:rPr>
          <w:rFonts w:ascii="Arial" w:hAnsi="Arial" w:cs="Arial"/>
        </w:rPr>
        <w:instrText>cant issues, often neglected in the literature. Contributions to managers include lessons about the importance of overcoming the complexity of measurements, and recognising that it is easier to begin by measuring hard savings, followed by soft savings when the system is running well. Contributions to the scienti</w:instrText>
      </w:r>
      <w:r w:rsidR="00F4228A">
        <w:rPr>
          <w:rFonts w:ascii="Arial" w:hAnsi="Arial" w:cs="Arial"/>
          <w:lang w:val="en-GB"/>
        </w:rPr>
        <w:instrText>ﬁ</w:instrText>
      </w:r>
      <w:r w:rsidR="00F4228A" w:rsidRPr="00EB0DC2">
        <w:rPr>
          <w:rFonts w:ascii="Arial" w:hAnsi="Arial" w:cs="Arial"/>
        </w:rPr>
        <w:instrText xml:space="preserve">c literature include the opportunity to follow the progression of a cost savings measurement system within an organisation, and a discussion about the limitations of such systems.","container-title":"Journal of Purchasing and Supply Management","DOI":"10.1016/j.pursup.2008.03.002","ISSN":"14784092","issue":"2","journalAbbreviation":"Journal of Purchasing and Supply Management","language":"en","page":"125-135","source":"DOI.org (Crossref)","title":"When excessive cost savings measurement drowns the objectives","volume":"14","author":[{"family":"Nollet","given":"Jean"},{"family":"Calvi","given":"Richard"},{"family":"Audet","given":"Estelle"},{"family":"Côté","given":"Marjorie"}],"issued":{"date-parts":[["2008",6]]}}}],"schema":"https://github.com/citation-style-language/schema/raw/master/csl-citation.json"} </w:instrText>
      </w:r>
      <w:r w:rsidR="00F4228A">
        <w:rPr>
          <w:rFonts w:ascii="Arial" w:hAnsi="Arial" w:cs="Arial"/>
          <w:lang w:val="en-GB"/>
        </w:rPr>
        <w:fldChar w:fldCharType="separate"/>
      </w:r>
      <w:r w:rsidR="00F4228A" w:rsidRPr="00461591">
        <w:rPr>
          <w:rFonts w:ascii="Arial" w:hAnsi="Arial" w:cs="Arial"/>
        </w:rPr>
        <w:t>(Nollet et al., 2008)</w:t>
      </w:r>
      <w:r w:rsidR="00F4228A">
        <w:rPr>
          <w:rFonts w:ascii="Arial" w:hAnsi="Arial" w:cs="Arial"/>
          <w:lang w:val="en-GB"/>
        </w:rPr>
        <w:fldChar w:fldCharType="end"/>
      </w:r>
      <w:r w:rsidR="00461591" w:rsidRPr="00461591">
        <w:rPr>
          <w:rFonts w:ascii="Arial" w:hAnsi="Arial" w:cs="Arial"/>
        </w:rPr>
        <w:t>.</w:t>
      </w:r>
    </w:p>
    <w:p w14:paraId="5F6B6DCE" w14:textId="32ABB0D3" w:rsidR="009C1EBD" w:rsidRPr="00BB3924" w:rsidRDefault="001A0F26" w:rsidP="00705E36">
      <w:pPr>
        <w:ind w:right="140"/>
        <w:rPr>
          <w:rFonts w:ascii="Arial" w:hAnsi="Arial" w:cs="Arial"/>
        </w:rPr>
      </w:pPr>
      <w:r w:rsidRPr="001A0F26">
        <w:rPr>
          <w:rFonts w:ascii="Arial" w:hAnsi="Arial" w:cs="Arial"/>
        </w:rPr>
        <w:t xml:space="preserve">La evitación de </w:t>
      </w:r>
      <w:r w:rsidRPr="00F634A0">
        <w:rPr>
          <w:rFonts w:ascii="Arial" w:hAnsi="Arial" w:cs="Arial"/>
        </w:rPr>
        <w:t>cost</w:t>
      </w:r>
      <w:r w:rsidR="00FB1B4B" w:rsidRPr="00F634A0">
        <w:rPr>
          <w:rFonts w:ascii="Arial" w:hAnsi="Arial" w:cs="Arial"/>
        </w:rPr>
        <w:t>e</w:t>
      </w:r>
      <w:r w:rsidRPr="00F634A0">
        <w:rPr>
          <w:rFonts w:ascii="Arial" w:hAnsi="Arial" w:cs="Arial"/>
        </w:rPr>
        <w:t>s</w:t>
      </w:r>
      <w:r w:rsidRPr="001A0F26">
        <w:rPr>
          <w:rFonts w:ascii="Arial" w:hAnsi="Arial" w:cs="Arial"/>
        </w:rPr>
        <w:t xml:space="preserve"> es la reducción o eliminación de un cost</w:t>
      </w:r>
      <w:r w:rsidR="006A1215">
        <w:rPr>
          <w:rFonts w:ascii="Arial" w:hAnsi="Arial" w:cs="Arial"/>
        </w:rPr>
        <w:t>e</w:t>
      </w:r>
      <w:r w:rsidRPr="001A0F26">
        <w:rPr>
          <w:rFonts w:ascii="Arial" w:hAnsi="Arial" w:cs="Arial"/>
        </w:rPr>
        <w:t xml:space="preserve"> futuro</w:t>
      </w:r>
      <w:r w:rsidR="00D71760" w:rsidRPr="001A0F26">
        <w:rPr>
          <w:rFonts w:ascii="Arial" w:hAnsi="Arial" w:cs="Arial"/>
        </w:rPr>
        <w:t xml:space="preserve"> </w:t>
      </w:r>
      <w:r w:rsidR="00D71760" w:rsidRPr="00BE2CF3">
        <w:rPr>
          <w:rFonts w:ascii="Arial" w:hAnsi="Arial" w:cs="Arial"/>
          <w:lang w:val="en-GB"/>
        </w:rPr>
        <w:fldChar w:fldCharType="begin"/>
      </w:r>
      <w:r w:rsidR="00D71760" w:rsidRPr="001A0F26">
        <w:rPr>
          <w:rFonts w:ascii="Arial" w:hAnsi="Arial" w:cs="Arial"/>
        </w:rPr>
        <w:instrText xml:space="preserve"> ADDIN ZOTERO_ITEM CSL_CITATION {"citationID":"hSbuJlck","properties":{"formattedCitation":"(Dmytrenko, 1997)","plainCitation":"(Dmytrenko, 1997)","noteIndex":0},"citationItems":[{"id":1141,"uris":["http://zotero.org/users/9514289/items/YYTZXNB8"],"itemData":{"id":1141,"type":"article-journal","archive":"Academic Search Premier","archive_location":"9702232052","container-title":"Records Management Quarterly","ISSN":"1050-2343","issue":"1","journalAbbreviation":"Records Management Quarterly","page":"16-16-19","title":"Cost benefit analysis.","volume":"31","author":[{"family":"Dmytrenko","given":"April L."}],"issued":{"date-parts":[["1997",1,1]]}}}],"schema":"https://github.com/citation-style-language/schema/raw/master/csl-citation.json"} </w:instrText>
      </w:r>
      <w:r w:rsidR="00D71760" w:rsidRPr="00BE2CF3">
        <w:rPr>
          <w:rFonts w:ascii="Arial" w:hAnsi="Arial" w:cs="Arial"/>
          <w:lang w:val="en-GB"/>
        </w:rPr>
        <w:fldChar w:fldCharType="separate"/>
      </w:r>
      <w:r w:rsidR="00D71760" w:rsidRPr="001A0F26">
        <w:rPr>
          <w:rFonts w:ascii="Arial" w:hAnsi="Arial" w:cs="Arial"/>
        </w:rPr>
        <w:t>(Dmytrenko, 1997)</w:t>
      </w:r>
      <w:r w:rsidR="00D71760" w:rsidRPr="00BE2CF3">
        <w:rPr>
          <w:rFonts w:ascii="Arial" w:hAnsi="Arial" w:cs="Arial"/>
          <w:lang w:val="en-GB"/>
        </w:rPr>
        <w:fldChar w:fldCharType="end"/>
      </w:r>
      <w:r w:rsidR="009C1EBD" w:rsidRPr="001A0F26">
        <w:rPr>
          <w:rFonts w:ascii="Arial" w:hAnsi="Arial" w:cs="Arial"/>
        </w:rPr>
        <w:t xml:space="preserve">. </w:t>
      </w:r>
      <w:r w:rsidR="008B3CE4" w:rsidRPr="008B3CE4">
        <w:rPr>
          <w:rFonts w:ascii="Arial" w:hAnsi="Arial" w:cs="Arial"/>
        </w:rPr>
        <w:t xml:space="preserve">Por ejemplo, </w:t>
      </w:r>
      <w:r w:rsidR="004466F2">
        <w:rPr>
          <w:rFonts w:ascii="Arial" w:hAnsi="Arial" w:cs="Arial"/>
        </w:rPr>
        <w:t xml:space="preserve">en </w:t>
      </w:r>
      <w:r w:rsidR="008B3CE4" w:rsidRPr="008B3CE4">
        <w:rPr>
          <w:rFonts w:ascii="Arial" w:hAnsi="Arial" w:cs="Arial"/>
        </w:rPr>
        <w:t xml:space="preserve">una oferta </w:t>
      </w:r>
      <w:r w:rsidR="00CD3EDC">
        <w:rPr>
          <w:rFonts w:ascii="Arial" w:hAnsi="Arial" w:cs="Arial"/>
        </w:rPr>
        <w:t xml:space="preserve">de un proveedor </w:t>
      </w:r>
      <w:r w:rsidR="008B3CE4" w:rsidRPr="008B3CE4">
        <w:rPr>
          <w:rFonts w:ascii="Arial" w:hAnsi="Arial" w:cs="Arial"/>
        </w:rPr>
        <w:t>para una materia prima a un cost</w:t>
      </w:r>
      <w:r w:rsidR="00A87298">
        <w:rPr>
          <w:rFonts w:ascii="Arial" w:hAnsi="Arial" w:cs="Arial"/>
        </w:rPr>
        <w:t>e</w:t>
      </w:r>
      <w:r w:rsidR="008B3CE4" w:rsidRPr="008B3CE4">
        <w:rPr>
          <w:rFonts w:ascii="Arial" w:hAnsi="Arial" w:cs="Arial"/>
        </w:rPr>
        <w:t xml:space="preserve"> </w:t>
      </w:r>
      <w:r w:rsidR="000D528F">
        <w:rPr>
          <w:rFonts w:ascii="Arial" w:hAnsi="Arial" w:cs="Arial"/>
        </w:rPr>
        <w:t xml:space="preserve">final </w:t>
      </w:r>
      <w:r w:rsidR="008B3CE4" w:rsidRPr="008B3CE4">
        <w:rPr>
          <w:rFonts w:ascii="Arial" w:hAnsi="Arial" w:cs="Arial"/>
        </w:rPr>
        <w:t xml:space="preserve">mayor que el del año anterior, un comprador puede, no obstante, </w:t>
      </w:r>
      <w:r w:rsidR="000D528F">
        <w:rPr>
          <w:rFonts w:ascii="Arial" w:hAnsi="Arial" w:cs="Arial"/>
        </w:rPr>
        <w:t xml:space="preserve">haber </w:t>
      </w:r>
      <w:r w:rsidR="008B3CE4" w:rsidRPr="008B3CE4">
        <w:rPr>
          <w:rFonts w:ascii="Arial" w:hAnsi="Arial" w:cs="Arial"/>
        </w:rPr>
        <w:t>obten</w:t>
      </w:r>
      <w:r w:rsidR="000D528F">
        <w:rPr>
          <w:rFonts w:ascii="Arial" w:hAnsi="Arial" w:cs="Arial"/>
        </w:rPr>
        <w:t>ido</w:t>
      </w:r>
      <w:r w:rsidR="008B3CE4" w:rsidRPr="008B3CE4">
        <w:rPr>
          <w:rFonts w:ascii="Arial" w:hAnsi="Arial" w:cs="Arial"/>
        </w:rPr>
        <w:t xml:space="preserve"> una reducción de</w:t>
      </w:r>
      <w:r w:rsidR="004466F2">
        <w:rPr>
          <w:rFonts w:ascii="Arial" w:hAnsi="Arial" w:cs="Arial"/>
        </w:rPr>
        <w:t>l</w:t>
      </w:r>
      <w:r w:rsidR="008B3CE4" w:rsidRPr="008B3CE4">
        <w:rPr>
          <w:rFonts w:ascii="Arial" w:hAnsi="Arial" w:cs="Arial"/>
        </w:rPr>
        <w:t xml:space="preserve"> precio</w:t>
      </w:r>
      <w:r w:rsidR="004466F2">
        <w:rPr>
          <w:rFonts w:ascii="Arial" w:hAnsi="Arial" w:cs="Arial"/>
        </w:rPr>
        <w:t xml:space="preserve"> inicialmente ofertado</w:t>
      </w:r>
      <w:r w:rsidR="008B3CE4" w:rsidRPr="008B3CE4">
        <w:rPr>
          <w:rFonts w:ascii="Arial" w:hAnsi="Arial" w:cs="Arial"/>
        </w:rPr>
        <w:t>; esto se considera una evitación de cost</w:t>
      </w:r>
      <w:r w:rsidR="00F634A0">
        <w:rPr>
          <w:rFonts w:ascii="Arial" w:hAnsi="Arial" w:cs="Arial"/>
        </w:rPr>
        <w:t>e</w:t>
      </w:r>
      <w:r w:rsidR="008B3CE4" w:rsidRPr="008B3CE4">
        <w:rPr>
          <w:rFonts w:ascii="Arial" w:hAnsi="Arial" w:cs="Arial"/>
        </w:rPr>
        <w:t xml:space="preserve">s (negociación posterior por parte del departamento de compras), en lugar de un ahorro </w:t>
      </w:r>
      <w:r w:rsidR="00D027DD">
        <w:rPr>
          <w:rFonts w:ascii="Arial" w:hAnsi="Arial" w:cs="Arial"/>
        </w:rPr>
        <w:t>directo</w:t>
      </w:r>
      <w:r w:rsidR="008B3CE4" w:rsidRPr="008B3CE4">
        <w:rPr>
          <w:rFonts w:ascii="Arial" w:hAnsi="Arial" w:cs="Arial"/>
        </w:rPr>
        <w:t xml:space="preserve"> (oferta que habría sido a un precio menor que el del año anterior)</w:t>
      </w:r>
      <w:r w:rsidR="008B3CE4">
        <w:rPr>
          <w:rFonts w:ascii="Arial" w:hAnsi="Arial" w:cs="Arial"/>
        </w:rPr>
        <w:t xml:space="preserve"> </w:t>
      </w:r>
      <w:r w:rsidR="00B879A6">
        <w:rPr>
          <w:rFonts w:ascii="Arial" w:hAnsi="Arial" w:cs="Arial"/>
          <w:lang w:val="en-GB"/>
        </w:rPr>
        <w:fldChar w:fldCharType="begin"/>
      </w:r>
      <w:r w:rsidR="00B879A6" w:rsidRPr="008B3CE4">
        <w:rPr>
          <w:rFonts w:ascii="Arial" w:hAnsi="Arial" w:cs="Arial"/>
        </w:rPr>
        <w:instrText xml:space="preserve"> ADDIN ZOTERO_ITEM CSL_CITATION {"citationID":"apEXlaL2","properties":{"formattedCitation":"(Nollet et al., 2008)","plainCitation":"(Nollet et al., 2008)","noteIndex":0},"citationItems":[{"id":488,"uris":["http://zotero.org/users/9514289/items/F8HDHSAX"],"itemData":{"id":488,"type":"article-journal","abstract</w:instrText>
      </w:r>
      <w:r w:rsidR="00B879A6" w:rsidRPr="00BB3924">
        <w:rPr>
          <w:rFonts w:ascii="Arial" w:hAnsi="Arial" w:cs="Arial"/>
        </w:rPr>
        <w:instrText>":"This paper presents the dynamics and complexity of implementing a cost savings measurement system in purchasing. It focuses on the technical and strategic aspects of the evolution of such a system in a renowned organisation. Few articles dealing with cost savings in purchasing use an empirical approach. Therefore, this research sheds light on signi</w:instrText>
      </w:r>
      <w:r w:rsidR="00B879A6">
        <w:rPr>
          <w:rFonts w:ascii="Arial" w:hAnsi="Arial" w:cs="Arial"/>
          <w:lang w:val="en-GB"/>
        </w:rPr>
        <w:instrText>ﬁ</w:instrText>
      </w:r>
      <w:r w:rsidR="00B879A6" w:rsidRPr="00BB3924">
        <w:rPr>
          <w:rFonts w:ascii="Arial" w:hAnsi="Arial" w:cs="Arial"/>
        </w:rPr>
        <w:instrText>cant issues, often neglected in the literature. Contributions to managers include lessons about the importance of overcoming the complexity of measurements, and recognising that it is easier to begin by measuring hard savings, followed by soft savings when the system is running well. Contributions to the scienti</w:instrText>
      </w:r>
      <w:r w:rsidR="00B879A6">
        <w:rPr>
          <w:rFonts w:ascii="Arial" w:hAnsi="Arial" w:cs="Arial"/>
          <w:lang w:val="en-GB"/>
        </w:rPr>
        <w:instrText>ﬁ</w:instrText>
      </w:r>
      <w:r w:rsidR="00B879A6" w:rsidRPr="00BB3924">
        <w:rPr>
          <w:rFonts w:ascii="Arial" w:hAnsi="Arial" w:cs="Arial"/>
        </w:rPr>
        <w:instrText xml:space="preserve">c literature include the opportunity to follow the progression of a cost savings measurement system within an organisation, and a discussion about the limitations of such systems.","container-title":"Journal of Purchasing and Supply Management","DOI":"10.1016/j.pursup.2008.03.002","ISSN":"14784092","issue":"2","journalAbbreviation":"Journal of Purchasing and Supply Management","language":"en","page":"125-135","source":"DOI.org (Crossref)","title":"When excessive cost savings measurement drowns the objectives","volume":"14","author":[{"family":"Nollet","given":"Jean"},{"family":"Calvi","given":"Richard"},{"family":"Audet","given":"Estelle"},{"family":"Côté","given":"Marjorie"}],"issued":{"date-parts":[["2008",6]]}}}],"schema":"https://github.com/citation-style-language/schema/raw/master/csl-citation.json"} </w:instrText>
      </w:r>
      <w:r w:rsidR="00B879A6">
        <w:rPr>
          <w:rFonts w:ascii="Arial" w:hAnsi="Arial" w:cs="Arial"/>
          <w:lang w:val="en-GB"/>
        </w:rPr>
        <w:fldChar w:fldCharType="separate"/>
      </w:r>
      <w:r w:rsidR="00B879A6" w:rsidRPr="00BB3924">
        <w:rPr>
          <w:rFonts w:ascii="Arial" w:hAnsi="Arial" w:cs="Arial"/>
        </w:rPr>
        <w:t>(Nollet et al., 2008)</w:t>
      </w:r>
      <w:r w:rsidR="00B879A6">
        <w:rPr>
          <w:rFonts w:ascii="Arial" w:hAnsi="Arial" w:cs="Arial"/>
          <w:lang w:val="en-GB"/>
        </w:rPr>
        <w:fldChar w:fldCharType="end"/>
      </w:r>
      <w:r w:rsidR="00542722" w:rsidRPr="00BB3924">
        <w:rPr>
          <w:rFonts w:ascii="Arial" w:hAnsi="Arial" w:cs="Arial"/>
        </w:rPr>
        <w:t>.</w:t>
      </w:r>
    </w:p>
    <w:p w14:paraId="62012917" w14:textId="1D6FCCDC" w:rsidR="00F4059C" w:rsidRDefault="00036926" w:rsidP="00705E36">
      <w:pPr>
        <w:ind w:right="140"/>
        <w:rPr>
          <w:rFonts w:ascii="Arial" w:hAnsi="Arial" w:cs="Arial"/>
        </w:rPr>
      </w:pPr>
      <w:r>
        <w:rPr>
          <w:rFonts w:ascii="Arial" w:hAnsi="Arial" w:cs="Arial"/>
        </w:rPr>
        <w:t xml:space="preserve">Otro </w:t>
      </w:r>
      <w:r w:rsidR="003F6F09">
        <w:rPr>
          <w:rFonts w:ascii="Arial" w:hAnsi="Arial" w:cs="Arial"/>
        </w:rPr>
        <w:t>término</w:t>
      </w:r>
      <w:r>
        <w:rPr>
          <w:rFonts w:ascii="Arial" w:hAnsi="Arial" w:cs="Arial"/>
        </w:rPr>
        <w:t xml:space="preserve"> </w:t>
      </w:r>
      <w:r w:rsidR="0098195C">
        <w:rPr>
          <w:rFonts w:ascii="Arial" w:hAnsi="Arial" w:cs="Arial"/>
        </w:rPr>
        <w:t>necesario</w:t>
      </w:r>
      <w:r w:rsidR="002704E6">
        <w:rPr>
          <w:rFonts w:ascii="Arial" w:hAnsi="Arial" w:cs="Arial"/>
        </w:rPr>
        <w:t xml:space="preserve"> para la comprensión de este artículo es </w:t>
      </w:r>
      <w:r w:rsidR="00F4059C">
        <w:rPr>
          <w:rFonts w:ascii="Arial" w:hAnsi="Arial" w:cs="Arial"/>
        </w:rPr>
        <w:t>la madurez</w:t>
      </w:r>
      <w:r w:rsidR="00965FF7">
        <w:rPr>
          <w:rFonts w:ascii="Arial" w:hAnsi="Arial" w:cs="Arial"/>
        </w:rPr>
        <w:t xml:space="preserve"> de </w:t>
      </w:r>
      <w:r w:rsidR="00DE7349">
        <w:rPr>
          <w:rFonts w:ascii="Arial" w:hAnsi="Arial" w:cs="Arial"/>
        </w:rPr>
        <w:t>PSM</w:t>
      </w:r>
      <w:r w:rsidR="00F4059C">
        <w:rPr>
          <w:rFonts w:ascii="Arial" w:hAnsi="Arial" w:cs="Arial"/>
        </w:rPr>
        <w:t xml:space="preserve"> como se explica a continuación.</w:t>
      </w:r>
    </w:p>
    <w:p w14:paraId="0FEEBE94" w14:textId="140A162B" w:rsidR="00431151" w:rsidRPr="003E0DB5" w:rsidRDefault="00F4059C" w:rsidP="00705E36">
      <w:pPr>
        <w:ind w:right="140"/>
        <w:rPr>
          <w:rFonts w:ascii="Arial" w:hAnsi="Arial" w:cs="Arial"/>
        </w:rPr>
      </w:pPr>
      <w:r>
        <w:rPr>
          <w:rFonts w:ascii="Arial" w:hAnsi="Arial" w:cs="Arial"/>
        </w:rPr>
        <w:t xml:space="preserve"> </w:t>
      </w:r>
    </w:p>
    <w:p w14:paraId="02D311E9" w14:textId="2ED392EA" w:rsidR="00934CBD" w:rsidRPr="00ED6F31" w:rsidRDefault="0088325F" w:rsidP="00705E36">
      <w:pPr>
        <w:pStyle w:val="Heading2"/>
        <w:ind w:right="140"/>
      </w:pPr>
      <w:bookmarkStart w:id="7" w:name="_Toc183376716"/>
      <w:r w:rsidRPr="00ED6F31">
        <w:t>2.</w:t>
      </w:r>
      <w:r w:rsidR="00244A5D" w:rsidRPr="00ED6F31">
        <w:t>4</w:t>
      </w:r>
      <w:r w:rsidRPr="00ED6F31">
        <w:t>.</w:t>
      </w:r>
      <w:r w:rsidRPr="00ED6F31">
        <w:tab/>
      </w:r>
      <w:r w:rsidR="00CA7C5B" w:rsidRPr="00ED6F31">
        <w:t>Madure</w:t>
      </w:r>
      <w:r w:rsidR="00ED6F31" w:rsidRPr="00ED6F31">
        <w:t>z de la función de</w:t>
      </w:r>
      <w:r w:rsidR="00ED6F31">
        <w:t xml:space="preserve"> compras</w:t>
      </w:r>
      <w:bookmarkEnd w:id="7"/>
    </w:p>
    <w:p w14:paraId="27D78C10" w14:textId="77777777" w:rsidR="0088325F" w:rsidRPr="00ED6F31" w:rsidRDefault="0088325F" w:rsidP="00705E36">
      <w:pPr>
        <w:ind w:right="140"/>
        <w:rPr>
          <w:rFonts w:ascii="Arial" w:hAnsi="Arial" w:cs="Arial"/>
        </w:rPr>
      </w:pPr>
    </w:p>
    <w:p w14:paraId="079E6D41" w14:textId="60EC1B29" w:rsidR="00BB67D8" w:rsidRPr="0074564F" w:rsidRDefault="00F668D6" w:rsidP="00705E36">
      <w:pPr>
        <w:ind w:right="140"/>
        <w:rPr>
          <w:rFonts w:ascii="Arial" w:hAnsi="Arial" w:cs="Arial"/>
        </w:rPr>
      </w:pPr>
      <w:r w:rsidRPr="00F668D6">
        <w:rPr>
          <w:rFonts w:ascii="Arial" w:hAnsi="Arial" w:cs="Arial"/>
        </w:rPr>
        <w:t xml:space="preserve">La </w:t>
      </w:r>
      <w:r w:rsidRPr="008B2E01">
        <w:rPr>
          <w:rFonts w:ascii="Arial" w:hAnsi="Arial" w:cs="Arial"/>
        </w:rPr>
        <w:t>madurez</w:t>
      </w:r>
      <w:r w:rsidRPr="00F668D6">
        <w:rPr>
          <w:rFonts w:ascii="Arial" w:hAnsi="Arial" w:cs="Arial"/>
        </w:rPr>
        <w:t xml:space="preserve"> de compras</w:t>
      </w:r>
      <w:r w:rsidR="00DF527C">
        <w:rPr>
          <w:rFonts w:ascii="Arial" w:hAnsi="Arial" w:cs="Arial"/>
        </w:rPr>
        <w:t xml:space="preserve"> es relevante en </w:t>
      </w:r>
      <w:r w:rsidR="00BC0112">
        <w:rPr>
          <w:rFonts w:ascii="Arial" w:hAnsi="Arial" w:cs="Arial"/>
        </w:rPr>
        <w:t>estudio pues</w:t>
      </w:r>
      <w:r w:rsidRPr="00F668D6">
        <w:rPr>
          <w:rFonts w:ascii="Arial" w:hAnsi="Arial" w:cs="Arial"/>
        </w:rPr>
        <w:t xml:space="preserve"> implica el desarrollo de mejores prácticas en términos de actividades, metodologías, palancas y herramientas.</w:t>
      </w:r>
      <w:r w:rsidR="00085BDA" w:rsidRPr="00F668D6">
        <w:rPr>
          <w:rFonts w:ascii="Arial" w:hAnsi="Arial" w:cs="Arial"/>
        </w:rPr>
        <w:t xml:space="preserve"> </w:t>
      </w:r>
      <w:r w:rsidR="00241F1C">
        <w:rPr>
          <w:rFonts w:ascii="Arial" w:hAnsi="Arial" w:cs="Arial"/>
          <w:lang w:val="en-GB"/>
        </w:rPr>
        <w:fldChar w:fldCharType="begin"/>
      </w:r>
      <w:r w:rsidR="00241F1C" w:rsidRPr="00F668D6">
        <w:rPr>
          <w:rFonts w:ascii="Arial" w:hAnsi="Arial" w:cs="Arial"/>
        </w:rPr>
        <w:instrText xml:space="preserve"> ADDIN ZOTERO_ITEM CSL_CITATION {"citationID":"k3QZVWRT","properties":{"formattedCitation":"(\\uc0\\u218{}beda et al., 2015)","plainCitation":"(Úbeda et al., 2015)","noteIndex":0},"citationItems":[{"id":675,"uris":["http://zotero.org/users/9514289/items/A7PTSIAL"],"itemData":{"id":675,"type":"article-journal","abstract":"Latin American countries show a lack of productivity and innovation compared with OECD economies. Business networks constitute a tool to improve this situation, and purchasing can help organizations create business networks with suppliers, as purchasing has evolved from a support function to a key strategic tool for organizations. Purchasing maturity models re</w:instrText>
      </w:r>
      <w:r w:rsidR="00241F1C">
        <w:rPr>
          <w:rFonts w:ascii="Arial" w:hAnsi="Arial" w:cs="Arial"/>
          <w:lang w:val="en-GB"/>
        </w:rPr>
        <w:instrText>ﬂ</w:instrText>
      </w:r>
      <w:r w:rsidR="00241F1C" w:rsidRPr="00F668D6">
        <w:rPr>
          <w:rFonts w:ascii="Arial" w:hAnsi="Arial" w:cs="Arial"/>
        </w:rPr>
        <w:instrText xml:space="preserve">ect this evolution. As their level of purchasing maturity increases, organizations experience increased performance. Unfortunately, however, current models do not specify the purchasing tools and methodologies that </w:instrText>
      </w:r>
      <w:r w:rsidR="00241F1C">
        <w:rPr>
          <w:rFonts w:ascii="Arial" w:hAnsi="Arial" w:cs="Arial"/>
          <w:lang w:val="en-GB"/>
        </w:rPr>
        <w:instrText>ﬁ</w:instrText>
      </w:r>
      <w:r w:rsidR="00241F1C" w:rsidRPr="00F668D6">
        <w:rPr>
          <w:rFonts w:ascii="Arial" w:hAnsi="Arial" w:cs="Arial"/>
        </w:rPr>
        <w:instrText>rms should use to enhance their purchasing maturity level and thus increase their cost savings. This study advances the literature by identifying 16 tools, methodologies, and strategic and nonstrategic activities, as well as 10 cost-saving levers linked to the stages of purchasing maturity. Based on a study of 278 Chilean companies, this paper identi</w:instrText>
      </w:r>
      <w:r w:rsidR="00241F1C">
        <w:rPr>
          <w:rFonts w:ascii="Arial" w:hAnsi="Arial" w:cs="Arial"/>
          <w:lang w:val="en-GB"/>
        </w:rPr>
        <w:instrText>ﬁ</w:instrText>
      </w:r>
      <w:r w:rsidR="00241F1C" w:rsidRPr="00F668D6">
        <w:rPr>
          <w:rFonts w:ascii="Arial" w:hAnsi="Arial" w:cs="Arial"/>
        </w:rPr>
        <w:instrText xml:space="preserve">es which key activities, tools, and methodologies that organizations can use to improve their purchasing performance.","container-title":"Journal of Business Research","DOI":"10.1016/j.jbusres.2014.09.026","ISSN":"01482963","issue":"2","journalAbbreviation":"Journal of Business Research","language":"en","page":"177-188","source":"DOI.org (Crossref)","title":"Purchasing models and organizational performance: a study of key strategic tools","title-short":"Purchasing models and organizational performance","volume":"68","author":[{"family":"Úbeda","given":"Ricardo"},{"family":"Alsua","given":"Carlos"},{"family":"Carrasco","given":"Nelson"}],"issued":{"date-parts":[["2015",2]]}}}],"schema":"https://github.com/citation-style-language/schema/raw/master/csl-citation.json"} </w:instrText>
      </w:r>
      <w:r w:rsidR="00241F1C">
        <w:rPr>
          <w:rFonts w:ascii="Arial" w:hAnsi="Arial" w:cs="Arial"/>
          <w:lang w:val="en-GB"/>
        </w:rPr>
        <w:fldChar w:fldCharType="separate"/>
      </w:r>
      <w:r w:rsidR="00241F1C" w:rsidRPr="0074564F">
        <w:rPr>
          <w:rFonts w:ascii="Arial" w:hAnsi="Arial" w:cs="Arial"/>
          <w:kern w:val="0"/>
        </w:rPr>
        <w:t>(Úbeda et al., 2015)</w:t>
      </w:r>
      <w:r w:rsidR="00241F1C">
        <w:rPr>
          <w:rFonts w:ascii="Arial" w:hAnsi="Arial" w:cs="Arial"/>
          <w:lang w:val="en-GB"/>
        </w:rPr>
        <w:fldChar w:fldCharType="end"/>
      </w:r>
    </w:p>
    <w:p w14:paraId="2D4BFC62" w14:textId="77777777" w:rsidR="00787387" w:rsidRDefault="00C7607B" w:rsidP="00705E36">
      <w:pPr>
        <w:ind w:right="140"/>
        <w:rPr>
          <w:rFonts w:ascii="Arial" w:hAnsi="Arial" w:cs="Arial"/>
        </w:rPr>
      </w:pPr>
      <w:r>
        <w:rPr>
          <w:rFonts w:ascii="Arial" w:hAnsi="Arial" w:cs="Arial"/>
        </w:rPr>
        <w:t xml:space="preserve">Los modelos de madurez </w:t>
      </w:r>
      <w:r w:rsidR="00FC2191">
        <w:rPr>
          <w:rFonts w:ascii="Arial" w:hAnsi="Arial" w:cs="Arial"/>
        </w:rPr>
        <w:t xml:space="preserve">ya </w:t>
      </w:r>
      <w:r>
        <w:rPr>
          <w:rFonts w:ascii="Arial" w:hAnsi="Arial" w:cs="Arial"/>
        </w:rPr>
        <w:t>se han utilizado</w:t>
      </w:r>
      <w:r w:rsidR="00990252">
        <w:rPr>
          <w:rFonts w:ascii="Arial" w:hAnsi="Arial" w:cs="Arial"/>
        </w:rPr>
        <w:t xml:space="preserve"> an</w:t>
      </w:r>
      <w:r w:rsidR="00290908">
        <w:rPr>
          <w:rFonts w:ascii="Arial" w:hAnsi="Arial" w:cs="Arial"/>
        </w:rPr>
        <w:t>tes</w:t>
      </w:r>
      <w:r>
        <w:rPr>
          <w:rFonts w:ascii="Arial" w:hAnsi="Arial" w:cs="Arial"/>
        </w:rPr>
        <w:t xml:space="preserve"> como referencia para medir el grado de desa</w:t>
      </w:r>
      <w:r w:rsidR="00F3163B">
        <w:rPr>
          <w:rFonts w:ascii="Arial" w:hAnsi="Arial" w:cs="Arial"/>
        </w:rPr>
        <w:t xml:space="preserve">rrollo y de </w:t>
      </w:r>
      <w:r w:rsidR="0078693D">
        <w:rPr>
          <w:rFonts w:ascii="Arial" w:hAnsi="Arial" w:cs="Arial"/>
        </w:rPr>
        <w:t xml:space="preserve">la capacidad de </w:t>
      </w:r>
      <w:r w:rsidR="00F3163B">
        <w:rPr>
          <w:rFonts w:ascii="Arial" w:hAnsi="Arial" w:cs="Arial"/>
        </w:rPr>
        <w:t>aplicación</w:t>
      </w:r>
      <w:r w:rsidR="0078693D">
        <w:rPr>
          <w:rFonts w:ascii="Arial" w:hAnsi="Arial" w:cs="Arial"/>
        </w:rPr>
        <w:t xml:space="preserve"> de las mejores prácticas</w:t>
      </w:r>
      <w:r w:rsidR="00F3163B">
        <w:rPr>
          <w:rFonts w:ascii="Arial" w:hAnsi="Arial" w:cs="Arial"/>
        </w:rPr>
        <w:t xml:space="preserve"> </w:t>
      </w:r>
      <w:r w:rsidR="00460644">
        <w:rPr>
          <w:rFonts w:ascii="Arial" w:hAnsi="Arial" w:cs="Arial"/>
        </w:rPr>
        <w:fldChar w:fldCharType="begin"/>
      </w:r>
      <w:r w:rsidR="00460644">
        <w:rPr>
          <w:rFonts w:ascii="Arial" w:hAnsi="Arial" w:cs="Arial"/>
        </w:rPr>
        <w:instrText xml:space="preserve"> ADDIN ZOTERO_ITEM CSL_CITATION {"citationID":"MXwfMH2B","properties":{"formattedCitation":"(Schiele, 2007)","plainCitation":"(Schiele, 2007)","noteIndex":0},"citationItems":[{"id":471,"uris":["http://zotero.org/users/9514289/items/XI9X8ZE6"],"itemData":{"id":471,"type":"article-journal","abstract":"The relationship between the development level a purchasing organisation has reached—maturity—and its impact on the performance of a ﬁrm has received only limited attention until now. We conducted extensive purchasing audits using a comprehensive tool to assess ﬁrms’ maturity level. These ﬁrms’ performance was then measured by their success in a purchasing cost-reduction programme. The results showed a highly signiﬁcant relationship between purchasing’s maturity level and cost-reduction results. Somewhat counterintuitively, larger saving potential was identiﬁed in more developed ﬁrms. This ﬁnding may be explained by a new concept called ‘‘purchasing absorptive capacity’’. If an organisation’s maturity is too low, the introduction of best practices, such as an innovative costreduction method, may fail.","container-title":"Journal of Purchasing and Supply Management","DOI":"10.1016/j.pursup.2007.10.002","ISSN":"14784092","issue":"4","journalAbbreviation":"Journal of Purchasing and Supply Management","language":"en","page":"274-293","source":"DOI.org (Crossref)","title":"Supply-management maturity, cost savings and purchasing absorptive capacity: Testing the procurement–performance link","title-short":"Supply-management maturity, cost savings and purchasing absorptive capacity","volume":"13","author":[{"family":"Schiele","given":"Holger"}],"issued":{"date-parts":[["2007",12]]}}}],"schema":"https://github.com/citation-style-language/schema/raw/master/csl-citation.json"} </w:instrText>
      </w:r>
      <w:r w:rsidR="00460644">
        <w:rPr>
          <w:rFonts w:ascii="Arial" w:hAnsi="Arial" w:cs="Arial"/>
        </w:rPr>
        <w:fldChar w:fldCharType="separate"/>
      </w:r>
      <w:r w:rsidR="00460644" w:rsidRPr="00460644">
        <w:rPr>
          <w:rFonts w:ascii="Arial" w:hAnsi="Arial" w:cs="Arial"/>
        </w:rPr>
        <w:t>(Schiele, 2007)</w:t>
      </w:r>
      <w:r w:rsidR="00460644">
        <w:rPr>
          <w:rFonts w:ascii="Arial" w:hAnsi="Arial" w:cs="Arial"/>
        </w:rPr>
        <w:fldChar w:fldCharType="end"/>
      </w:r>
      <w:r w:rsidR="007D575B">
        <w:rPr>
          <w:rFonts w:ascii="Arial" w:hAnsi="Arial" w:cs="Arial"/>
        </w:rPr>
        <w:t>.</w:t>
      </w:r>
      <w:r w:rsidR="00D940F9">
        <w:rPr>
          <w:rFonts w:ascii="Arial" w:hAnsi="Arial" w:cs="Arial"/>
        </w:rPr>
        <w:t xml:space="preserve"> La mayoría como modelos de fases </w:t>
      </w:r>
      <w:r w:rsidR="008950CD">
        <w:rPr>
          <w:rFonts w:ascii="Arial" w:hAnsi="Arial" w:cs="Arial"/>
        </w:rPr>
        <w:t xml:space="preserve">secuenciales, </w:t>
      </w:r>
      <w:r w:rsidR="00D940F9">
        <w:rPr>
          <w:rFonts w:ascii="Arial" w:hAnsi="Arial" w:cs="Arial"/>
        </w:rPr>
        <w:t xml:space="preserve">donde para </w:t>
      </w:r>
      <w:r w:rsidR="000F4B11">
        <w:rPr>
          <w:rFonts w:ascii="Arial" w:hAnsi="Arial" w:cs="Arial"/>
        </w:rPr>
        <w:t>evolucionar a la siguiente</w:t>
      </w:r>
      <w:r w:rsidR="00A401F6">
        <w:rPr>
          <w:rFonts w:ascii="Arial" w:hAnsi="Arial" w:cs="Arial"/>
        </w:rPr>
        <w:t xml:space="preserve">, considerada </w:t>
      </w:r>
      <w:r w:rsidR="00780D8D">
        <w:rPr>
          <w:rFonts w:ascii="Arial" w:hAnsi="Arial" w:cs="Arial"/>
        </w:rPr>
        <w:t>más estratégica</w:t>
      </w:r>
      <w:r w:rsidR="00A401F6">
        <w:rPr>
          <w:rFonts w:ascii="Arial" w:hAnsi="Arial" w:cs="Arial"/>
        </w:rPr>
        <w:t xml:space="preserve">, </w:t>
      </w:r>
      <w:r w:rsidR="00CD4D03">
        <w:rPr>
          <w:rFonts w:ascii="Arial" w:hAnsi="Arial" w:cs="Arial"/>
        </w:rPr>
        <w:t>se debe</w:t>
      </w:r>
      <w:r w:rsidR="00787387">
        <w:rPr>
          <w:rFonts w:ascii="Arial" w:hAnsi="Arial" w:cs="Arial"/>
        </w:rPr>
        <w:t>n</w:t>
      </w:r>
      <w:r w:rsidR="00A401F6">
        <w:rPr>
          <w:rFonts w:ascii="Arial" w:hAnsi="Arial" w:cs="Arial"/>
        </w:rPr>
        <w:t xml:space="preserve"> haber </w:t>
      </w:r>
      <w:r w:rsidR="007B19B0">
        <w:rPr>
          <w:rFonts w:ascii="Arial" w:hAnsi="Arial" w:cs="Arial"/>
        </w:rPr>
        <w:t>concluido las anteriores.</w:t>
      </w:r>
      <w:r w:rsidR="00843117">
        <w:rPr>
          <w:rFonts w:ascii="Arial" w:hAnsi="Arial" w:cs="Arial"/>
        </w:rPr>
        <w:t xml:space="preserve"> </w:t>
      </w:r>
    </w:p>
    <w:p w14:paraId="34ED5415" w14:textId="26E2E811" w:rsidR="00886D03" w:rsidRPr="00416588" w:rsidRDefault="0067052D" w:rsidP="00705E36">
      <w:pPr>
        <w:ind w:right="140"/>
        <w:rPr>
          <w:rFonts w:ascii="Arial" w:hAnsi="Arial" w:cs="Arial"/>
        </w:rPr>
      </w:pPr>
      <w:r>
        <w:rPr>
          <w:rFonts w:ascii="Arial" w:hAnsi="Arial" w:cs="Arial"/>
        </w:rPr>
        <w:t xml:space="preserve">Para este artículo se </w:t>
      </w:r>
      <w:r w:rsidR="00A01863">
        <w:rPr>
          <w:rFonts w:ascii="Arial" w:hAnsi="Arial" w:cs="Arial"/>
        </w:rPr>
        <w:t xml:space="preserve">buscan referencias </w:t>
      </w:r>
      <w:r w:rsidR="008604FA">
        <w:rPr>
          <w:rFonts w:ascii="Arial" w:hAnsi="Arial" w:cs="Arial"/>
        </w:rPr>
        <w:t>además de en compras,</w:t>
      </w:r>
      <w:r w:rsidR="00616358">
        <w:rPr>
          <w:rFonts w:ascii="Arial" w:hAnsi="Arial" w:cs="Arial"/>
        </w:rPr>
        <w:t xml:space="preserve"> </w:t>
      </w:r>
      <w:r w:rsidR="00A01863">
        <w:rPr>
          <w:rFonts w:ascii="Arial" w:hAnsi="Arial" w:cs="Arial"/>
        </w:rPr>
        <w:t>en</w:t>
      </w:r>
      <w:r>
        <w:rPr>
          <w:rFonts w:ascii="Arial" w:hAnsi="Arial" w:cs="Arial"/>
        </w:rPr>
        <w:t xml:space="preserve"> </w:t>
      </w:r>
      <w:r w:rsidR="0074564F" w:rsidRPr="0074564F">
        <w:rPr>
          <w:rFonts w:ascii="Arial" w:hAnsi="Arial" w:cs="Arial"/>
        </w:rPr>
        <w:t xml:space="preserve">la función de producción, </w:t>
      </w:r>
      <w:r w:rsidR="00D571C6">
        <w:rPr>
          <w:rFonts w:ascii="Arial" w:hAnsi="Arial" w:cs="Arial"/>
        </w:rPr>
        <w:t>pues</w:t>
      </w:r>
      <w:r w:rsidR="0074564F" w:rsidRPr="0074564F">
        <w:rPr>
          <w:rFonts w:ascii="Arial" w:hAnsi="Arial" w:cs="Arial"/>
        </w:rPr>
        <w:t xml:space="preserve"> </w:t>
      </w:r>
      <w:r w:rsidR="000F6926">
        <w:rPr>
          <w:rFonts w:ascii="Arial" w:hAnsi="Arial" w:cs="Arial"/>
        </w:rPr>
        <w:t>la</w:t>
      </w:r>
      <w:r w:rsidR="0074564F" w:rsidRPr="0074564F">
        <w:rPr>
          <w:rFonts w:ascii="Arial" w:hAnsi="Arial" w:cs="Arial"/>
        </w:rPr>
        <w:t xml:space="preserve"> </w:t>
      </w:r>
      <w:r w:rsidR="00FB1FE1">
        <w:rPr>
          <w:rFonts w:ascii="Arial" w:hAnsi="Arial" w:cs="Arial"/>
        </w:rPr>
        <w:t>evolución</w:t>
      </w:r>
      <w:r w:rsidR="0074564F" w:rsidRPr="0074564F">
        <w:rPr>
          <w:rFonts w:ascii="Arial" w:hAnsi="Arial" w:cs="Arial"/>
        </w:rPr>
        <w:t xml:space="preserve"> de </w:t>
      </w:r>
      <w:r w:rsidR="001E4150">
        <w:rPr>
          <w:rFonts w:ascii="Arial" w:hAnsi="Arial" w:cs="Arial"/>
        </w:rPr>
        <w:t>ambas está ligada</w:t>
      </w:r>
      <w:r w:rsidR="0074564F" w:rsidRPr="0074564F">
        <w:rPr>
          <w:rFonts w:ascii="Arial" w:hAnsi="Arial" w:cs="Arial"/>
        </w:rPr>
        <w:t xml:space="preserve"> y existen </w:t>
      </w:r>
      <w:r w:rsidR="001E4150">
        <w:rPr>
          <w:rFonts w:ascii="Arial" w:hAnsi="Arial" w:cs="Arial"/>
        </w:rPr>
        <w:t xml:space="preserve">claras </w:t>
      </w:r>
      <w:r w:rsidR="0074564F" w:rsidRPr="0074564F">
        <w:rPr>
          <w:rFonts w:ascii="Arial" w:hAnsi="Arial" w:cs="Arial"/>
        </w:rPr>
        <w:t>conexiones.</w:t>
      </w:r>
      <w:r w:rsidR="00201335" w:rsidRPr="0074564F">
        <w:rPr>
          <w:rFonts w:ascii="Arial" w:hAnsi="Arial" w:cs="Arial"/>
        </w:rPr>
        <w:t xml:space="preserve"> </w:t>
      </w:r>
      <w:r w:rsidR="002417F7" w:rsidRPr="002417F7">
        <w:rPr>
          <w:rFonts w:ascii="Arial" w:hAnsi="Arial" w:cs="Arial"/>
        </w:rPr>
        <w:t>La capacidad anual total de una fábrica depende de si la tasa de producción se mantiene constante a lo largo del tiempo o si se modifica. Las políticas de compras interactúan con esta opción de integración vertical</w:t>
      </w:r>
      <w:r w:rsidR="00911494">
        <w:rPr>
          <w:rFonts w:ascii="Arial" w:hAnsi="Arial" w:cs="Arial"/>
        </w:rPr>
        <w:t xml:space="preserve">. </w:t>
      </w:r>
      <w:r w:rsidR="008A2071">
        <w:rPr>
          <w:rFonts w:ascii="Arial" w:hAnsi="Arial" w:cs="Arial"/>
        </w:rPr>
        <w:fldChar w:fldCharType="begin"/>
      </w:r>
      <w:r w:rsidR="008A2071">
        <w:rPr>
          <w:rFonts w:ascii="Arial" w:hAnsi="Arial" w:cs="Arial"/>
        </w:rPr>
        <w:instrText xml:space="preserve"> ADDIN ZOTERO_ITEM CSL_CITATION {"citationID":"Kd6XL4rH","properties":{"formattedCitation":"(Wheel Wright, 1984)","plainCitation":"(Wheel Wright, 1984)","noteIndex":0},"citationItems":[{"id":1153,"uris":["http://zotero.org/users/9514289/items/56L8M4BP"],"itemData":{"id":1153,"type":"article-journal","abstract":"The primary objective of strategy is to develop and support a lasting competitive advantage. In manufacturing industries, substantial focus has been given during the early eighties to the importance of the manufacturing function's contribution to overall corporate success, and yet the apparent lack of attention (historically) to achieving that potential contribution. In this article, characteristics of competitive advantage in manufacturing firms are described, a general framework for relating such advantage to corporate, business and functional levels of strategy is given, and an approach for pursuing that potential is outlined.","container-title":"Strategic Management Journal","DOI":"10.1002/smj.4250050106","ISSN":"01432095, 10970266","issue":"1","journalAbbreviation":"Strat. Mgmt. J.","language":"en","page":"77-91","source":"DOI.org (Crossref)","title":"Manufacturing strategy: Defining the missing link","title-short":"Manufacturing strategy","volume":"5","author":[{"family":"Wheel Wright","given":"Steven C."}],"issued":{"date-parts":[["1984",1]]}}}],"schema":"https://github.com/citation-style-language/schema/raw/master/csl-citation.json"} </w:instrText>
      </w:r>
      <w:r w:rsidR="008A2071">
        <w:rPr>
          <w:rFonts w:ascii="Arial" w:hAnsi="Arial" w:cs="Arial"/>
        </w:rPr>
        <w:fldChar w:fldCharType="separate"/>
      </w:r>
      <w:r w:rsidR="008A2071" w:rsidRPr="00384B71">
        <w:rPr>
          <w:rFonts w:ascii="Arial" w:hAnsi="Arial" w:cs="Arial"/>
        </w:rPr>
        <w:t>(Wheel Wright, 1984)</w:t>
      </w:r>
      <w:r w:rsidR="008A2071">
        <w:rPr>
          <w:rFonts w:ascii="Arial" w:hAnsi="Arial" w:cs="Arial"/>
        </w:rPr>
        <w:fldChar w:fldCharType="end"/>
      </w:r>
      <w:r w:rsidR="00384B71">
        <w:rPr>
          <w:rFonts w:ascii="Arial" w:hAnsi="Arial" w:cs="Arial"/>
        </w:rPr>
        <w:t xml:space="preserve">, y </w:t>
      </w:r>
      <w:r w:rsidR="00950B94">
        <w:rPr>
          <w:rFonts w:ascii="Arial" w:hAnsi="Arial" w:cs="Arial"/>
        </w:rPr>
        <w:t>esta</w:t>
      </w:r>
      <w:r w:rsidR="00FA2521" w:rsidRPr="00FA2521">
        <w:rPr>
          <w:rFonts w:ascii="Arial" w:hAnsi="Arial" w:cs="Arial"/>
        </w:rPr>
        <w:t xml:space="preserve"> integración de compras modera positivamente la relación entre los departamentos de compras y fabricación </w:t>
      </w:r>
      <w:r w:rsidR="006821A1">
        <w:rPr>
          <w:rFonts w:ascii="Arial" w:hAnsi="Arial" w:cs="Arial"/>
        </w:rPr>
        <w:t>con</w:t>
      </w:r>
      <w:r w:rsidR="002A0B14">
        <w:rPr>
          <w:rFonts w:ascii="Arial" w:hAnsi="Arial" w:cs="Arial"/>
        </w:rPr>
        <w:t>dicionando</w:t>
      </w:r>
      <w:r w:rsidR="00FA2521" w:rsidRPr="00FA2521">
        <w:rPr>
          <w:rFonts w:ascii="Arial" w:hAnsi="Arial" w:cs="Arial"/>
        </w:rPr>
        <w:t xml:space="preserve"> </w:t>
      </w:r>
      <w:r w:rsidR="00D25CB8">
        <w:rPr>
          <w:rFonts w:ascii="Arial" w:hAnsi="Arial" w:cs="Arial"/>
        </w:rPr>
        <w:t>su</w:t>
      </w:r>
      <w:r w:rsidR="00FA2521" w:rsidRPr="00FA2521">
        <w:rPr>
          <w:rFonts w:ascii="Arial" w:hAnsi="Arial" w:cs="Arial"/>
        </w:rPr>
        <w:t xml:space="preserve"> rendimiento.</w:t>
      </w:r>
      <w:r w:rsidR="00886D03" w:rsidRPr="00FA2521">
        <w:rPr>
          <w:rFonts w:ascii="Arial" w:hAnsi="Arial" w:cs="Arial"/>
        </w:rPr>
        <w:t xml:space="preserve"> </w:t>
      </w:r>
      <w:r w:rsidR="00886D03" w:rsidRPr="00BE2CF3">
        <w:rPr>
          <w:rFonts w:ascii="Arial" w:hAnsi="Arial" w:cs="Arial"/>
          <w:lang w:val="en-GB"/>
        </w:rPr>
        <w:fldChar w:fldCharType="begin"/>
      </w:r>
      <w:r w:rsidR="00886D03" w:rsidRPr="00FA2521">
        <w:rPr>
          <w:rFonts w:ascii="Arial" w:hAnsi="Arial" w:cs="Arial"/>
        </w:rPr>
        <w:instrText xml:space="preserve"> ADDIN ZOTERO_ITEM CSL_CITATION {"citationID":"GsLCXhah","properties":{"formattedCitation":"(Narasimhan and Das, 2001)","plainCitation":"(Narasimhan and Das, 2001)","noteIndex":0},"citationItems":[{"id":606,"uris":["http://zotero.org/users/9514289/items/A9Z5XEBZ"],"itemData":{"id":606,"type":"article-journal","abstract":"Purchasing integration remains an under-researched concept, despite being described as a key competence in the literature. This study explicates the concept of purchasing integration and examines its relationships with purchasing practices and manufacturing performance. Purchasing integration refers to the integration of strategic purchasing practices and goals with a </w:instrText>
      </w:r>
      <w:r w:rsidR="00886D03" w:rsidRPr="00BE2CF3">
        <w:rPr>
          <w:rFonts w:ascii="Arial" w:hAnsi="Arial" w:cs="Arial"/>
          <w:lang w:val="en-GB"/>
        </w:rPr>
        <w:instrText>ﬁ</w:instrText>
      </w:r>
      <w:r w:rsidR="00886D03" w:rsidRPr="00FA2521">
        <w:rPr>
          <w:rFonts w:ascii="Arial" w:hAnsi="Arial" w:cs="Arial"/>
        </w:rPr>
        <w:instrText xml:space="preserve">rm’s objectives. Alternative models linking purchasing integration to purchasing practices and manufacturing performance are hypothesized and tested using empirical data. Purchasing integration was found to moderate the relationship between purchasing practices and manufacturing performance. Increased investments in purchasing integration were observed to lead to higher performance returns from investments in purchasing practices. © 2001 Elsevier Science B.V. All rights reserved.","container-title":"Journal of Operations Management","DOI":"10.1016/S0272-6963(01)00055-9","ISSN":"02726963","issue":"5","journalAbbreviation":"Journal of Operations Management","language":"en","page":"593-609","source":"DOI.org (Crossref)","title":"The impact of purchasing integration and practices on manufacturing performance","volume":"19","author":[{"family":"Narasimhan","given":"Ram"},{"family":"Das","given":"Ajay"}],"issued":{"date-parts":[["2001",10]]}}}],"schema":"https://github.com/citation-style-language/schema/raw/master/csl-citation.json"} </w:instrText>
      </w:r>
      <w:r w:rsidR="00886D03" w:rsidRPr="00BE2CF3">
        <w:rPr>
          <w:rFonts w:ascii="Arial" w:hAnsi="Arial" w:cs="Arial"/>
          <w:lang w:val="en-GB"/>
        </w:rPr>
        <w:fldChar w:fldCharType="separate"/>
      </w:r>
      <w:r w:rsidR="00886D03" w:rsidRPr="00416588">
        <w:rPr>
          <w:rFonts w:ascii="Arial" w:hAnsi="Arial" w:cs="Arial"/>
        </w:rPr>
        <w:t>(Narasimhan and Das, 2001)</w:t>
      </w:r>
      <w:r w:rsidR="00886D03" w:rsidRPr="00BE2CF3">
        <w:rPr>
          <w:rFonts w:ascii="Arial" w:hAnsi="Arial" w:cs="Arial"/>
          <w:lang w:val="en-GB"/>
        </w:rPr>
        <w:fldChar w:fldCharType="end"/>
      </w:r>
    </w:p>
    <w:p w14:paraId="2BFAD9E2" w14:textId="608B0976" w:rsidR="00977B41" w:rsidRPr="00416588" w:rsidRDefault="00416588" w:rsidP="00705E36">
      <w:pPr>
        <w:ind w:right="140"/>
        <w:rPr>
          <w:rFonts w:ascii="Arial" w:hAnsi="Arial" w:cs="Arial"/>
        </w:rPr>
      </w:pPr>
      <w:r w:rsidRPr="00416588">
        <w:rPr>
          <w:rFonts w:ascii="Arial" w:hAnsi="Arial" w:cs="Arial"/>
        </w:rPr>
        <w:t xml:space="preserve">Para </w:t>
      </w:r>
      <w:r w:rsidR="00E368BA">
        <w:rPr>
          <w:rFonts w:ascii="Arial" w:hAnsi="Arial" w:cs="Arial"/>
        </w:rPr>
        <w:t xml:space="preserve">poder </w:t>
      </w:r>
      <w:r w:rsidRPr="00416588">
        <w:rPr>
          <w:rFonts w:ascii="Arial" w:hAnsi="Arial" w:cs="Arial"/>
        </w:rPr>
        <w:t xml:space="preserve">comprender </w:t>
      </w:r>
      <w:r w:rsidR="003A2645">
        <w:rPr>
          <w:rFonts w:ascii="Arial" w:hAnsi="Arial" w:cs="Arial"/>
        </w:rPr>
        <w:t xml:space="preserve">mejor </w:t>
      </w:r>
      <w:r w:rsidRPr="00416588">
        <w:rPr>
          <w:rFonts w:ascii="Arial" w:hAnsi="Arial" w:cs="Arial"/>
        </w:rPr>
        <w:t xml:space="preserve">esta evolución de las funciones de producción y PSM, </w:t>
      </w:r>
      <w:r w:rsidR="004E2197">
        <w:rPr>
          <w:rFonts w:ascii="Arial" w:hAnsi="Arial" w:cs="Arial"/>
        </w:rPr>
        <w:t>se revisa</w:t>
      </w:r>
      <w:r w:rsidRPr="00416588">
        <w:rPr>
          <w:rFonts w:ascii="Arial" w:hAnsi="Arial" w:cs="Arial"/>
        </w:rPr>
        <w:t xml:space="preserve"> la evolución de sus objetivos y propuestas de valor</w:t>
      </w:r>
      <w:r w:rsidR="0029328B">
        <w:rPr>
          <w:rFonts w:ascii="Arial" w:hAnsi="Arial" w:cs="Arial"/>
        </w:rPr>
        <w:t xml:space="preserve"> de cada una, para encontrar similitudes.</w:t>
      </w:r>
    </w:p>
    <w:p w14:paraId="146B5603" w14:textId="6850717C" w:rsidR="009F2BF3" w:rsidRPr="0041212B" w:rsidRDefault="00AE135A" w:rsidP="00705E36">
      <w:pPr>
        <w:ind w:right="140"/>
        <w:rPr>
          <w:rFonts w:ascii="Arial" w:hAnsi="Arial" w:cs="Arial"/>
        </w:rPr>
      </w:pPr>
      <w:r w:rsidRPr="00AE135A">
        <w:rPr>
          <w:rFonts w:ascii="Arial" w:hAnsi="Arial" w:cs="Arial"/>
        </w:rPr>
        <w:t xml:space="preserve">La literatura sobre estrategia de producción identifica cuatro objetivos clásicos: Coste, Calidad, Flexibilidad y Plazo de entrega. En los últimos años se acepta la existencia de siete objetivos de producción, </w:t>
      </w:r>
      <w:r w:rsidR="00D5661D">
        <w:rPr>
          <w:rFonts w:ascii="Arial" w:hAnsi="Arial" w:cs="Arial"/>
        </w:rPr>
        <w:t>añadiendo</w:t>
      </w:r>
      <w:r w:rsidRPr="00AE135A">
        <w:rPr>
          <w:rFonts w:ascii="Arial" w:hAnsi="Arial" w:cs="Arial"/>
        </w:rPr>
        <w:t xml:space="preserve"> tres más: Innovación, Servicio y Sostenibilidad.</w:t>
      </w:r>
      <w:r w:rsidR="001A6B2B" w:rsidRPr="00AE135A">
        <w:rPr>
          <w:rFonts w:ascii="Arial" w:hAnsi="Arial" w:cs="Arial"/>
        </w:rPr>
        <w:t xml:space="preserve"> </w:t>
      </w:r>
      <w:r w:rsidR="00217BE9" w:rsidRPr="00BE2CF3">
        <w:rPr>
          <w:rFonts w:ascii="Arial" w:hAnsi="Arial" w:cs="Arial"/>
          <w:lang w:val="en-GB"/>
        </w:rPr>
        <w:fldChar w:fldCharType="begin"/>
      </w:r>
      <w:r w:rsidR="00217BE9" w:rsidRPr="00AE135A">
        <w:rPr>
          <w:rFonts w:ascii="Arial" w:hAnsi="Arial" w:cs="Arial"/>
        </w:rPr>
        <w:instrText xml:space="preserve"> ADDIN ZOTERO_ITEM CSL_CITATION {"citationID":"m0tBZqpC","properties":{"formattedCitation":"(Angell and Klassen, 1999)","plainCitation":"(Angell and Klassen, 1999)","noteIndex":0},"citationItems":[{"id":621,"uris":["http://zotero.org/users/9514289/items/CFCMX49E"],"itemData":{"id":621,"type":"article-journal","abstract":"Research related to the natural environment in operations management is still in its infancy. The relatively few studies to date have primarily emphasized environmental issues relating to process technologies, quality, new product development, and supply chain management. This paper reports on the work of a focus group of environmental and operations management researchers, which generated a broad framework useful for identifying fruitful research opportunities. This framework is structured along two dimensions: level of analysis and process of environmental improvement. Research areas identified by the focus group to be most promising subsequently were mapped onto this framework. Strong opportunities for building our understanding of environmental issues and improving practice are evident in the areas of manufacturing strategy, quality, supply chain management, and technology management. Research on intra- and inter-firm diffusion of best practices, environmental technology investment and transfer, and measurement of environmental performance promises to lead to a more integrative view of environmental operations management. q 1999 Elsevier Science B.V. All rights reserved.","container-title":"Journal of Operations Management","DOI":"10.1016/S0272-6963(99)00006-6","ISSN":"02726963","issue":"5","journalAbbreviation":"Journal of Operations Management","language":"en","page":"575-598","source":"DOI.org (Crossref)","title":"Integrating environmental issues into the mainstream: an agenda for research in operations management","title-short":"Integrating environmental issues into the mainstream","volume":"17","author":[{"family":"Angell","given":"Linda C"},{"family":"Klassen","given":"Robert D"}],"issued":{"date-parts":[["1999",8]]}}}],"schema":"https://github.com/citation-style-language/schema/raw/master/csl-citation.json"} </w:instrText>
      </w:r>
      <w:r w:rsidR="00217BE9" w:rsidRPr="00BE2CF3">
        <w:rPr>
          <w:rFonts w:ascii="Arial" w:hAnsi="Arial" w:cs="Arial"/>
          <w:lang w:val="en-GB"/>
        </w:rPr>
        <w:fldChar w:fldCharType="separate"/>
      </w:r>
      <w:r w:rsidR="00217BE9" w:rsidRPr="0041212B">
        <w:rPr>
          <w:rFonts w:ascii="Arial" w:hAnsi="Arial" w:cs="Arial"/>
        </w:rPr>
        <w:t>(Angell and Klassen, 1999)</w:t>
      </w:r>
      <w:r w:rsidR="00217BE9" w:rsidRPr="00BE2CF3">
        <w:rPr>
          <w:rFonts w:ascii="Arial" w:hAnsi="Arial" w:cs="Arial"/>
          <w:lang w:val="en-GB"/>
        </w:rPr>
        <w:fldChar w:fldCharType="end"/>
      </w:r>
      <w:r w:rsidR="001A6B2B" w:rsidRPr="0041212B">
        <w:rPr>
          <w:rFonts w:ascii="Arial" w:hAnsi="Arial" w:cs="Arial"/>
        </w:rPr>
        <w:t>.</w:t>
      </w:r>
    </w:p>
    <w:p w14:paraId="0C983849" w14:textId="77777777" w:rsidR="003F13D5" w:rsidRDefault="00B25B23" w:rsidP="00705E36">
      <w:pPr>
        <w:ind w:right="140"/>
        <w:rPr>
          <w:rFonts w:ascii="Arial" w:hAnsi="Arial" w:cs="Arial"/>
        </w:rPr>
      </w:pPr>
      <w:r w:rsidRPr="00B25B23">
        <w:rPr>
          <w:rFonts w:ascii="Arial" w:hAnsi="Arial" w:cs="Arial"/>
        </w:rPr>
        <w:t>En cuanto a la literatura sobre los objetivos de PSM, se acepta generalmente que la reducción de costes sigue siendo una de las prioridades más importantes, aunque es algo que ha cambiado drásticamente en los últimos tiempos.</w:t>
      </w:r>
      <w:r w:rsidR="006801FC" w:rsidRPr="00B25B23">
        <w:rPr>
          <w:rFonts w:ascii="Arial" w:hAnsi="Arial" w:cs="Arial"/>
        </w:rPr>
        <w:t xml:space="preserve"> </w:t>
      </w:r>
      <w:r w:rsidR="005619F0" w:rsidRPr="004035AF">
        <w:rPr>
          <w:rFonts w:ascii="Arial" w:hAnsi="Arial" w:cs="Arial"/>
        </w:rPr>
        <w:t>(Weele, A. J. van.</w:t>
      </w:r>
      <w:r w:rsidR="00890BD4" w:rsidRPr="004035AF">
        <w:rPr>
          <w:rFonts w:ascii="Arial" w:hAnsi="Arial" w:cs="Arial"/>
        </w:rPr>
        <w:t>,</w:t>
      </w:r>
      <w:r w:rsidR="005619F0" w:rsidRPr="004035AF">
        <w:rPr>
          <w:rFonts w:ascii="Arial" w:hAnsi="Arial" w:cs="Arial"/>
        </w:rPr>
        <w:t xml:space="preserve"> 2018).</w:t>
      </w:r>
      <w:r w:rsidR="00065859" w:rsidRPr="004035AF">
        <w:rPr>
          <w:rFonts w:ascii="Arial" w:hAnsi="Arial" w:cs="Arial"/>
        </w:rPr>
        <w:t xml:space="preserve"> </w:t>
      </w:r>
      <w:r w:rsidR="004035AF" w:rsidRPr="004035AF">
        <w:rPr>
          <w:rFonts w:ascii="Arial" w:hAnsi="Arial" w:cs="Arial"/>
        </w:rPr>
        <w:t>La innovación</w:t>
      </w:r>
      <w:r w:rsidR="001F2A3B">
        <w:rPr>
          <w:rFonts w:ascii="Arial" w:hAnsi="Arial" w:cs="Arial"/>
        </w:rPr>
        <w:t xml:space="preserve"> y la gestión de riesgos </w:t>
      </w:r>
      <w:r w:rsidR="004035AF" w:rsidRPr="004035AF">
        <w:rPr>
          <w:rFonts w:ascii="Arial" w:hAnsi="Arial" w:cs="Arial"/>
        </w:rPr>
        <w:t>se suma</w:t>
      </w:r>
      <w:r w:rsidR="001F2A3B">
        <w:rPr>
          <w:rFonts w:ascii="Arial" w:hAnsi="Arial" w:cs="Arial"/>
        </w:rPr>
        <w:t>n</w:t>
      </w:r>
      <w:r w:rsidR="004035AF" w:rsidRPr="004035AF">
        <w:rPr>
          <w:rFonts w:ascii="Arial" w:hAnsi="Arial" w:cs="Arial"/>
        </w:rPr>
        <w:t xml:space="preserve"> ahora a la lista</w:t>
      </w:r>
      <w:r w:rsidR="001F2A3B">
        <w:rPr>
          <w:rFonts w:ascii="Arial" w:hAnsi="Arial" w:cs="Arial"/>
        </w:rPr>
        <w:t xml:space="preserve"> de objetivos de PSM</w:t>
      </w:r>
      <w:r w:rsidR="004035AF" w:rsidRPr="004035AF">
        <w:rPr>
          <w:rFonts w:ascii="Arial" w:hAnsi="Arial" w:cs="Arial"/>
        </w:rPr>
        <w:t xml:space="preserve">. </w:t>
      </w:r>
    </w:p>
    <w:p w14:paraId="69B44F8C" w14:textId="15197488" w:rsidR="00307ED0" w:rsidRPr="00B10D30" w:rsidRDefault="004035AF" w:rsidP="00705E36">
      <w:pPr>
        <w:ind w:right="140"/>
        <w:rPr>
          <w:rFonts w:ascii="Arial" w:hAnsi="Arial" w:cs="Arial"/>
        </w:rPr>
      </w:pPr>
      <w:r w:rsidRPr="004035AF">
        <w:rPr>
          <w:rFonts w:ascii="Arial" w:hAnsi="Arial" w:cs="Arial"/>
        </w:rPr>
        <w:t>Si hay algo que ha cambiado en la gestión de la innovación durante la última década, es la creciente dependencia de fuentes externas de tecnología. Las empresas necesitan comprender qué proveedores tienen realmente un alto potencial para contribuir a la capacidad de innovación de la empresa y cuáles no.</w:t>
      </w:r>
      <w:r w:rsidR="009A1B4E" w:rsidRPr="004035AF">
        <w:rPr>
          <w:rFonts w:ascii="Arial" w:hAnsi="Arial" w:cs="Arial"/>
        </w:rPr>
        <w:t xml:space="preserve"> </w:t>
      </w:r>
      <w:r w:rsidR="0019756E">
        <w:rPr>
          <w:rFonts w:ascii="Arial" w:hAnsi="Arial" w:cs="Arial"/>
          <w:lang w:val="en-GB"/>
        </w:rPr>
        <w:fldChar w:fldCharType="begin"/>
      </w:r>
      <w:r w:rsidR="0019756E" w:rsidRPr="004035AF">
        <w:rPr>
          <w:rFonts w:ascii="Arial" w:hAnsi="Arial" w:cs="Arial"/>
        </w:rPr>
        <w:instrText xml:space="preserve"> ADDIN ZOTERO_ITEM CSL_CITATION {"citationID":"uoQpxr5Y","properties":{"formattedCitation":"(Schiele, 2006)","plainCitation":"(Schiele, 2006)","noteIndex":0},"citationItems":[{"id":1993,"uris":["http://zotero.org/users/9514289/items/B5ACRGJ7"],"itemData":{"id":1993,"type":"article-journal","abstract":"For companies operating under unfavorable macroeconomic conditions, such as high wage/high tax countries in central Europe, innovation has become a central theme for survival. If there is one thing that has changed in innovation management during the last decade, it is the growing reliance on external sources of technology. As a consequence, a new task for purchasing arises, as firms need to understand which suppliers actually do have high potential contributing to the innovativeness of the firm and which do not. This paper focuses on the conceptual basis and derives propositions on the nature of innovative suppliers: specialized, technically competent firms, located in the proximity of the buyer, being embedded in a trusted and intensive relationship are identified as having a higher probability to be the core innovative suppliers. These criteria can serve to refine strategic sourcing decisions and improve communication between engineering and purchasing professionals.","container-title":"Industrial Marketing Management","DOI":"10.1016/j.indmarman.2006.05.003","ISSN":"00198501","issue":"8","journalAbbreviation":"Industrial Marketing Management","language":"en","page":"925-935","source":"DOI.org (Crossref)","title":"How to distinguish innovative suppliers? Identifying innovative suppliers as new task for purchasing","title-short":"How to distinguish innovative suppliers?","volume":"35","author":[{"family":"Schiele","given":"Holger"}],"issued":{"date-parts":[["2006",11]]}}}],"schema":"https://github.com/citation-style-language/schema/raw/master/csl-citation.json"} </w:instrText>
      </w:r>
      <w:r w:rsidR="0019756E">
        <w:rPr>
          <w:rFonts w:ascii="Arial" w:hAnsi="Arial" w:cs="Arial"/>
          <w:lang w:val="en-GB"/>
        </w:rPr>
        <w:fldChar w:fldCharType="separate"/>
      </w:r>
      <w:r w:rsidR="0019756E" w:rsidRPr="00B10D30">
        <w:rPr>
          <w:rFonts w:ascii="Arial" w:hAnsi="Arial" w:cs="Arial"/>
        </w:rPr>
        <w:t>(Schiele, 2006)</w:t>
      </w:r>
      <w:r w:rsidR="0019756E">
        <w:rPr>
          <w:rFonts w:ascii="Arial" w:hAnsi="Arial" w:cs="Arial"/>
          <w:lang w:val="en-GB"/>
        </w:rPr>
        <w:fldChar w:fldCharType="end"/>
      </w:r>
      <w:r w:rsidR="007C69F3" w:rsidRPr="00B10D30">
        <w:rPr>
          <w:rFonts w:ascii="Arial" w:hAnsi="Arial" w:cs="Arial"/>
        </w:rPr>
        <w:t xml:space="preserve">. </w:t>
      </w:r>
    </w:p>
    <w:p w14:paraId="07E40A3E" w14:textId="095A8F91" w:rsidR="00E378A1" w:rsidRPr="00EA5A2B" w:rsidRDefault="008160C9" w:rsidP="00705E36">
      <w:pPr>
        <w:ind w:right="140"/>
        <w:rPr>
          <w:rFonts w:ascii="Arial" w:hAnsi="Arial" w:cs="Arial"/>
        </w:rPr>
      </w:pPr>
      <w:r>
        <w:rPr>
          <w:rFonts w:ascii="Arial" w:hAnsi="Arial" w:cs="Arial"/>
        </w:rPr>
        <w:t xml:space="preserve">Relativo a los riesgos, </w:t>
      </w:r>
      <w:r w:rsidR="003A108C">
        <w:rPr>
          <w:rFonts w:ascii="Arial" w:hAnsi="Arial" w:cs="Arial"/>
        </w:rPr>
        <w:t>l</w:t>
      </w:r>
      <w:r w:rsidR="00B10D30" w:rsidRPr="00B10D30">
        <w:rPr>
          <w:rFonts w:ascii="Arial" w:hAnsi="Arial" w:cs="Arial"/>
        </w:rPr>
        <w:t>as empresas son vulnerables a perturbaciones en la cadena de suministro que deben gestionar especialmente las funciones de compras y de cadena de suministro de las empresas.</w:t>
      </w:r>
      <w:r w:rsidR="00AB2D43" w:rsidRPr="00B10D30">
        <w:rPr>
          <w:rFonts w:ascii="Arial" w:hAnsi="Arial" w:cs="Arial"/>
        </w:rPr>
        <w:t xml:space="preserve"> </w:t>
      </w:r>
      <w:r w:rsidR="001330D1">
        <w:rPr>
          <w:rFonts w:ascii="Arial" w:hAnsi="Arial" w:cs="Arial"/>
          <w:lang w:val="en-GB"/>
        </w:rPr>
        <w:fldChar w:fldCharType="begin"/>
      </w:r>
      <w:r w:rsidR="001330D1" w:rsidRPr="00B10D30">
        <w:rPr>
          <w:rFonts w:ascii="Arial" w:hAnsi="Arial" w:cs="Arial"/>
        </w:rPr>
        <w:instrText xml:space="preserve"> ADDIN ZOTERO_ITEM CSL_CITATION {"citationID":"k7ZyExIM","properties":{"formattedCitation":"(K\\uc0\\u228{}hk\\uc0\\u246{}nen et al., 2023)","plainCitation":"(Kähkönen et al., 2023)","noteIndex":0},"citationItems":[{"id":2164,"uris":["http://zotero.org/users/9514289/items/UXHY2FWA"],"itemData":{"id":2164,"type":"article-journal","abstract":"This study investigates how sustainability-related risks are managed in multi-tier supply chains. It focuses on the strategies and practices that companies use to manage sustainability-related risks and how these differ between supply chains and supply chain tiers. We use a multiple-case study with 25 companies forming 5 multi-tier supply chains. As a result of this study, we present a conceptual framework for sustainability-related risk management practices in multi-tier supply chains and apply it empirically by defining sustainability-related risk management profiles for the case supply chains. We show that in multi-tier supply chains, companies need direct and indirect collaboration and direct and indirect monitoring practices for managing sustainability-related risks emanating from not only their first-tier suppliers but also lower-tier suppliers. Our framework helps purchasing and sup­ ply chain managers understand the dimensions of sustainability-related risk management in a multi-tier setting and develop strategies and practices for mitigating and managing those risks. We also empirically show the challenge of extending sustainability-related risk management practices beyond first-tier suppliers due to the different practices in different supply chain tiers.","container-title":"Journal of Purchasing and Supply Management","DOI":"10.1016/j.pursup.2023.100848","ISSN":"14784092","issue":"3","journalAbbreviation":"Journal of Purchasing and Supply Management","language":"en","page":"100848","source":"DOI.org (Crossref)","title":"Practices and strategies for sustainability-related risk management in multi-tier supply chains","volume":"29","author":[{"family":"Kähkönen","given":"Anni-Kaisa"},{"family":"Marttinen","given":"Kati"},{"family":"Kontio","given":"Antti"},{"family":"Lintukangas","given":"Katrina"}],"issued":{"date-parts":[["2023",6]]}}}],"schema":"https://github.com/citation-style-language/schema/raw/master/csl-citation.json"} </w:instrText>
      </w:r>
      <w:r w:rsidR="001330D1">
        <w:rPr>
          <w:rFonts w:ascii="Arial" w:hAnsi="Arial" w:cs="Arial"/>
          <w:lang w:val="en-GB"/>
        </w:rPr>
        <w:fldChar w:fldCharType="separate"/>
      </w:r>
      <w:r w:rsidR="001330D1" w:rsidRPr="0041212B">
        <w:rPr>
          <w:rFonts w:ascii="Arial" w:hAnsi="Arial" w:cs="Arial"/>
          <w:kern w:val="0"/>
        </w:rPr>
        <w:t>(Kähkönen et al., 2023)</w:t>
      </w:r>
      <w:r w:rsidR="001330D1">
        <w:rPr>
          <w:rFonts w:ascii="Arial" w:hAnsi="Arial" w:cs="Arial"/>
          <w:lang w:val="en-GB"/>
        </w:rPr>
        <w:fldChar w:fldCharType="end"/>
      </w:r>
      <w:r w:rsidR="00E378A1" w:rsidRPr="0041212B">
        <w:rPr>
          <w:rFonts w:ascii="Arial" w:hAnsi="Arial" w:cs="Arial"/>
        </w:rPr>
        <w:t xml:space="preserve">. </w:t>
      </w:r>
      <w:r w:rsidR="001600A2" w:rsidRPr="001600A2">
        <w:rPr>
          <w:rFonts w:ascii="Arial" w:hAnsi="Arial" w:cs="Arial"/>
        </w:rPr>
        <w:t xml:space="preserve">Además de los riesgos habituales de la cadena de suministro </w:t>
      </w:r>
      <w:r w:rsidR="00AF3F5B">
        <w:rPr>
          <w:rFonts w:ascii="Arial" w:hAnsi="Arial" w:cs="Arial"/>
          <w:lang w:val="en-GB"/>
        </w:rPr>
        <w:fldChar w:fldCharType="begin"/>
      </w:r>
      <w:r w:rsidR="00AF3F5B" w:rsidRPr="001600A2">
        <w:rPr>
          <w:rFonts w:ascii="Arial" w:hAnsi="Arial" w:cs="Arial"/>
        </w:rPr>
        <w:instrText xml:space="preserve"> ADDIN ZOTERO_ITEM CSL_CITATION {"citationID":"4rye8fHH","properties":{"formattedCitation":"(Hallikas et al., 2005; J\\uc0\\u252{}ttner, 2005)","plainCitation":"(Hallikas et al., 2005; Jüttner, 2005)","noteIndex":0},"citationItems":[{"id":154,"uris":["http://zotero.org/users/9514289/items/V9FH5F7G"],"itemData":{"id":154,"type":"article-journal","abstract":"The management and exploitation of external resources has increased and become a new source of business success. This has given rise to various new risks and therefore increased the need for collaborative risk management and learning. The objective of this paper is to explore the differences in risk management and learning across supplier relationships classi</w:instrText>
      </w:r>
      <w:r w:rsidR="00AF3F5B">
        <w:rPr>
          <w:rFonts w:ascii="Arial" w:hAnsi="Arial" w:cs="Arial"/>
          <w:lang w:val="en-GB"/>
        </w:rPr>
        <w:instrText>ﬁ</w:instrText>
      </w:r>
      <w:r w:rsidR="00AF3F5B" w:rsidRPr="001600A2">
        <w:rPr>
          <w:rFonts w:ascii="Arial" w:hAnsi="Arial" w:cs="Arial"/>
        </w:rPr>
        <w:instrText>ed through network risks. The paper provides a theoretical review of supplier relationships and risk management, as well as a survey-based empirical study conducted in one case company’s supply network. A set of network risks and risk-management measures is developed by means of factor analysis, and a supplier classi</w:instrText>
      </w:r>
      <w:r w:rsidR="00AF3F5B">
        <w:rPr>
          <w:rFonts w:ascii="Arial" w:hAnsi="Arial" w:cs="Arial"/>
          <w:lang w:val="en-GB"/>
        </w:rPr>
        <w:instrText>ﬁ</w:instrText>
      </w:r>
      <w:r w:rsidR="00AF3F5B" w:rsidRPr="001600A2">
        <w:rPr>
          <w:rFonts w:ascii="Arial" w:hAnsi="Arial" w:cs="Arial"/>
        </w:rPr>
        <w:instrText>cation by means of cluster analysis. According to the results, the exploitation of collaborative risk management and learning is highest among the most strategic supplier relationships. A classi</w:instrText>
      </w:r>
      <w:r w:rsidR="00AF3F5B">
        <w:rPr>
          <w:rFonts w:ascii="Arial" w:hAnsi="Arial" w:cs="Arial"/>
          <w:lang w:val="en-GB"/>
        </w:rPr>
        <w:instrText>ﬁ</w:instrText>
      </w:r>
      <w:r w:rsidR="00AF3F5B" w:rsidRPr="001600A2">
        <w:rPr>
          <w:rFonts w:ascii="Arial" w:hAnsi="Arial" w:cs="Arial"/>
        </w:rPr>
        <w:instrText>cation typology based on suppliers’ opinions helps both parties in the relationship and enables the ef</w:instrText>
      </w:r>
      <w:r w:rsidR="00AF3F5B">
        <w:rPr>
          <w:rFonts w:ascii="Arial" w:hAnsi="Arial" w:cs="Arial"/>
          <w:lang w:val="en-GB"/>
        </w:rPr>
        <w:instrText>ﬁ</w:instrText>
      </w:r>
      <w:r w:rsidR="00AF3F5B" w:rsidRPr="001600A2">
        <w:rPr>
          <w:rFonts w:ascii="Arial" w:hAnsi="Arial" w:cs="Arial"/>
        </w:rPr>
        <w:instrText>cient exploitation of mutual risk management with collaborative learning as one of its keystones.","c</w:instrText>
      </w:r>
      <w:r w:rsidR="00AF3F5B">
        <w:rPr>
          <w:rFonts w:ascii="Arial" w:hAnsi="Arial" w:cs="Arial"/>
          <w:lang w:val="en-GB"/>
        </w:rPr>
        <w:instrText>ontainer-title":"Journal of Purchasing and Supply Management","DOI":"10.1016/j.pursup.2005.10.005","ISSN":"14784092","issue":"2-3","journalAbbreviation":"Journal of Purchasing and Supply Management","language":"en","page":"72-82","source":"DOI.org (Crossref)","title":"Risk-based classification of supplier relationships","volume":"11","author":[{"family":"Hallikas","given":"Jukka"},{"family":"Puumalainen","given":"Kaisu"},</w:instrText>
      </w:r>
      <w:r w:rsidR="00AF3F5B" w:rsidRPr="0041212B">
        <w:rPr>
          <w:rFonts w:ascii="Arial" w:hAnsi="Arial" w:cs="Arial"/>
        </w:rPr>
        <w:instrText>{"family":"Veste</w:instrText>
      </w:r>
      <w:r w:rsidR="00AF3F5B" w:rsidRPr="00734CB4">
        <w:rPr>
          <w:rFonts w:ascii="Arial" w:hAnsi="Arial" w:cs="Arial"/>
        </w:rPr>
        <w:instrText xml:space="preserve">rinen","given":"Toni"},{"family":"Virolainen","given":"Veli-Matti"}],"issued":{"date-parts":[["2005",3]]}}},{"id":2409,"uris":["http://zotero.org/users/9514289/items/UDIP6GSW"],"itemData":{"id":2409,"type":"article-journal","abstract":"Purpose – This paper seeks to understand business requirements for supply chain risk management (SCRM) from a practitioner perspective. Design/methodology/approach – Based on the </w:instrText>
      </w:r>
      <w:r w:rsidR="00AF3F5B">
        <w:rPr>
          <w:rFonts w:ascii="Arial" w:hAnsi="Arial" w:cs="Arial"/>
          <w:lang w:val="en-GB"/>
        </w:rPr>
        <w:instrText>ﬁ</w:instrText>
      </w:r>
      <w:r w:rsidR="00AF3F5B" w:rsidRPr="00734CB4">
        <w:rPr>
          <w:rFonts w:ascii="Arial" w:hAnsi="Arial" w:cs="Arial"/>
        </w:rPr>
        <w:instrText xml:space="preserve">ndings from an exploratory quantitative survey and qualitative focus group discussions with supply chain managers, some issues of SCRM are derived and structured along the three conceptual levels of “philosophy”, “principles” and “processes”. Findings – The survey showed that 44 per cent of all eight responding companies expect the vulnerability of their supply chains to increase in the next </w:instrText>
      </w:r>
      <w:r w:rsidR="00AF3F5B">
        <w:rPr>
          <w:rFonts w:ascii="Arial" w:hAnsi="Arial" w:cs="Arial"/>
          <w:lang w:val="en-GB"/>
        </w:rPr>
        <w:instrText>ﬁ</w:instrText>
      </w:r>
      <w:r w:rsidR="00AF3F5B" w:rsidRPr="00734CB4">
        <w:rPr>
          <w:rFonts w:ascii="Arial" w:hAnsi="Arial" w:cs="Arial"/>
        </w:rPr>
        <w:instrText xml:space="preserve">ve years. However, the concept of SCRM is still in its infancy.","container-title":"The International Journal of Logistics Management","DOI":"10.1108/09574090510617385","ISSN":"0957-4093","issue":"1","language":"en","license":"https://www.emerald.com/insight/site-policies","page":"120-141","source":"DOI.org (Crossref)","title":"Supply chain risk management: Understanding the business requirements from a practitioner perspective","title-short":"Supply chain risk management","volume":"16","author":[{"family":"Jüttner","given":"Uta"}],"issued":{"date-parts":[["2005",6,1]]}}}],"schema":"https://github.com/citation-style-language/schema/raw/master/csl-citation.json"} </w:instrText>
      </w:r>
      <w:r w:rsidR="00AF3F5B">
        <w:rPr>
          <w:rFonts w:ascii="Arial" w:hAnsi="Arial" w:cs="Arial"/>
          <w:lang w:val="en-GB"/>
        </w:rPr>
        <w:fldChar w:fldCharType="separate"/>
      </w:r>
      <w:r w:rsidR="00AF3F5B" w:rsidRPr="00734CB4">
        <w:rPr>
          <w:rFonts w:ascii="Arial" w:hAnsi="Arial" w:cs="Arial"/>
          <w:kern w:val="0"/>
        </w:rPr>
        <w:t>(Hallikas et al., 2005; Jüttner, 2005)</w:t>
      </w:r>
      <w:r w:rsidR="00AF3F5B">
        <w:rPr>
          <w:rFonts w:ascii="Arial" w:hAnsi="Arial" w:cs="Arial"/>
          <w:lang w:val="en-GB"/>
        </w:rPr>
        <w:fldChar w:fldCharType="end"/>
      </w:r>
      <w:r w:rsidR="00E378A1" w:rsidRPr="00734CB4">
        <w:rPr>
          <w:rFonts w:ascii="Arial" w:hAnsi="Arial" w:cs="Arial"/>
        </w:rPr>
        <w:t xml:space="preserve">, </w:t>
      </w:r>
      <w:r w:rsidR="00734CB4">
        <w:rPr>
          <w:rFonts w:ascii="Arial" w:hAnsi="Arial" w:cs="Arial"/>
        </w:rPr>
        <w:t>l</w:t>
      </w:r>
      <w:r w:rsidR="00734CB4" w:rsidRPr="00734CB4">
        <w:rPr>
          <w:rFonts w:ascii="Arial" w:hAnsi="Arial" w:cs="Arial"/>
        </w:rPr>
        <w:t>as empresas se enfrentan actualmente a riesgos que pueden considerarse relacionados con la sostenibilidad.</w:t>
      </w:r>
      <w:r w:rsidR="00E378A1" w:rsidRPr="00734CB4">
        <w:rPr>
          <w:rFonts w:ascii="Arial" w:hAnsi="Arial" w:cs="Arial"/>
        </w:rPr>
        <w:t xml:space="preserve"> </w:t>
      </w:r>
      <w:r w:rsidR="00227AC6" w:rsidRPr="0042195A">
        <w:rPr>
          <w:rFonts w:ascii="Arial" w:hAnsi="Arial" w:cs="Arial"/>
        </w:rPr>
        <w:t>El riesgo relacionado con la sostenibilidad se define por</w:t>
      </w:r>
      <w:r w:rsidR="00E378A1" w:rsidRPr="0042195A">
        <w:rPr>
          <w:rFonts w:ascii="Arial" w:hAnsi="Arial" w:cs="Arial"/>
        </w:rPr>
        <w:t xml:space="preserve"> </w:t>
      </w:r>
      <w:r w:rsidR="00C6132D" w:rsidRPr="0042195A">
        <w:rPr>
          <w:rFonts w:ascii="Arial" w:hAnsi="Arial" w:cs="Arial"/>
        </w:rPr>
        <w:t>(</w:t>
      </w:r>
      <w:r w:rsidR="00E378A1" w:rsidRPr="0042195A">
        <w:rPr>
          <w:rFonts w:ascii="Arial" w:hAnsi="Arial" w:cs="Arial"/>
        </w:rPr>
        <w:t xml:space="preserve">Hofmann et al. 2014) </w:t>
      </w:r>
      <w:r w:rsidR="0042195A" w:rsidRPr="0042195A">
        <w:rPr>
          <w:rFonts w:ascii="Arial" w:hAnsi="Arial" w:cs="Arial"/>
        </w:rPr>
        <w:t>como “una condición o un evento potencial</w:t>
      </w:r>
      <w:r w:rsidR="0042195A">
        <w:rPr>
          <w:rFonts w:ascii="Arial" w:hAnsi="Arial" w:cs="Arial"/>
        </w:rPr>
        <w:t xml:space="preserve"> que </w:t>
      </w:r>
      <w:r w:rsidR="0042195A" w:rsidRPr="0042195A">
        <w:rPr>
          <w:rFonts w:ascii="Arial" w:hAnsi="Arial" w:cs="Arial"/>
        </w:rPr>
        <w:t>ocurriendo puede provocar reacciones perjudiciales en las partes interesadas”, y</w:t>
      </w:r>
      <w:r w:rsidR="00DD5DB1">
        <w:rPr>
          <w:rFonts w:ascii="Arial" w:hAnsi="Arial" w:cs="Arial"/>
        </w:rPr>
        <w:t xml:space="preserve"> </w:t>
      </w:r>
      <w:r w:rsidR="00DD5DB1" w:rsidRPr="00EA5A2B">
        <w:rPr>
          <w:rFonts w:ascii="Arial" w:hAnsi="Arial" w:cs="Arial"/>
        </w:rPr>
        <w:t>dichos riesgos implican peligros ambientales, sociales y económicos</w:t>
      </w:r>
      <w:r w:rsidR="00E378A1" w:rsidRPr="0042195A">
        <w:rPr>
          <w:rFonts w:ascii="Arial" w:hAnsi="Arial" w:cs="Arial"/>
        </w:rPr>
        <w:t xml:space="preserve"> </w:t>
      </w:r>
      <w:r w:rsidR="00BB05B2">
        <w:rPr>
          <w:rFonts w:ascii="Arial" w:hAnsi="Arial" w:cs="Arial"/>
          <w:lang w:val="en-GB"/>
        </w:rPr>
        <w:fldChar w:fldCharType="begin"/>
      </w:r>
      <w:r w:rsidR="00BB05B2" w:rsidRPr="0042195A">
        <w:rPr>
          <w:rFonts w:ascii="Arial" w:hAnsi="Arial" w:cs="Arial"/>
        </w:rPr>
        <w:instrText xml:space="preserve"> ADDIN ZOTERO_ITEM CSL_CITATION {"citationID":"svCu4bC8","properties":{"formattedCitation":"(Giannakis and Papadopoulos, 2016)","plainCitation":"(Giannakis and Papadopoulos, 2016)","noteIndex":0},"citationItems":[{"id":2413,"uris":["http://zotero.org/users/9514289/items/2V3EELLC"],"itemData":{"id":2413,"type":"article-journal","abstract":"This paper develops an operational perspective of supply chain sustainability, by considering it as a risk management process. It explores the nature of sustainability-related supply chain risks, distinguishes them from typical supply chain risks and develops an analytical process for their management. An empirical study is conducted to generate insights about how sustainability-related risks should be managed in an integrated way. A mixed method approach is adopted for data collection and analysis. Through an extensive literature review and personal interviews, 30 risks across the three main pillars of sustainability (environmental, social and economic) are identi</w:instrText>
      </w:r>
      <w:r w:rsidR="00BB05B2">
        <w:rPr>
          <w:rFonts w:ascii="Arial" w:hAnsi="Arial" w:cs="Arial"/>
          <w:lang w:val="en-GB"/>
        </w:rPr>
        <w:instrText>ﬁ</w:instrText>
      </w:r>
      <w:r w:rsidR="00BB05B2" w:rsidRPr="0042195A">
        <w:rPr>
          <w:rFonts w:ascii="Arial" w:hAnsi="Arial" w:cs="Arial"/>
        </w:rPr>
        <w:instrText xml:space="preserve">ed </w:instrText>
      </w:r>
      <w:r w:rsidR="00BB05B2">
        <w:rPr>
          <w:rFonts w:ascii="Arial" w:hAnsi="Arial" w:cs="Arial"/>
          <w:lang w:val="en-GB"/>
        </w:rPr>
        <w:instrText>ﬁ</w:instrText>
      </w:r>
      <w:r w:rsidR="00BB05B2" w:rsidRPr="0042195A">
        <w:rPr>
          <w:rFonts w:ascii="Arial" w:hAnsi="Arial" w:cs="Arial"/>
        </w:rPr>
        <w:instrText>rst. A large survey across different industrial sectors and two exp</w:instrText>
      </w:r>
      <w:r w:rsidR="00BB05B2" w:rsidRPr="00EA5A2B">
        <w:rPr>
          <w:rFonts w:ascii="Arial" w:hAnsi="Arial" w:cs="Arial"/>
        </w:rPr>
        <w:instrText>loratory empirical case studies in two textile manufacturing companies are subsequently conducted to assess and analyse several dimensions of sustainability-related risk. The failure mode and effect analysis (FMEA) technique is utilised to assess the relative importance of the selected risks, to identify their potential causes and effects and test potential correlations between the identi</w:instrText>
      </w:r>
      <w:r w:rsidR="00BB05B2">
        <w:rPr>
          <w:rFonts w:ascii="Arial" w:hAnsi="Arial" w:cs="Arial"/>
          <w:lang w:val="en-GB"/>
        </w:rPr>
        <w:instrText>ﬁ</w:instrText>
      </w:r>
      <w:r w:rsidR="00BB05B2" w:rsidRPr="00EA5A2B">
        <w:rPr>
          <w:rFonts w:ascii="Arial" w:hAnsi="Arial" w:cs="Arial"/>
        </w:rPr>
        <w:instrText xml:space="preserve">ed risks. Based on the </w:instrText>
      </w:r>
      <w:r w:rsidR="00BB05B2">
        <w:rPr>
          <w:rFonts w:ascii="Arial" w:hAnsi="Arial" w:cs="Arial"/>
          <w:lang w:val="en-GB"/>
        </w:rPr>
        <w:instrText>ﬁ</w:instrText>
      </w:r>
      <w:r w:rsidR="00BB05B2" w:rsidRPr="00EA5A2B">
        <w:rPr>
          <w:rFonts w:ascii="Arial" w:hAnsi="Arial" w:cs="Arial"/>
        </w:rPr>
        <w:instrText>ndings of the study, risk treatment strategies are proposed for all the identi</w:instrText>
      </w:r>
      <w:r w:rsidR="00BB05B2">
        <w:rPr>
          <w:rFonts w:ascii="Arial" w:hAnsi="Arial" w:cs="Arial"/>
          <w:lang w:val="en-GB"/>
        </w:rPr>
        <w:instrText>ﬁ</w:instrText>
      </w:r>
      <w:r w:rsidR="00BB05B2" w:rsidRPr="00EA5A2B">
        <w:rPr>
          <w:rFonts w:ascii="Arial" w:hAnsi="Arial" w:cs="Arial"/>
        </w:rPr>
        <w:instrText xml:space="preserve">ed sustainability-related supply chain risks. The </w:instrText>
      </w:r>
      <w:r w:rsidR="00BB05B2">
        <w:rPr>
          <w:rFonts w:ascii="Arial" w:hAnsi="Arial" w:cs="Arial"/>
          <w:lang w:val="en-GB"/>
        </w:rPr>
        <w:instrText>ﬁ</w:instrText>
      </w:r>
      <w:r w:rsidR="00BB05B2" w:rsidRPr="00EA5A2B">
        <w:rPr>
          <w:rFonts w:ascii="Arial" w:hAnsi="Arial" w:cs="Arial"/>
        </w:rPr>
        <w:instrText xml:space="preserve">ndings show that endogenous environmental risks are perceived to be the most important across different industries and the interconnectedness between several sustainability-related risks is very high. This points to the need for integrated sustainability risk management approaches to facilitate the development of effective sustainable strategies.","container-title":"International Journal of Production Economics","DOI":"10.1016/j.ijpe.2015.06.032","ISSN":"09255273","journalAbbreviation":"International Journal of Production Economics","language":"en","page":"455-470","source":"DOI.org (Crossref)","title":"Supply chain sustainability: A risk management approach","title-short":"Supply chain sustainability","volume":"171","author":[{"family":"Giannakis","given":"Mihalis"},{"family":"Papadopoulos","given":"Thanos"}],"issued":{"date-parts":[["2016",1]]}}}],"schema":"https://github.com/citation-style-language/schema/raw/master/csl-citation.json"} </w:instrText>
      </w:r>
      <w:r w:rsidR="00BB05B2">
        <w:rPr>
          <w:rFonts w:ascii="Arial" w:hAnsi="Arial" w:cs="Arial"/>
          <w:lang w:val="en-GB"/>
        </w:rPr>
        <w:fldChar w:fldCharType="separate"/>
      </w:r>
      <w:r w:rsidR="00BB05B2" w:rsidRPr="00EA5A2B">
        <w:rPr>
          <w:rFonts w:ascii="Arial" w:hAnsi="Arial" w:cs="Arial"/>
        </w:rPr>
        <w:t>(Giannakis and Papadopoulos, 2016)</w:t>
      </w:r>
      <w:r w:rsidR="00BB05B2">
        <w:rPr>
          <w:rFonts w:ascii="Arial" w:hAnsi="Arial" w:cs="Arial"/>
          <w:lang w:val="en-GB"/>
        </w:rPr>
        <w:fldChar w:fldCharType="end"/>
      </w:r>
      <w:r w:rsidR="00EA5A2B" w:rsidRPr="00EA5A2B">
        <w:rPr>
          <w:rFonts w:ascii="Arial" w:hAnsi="Arial" w:cs="Arial"/>
        </w:rPr>
        <w:t>.</w:t>
      </w:r>
    </w:p>
    <w:p w14:paraId="11AE6DDC" w14:textId="2AF7D658" w:rsidR="00FD5ACD" w:rsidRPr="006B40D7" w:rsidRDefault="006B40D7" w:rsidP="00705E36">
      <w:pPr>
        <w:ind w:right="140"/>
        <w:rPr>
          <w:rFonts w:ascii="Arial" w:hAnsi="Arial" w:cs="Arial"/>
        </w:rPr>
      </w:pPr>
      <w:bookmarkStart w:id="8" w:name="_Hlk159300763"/>
      <w:r w:rsidRPr="006B40D7">
        <w:rPr>
          <w:rFonts w:ascii="Arial" w:hAnsi="Arial" w:cs="Arial"/>
        </w:rPr>
        <w:t>Para el estudio, estos objetivos identificados para ambas áreas funcionales (producción y compras) se agruparon en tres categorías principales: cost</w:t>
      </w:r>
      <w:r w:rsidR="000A381B">
        <w:rPr>
          <w:rFonts w:ascii="Arial" w:hAnsi="Arial" w:cs="Arial"/>
        </w:rPr>
        <w:t>e</w:t>
      </w:r>
      <w:r w:rsidRPr="006B40D7">
        <w:rPr>
          <w:rFonts w:ascii="Arial" w:hAnsi="Arial" w:cs="Arial"/>
        </w:rPr>
        <w:t>, riesgo e innovación, como se muestra en la Fig</w:t>
      </w:r>
      <w:r w:rsidR="000A381B">
        <w:rPr>
          <w:rFonts w:ascii="Arial" w:hAnsi="Arial" w:cs="Arial"/>
        </w:rPr>
        <w:t>.</w:t>
      </w:r>
      <w:r w:rsidRPr="006B40D7">
        <w:rPr>
          <w:rFonts w:ascii="Arial" w:hAnsi="Arial" w:cs="Arial"/>
        </w:rPr>
        <w:t xml:space="preserve"> 1. La madurez de ambas funciones está relacionada con la </w:t>
      </w:r>
      <w:r w:rsidR="0084743C">
        <w:rPr>
          <w:rFonts w:ascii="Arial" w:hAnsi="Arial" w:cs="Arial"/>
        </w:rPr>
        <w:t>secuencia</w:t>
      </w:r>
      <w:r w:rsidRPr="006B40D7">
        <w:rPr>
          <w:rFonts w:ascii="Arial" w:hAnsi="Arial" w:cs="Arial"/>
        </w:rPr>
        <w:t xml:space="preserve"> en que se </w:t>
      </w:r>
      <w:r w:rsidR="0023623F">
        <w:rPr>
          <w:rFonts w:ascii="Arial" w:hAnsi="Arial" w:cs="Arial"/>
        </w:rPr>
        <w:t>logran</w:t>
      </w:r>
      <w:r w:rsidRPr="006B40D7">
        <w:rPr>
          <w:rFonts w:ascii="Arial" w:hAnsi="Arial" w:cs="Arial"/>
        </w:rPr>
        <w:t xml:space="preserve"> estos objetivos.</w:t>
      </w:r>
      <w:r w:rsidR="004D1E6A" w:rsidRPr="006B40D7">
        <w:rPr>
          <w:rFonts w:ascii="Arial" w:hAnsi="Arial" w:cs="Arial"/>
        </w:rPr>
        <w:t xml:space="preserve"> </w:t>
      </w:r>
    </w:p>
    <w:bookmarkEnd w:id="8"/>
    <w:p w14:paraId="150BBD25" w14:textId="294630C7" w:rsidR="00191FB4" w:rsidRDefault="00225FC7" w:rsidP="00705E36">
      <w:pPr>
        <w:ind w:right="140"/>
        <w:rPr>
          <w:rFonts w:ascii="Arial" w:hAnsi="Arial" w:cs="Arial"/>
        </w:rPr>
      </w:pPr>
      <w:r w:rsidRPr="00225FC7">
        <w:rPr>
          <w:rFonts w:ascii="Arial" w:hAnsi="Arial" w:cs="Arial"/>
        </w:rPr>
        <w:t>El análisis de la madurez de la producción se basa en el modelo de “Las cuatro etapas</w:t>
      </w:r>
      <w:r w:rsidR="00191FB4">
        <w:rPr>
          <w:rFonts w:ascii="Arial" w:hAnsi="Arial" w:cs="Arial"/>
        </w:rPr>
        <w:t xml:space="preserve"> </w:t>
      </w:r>
      <w:r w:rsidRPr="00225FC7">
        <w:rPr>
          <w:rFonts w:ascii="Arial" w:hAnsi="Arial" w:cs="Arial"/>
        </w:rPr>
        <w:t xml:space="preserve">del desarrollo del papel estratégico de la </w:t>
      </w:r>
      <w:r w:rsidR="00446D6C">
        <w:rPr>
          <w:rFonts w:ascii="Arial" w:hAnsi="Arial" w:cs="Arial"/>
        </w:rPr>
        <w:t>producción</w:t>
      </w:r>
      <w:r w:rsidRPr="00225FC7">
        <w:rPr>
          <w:rFonts w:ascii="Arial" w:hAnsi="Arial" w:cs="Arial"/>
        </w:rPr>
        <w:t xml:space="preserve">” de Hayes, Robert H., Steven C. Wheelwright., 1984. A </w:t>
      </w:r>
      <w:r w:rsidR="00191FB4" w:rsidRPr="00225FC7">
        <w:rPr>
          <w:rFonts w:ascii="Arial" w:hAnsi="Arial" w:cs="Arial"/>
        </w:rPr>
        <w:t>continuación,</w:t>
      </w:r>
      <w:r w:rsidRPr="00225FC7">
        <w:rPr>
          <w:rFonts w:ascii="Arial" w:hAnsi="Arial" w:cs="Arial"/>
        </w:rPr>
        <w:t xml:space="preserve"> se presenta una breve descripción de cada etapa.</w:t>
      </w:r>
    </w:p>
    <w:p w14:paraId="11E5779B" w14:textId="5C0A140C" w:rsidR="009B7366" w:rsidRPr="007C1D71" w:rsidRDefault="009B7366" w:rsidP="00705E36">
      <w:pPr>
        <w:ind w:left="708" w:right="140" w:hanging="708"/>
        <w:rPr>
          <w:rFonts w:ascii="Arial" w:hAnsi="Arial" w:cs="Arial"/>
        </w:rPr>
      </w:pPr>
      <w:r w:rsidRPr="004476B5">
        <w:rPr>
          <w:rFonts w:ascii="Arial" w:hAnsi="Arial" w:cs="Arial"/>
        </w:rPr>
        <w:t xml:space="preserve">P. </w:t>
      </w:r>
      <w:r w:rsidR="005F6786" w:rsidRPr="004476B5">
        <w:rPr>
          <w:rFonts w:ascii="Arial" w:hAnsi="Arial" w:cs="Arial"/>
        </w:rPr>
        <w:t>Etapa</w:t>
      </w:r>
      <w:r w:rsidRPr="004476B5">
        <w:rPr>
          <w:rFonts w:ascii="Arial" w:hAnsi="Arial" w:cs="Arial"/>
        </w:rPr>
        <w:t xml:space="preserve"> 1, “</w:t>
      </w:r>
      <w:r w:rsidR="005F6786" w:rsidRPr="004476B5">
        <w:rPr>
          <w:rFonts w:ascii="Arial" w:hAnsi="Arial" w:cs="Arial"/>
          <w:u w:val="single"/>
        </w:rPr>
        <w:t>Internamente Neutral</w:t>
      </w:r>
      <w:r w:rsidRPr="004476B5">
        <w:rPr>
          <w:rFonts w:ascii="Arial" w:hAnsi="Arial" w:cs="Arial"/>
        </w:rPr>
        <w:t xml:space="preserve">”: </w:t>
      </w:r>
      <w:r w:rsidR="004476B5" w:rsidRPr="004476B5">
        <w:rPr>
          <w:rFonts w:ascii="Arial" w:hAnsi="Arial" w:cs="Arial"/>
        </w:rPr>
        <w:t xml:space="preserve">Minimizar el potencial negativo de la fabricación. Se utilizan expertos externos para tomar decisiones sobre cuestiones estratégicas de fabricación. Los sistemas de control de gestión internos son el principal medio para supervisar el rendimiento de la fabricación. </w:t>
      </w:r>
      <w:r w:rsidR="004476B5" w:rsidRPr="007C1D71">
        <w:rPr>
          <w:rFonts w:ascii="Arial" w:hAnsi="Arial" w:cs="Arial"/>
        </w:rPr>
        <w:t>La fabricación se mantiene flexible y reactiva.</w:t>
      </w:r>
    </w:p>
    <w:p w14:paraId="2B2A2424" w14:textId="6D5F5DAE" w:rsidR="009B7366" w:rsidRPr="007C1D71" w:rsidRDefault="009B7366" w:rsidP="00705E36">
      <w:pPr>
        <w:ind w:left="708" w:right="140" w:hanging="708"/>
        <w:rPr>
          <w:rFonts w:ascii="Arial" w:hAnsi="Arial" w:cs="Arial"/>
        </w:rPr>
      </w:pPr>
      <w:r w:rsidRPr="007C1D71">
        <w:rPr>
          <w:rFonts w:ascii="Arial" w:hAnsi="Arial" w:cs="Arial"/>
        </w:rPr>
        <w:t xml:space="preserve">P. </w:t>
      </w:r>
      <w:r w:rsidR="00264C25" w:rsidRPr="007C1D71">
        <w:rPr>
          <w:rFonts w:ascii="Arial" w:hAnsi="Arial" w:cs="Arial"/>
        </w:rPr>
        <w:t>Etapa</w:t>
      </w:r>
      <w:r w:rsidRPr="007C1D71">
        <w:rPr>
          <w:rFonts w:ascii="Arial" w:hAnsi="Arial" w:cs="Arial"/>
        </w:rPr>
        <w:t xml:space="preserve"> 2, “</w:t>
      </w:r>
      <w:r w:rsidR="00264C25" w:rsidRPr="007C1D71">
        <w:rPr>
          <w:rFonts w:ascii="Arial" w:hAnsi="Arial" w:cs="Arial"/>
          <w:u w:val="single"/>
        </w:rPr>
        <w:t>E</w:t>
      </w:r>
      <w:r w:rsidR="007C1D71" w:rsidRPr="007C1D71">
        <w:rPr>
          <w:rFonts w:ascii="Arial" w:hAnsi="Arial" w:cs="Arial"/>
          <w:u w:val="single"/>
        </w:rPr>
        <w:t>xt</w:t>
      </w:r>
      <w:r w:rsidR="00264C25" w:rsidRPr="007C1D71">
        <w:rPr>
          <w:rFonts w:ascii="Arial" w:hAnsi="Arial" w:cs="Arial"/>
          <w:u w:val="single"/>
        </w:rPr>
        <w:t xml:space="preserve">ernamente </w:t>
      </w:r>
      <w:r w:rsidR="007C1D71" w:rsidRPr="007C1D71">
        <w:rPr>
          <w:rFonts w:ascii="Arial" w:hAnsi="Arial" w:cs="Arial"/>
          <w:u w:val="single"/>
        </w:rPr>
        <w:t>Neutral</w:t>
      </w:r>
      <w:r w:rsidRPr="007C1D71">
        <w:rPr>
          <w:rFonts w:ascii="Arial" w:hAnsi="Arial" w:cs="Arial"/>
        </w:rPr>
        <w:t xml:space="preserve">”: </w:t>
      </w:r>
      <w:r w:rsidR="007C1D71" w:rsidRPr="007C1D71">
        <w:rPr>
          <w:rFonts w:ascii="Arial" w:hAnsi="Arial" w:cs="Arial"/>
        </w:rPr>
        <w:t>Lograr la paridad con los competidores. Se siguen las “prácticas del sector”. El horizonte de planificación se amplía a un único ciclo económico. La inversión de capital es el principal medio para lograr una ventaja competitiva.</w:t>
      </w:r>
      <w:r w:rsidRPr="007C1D71">
        <w:rPr>
          <w:rFonts w:ascii="Arial" w:hAnsi="Arial" w:cs="Arial"/>
        </w:rPr>
        <w:t xml:space="preserve"> </w:t>
      </w:r>
    </w:p>
    <w:p w14:paraId="0AB940B7" w14:textId="67B7B318" w:rsidR="009B7366" w:rsidRPr="0030343F" w:rsidRDefault="009B7366" w:rsidP="00705E36">
      <w:pPr>
        <w:ind w:left="708" w:right="140" w:hanging="708"/>
        <w:rPr>
          <w:rFonts w:ascii="Arial" w:hAnsi="Arial" w:cs="Arial"/>
        </w:rPr>
      </w:pPr>
      <w:r w:rsidRPr="0030343F">
        <w:rPr>
          <w:rFonts w:ascii="Arial" w:hAnsi="Arial" w:cs="Arial"/>
        </w:rPr>
        <w:t xml:space="preserve">P. </w:t>
      </w:r>
      <w:r w:rsidR="006E628C" w:rsidRPr="0030343F">
        <w:rPr>
          <w:rFonts w:ascii="Arial" w:hAnsi="Arial" w:cs="Arial"/>
        </w:rPr>
        <w:t>Etapa</w:t>
      </w:r>
      <w:r w:rsidRPr="0030343F">
        <w:rPr>
          <w:rFonts w:ascii="Arial" w:hAnsi="Arial" w:cs="Arial"/>
        </w:rPr>
        <w:t xml:space="preserve"> 3, </w:t>
      </w:r>
      <w:r w:rsidR="0030343F" w:rsidRPr="0030343F">
        <w:rPr>
          <w:rFonts w:ascii="Arial" w:hAnsi="Arial" w:cs="Arial"/>
        </w:rPr>
        <w:t>“</w:t>
      </w:r>
      <w:r w:rsidR="0030343F" w:rsidRPr="0030343F">
        <w:rPr>
          <w:rFonts w:ascii="Arial" w:hAnsi="Arial" w:cs="Arial"/>
          <w:u w:val="single"/>
        </w:rPr>
        <w:t>Apoyo interno</w:t>
      </w:r>
      <w:r w:rsidR="0030343F" w:rsidRPr="0030343F">
        <w:rPr>
          <w:rFonts w:ascii="Arial" w:hAnsi="Arial" w:cs="Arial"/>
        </w:rPr>
        <w:t xml:space="preserve">”: </w:t>
      </w:r>
      <w:r w:rsidR="00650ABF">
        <w:rPr>
          <w:rFonts w:ascii="Arial" w:hAnsi="Arial" w:cs="Arial"/>
        </w:rPr>
        <w:t>producci</w:t>
      </w:r>
      <w:r w:rsidR="006F3C15">
        <w:rPr>
          <w:rFonts w:ascii="Arial" w:hAnsi="Arial" w:cs="Arial"/>
        </w:rPr>
        <w:t xml:space="preserve">ón </w:t>
      </w:r>
      <w:r w:rsidR="0030343F" w:rsidRPr="0030343F">
        <w:rPr>
          <w:rFonts w:ascii="Arial" w:hAnsi="Arial" w:cs="Arial"/>
        </w:rPr>
        <w:t xml:space="preserve">brinda un respaldo creíble a la estrategia comercial. Las inversiones en coherencia con la estrategia comercial. Los cambios en la estrategia comercial se </w:t>
      </w:r>
      <w:r w:rsidR="004B070F">
        <w:rPr>
          <w:rFonts w:ascii="Arial" w:hAnsi="Arial" w:cs="Arial"/>
        </w:rPr>
        <w:t>trasladan</w:t>
      </w:r>
      <w:r w:rsidR="0030343F" w:rsidRPr="0030343F">
        <w:rPr>
          <w:rFonts w:ascii="Arial" w:hAnsi="Arial" w:cs="Arial"/>
        </w:rPr>
        <w:t xml:space="preserve"> automáticamente </w:t>
      </w:r>
      <w:r w:rsidR="004B070F">
        <w:rPr>
          <w:rFonts w:ascii="Arial" w:hAnsi="Arial" w:cs="Arial"/>
        </w:rPr>
        <w:t>a la producción</w:t>
      </w:r>
      <w:r w:rsidR="0030343F" w:rsidRPr="0030343F">
        <w:rPr>
          <w:rFonts w:ascii="Arial" w:hAnsi="Arial" w:cs="Arial"/>
        </w:rPr>
        <w:t xml:space="preserve">. Los desarrollos y tendencias de </w:t>
      </w:r>
      <w:r w:rsidR="004B070F">
        <w:rPr>
          <w:rFonts w:ascii="Arial" w:hAnsi="Arial" w:cs="Arial"/>
        </w:rPr>
        <w:t>producción</w:t>
      </w:r>
      <w:r w:rsidR="0030343F" w:rsidRPr="0030343F">
        <w:rPr>
          <w:rFonts w:ascii="Arial" w:hAnsi="Arial" w:cs="Arial"/>
        </w:rPr>
        <w:t xml:space="preserve"> a largo plazo se abordan sistemáticamente.</w:t>
      </w:r>
    </w:p>
    <w:p w14:paraId="34260D5D" w14:textId="058292A4" w:rsidR="00EC4F93" w:rsidRPr="00E44E38" w:rsidRDefault="009B7366" w:rsidP="00705E36">
      <w:pPr>
        <w:ind w:left="708" w:right="140" w:hanging="708"/>
        <w:rPr>
          <w:rFonts w:ascii="Arial" w:hAnsi="Arial" w:cs="Arial"/>
        </w:rPr>
      </w:pPr>
      <w:r w:rsidRPr="00E44E38">
        <w:rPr>
          <w:rFonts w:ascii="Arial" w:hAnsi="Arial" w:cs="Arial"/>
        </w:rPr>
        <w:t xml:space="preserve">P. </w:t>
      </w:r>
      <w:r w:rsidR="009D3354" w:rsidRPr="00E44E38">
        <w:rPr>
          <w:rFonts w:ascii="Arial" w:hAnsi="Arial" w:cs="Arial"/>
        </w:rPr>
        <w:t>Etapa</w:t>
      </w:r>
      <w:r w:rsidRPr="00E44E38">
        <w:rPr>
          <w:rFonts w:ascii="Arial" w:hAnsi="Arial" w:cs="Arial"/>
        </w:rPr>
        <w:t xml:space="preserve"> 4, “</w:t>
      </w:r>
      <w:r w:rsidR="009D3354" w:rsidRPr="00E44E38">
        <w:rPr>
          <w:rFonts w:ascii="Arial" w:hAnsi="Arial" w:cs="Arial"/>
          <w:u w:val="single"/>
        </w:rPr>
        <w:t xml:space="preserve">Apoyo </w:t>
      </w:r>
      <w:r w:rsidR="00E44E38" w:rsidRPr="00E44E38">
        <w:rPr>
          <w:rFonts w:ascii="Arial" w:hAnsi="Arial" w:cs="Arial"/>
          <w:u w:val="single"/>
        </w:rPr>
        <w:t>externo</w:t>
      </w:r>
      <w:r w:rsidRPr="00E44E38">
        <w:rPr>
          <w:rFonts w:ascii="Arial" w:hAnsi="Arial" w:cs="Arial"/>
        </w:rPr>
        <w:t xml:space="preserve">”: </w:t>
      </w:r>
      <w:r w:rsidR="00E44E38" w:rsidRPr="00E44E38">
        <w:rPr>
          <w:rFonts w:ascii="Arial" w:hAnsi="Arial" w:cs="Arial"/>
        </w:rPr>
        <w:t xml:space="preserve">Ventaja competitiva basada en la fabricación. Se realizan esfuerzos para anticipar el potencial de nuevas prácticas y tecnologías de fabricación. La </w:t>
      </w:r>
      <w:r w:rsidR="00E218E5">
        <w:rPr>
          <w:rFonts w:ascii="Arial" w:hAnsi="Arial" w:cs="Arial"/>
        </w:rPr>
        <w:t>producción</w:t>
      </w:r>
      <w:r w:rsidR="00E44E38" w:rsidRPr="00E44E38">
        <w:rPr>
          <w:rFonts w:ascii="Arial" w:hAnsi="Arial" w:cs="Arial"/>
        </w:rPr>
        <w:t xml:space="preserve"> tiene una participación central en las decisiones importantes de marketing e ingeniería. Programas a largo plazo para adquirir capacidades antes de que surjan las necesidades</w:t>
      </w:r>
      <w:r w:rsidRPr="00E44E38">
        <w:rPr>
          <w:rFonts w:ascii="Arial" w:hAnsi="Arial" w:cs="Arial"/>
        </w:rPr>
        <w:t>.</w:t>
      </w:r>
    </w:p>
    <w:p w14:paraId="4A88E155" w14:textId="07CA6CB6" w:rsidR="007F70CE" w:rsidRPr="00BD15A8" w:rsidRDefault="00CE777E" w:rsidP="00705E36">
      <w:pPr>
        <w:widowControl w:val="0"/>
        <w:suppressAutoHyphens/>
        <w:ind w:right="140"/>
        <w:rPr>
          <w:rFonts w:ascii="Arial" w:hAnsi="Arial" w:cs="Arial"/>
        </w:rPr>
      </w:pPr>
      <w:r>
        <w:rPr>
          <w:rFonts w:ascii="Arial" w:hAnsi="Arial" w:cs="Arial"/>
        </w:rPr>
        <w:t xml:space="preserve">Para los </w:t>
      </w:r>
      <w:r w:rsidR="00C852DC" w:rsidRPr="004B7535">
        <w:rPr>
          <w:rFonts w:ascii="Arial" w:hAnsi="Arial" w:cs="Arial"/>
        </w:rPr>
        <w:t>modelos de madurez</w:t>
      </w:r>
      <w:r w:rsidR="00C852DC">
        <w:rPr>
          <w:rFonts w:ascii="Arial" w:hAnsi="Arial" w:cs="Arial"/>
        </w:rPr>
        <w:t xml:space="preserve"> </w:t>
      </w:r>
      <w:r w:rsidR="00443C0D">
        <w:rPr>
          <w:rFonts w:ascii="Arial" w:hAnsi="Arial" w:cs="Arial"/>
        </w:rPr>
        <w:t>de</w:t>
      </w:r>
      <w:r w:rsidR="00C852DC">
        <w:rPr>
          <w:rFonts w:ascii="Arial" w:hAnsi="Arial" w:cs="Arial"/>
        </w:rPr>
        <w:t xml:space="preserve"> compras</w:t>
      </w:r>
      <w:r w:rsidR="00F06FC3">
        <w:rPr>
          <w:rFonts w:ascii="Arial" w:hAnsi="Arial" w:cs="Arial"/>
        </w:rPr>
        <w:t>,</w:t>
      </w:r>
      <w:r w:rsidR="00C852DC">
        <w:rPr>
          <w:rFonts w:ascii="Arial" w:hAnsi="Arial" w:cs="Arial"/>
        </w:rPr>
        <w:t xml:space="preserve"> s</w:t>
      </w:r>
      <w:r w:rsidR="004B7535" w:rsidRPr="004B7535">
        <w:rPr>
          <w:rFonts w:ascii="Arial" w:hAnsi="Arial" w:cs="Arial"/>
        </w:rPr>
        <w:t xml:space="preserve">e encontraron </w:t>
      </w:r>
      <w:r w:rsidR="00B077E3">
        <w:rPr>
          <w:rFonts w:ascii="Arial" w:hAnsi="Arial" w:cs="Arial"/>
        </w:rPr>
        <w:t xml:space="preserve">varios </w:t>
      </w:r>
      <w:r w:rsidR="004B7535" w:rsidRPr="004B7535">
        <w:rPr>
          <w:rFonts w:ascii="Arial" w:hAnsi="Arial" w:cs="Arial"/>
        </w:rPr>
        <w:t>en la literatura</w:t>
      </w:r>
      <w:r w:rsidR="00B077E3">
        <w:rPr>
          <w:rFonts w:ascii="Arial" w:hAnsi="Arial" w:cs="Arial"/>
        </w:rPr>
        <w:t>,</w:t>
      </w:r>
      <w:r w:rsidR="004B7535" w:rsidRPr="004B7535">
        <w:rPr>
          <w:rFonts w:ascii="Arial" w:hAnsi="Arial" w:cs="Arial"/>
        </w:rPr>
        <w:t xml:space="preserve"> algunos alejados del enfoque académico.</w:t>
      </w:r>
      <w:r w:rsidR="00AC4ADA" w:rsidRPr="004B7535">
        <w:rPr>
          <w:rFonts w:ascii="Arial" w:hAnsi="Arial" w:cs="Arial"/>
        </w:rPr>
        <w:t xml:space="preserve"> </w:t>
      </w:r>
      <w:r w:rsidR="00F979FA">
        <w:rPr>
          <w:rFonts w:ascii="Arial" w:hAnsi="Arial" w:cs="Arial"/>
        </w:rPr>
        <w:t>F</w:t>
      </w:r>
      <w:r w:rsidR="004D12FE" w:rsidRPr="00F052BA">
        <w:rPr>
          <w:rFonts w:ascii="Arial" w:hAnsi="Arial" w:cs="Arial"/>
        </w:rPr>
        <w:t>inalmente</w:t>
      </w:r>
      <w:r w:rsidR="00F052BA">
        <w:rPr>
          <w:rFonts w:ascii="Arial" w:hAnsi="Arial" w:cs="Arial"/>
        </w:rPr>
        <w:t>,</w:t>
      </w:r>
      <w:r w:rsidR="004D12FE" w:rsidRPr="00F052BA">
        <w:rPr>
          <w:rFonts w:ascii="Arial" w:hAnsi="Arial" w:cs="Arial"/>
        </w:rPr>
        <w:t xml:space="preserve"> </w:t>
      </w:r>
      <w:r w:rsidR="00F052BA">
        <w:rPr>
          <w:rFonts w:ascii="Arial" w:hAnsi="Arial" w:cs="Arial"/>
        </w:rPr>
        <w:t>el</w:t>
      </w:r>
      <w:r w:rsidR="00F052BA" w:rsidRPr="00F052BA">
        <w:rPr>
          <w:rFonts w:ascii="Arial" w:hAnsi="Arial" w:cs="Arial"/>
        </w:rPr>
        <w:t xml:space="preserve"> estudio se basa en el modelo de seis etapas PSM desarrollado por Weele, A. J. van., 2018, que podría considerarse una evolución de otros modelos </w:t>
      </w:r>
      <w:r w:rsidR="00FA1403">
        <w:rPr>
          <w:rFonts w:ascii="Arial" w:hAnsi="Arial" w:cs="Arial"/>
        </w:rPr>
        <w:t>como</w:t>
      </w:r>
      <w:r w:rsidR="00E23131">
        <w:rPr>
          <w:rFonts w:ascii="Arial" w:hAnsi="Arial" w:cs="Arial"/>
        </w:rPr>
        <w:t xml:space="preserve"> los de </w:t>
      </w:r>
      <w:r w:rsidR="00695136" w:rsidRPr="00E23131">
        <w:rPr>
          <w:rFonts w:ascii="Arial" w:hAnsi="Arial" w:cs="Arial"/>
        </w:rPr>
        <w:t xml:space="preserve">Reck and Long (1988) </w:t>
      </w:r>
      <w:r w:rsidR="00B6314C">
        <w:rPr>
          <w:rFonts w:ascii="Arial" w:hAnsi="Arial" w:cs="Arial"/>
        </w:rPr>
        <w:t>cuatro</w:t>
      </w:r>
      <w:r w:rsidR="00695136" w:rsidRPr="00E23131">
        <w:rPr>
          <w:rFonts w:ascii="Arial" w:hAnsi="Arial" w:cs="Arial"/>
        </w:rPr>
        <w:t xml:space="preserve"> </w:t>
      </w:r>
      <w:r w:rsidR="00B6314C">
        <w:rPr>
          <w:rFonts w:ascii="Arial" w:hAnsi="Arial" w:cs="Arial"/>
        </w:rPr>
        <w:t>e</w:t>
      </w:r>
      <w:r w:rsidR="00B6314C" w:rsidRPr="00E23131">
        <w:rPr>
          <w:rFonts w:ascii="Arial" w:hAnsi="Arial" w:cs="Arial"/>
        </w:rPr>
        <w:t>tapas</w:t>
      </w:r>
      <w:r w:rsidR="009A732C" w:rsidRPr="00E23131">
        <w:rPr>
          <w:rFonts w:ascii="Arial" w:hAnsi="Arial" w:cs="Arial"/>
        </w:rPr>
        <w:t>,</w:t>
      </w:r>
      <w:r w:rsidR="00695136" w:rsidRPr="00E23131">
        <w:rPr>
          <w:rFonts w:ascii="Arial" w:hAnsi="Arial" w:cs="Arial"/>
        </w:rPr>
        <w:t xml:space="preserve"> </w:t>
      </w:r>
      <w:r w:rsidR="007F70CE" w:rsidRPr="00E23131">
        <w:rPr>
          <w:rFonts w:ascii="Arial" w:hAnsi="Arial" w:cs="Arial"/>
        </w:rPr>
        <w:t xml:space="preserve">Bhote (1989) </w:t>
      </w:r>
      <w:r w:rsidR="00B6314C">
        <w:rPr>
          <w:rFonts w:ascii="Arial" w:hAnsi="Arial" w:cs="Arial"/>
        </w:rPr>
        <w:t>cuatro etapas</w:t>
      </w:r>
      <w:r w:rsidR="007F70CE" w:rsidRPr="00E23131">
        <w:rPr>
          <w:rFonts w:ascii="Arial" w:hAnsi="Arial" w:cs="Arial"/>
        </w:rPr>
        <w:t xml:space="preserve">, Freeman and Cavinato (1990) </w:t>
      </w:r>
      <w:r w:rsidR="009F09F6">
        <w:rPr>
          <w:rFonts w:ascii="Arial" w:hAnsi="Arial" w:cs="Arial"/>
        </w:rPr>
        <w:t>cuatro etapas</w:t>
      </w:r>
      <w:r w:rsidR="007F70CE" w:rsidRPr="00E23131">
        <w:rPr>
          <w:rFonts w:ascii="Arial" w:hAnsi="Arial" w:cs="Arial"/>
        </w:rPr>
        <w:t>,</w:t>
      </w:r>
      <w:r w:rsidR="009A732C" w:rsidRPr="00E23131">
        <w:rPr>
          <w:rFonts w:ascii="Arial" w:hAnsi="Arial" w:cs="Arial"/>
        </w:rPr>
        <w:t xml:space="preserve"> Cammish and Keough (1991) </w:t>
      </w:r>
      <w:r w:rsidR="009F09F6">
        <w:rPr>
          <w:rFonts w:ascii="Arial" w:hAnsi="Arial" w:cs="Arial"/>
        </w:rPr>
        <w:t>cuatro etapas</w:t>
      </w:r>
      <w:r w:rsidR="009A732C" w:rsidRPr="00E23131">
        <w:rPr>
          <w:rFonts w:ascii="Arial" w:hAnsi="Arial" w:cs="Arial"/>
        </w:rPr>
        <w:t xml:space="preserve">, </w:t>
      </w:r>
      <w:r w:rsidR="007F70CE" w:rsidRPr="00E23131">
        <w:rPr>
          <w:rFonts w:ascii="Arial" w:hAnsi="Arial" w:cs="Arial"/>
        </w:rPr>
        <w:t xml:space="preserve">Keough (1993) </w:t>
      </w:r>
      <w:r w:rsidR="009F09F6">
        <w:rPr>
          <w:rFonts w:ascii="Arial" w:hAnsi="Arial" w:cs="Arial"/>
        </w:rPr>
        <w:t>cinco etapas</w:t>
      </w:r>
      <w:r w:rsidR="007F70CE" w:rsidRPr="00E23131">
        <w:rPr>
          <w:rFonts w:ascii="Arial" w:hAnsi="Arial" w:cs="Arial"/>
        </w:rPr>
        <w:t xml:space="preserve">, Burt and Doyle (1994) </w:t>
      </w:r>
      <w:r w:rsidR="009F09F6">
        <w:rPr>
          <w:rFonts w:ascii="Arial" w:hAnsi="Arial" w:cs="Arial"/>
        </w:rPr>
        <w:t>cuatro etapas</w:t>
      </w:r>
      <w:r w:rsidR="007F70CE" w:rsidRPr="00E23131">
        <w:rPr>
          <w:rFonts w:ascii="Arial" w:hAnsi="Arial" w:cs="Arial"/>
        </w:rPr>
        <w:t>,</w:t>
      </w:r>
      <w:r w:rsidR="00D86F33" w:rsidRPr="00E23131">
        <w:rPr>
          <w:rFonts w:ascii="Arial" w:hAnsi="Arial" w:cs="Arial"/>
        </w:rPr>
        <w:t xml:space="preserve"> Chadwick and Rajagopal (1995) </w:t>
      </w:r>
      <w:r w:rsidR="009F09F6">
        <w:rPr>
          <w:rFonts w:ascii="Arial" w:hAnsi="Arial" w:cs="Arial"/>
        </w:rPr>
        <w:t>cuatro etapas</w:t>
      </w:r>
      <w:r w:rsidR="00D86F33" w:rsidRPr="00E23131">
        <w:rPr>
          <w:rFonts w:ascii="Arial" w:hAnsi="Arial" w:cs="Arial"/>
        </w:rPr>
        <w:t>,</w:t>
      </w:r>
      <w:r w:rsidR="007F70CE" w:rsidRPr="00E23131">
        <w:rPr>
          <w:rFonts w:ascii="Arial" w:hAnsi="Arial" w:cs="Arial"/>
        </w:rPr>
        <w:t xml:space="preserve"> Barry et al. </w:t>
      </w:r>
      <w:r w:rsidR="007F70CE" w:rsidRPr="00850E3C">
        <w:rPr>
          <w:rFonts w:ascii="Arial" w:hAnsi="Arial" w:cs="Arial"/>
        </w:rPr>
        <w:t xml:space="preserve">(1996) </w:t>
      </w:r>
      <w:r w:rsidR="009F09F6" w:rsidRPr="00850E3C">
        <w:rPr>
          <w:rFonts w:ascii="Arial" w:hAnsi="Arial" w:cs="Arial"/>
        </w:rPr>
        <w:t>tres etapas</w:t>
      </w:r>
      <w:r w:rsidR="007F70CE" w:rsidRPr="00850E3C">
        <w:rPr>
          <w:rFonts w:ascii="Arial" w:hAnsi="Arial" w:cs="Arial"/>
        </w:rPr>
        <w:t xml:space="preserve">, Cousins et al. (2006) </w:t>
      </w:r>
      <w:r w:rsidR="00850E3C" w:rsidRPr="00850E3C">
        <w:rPr>
          <w:rFonts w:ascii="Arial" w:hAnsi="Arial" w:cs="Arial"/>
        </w:rPr>
        <w:t>cuatro etapas</w:t>
      </w:r>
      <w:r w:rsidR="007F70CE" w:rsidRPr="00850E3C">
        <w:rPr>
          <w:rFonts w:ascii="Arial" w:hAnsi="Arial" w:cs="Arial"/>
        </w:rPr>
        <w:t xml:space="preserve">, Paulraj et al. </w:t>
      </w:r>
      <w:r w:rsidR="007F70CE" w:rsidRPr="00BD15A8">
        <w:rPr>
          <w:rFonts w:ascii="Arial" w:hAnsi="Arial" w:cs="Arial"/>
        </w:rPr>
        <w:t xml:space="preserve">(2006) </w:t>
      </w:r>
      <w:r w:rsidR="00850E3C" w:rsidRPr="00BD15A8">
        <w:rPr>
          <w:rFonts w:ascii="Arial" w:hAnsi="Arial" w:cs="Arial"/>
        </w:rPr>
        <w:t>tres etapas</w:t>
      </w:r>
      <w:r w:rsidR="007F70CE" w:rsidRPr="00BD15A8">
        <w:rPr>
          <w:rFonts w:ascii="Arial" w:hAnsi="Arial" w:cs="Arial"/>
        </w:rPr>
        <w:t>.</w:t>
      </w:r>
    </w:p>
    <w:p w14:paraId="131A810F" w14:textId="721A0688" w:rsidR="0098032B" w:rsidRPr="001F5E0D" w:rsidRDefault="001F5E0D" w:rsidP="00705E36">
      <w:pPr>
        <w:ind w:right="140"/>
        <w:rPr>
          <w:rFonts w:ascii="Arial" w:hAnsi="Arial" w:cs="Arial"/>
        </w:rPr>
      </w:pPr>
      <w:r w:rsidRPr="001F5E0D">
        <w:rPr>
          <w:rFonts w:ascii="Arial" w:hAnsi="Arial" w:cs="Arial"/>
        </w:rPr>
        <w:t xml:space="preserve">A </w:t>
      </w:r>
      <w:r w:rsidR="00CA0BC4" w:rsidRPr="001F5E0D">
        <w:rPr>
          <w:rFonts w:ascii="Arial" w:hAnsi="Arial" w:cs="Arial"/>
        </w:rPr>
        <w:t>continuación,</w:t>
      </w:r>
      <w:r w:rsidRPr="001F5E0D">
        <w:rPr>
          <w:rFonts w:ascii="Arial" w:hAnsi="Arial" w:cs="Arial"/>
        </w:rPr>
        <w:t xml:space="preserve"> se explican brevemente estas seis etapas de desarrollo </w:t>
      </w:r>
      <w:r w:rsidR="00BD15A8">
        <w:rPr>
          <w:rFonts w:ascii="Arial" w:hAnsi="Arial" w:cs="Arial"/>
        </w:rPr>
        <w:t>de PSM</w:t>
      </w:r>
      <w:r w:rsidRPr="001F5E0D">
        <w:rPr>
          <w:rFonts w:ascii="Arial" w:hAnsi="Arial" w:cs="Arial"/>
        </w:rPr>
        <w:t>.</w:t>
      </w:r>
    </w:p>
    <w:p w14:paraId="371B394F" w14:textId="61D9C870" w:rsidR="004C5C3A" w:rsidRPr="00D70A18" w:rsidRDefault="004C5C3A" w:rsidP="00705E36">
      <w:pPr>
        <w:ind w:left="708" w:right="140" w:hanging="708"/>
        <w:rPr>
          <w:rFonts w:ascii="Arial" w:hAnsi="Arial" w:cs="Arial"/>
        </w:rPr>
      </w:pPr>
      <w:r w:rsidRPr="006E3375">
        <w:rPr>
          <w:rFonts w:ascii="Arial" w:hAnsi="Arial" w:cs="Arial"/>
        </w:rPr>
        <w:t xml:space="preserve">PSM </w:t>
      </w:r>
      <w:r w:rsidR="006E3375" w:rsidRPr="006E3375">
        <w:rPr>
          <w:rFonts w:ascii="Arial" w:hAnsi="Arial" w:cs="Arial"/>
        </w:rPr>
        <w:t>Etapa</w:t>
      </w:r>
      <w:r w:rsidRPr="006E3375">
        <w:rPr>
          <w:rFonts w:ascii="Arial" w:hAnsi="Arial" w:cs="Arial"/>
        </w:rPr>
        <w:t xml:space="preserve"> 1,</w:t>
      </w:r>
      <w:r w:rsidRPr="006E3375">
        <w:rPr>
          <w:rFonts w:ascii="Arial" w:hAnsi="Arial" w:cs="Arial"/>
        </w:rPr>
        <w:tab/>
        <w:t>“</w:t>
      </w:r>
      <w:r w:rsidR="006E3375" w:rsidRPr="00D70A18">
        <w:rPr>
          <w:rFonts w:ascii="Arial" w:hAnsi="Arial" w:cs="Arial"/>
          <w:u w:val="single"/>
        </w:rPr>
        <w:t>Orientación a la transacción</w:t>
      </w:r>
      <w:r w:rsidRPr="006E3375">
        <w:rPr>
          <w:rFonts w:ascii="Arial" w:hAnsi="Arial" w:cs="Arial"/>
        </w:rPr>
        <w:t xml:space="preserve">” </w:t>
      </w:r>
      <w:r w:rsidR="006773A9">
        <w:rPr>
          <w:rFonts w:ascii="Arial" w:hAnsi="Arial" w:cs="Arial"/>
        </w:rPr>
        <w:t>–</w:t>
      </w:r>
      <w:r w:rsidR="006773A9" w:rsidRPr="006E3375">
        <w:rPr>
          <w:rFonts w:ascii="Arial" w:hAnsi="Arial" w:cs="Arial"/>
        </w:rPr>
        <w:t xml:space="preserve"> </w:t>
      </w:r>
      <w:r w:rsidR="006773A9">
        <w:rPr>
          <w:rFonts w:ascii="Arial" w:hAnsi="Arial" w:cs="Arial"/>
        </w:rPr>
        <w:t>PSM a</w:t>
      </w:r>
      <w:r w:rsidR="00F1464D">
        <w:rPr>
          <w:rFonts w:ascii="Arial" w:hAnsi="Arial" w:cs="Arial"/>
        </w:rPr>
        <w:t>l servicio</w:t>
      </w:r>
      <w:r w:rsidR="00264F17" w:rsidRPr="00264F17">
        <w:rPr>
          <w:rFonts w:ascii="Arial" w:hAnsi="Arial" w:cs="Arial"/>
        </w:rPr>
        <w:t xml:space="preserve"> </w:t>
      </w:r>
      <w:r w:rsidR="00F1464D">
        <w:rPr>
          <w:rFonts w:ascii="Arial" w:hAnsi="Arial" w:cs="Arial"/>
        </w:rPr>
        <w:t>de</w:t>
      </w:r>
      <w:r w:rsidR="00264F17" w:rsidRPr="00264F17">
        <w:rPr>
          <w:rFonts w:ascii="Arial" w:hAnsi="Arial" w:cs="Arial"/>
        </w:rPr>
        <w:t xml:space="preserve"> la fábrica</w:t>
      </w:r>
      <w:r w:rsidR="008D63B4">
        <w:rPr>
          <w:rFonts w:ascii="Arial" w:hAnsi="Arial" w:cs="Arial"/>
        </w:rPr>
        <w:t>,</w:t>
      </w:r>
      <w:r w:rsidR="00264F17" w:rsidRPr="00264F17">
        <w:rPr>
          <w:rFonts w:ascii="Arial" w:hAnsi="Arial" w:cs="Arial"/>
        </w:rPr>
        <w:t xml:space="preserve"> </w:t>
      </w:r>
      <w:r w:rsidR="003271F2">
        <w:rPr>
          <w:rFonts w:ascii="Arial" w:hAnsi="Arial" w:cs="Arial"/>
        </w:rPr>
        <w:t>a</w:t>
      </w:r>
      <w:r w:rsidR="003271F2" w:rsidRPr="00264F17">
        <w:rPr>
          <w:rFonts w:ascii="Arial" w:hAnsi="Arial" w:cs="Arial"/>
        </w:rPr>
        <w:t>segur</w:t>
      </w:r>
      <w:r w:rsidR="003271F2">
        <w:rPr>
          <w:rFonts w:ascii="Arial" w:hAnsi="Arial" w:cs="Arial"/>
        </w:rPr>
        <w:t>ando</w:t>
      </w:r>
      <w:r w:rsidR="00264F17" w:rsidRPr="00264F17">
        <w:rPr>
          <w:rFonts w:ascii="Arial" w:hAnsi="Arial" w:cs="Arial"/>
        </w:rPr>
        <w:t xml:space="preserve"> los procesos operativos. No hay una estrategia de compras explícita. Subdepartamento descentralizado orientado a tareas operativas y administrativas, reportando a producción. Las compras que no son de producción se consideran de importancia secundaria. Reactivo en función de las quejas</w:t>
      </w:r>
      <w:r w:rsidRPr="00D70A18">
        <w:rPr>
          <w:rFonts w:ascii="Arial" w:hAnsi="Arial" w:cs="Arial"/>
        </w:rPr>
        <w:t xml:space="preserve">. </w:t>
      </w:r>
    </w:p>
    <w:p w14:paraId="2A725D73" w14:textId="13637B5F" w:rsidR="004C5C3A" w:rsidRPr="003A7FB8" w:rsidRDefault="004C5C3A" w:rsidP="00705E36">
      <w:pPr>
        <w:ind w:left="708" w:right="140" w:hanging="708"/>
        <w:rPr>
          <w:rFonts w:ascii="Arial" w:hAnsi="Arial" w:cs="Arial"/>
        </w:rPr>
      </w:pPr>
      <w:r w:rsidRPr="00D70A18">
        <w:rPr>
          <w:rFonts w:ascii="Arial" w:hAnsi="Arial" w:cs="Arial"/>
        </w:rPr>
        <w:t xml:space="preserve">PSM </w:t>
      </w:r>
      <w:r w:rsidR="00CA0BC4" w:rsidRPr="00D70A18">
        <w:rPr>
          <w:rFonts w:ascii="Arial" w:hAnsi="Arial" w:cs="Arial"/>
        </w:rPr>
        <w:t>Etapa</w:t>
      </w:r>
      <w:r w:rsidRPr="00D70A18">
        <w:rPr>
          <w:rFonts w:ascii="Arial" w:hAnsi="Arial" w:cs="Arial"/>
        </w:rPr>
        <w:t xml:space="preserve"> 2, “</w:t>
      </w:r>
      <w:r w:rsidR="00D70A18" w:rsidRPr="00D70A18">
        <w:rPr>
          <w:rFonts w:ascii="Arial" w:hAnsi="Arial" w:cs="Arial"/>
          <w:u w:val="single"/>
        </w:rPr>
        <w:t>Orientación comercial</w:t>
      </w:r>
      <w:r w:rsidRPr="00D70A18">
        <w:rPr>
          <w:rFonts w:ascii="Arial" w:hAnsi="Arial" w:cs="Arial"/>
        </w:rPr>
        <w:t xml:space="preserve">” - </w:t>
      </w:r>
      <w:r w:rsidR="003A7FB8" w:rsidRPr="003A7FB8">
        <w:rPr>
          <w:rFonts w:ascii="Arial" w:hAnsi="Arial" w:cs="Arial"/>
        </w:rPr>
        <w:t xml:space="preserve">Precio unitario más bajo. Se contrata a un gerente de compras proactivo, que pueda negociar precios más bajos. El responsable es el director financiero, que está interesado en los ahorros </w:t>
      </w:r>
      <w:r w:rsidR="00965135">
        <w:rPr>
          <w:rFonts w:ascii="Arial" w:hAnsi="Arial" w:cs="Arial"/>
        </w:rPr>
        <w:t xml:space="preserve">aplicados </w:t>
      </w:r>
      <w:r w:rsidR="003A7FB8" w:rsidRPr="003A7FB8">
        <w:rPr>
          <w:rFonts w:ascii="Arial" w:hAnsi="Arial" w:cs="Arial"/>
        </w:rPr>
        <w:t>al resultado final. Los compradores tácticos y operativos especializados se organizan en categorías de productos y negocian duramente con los proveedores. El ahorro de costes es el principal indicador de rendimiento para evaluar la gestión de la propiedad</w:t>
      </w:r>
      <w:r w:rsidRPr="003A7FB8">
        <w:rPr>
          <w:rFonts w:ascii="Arial" w:hAnsi="Arial" w:cs="Arial"/>
        </w:rPr>
        <w:t xml:space="preserve">.  </w:t>
      </w:r>
    </w:p>
    <w:p w14:paraId="0077BEC7" w14:textId="3F69D994" w:rsidR="004C5C3A" w:rsidRPr="006B6CE3" w:rsidRDefault="004C5C3A" w:rsidP="00705E36">
      <w:pPr>
        <w:ind w:left="708" w:right="140" w:hanging="708"/>
        <w:rPr>
          <w:rFonts w:ascii="Arial" w:hAnsi="Arial" w:cs="Arial"/>
        </w:rPr>
      </w:pPr>
      <w:r w:rsidRPr="006B6CE3">
        <w:rPr>
          <w:rFonts w:ascii="Arial" w:hAnsi="Arial" w:cs="Arial"/>
        </w:rPr>
        <w:t xml:space="preserve">PSM </w:t>
      </w:r>
      <w:r w:rsidR="00CA0BC4" w:rsidRPr="006B6CE3">
        <w:rPr>
          <w:rFonts w:ascii="Arial" w:hAnsi="Arial" w:cs="Arial"/>
        </w:rPr>
        <w:t>Etapa</w:t>
      </w:r>
      <w:r w:rsidRPr="006B6CE3">
        <w:rPr>
          <w:rFonts w:ascii="Arial" w:hAnsi="Arial" w:cs="Arial"/>
        </w:rPr>
        <w:t xml:space="preserve"> 3,</w:t>
      </w:r>
      <w:r w:rsidRPr="006B6CE3">
        <w:rPr>
          <w:rFonts w:ascii="Arial" w:hAnsi="Arial" w:cs="Arial"/>
        </w:rPr>
        <w:tab/>
        <w:t>“</w:t>
      </w:r>
      <w:r w:rsidR="006B6CE3" w:rsidRPr="006B6CE3">
        <w:rPr>
          <w:rFonts w:ascii="Arial" w:hAnsi="Arial" w:cs="Arial"/>
          <w:u w:val="single"/>
        </w:rPr>
        <w:t>Compras coordinadas</w:t>
      </w:r>
      <w:r w:rsidRPr="006B6CE3">
        <w:rPr>
          <w:rFonts w:ascii="Arial" w:hAnsi="Arial" w:cs="Arial"/>
        </w:rPr>
        <w:t xml:space="preserve">” – </w:t>
      </w:r>
      <w:r w:rsidR="006B6CE3" w:rsidRPr="006B6CE3">
        <w:rPr>
          <w:rFonts w:ascii="Arial" w:hAnsi="Arial" w:cs="Arial"/>
        </w:rPr>
        <w:t>Departamento central de PSM. Políticas de compra uniformes y primera estrategia, que puede llevar a una mayor burocracia. Estrategias diferenciadas de proveedores enfocadas en sinergias. PSM influye en precio, cost</w:t>
      </w:r>
      <w:r w:rsidR="00D95196">
        <w:rPr>
          <w:rFonts w:ascii="Arial" w:hAnsi="Arial" w:cs="Arial"/>
        </w:rPr>
        <w:t>e</w:t>
      </w:r>
      <w:r w:rsidR="006B6CE3" w:rsidRPr="006B6CE3">
        <w:rPr>
          <w:rFonts w:ascii="Arial" w:hAnsi="Arial" w:cs="Arial"/>
        </w:rPr>
        <w:t xml:space="preserve"> y calidad de los productos adquiridos. Se reconocen las compras que no son de producción. PSM no está completamente integrado ni reconocido dentro de la empresa. Sistemas de TI no conectados con otros. Necesidad de capacitación, habilidades analíticas, de calidad total y de comunicación</w:t>
      </w:r>
      <w:r w:rsidRPr="006B6CE3">
        <w:rPr>
          <w:rFonts w:ascii="Arial" w:hAnsi="Arial" w:cs="Arial"/>
        </w:rPr>
        <w:t xml:space="preserve">. </w:t>
      </w:r>
    </w:p>
    <w:p w14:paraId="0CDE7C0A" w14:textId="14384C09" w:rsidR="004C5C3A" w:rsidRPr="008B6C52" w:rsidRDefault="004C5C3A" w:rsidP="00705E36">
      <w:pPr>
        <w:ind w:left="708" w:right="140" w:hanging="708"/>
        <w:rPr>
          <w:rFonts w:ascii="Arial" w:hAnsi="Arial" w:cs="Arial"/>
        </w:rPr>
      </w:pPr>
      <w:r w:rsidRPr="008B6C52">
        <w:rPr>
          <w:rFonts w:ascii="Arial" w:hAnsi="Arial" w:cs="Arial"/>
        </w:rPr>
        <w:t xml:space="preserve">PSM </w:t>
      </w:r>
      <w:r w:rsidR="00CA0BC4" w:rsidRPr="008B6C52">
        <w:rPr>
          <w:rFonts w:ascii="Arial" w:hAnsi="Arial" w:cs="Arial"/>
        </w:rPr>
        <w:t>Etapa</w:t>
      </w:r>
      <w:r w:rsidRPr="008B6C52">
        <w:rPr>
          <w:rFonts w:ascii="Arial" w:hAnsi="Arial" w:cs="Arial"/>
        </w:rPr>
        <w:t xml:space="preserve"> 4, “</w:t>
      </w:r>
      <w:r w:rsidR="00EC30B7" w:rsidRPr="008B6C52">
        <w:rPr>
          <w:rFonts w:ascii="Arial" w:hAnsi="Arial" w:cs="Arial"/>
          <w:u w:val="single"/>
        </w:rPr>
        <w:t>Integración interna</w:t>
      </w:r>
      <w:r w:rsidRPr="008B6C52">
        <w:rPr>
          <w:rFonts w:ascii="Arial" w:hAnsi="Arial" w:cs="Arial"/>
        </w:rPr>
        <w:t xml:space="preserve">” – </w:t>
      </w:r>
      <w:r w:rsidR="008B6C52" w:rsidRPr="008B6C52">
        <w:rPr>
          <w:rFonts w:ascii="Arial" w:hAnsi="Arial" w:cs="Arial"/>
        </w:rPr>
        <w:t xml:space="preserve">Compras multifuncionales. El objetivo es reducir el TCO no solo en el precio unitario, sino también involucrar a los proveedores clave para resolver los problemas, lo que implica la contratación en colaboración. Función plenamente reconocida internamente que participa en cuestiones fundamentales y no fundamentales y en decisiones de compra o venta. Compras operativas integradas con la planificación debido a la introducción de catálogos electrónicos y sistemas de pedido a pago. Y los sistemas de TI están integrados con otros en la empresa. Se empieza a medir la satisfacción interna con encuestas. Los ahorros </w:t>
      </w:r>
      <w:r w:rsidR="00D027DD">
        <w:rPr>
          <w:rFonts w:ascii="Arial" w:hAnsi="Arial" w:cs="Arial"/>
        </w:rPr>
        <w:t>directos e indirectos</w:t>
      </w:r>
      <w:r w:rsidR="008B6C52" w:rsidRPr="008B6C52">
        <w:rPr>
          <w:rFonts w:ascii="Arial" w:hAnsi="Arial" w:cs="Arial"/>
        </w:rPr>
        <w:t xml:space="preserve"> siguen siendo importantes. Los profesionales de PSM tienen un alto nivel educativo, sólidas habilidades para trabajar en equipo y habilidades de comunicación.</w:t>
      </w:r>
    </w:p>
    <w:p w14:paraId="4E493166" w14:textId="721A752E" w:rsidR="004C5C3A" w:rsidRPr="00534E2E" w:rsidRDefault="004C5C3A" w:rsidP="00705E36">
      <w:pPr>
        <w:ind w:left="708" w:right="140" w:hanging="708"/>
        <w:rPr>
          <w:rFonts w:ascii="Arial" w:hAnsi="Arial" w:cs="Arial"/>
        </w:rPr>
      </w:pPr>
      <w:r w:rsidRPr="00534E2E">
        <w:rPr>
          <w:rFonts w:ascii="Arial" w:hAnsi="Arial" w:cs="Arial"/>
        </w:rPr>
        <w:t xml:space="preserve">PSM </w:t>
      </w:r>
      <w:r w:rsidR="00CA0BC4" w:rsidRPr="00534E2E">
        <w:rPr>
          <w:rFonts w:ascii="Arial" w:hAnsi="Arial" w:cs="Arial"/>
        </w:rPr>
        <w:t>Etapa</w:t>
      </w:r>
      <w:r w:rsidRPr="00534E2E">
        <w:rPr>
          <w:rFonts w:ascii="Arial" w:hAnsi="Arial" w:cs="Arial"/>
        </w:rPr>
        <w:t xml:space="preserve"> 5, “</w:t>
      </w:r>
      <w:r w:rsidR="00AC40B4" w:rsidRPr="00534E2E">
        <w:rPr>
          <w:rFonts w:ascii="Arial" w:hAnsi="Arial" w:cs="Arial"/>
          <w:u w:val="single"/>
        </w:rPr>
        <w:t>Integración externa</w:t>
      </w:r>
      <w:r w:rsidRPr="00534E2E">
        <w:rPr>
          <w:rFonts w:ascii="Arial" w:hAnsi="Arial" w:cs="Arial"/>
        </w:rPr>
        <w:t xml:space="preserve">” – </w:t>
      </w:r>
      <w:r w:rsidR="00534E2E" w:rsidRPr="00534E2E">
        <w:rPr>
          <w:rFonts w:ascii="Arial" w:hAnsi="Arial" w:cs="Arial"/>
        </w:rPr>
        <w:t xml:space="preserve">Gestión de la cadena de suministro. Una estrategia explícita de externalización combinada con la colaboración </w:t>
      </w:r>
      <w:r w:rsidR="00A07B15">
        <w:rPr>
          <w:rFonts w:ascii="Arial" w:hAnsi="Arial" w:cs="Arial"/>
        </w:rPr>
        <w:t>de</w:t>
      </w:r>
      <w:r w:rsidR="00534E2E" w:rsidRPr="00534E2E">
        <w:rPr>
          <w:rFonts w:ascii="Arial" w:hAnsi="Arial" w:cs="Arial"/>
        </w:rPr>
        <w:t xml:space="preserve"> los socios de la cadena de suministro en el desarrollo de productos. La gestión de la cadena de suministro busca soluciones de los proveedores en lugar de dictarles especificaciones. Los proveedores participan activamente en los procesos de desarrollo de nuevos productos. Los gastos que no son de producción están totalmente dentro del alcance de </w:t>
      </w:r>
      <w:r w:rsidR="005F34D9">
        <w:rPr>
          <w:rFonts w:ascii="Arial" w:hAnsi="Arial" w:cs="Arial"/>
        </w:rPr>
        <w:t xml:space="preserve">PSM </w:t>
      </w:r>
      <w:r w:rsidR="00534E2E" w:rsidRPr="00534E2E">
        <w:rPr>
          <w:rFonts w:ascii="Arial" w:hAnsi="Arial" w:cs="Arial"/>
        </w:rPr>
        <w:t>y los usuarios realizan sus propios pedidos a través de catálogos electrónicos. Los sistemas facilitan las cosas a los clientes internos, afectando a todas las fases del proceso de</w:t>
      </w:r>
      <w:r w:rsidR="00F33D10">
        <w:rPr>
          <w:rFonts w:ascii="Arial" w:hAnsi="Arial" w:cs="Arial"/>
        </w:rPr>
        <w:t>sde el</w:t>
      </w:r>
      <w:r w:rsidR="00534E2E" w:rsidRPr="00534E2E">
        <w:rPr>
          <w:rFonts w:ascii="Arial" w:hAnsi="Arial" w:cs="Arial"/>
        </w:rPr>
        <w:t xml:space="preserve"> pedido a</w:t>
      </w:r>
      <w:r w:rsidR="00F33D10">
        <w:rPr>
          <w:rFonts w:ascii="Arial" w:hAnsi="Arial" w:cs="Arial"/>
        </w:rPr>
        <w:t>l</w:t>
      </w:r>
      <w:r w:rsidR="00534E2E" w:rsidRPr="00534E2E">
        <w:rPr>
          <w:rFonts w:ascii="Arial" w:hAnsi="Arial" w:cs="Arial"/>
        </w:rPr>
        <w:t xml:space="preserve"> pago y están integrados con los proveedores asociados. La función de la gestión de la cadena de suministro es un equipo multifuncional, no solo el departamento de compras. Las habilidades necesarias </w:t>
      </w:r>
      <w:r w:rsidR="00F23D69">
        <w:rPr>
          <w:rFonts w:ascii="Arial" w:hAnsi="Arial" w:cs="Arial"/>
        </w:rPr>
        <w:t>están ligadas a</w:t>
      </w:r>
      <w:r w:rsidR="00534E2E" w:rsidRPr="00534E2E">
        <w:rPr>
          <w:rFonts w:ascii="Arial" w:hAnsi="Arial" w:cs="Arial"/>
        </w:rPr>
        <w:t>l coste total de propiedad (TCO) para crear modelos de costes, la gestión estratégica de la cadena de suministro y las habilidades de liderazgo.</w:t>
      </w:r>
      <w:r w:rsidRPr="00534E2E">
        <w:rPr>
          <w:rFonts w:ascii="Arial" w:hAnsi="Arial" w:cs="Arial"/>
        </w:rPr>
        <w:t xml:space="preserve"> </w:t>
      </w:r>
    </w:p>
    <w:p w14:paraId="68F8EA02" w14:textId="41006CEC" w:rsidR="004C5C3A" w:rsidRPr="0041212B" w:rsidRDefault="004C5C3A" w:rsidP="00705E36">
      <w:pPr>
        <w:ind w:left="708" w:right="140" w:hanging="708"/>
        <w:rPr>
          <w:rFonts w:ascii="Arial" w:hAnsi="Arial" w:cs="Arial"/>
        </w:rPr>
      </w:pPr>
      <w:r w:rsidRPr="000274E4">
        <w:rPr>
          <w:rFonts w:ascii="Arial" w:hAnsi="Arial" w:cs="Arial"/>
        </w:rPr>
        <w:t xml:space="preserve">PSM </w:t>
      </w:r>
      <w:r w:rsidR="00CA0BC4" w:rsidRPr="000274E4">
        <w:rPr>
          <w:rFonts w:ascii="Arial" w:hAnsi="Arial" w:cs="Arial"/>
        </w:rPr>
        <w:t>Etapa</w:t>
      </w:r>
      <w:r w:rsidRPr="000274E4">
        <w:rPr>
          <w:rFonts w:ascii="Arial" w:hAnsi="Arial" w:cs="Arial"/>
        </w:rPr>
        <w:t xml:space="preserve"> 6, “</w:t>
      </w:r>
      <w:r w:rsidR="00105812" w:rsidRPr="000274E4">
        <w:rPr>
          <w:rFonts w:ascii="Arial" w:hAnsi="Arial" w:cs="Arial"/>
          <w:u w:val="single"/>
        </w:rPr>
        <w:t>Orientación a la cadena de valor</w:t>
      </w:r>
      <w:r w:rsidRPr="000274E4">
        <w:rPr>
          <w:rFonts w:ascii="Arial" w:hAnsi="Arial" w:cs="Arial"/>
        </w:rPr>
        <w:t xml:space="preserve">”. </w:t>
      </w:r>
      <w:r w:rsidR="000274E4" w:rsidRPr="000274E4">
        <w:rPr>
          <w:rFonts w:ascii="Arial" w:hAnsi="Arial" w:cs="Arial"/>
        </w:rPr>
        <w:t xml:space="preserve">El factor más importante para el éxito es la entrega de valor al cliente final. El objetivo es diseñar la cadena de valor más eficiente y eficaz para servir al cliente final. </w:t>
      </w:r>
      <w:r w:rsidR="000274E4" w:rsidRPr="00B8716A">
        <w:rPr>
          <w:rFonts w:ascii="Arial" w:hAnsi="Arial" w:cs="Arial"/>
        </w:rPr>
        <w:t xml:space="preserve">Los proveedores tienen el reto de crear ventas adicionales, no sólo contribuciones al resultado final con ahorros. La estrategia de compras está totalmente integrada en la estrategia empresarial. </w:t>
      </w:r>
      <w:r w:rsidR="000274E4" w:rsidRPr="0041212B">
        <w:rPr>
          <w:rFonts w:ascii="Arial" w:hAnsi="Arial" w:cs="Arial"/>
        </w:rPr>
        <w:t>La cultura es emprendedora.</w:t>
      </w:r>
    </w:p>
    <w:p w14:paraId="7C810FE4" w14:textId="77777777" w:rsidR="001E4A3F" w:rsidRPr="0041212B" w:rsidRDefault="001E4A3F" w:rsidP="00705E36">
      <w:pPr>
        <w:ind w:right="140"/>
        <w:rPr>
          <w:rFonts w:ascii="Arial" w:hAnsi="Arial" w:cs="Arial"/>
          <w:b/>
          <w:bCs/>
        </w:rPr>
      </w:pPr>
    </w:p>
    <w:p w14:paraId="608FA6D9" w14:textId="368CD886" w:rsidR="007D419D" w:rsidRPr="00D6575F" w:rsidRDefault="007D419D" w:rsidP="00705E36">
      <w:pPr>
        <w:ind w:right="140"/>
        <w:jc w:val="center"/>
        <w:rPr>
          <w:rFonts w:ascii="Arial" w:hAnsi="Arial" w:cs="Arial"/>
        </w:rPr>
      </w:pPr>
      <w:r w:rsidRPr="00510554">
        <w:rPr>
          <w:rFonts w:ascii="Arial" w:hAnsi="Arial" w:cs="Arial"/>
          <w:b/>
          <w:bCs/>
        </w:rPr>
        <w:t>Fig. 1</w:t>
      </w:r>
      <w:r w:rsidRPr="00510554">
        <w:rPr>
          <w:rFonts w:ascii="Arial" w:hAnsi="Arial" w:cs="Arial"/>
        </w:rPr>
        <w:t xml:space="preserve"> – </w:t>
      </w:r>
      <w:r w:rsidR="00510554" w:rsidRPr="00510554">
        <w:rPr>
          <w:rFonts w:ascii="Arial" w:hAnsi="Arial" w:cs="Arial"/>
        </w:rPr>
        <w:t>Modelo</w:t>
      </w:r>
      <w:r w:rsidR="00510554">
        <w:rPr>
          <w:rFonts w:ascii="Arial" w:hAnsi="Arial" w:cs="Arial"/>
        </w:rPr>
        <w:t xml:space="preserve"> </w:t>
      </w:r>
      <w:r w:rsidR="00510554" w:rsidRPr="00510554">
        <w:rPr>
          <w:rFonts w:ascii="Arial" w:hAnsi="Arial" w:cs="Arial"/>
        </w:rPr>
        <w:t xml:space="preserve">de </w:t>
      </w:r>
      <w:r w:rsidR="00D6575F">
        <w:rPr>
          <w:rFonts w:ascii="Arial" w:hAnsi="Arial" w:cs="Arial"/>
        </w:rPr>
        <w:t xml:space="preserve">objetivos </w:t>
      </w:r>
      <w:r w:rsidR="00510554" w:rsidRPr="00510554">
        <w:rPr>
          <w:rFonts w:ascii="Arial" w:hAnsi="Arial" w:cs="Arial"/>
        </w:rPr>
        <w:t xml:space="preserve">y madurez para </w:t>
      </w:r>
      <w:r w:rsidR="00D6575F">
        <w:rPr>
          <w:rFonts w:ascii="Arial" w:hAnsi="Arial" w:cs="Arial"/>
        </w:rPr>
        <w:t xml:space="preserve">las funciones de </w:t>
      </w:r>
      <w:r w:rsidR="00510554" w:rsidRPr="00510554">
        <w:rPr>
          <w:rFonts w:ascii="Arial" w:hAnsi="Arial" w:cs="Arial"/>
        </w:rPr>
        <w:t xml:space="preserve">PSM y producción. </w:t>
      </w:r>
      <w:r w:rsidR="00510554" w:rsidRPr="00D6575F">
        <w:rPr>
          <w:rFonts w:ascii="Arial" w:hAnsi="Arial" w:cs="Arial"/>
        </w:rPr>
        <w:t xml:space="preserve">Fuente: adaptado de </w:t>
      </w:r>
      <w:r w:rsidRPr="00D6575F">
        <w:rPr>
          <w:rFonts w:ascii="Arial" w:hAnsi="Arial" w:cs="Arial"/>
        </w:rPr>
        <w:t>(Weele, A. J. van., 2018), (Hayes, Robert H., Steven C. Wheelwright., 1984).</w:t>
      </w:r>
    </w:p>
    <w:p w14:paraId="3D1D42CE" w14:textId="278E450F" w:rsidR="00833DD1" w:rsidRPr="00BE2CF3" w:rsidRDefault="00AE4870" w:rsidP="00705E36">
      <w:pPr>
        <w:ind w:right="140"/>
        <w:jc w:val="center"/>
        <w:rPr>
          <w:rFonts w:ascii="Arial" w:hAnsi="Arial" w:cs="Arial"/>
          <w:lang w:val="en-GB"/>
        </w:rPr>
      </w:pPr>
      <w:r w:rsidRPr="00AE4870">
        <w:rPr>
          <w:rFonts w:ascii="Arial" w:hAnsi="Arial" w:cs="Arial"/>
          <w:noProof/>
          <w:lang w:val="en-GB"/>
        </w:rPr>
        <w:drawing>
          <wp:inline distT="0" distB="0" distL="0" distR="0" wp14:anchorId="17FC15B0" wp14:editId="1EF6DF00">
            <wp:extent cx="5400040" cy="3359150"/>
            <wp:effectExtent l="0" t="0" r="0" b="0"/>
            <wp:docPr id="1824586544" name="Picture 1" descr="A diagram of a produ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4586544" name="Picture 1" descr="A diagram of a product&#10;&#10;Description automatically generated"/>
                    <pic:cNvPicPr/>
                  </pic:nvPicPr>
                  <pic:blipFill>
                    <a:blip r:embed="rId8"/>
                    <a:stretch>
                      <a:fillRect/>
                    </a:stretch>
                  </pic:blipFill>
                  <pic:spPr>
                    <a:xfrm>
                      <a:off x="0" y="0"/>
                      <a:ext cx="5400040" cy="3359150"/>
                    </a:xfrm>
                    <a:prstGeom prst="rect">
                      <a:avLst/>
                    </a:prstGeom>
                  </pic:spPr>
                </pic:pic>
              </a:graphicData>
            </a:graphic>
          </wp:inline>
        </w:drawing>
      </w:r>
    </w:p>
    <w:p w14:paraId="54134FFD" w14:textId="77777777" w:rsidR="003134BE" w:rsidRDefault="003134BE" w:rsidP="00705E36">
      <w:pPr>
        <w:ind w:right="140"/>
        <w:rPr>
          <w:rFonts w:ascii="Arial" w:hAnsi="Arial" w:cs="Arial"/>
          <w:lang w:val="en-GB"/>
        </w:rPr>
      </w:pPr>
    </w:p>
    <w:p w14:paraId="6FE2EE0C" w14:textId="1F2A41FA" w:rsidR="002B7EC8" w:rsidRDefault="00C172CC" w:rsidP="00705E36">
      <w:pPr>
        <w:ind w:right="140"/>
        <w:rPr>
          <w:rFonts w:ascii="Arial" w:hAnsi="Arial" w:cs="Arial"/>
        </w:rPr>
      </w:pPr>
      <w:r w:rsidRPr="00C172CC">
        <w:rPr>
          <w:rFonts w:ascii="Arial" w:hAnsi="Arial" w:cs="Arial"/>
        </w:rPr>
        <w:t>A la vista de la fig</w:t>
      </w:r>
      <w:r>
        <w:rPr>
          <w:rFonts w:ascii="Arial" w:hAnsi="Arial" w:cs="Arial"/>
        </w:rPr>
        <w:t>.</w:t>
      </w:r>
      <w:r w:rsidRPr="00C172CC">
        <w:rPr>
          <w:rFonts w:ascii="Arial" w:hAnsi="Arial" w:cs="Arial"/>
        </w:rPr>
        <w:t xml:space="preserve"> 1, se observa que la evolución de la producción y del PSM tienen similitudes, aunque el modelo de madurez de la producción utilizado se limita a la producción interna sin incluir el punto de vista de la cadena de suministro.</w:t>
      </w:r>
      <w:r w:rsidR="00AA1AFD" w:rsidRPr="00C172CC">
        <w:rPr>
          <w:rFonts w:ascii="Arial" w:hAnsi="Arial" w:cs="Arial"/>
        </w:rPr>
        <w:t xml:space="preserve"> </w:t>
      </w:r>
      <w:r w:rsidR="0013049F" w:rsidRPr="00C172CC">
        <w:rPr>
          <w:rFonts w:ascii="Arial" w:hAnsi="Arial" w:cs="Arial"/>
        </w:rPr>
        <w:t xml:space="preserve"> </w:t>
      </w:r>
      <w:r w:rsidR="00770CD0">
        <w:rPr>
          <w:rFonts w:ascii="Arial" w:hAnsi="Arial" w:cs="Arial"/>
        </w:rPr>
        <w:t>En la</w:t>
      </w:r>
      <w:r w:rsidR="00962C77">
        <w:rPr>
          <w:rFonts w:ascii="Arial" w:hAnsi="Arial" w:cs="Arial"/>
        </w:rPr>
        <w:t xml:space="preserve"> actualidad existen unas cadenas de suministro más </w:t>
      </w:r>
      <w:r w:rsidR="00CA1A4C">
        <w:rPr>
          <w:rFonts w:ascii="Arial" w:hAnsi="Arial" w:cs="Arial"/>
        </w:rPr>
        <w:t>desagregadas</w:t>
      </w:r>
      <w:r w:rsidR="00962C77">
        <w:rPr>
          <w:rFonts w:ascii="Arial" w:hAnsi="Arial" w:cs="Arial"/>
        </w:rPr>
        <w:t xml:space="preserve"> </w:t>
      </w:r>
      <w:r w:rsidR="00F54126">
        <w:rPr>
          <w:rFonts w:ascii="Arial" w:hAnsi="Arial" w:cs="Arial"/>
        </w:rPr>
        <w:t>verticalmente</w:t>
      </w:r>
      <w:r w:rsidR="00CA1A4C">
        <w:rPr>
          <w:rFonts w:ascii="Arial" w:hAnsi="Arial" w:cs="Arial"/>
        </w:rPr>
        <w:t>, y a</w:t>
      </w:r>
      <w:r w:rsidR="003B6CC4">
        <w:rPr>
          <w:rFonts w:ascii="Arial" w:hAnsi="Arial" w:cs="Arial"/>
        </w:rPr>
        <w:t>unque se trata de algo cíclico y afectado por diversos factores,</w:t>
      </w:r>
      <w:r w:rsidR="00630397">
        <w:rPr>
          <w:rFonts w:ascii="Arial" w:hAnsi="Arial" w:cs="Arial"/>
        </w:rPr>
        <w:t xml:space="preserve"> </w:t>
      </w:r>
      <w:r w:rsidR="00E12616">
        <w:rPr>
          <w:rFonts w:ascii="Arial" w:hAnsi="Arial" w:cs="Arial"/>
        </w:rPr>
        <w:t xml:space="preserve">se opta por externalizar </w:t>
      </w:r>
      <w:r w:rsidR="006E5D69">
        <w:rPr>
          <w:rFonts w:ascii="Arial" w:hAnsi="Arial" w:cs="Arial"/>
        </w:rPr>
        <w:t xml:space="preserve">y comprar </w:t>
      </w:r>
      <w:r w:rsidR="00E12616">
        <w:rPr>
          <w:rFonts w:ascii="Arial" w:hAnsi="Arial" w:cs="Arial"/>
        </w:rPr>
        <w:t>todo aquello que n</w:t>
      </w:r>
      <w:r w:rsidR="00997CE9">
        <w:rPr>
          <w:rFonts w:ascii="Arial" w:hAnsi="Arial" w:cs="Arial"/>
        </w:rPr>
        <w:t xml:space="preserve">o </w:t>
      </w:r>
      <w:r w:rsidR="00A34F9D">
        <w:rPr>
          <w:rFonts w:ascii="Arial" w:hAnsi="Arial" w:cs="Arial"/>
        </w:rPr>
        <w:t xml:space="preserve">se considere </w:t>
      </w:r>
      <w:r w:rsidR="005E3B17">
        <w:rPr>
          <w:rFonts w:ascii="Arial" w:hAnsi="Arial" w:cs="Arial"/>
        </w:rPr>
        <w:t>esencial</w:t>
      </w:r>
      <w:r w:rsidR="00A34F9D">
        <w:rPr>
          <w:rFonts w:ascii="Arial" w:hAnsi="Arial" w:cs="Arial"/>
        </w:rPr>
        <w:t xml:space="preserve"> </w:t>
      </w:r>
      <w:r w:rsidR="00997CE9">
        <w:rPr>
          <w:rFonts w:ascii="Arial" w:hAnsi="Arial" w:cs="Arial"/>
        </w:rPr>
        <w:t xml:space="preserve">en la cadena de valor o </w:t>
      </w:r>
      <w:r w:rsidR="00615746">
        <w:rPr>
          <w:rFonts w:ascii="Arial" w:hAnsi="Arial" w:cs="Arial"/>
        </w:rPr>
        <w:t xml:space="preserve">donde </w:t>
      </w:r>
      <w:r w:rsidR="00997CE9">
        <w:rPr>
          <w:rFonts w:ascii="Arial" w:hAnsi="Arial" w:cs="Arial"/>
        </w:rPr>
        <w:t xml:space="preserve">no se tenga una ventaja competitiva en </w:t>
      </w:r>
      <w:r w:rsidR="001C16BA">
        <w:rPr>
          <w:rFonts w:ascii="Arial" w:hAnsi="Arial" w:cs="Arial"/>
        </w:rPr>
        <w:t>la fabricación</w:t>
      </w:r>
      <w:r w:rsidR="00A4411A">
        <w:rPr>
          <w:rFonts w:ascii="Arial" w:hAnsi="Arial" w:cs="Arial"/>
        </w:rPr>
        <w:t xml:space="preserve"> y existan </w:t>
      </w:r>
      <w:r w:rsidR="00DF578A">
        <w:rPr>
          <w:rFonts w:ascii="Arial" w:hAnsi="Arial" w:cs="Arial"/>
        </w:rPr>
        <w:t xml:space="preserve">proveedores especializados </w:t>
      </w:r>
      <w:r w:rsidR="00C55B7B">
        <w:rPr>
          <w:rFonts w:ascii="Arial" w:hAnsi="Arial" w:cs="Arial"/>
        </w:rPr>
        <w:t>más eficientes</w:t>
      </w:r>
      <w:r w:rsidR="001C16BA">
        <w:rPr>
          <w:rFonts w:ascii="Arial" w:hAnsi="Arial" w:cs="Arial"/>
        </w:rPr>
        <w:t>.</w:t>
      </w:r>
      <w:r w:rsidR="000C39D0">
        <w:rPr>
          <w:rFonts w:ascii="Arial" w:hAnsi="Arial" w:cs="Arial"/>
        </w:rPr>
        <w:t xml:space="preserve"> </w:t>
      </w:r>
    </w:p>
    <w:p w14:paraId="4BAC6147" w14:textId="1CE5D7CE" w:rsidR="00833DD1" w:rsidRPr="00FD5F5A" w:rsidRDefault="00AA6397" w:rsidP="00705E36">
      <w:pPr>
        <w:ind w:right="140"/>
        <w:rPr>
          <w:rFonts w:ascii="Arial" w:hAnsi="Arial" w:cs="Arial"/>
        </w:rPr>
      </w:pPr>
      <w:r w:rsidRPr="00AA6397">
        <w:rPr>
          <w:rFonts w:ascii="Arial" w:hAnsi="Arial" w:cs="Arial"/>
        </w:rPr>
        <w:t xml:space="preserve">La deslocalización y la externalización se consideran estrategias que deben analizarse simultáneamente, donde solo los </w:t>
      </w:r>
      <w:r w:rsidR="009C3E5F">
        <w:rPr>
          <w:rFonts w:ascii="Arial" w:hAnsi="Arial" w:cs="Arial"/>
        </w:rPr>
        <w:t>eslabones</w:t>
      </w:r>
      <w:r w:rsidRPr="00AA6397">
        <w:rPr>
          <w:rFonts w:ascii="Arial" w:hAnsi="Arial" w:cs="Arial"/>
        </w:rPr>
        <w:t xml:space="preserve"> “c</w:t>
      </w:r>
      <w:r w:rsidR="00D63569">
        <w:rPr>
          <w:rFonts w:ascii="Arial" w:hAnsi="Arial" w:cs="Arial"/>
        </w:rPr>
        <w:t>ríticos</w:t>
      </w:r>
      <w:r w:rsidRPr="00AA6397">
        <w:rPr>
          <w:rFonts w:ascii="Arial" w:hAnsi="Arial" w:cs="Arial"/>
        </w:rPr>
        <w:t xml:space="preserve">” de la cadena de valor se conservan internamente, mientras que otros se </w:t>
      </w:r>
      <w:r w:rsidR="00846FDF">
        <w:rPr>
          <w:rFonts w:ascii="Arial" w:hAnsi="Arial" w:cs="Arial"/>
        </w:rPr>
        <w:t>distribuyen</w:t>
      </w:r>
      <w:r w:rsidRPr="00AA6397">
        <w:rPr>
          <w:rFonts w:ascii="Arial" w:hAnsi="Arial" w:cs="Arial"/>
        </w:rPr>
        <w:t xml:space="preserve"> geográficamente, </w:t>
      </w:r>
      <w:r w:rsidR="00D43DD4">
        <w:rPr>
          <w:rFonts w:ascii="Arial" w:hAnsi="Arial" w:cs="Arial"/>
        </w:rPr>
        <w:t xml:space="preserve">o </w:t>
      </w:r>
      <w:r w:rsidRPr="00AA6397">
        <w:rPr>
          <w:rFonts w:ascii="Arial" w:hAnsi="Arial" w:cs="Arial"/>
        </w:rPr>
        <w:t xml:space="preserve">entre </w:t>
      </w:r>
      <w:r w:rsidR="00F41FD9">
        <w:rPr>
          <w:rFonts w:ascii="Arial" w:hAnsi="Arial" w:cs="Arial"/>
        </w:rPr>
        <w:t>socios</w:t>
      </w:r>
      <w:r w:rsidRPr="00AA6397">
        <w:rPr>
          <w:rFonts w:ascii="Arial" w:hAnsi="Arial" w:cs="Arial"/>
        </w:rPr>
        <w:t xml:space="preserve"> y contratistas</w:t>
      </w:r>
      <w:r w:rsidR="00543302">
        <w:rPr>
          <w:rFonts w:ascii="Arial" w:hAnsi="Arial" w:cs="Arial"/>
        </w:rPr>
        <w:t xml:space="preserve"> </w:t>
      </w:r>
      <w:r w:rsidR="00115736">
        <w:rPr>
          <w:rFonts w:ascii="Arial" w:hAnsi="Arial" w:cs="Arial"/>
        </w:rPr>
        <w:fldChar w:fldCharType="begin"/>
      </w:r>
      <w:r w:rsidR="00115736">
        <w:rPr>
          <w:rFonts w:ascii="Arial" w:hAnsi="Arial" w:cs="Arial"/>
        </w:rPr>
        <w:instrText xml:space="preserve"> ADDIN ZOTERO_ITEM CSL_CITATION {"citationID":"IEa9ABvg","properties":{"formattedCitation":"(Contractor et al., 2010)","plainCitation":"(Contractor et al., 2010)","noteIndex":0},"citationItems":[{"id":2747,"uris":["http://zotero.org/users/9514289/items/KRTFDQ9C"],"itemData":{"id":2747,"type":"article-journal","abstract":"In the largest sense, global strategy amounts to (1) the optimal disaggregation or slicing of the ﬁrm’s value chain into as many constituent pieces as organizationally and economically feasible, followed by (2) decisions as how each slice should be allocated geographically (‘offshoring’) and organizationally (‘outsourcing’). Offshoring and outsourcing are treated as strategies that need to be simultaneously analysed, where just ‘core’ segments of the value chain are retained in-house, while others are optimally dispersed geographically, as well as dispersed over allies and contractors. This amounts to a reconsideration of the nature of the ﬁrm that captures the dynamic changes in global conﬁguration and a reconsideration of what constitutes ‘core’ activities that need to be retained internally. The article proposes a new research agenda that searches for each ﬁrm’s optimal degree of disaggregation and global dispersion given that further scattering of value chain activities entail beneﬁts as well as increased complexity and costs.","container-title":"Journal of Management Studies","DOI":"10.1111/j.1467-6486.2010.00945.x","ISSN":"0022-2380, 1467-6486","issue":"8","journalAbbreviation":"J Management Studies","language":"en","page":"1417-1433","source":"DOI.org (Crossref)","title":"Reconceptualizing the Firm in a World of Outsourcing and Offshoring: The Organizational and Geographical Relocation of High</w:instrText>
      </w:r>
      <w:r w:rsidR="00115736">
        <w:rPr>
          <w:rFonts w:ascii="Cambria Math" w:hAnsi="Cambria Math" w:cs="Cambria Math"/>
        </w:rPr>
        <w:instrText>‐</w:instrText>
      </w:r>
      <w:r w:rsidR="00115736">
        <w:rPr>
          <w:rFonts w:ascii="Arial" w:hAnsi="Arial" w:cs="Arial"/>
        </w:rPr>
        <w:instrText xml:space="preserve">Value Company Functions","title-short":"Reconceptualizing the Firm in a World of Outsourcing and Offshoring","volume":"47","author":[{"family":"Contractor","given":"Farok J."},{"family":"Kumar","given":"Vikas"},{"family":"Kundu","given":"Sumit K."},{"family":"Pedersen","given":"Torben"}],"issued":{"date-parts":[["2010",12]]}}}],"schema":"https://github.com/citation-style-language/schema/raw/master/csl-citation.json"} </w:instrText>
      </w:r>
      <w:r w:rsidR="00115736">
        <w:rPr>
          <w:rFonts w:ascii="Arial" w:hAnsi="Arial" w:cs="Arial"/>
        </w:rPr>
        <w:fldChar w:fldCharType="separate"/>
      </w:r>
      <w:r w:rsidR="00115736" w:rsidRPr="00115736">
        <w:rPr>
          <w:rFonts w:ascii="Arial" w:hAnsi="Arial" w:cs="Arial"/>
        </w:rPr>
        <w:t>(Contractor et al., 2010)</w:t>
      </w:r>
      <w:r w:rsidR="00115736">
        <w:rPr>
          <w:rFonts w:ascii="Arial" w:hAnsi="Arial" w:cs="Arial"/>
        </w:rPr>
        <w:fldChar w:fldCharType="end"/>
      </w:r>
      <w:r w:rsidR="00543302">
        <w:rPr>
          <w:rFonts w:ascii="Arial" w:hAnsi="Arial" w:cs="Arial"/>
        </w:rPr>
        <w:t>.</w:t>
      </w:r>
      <w:r w:rsidR="00EC7128">
        <w:rPr>
          <w:rFonts w:ascii="Arial" w:hAnsi="Arial" w:cs="Arial"/>
        </w:rPr>
        <w:t xml:space="preserve"> </w:t>
      </w:r>
      <w:r w:rsidR="00943D13" w:rsidRPr="00943D13">
        <w:rPr>
          <w:rFonts w:ascii="Arial" w:hAnsi="Arial" w:cs="Arial"/>
        </w:rPr>
        <w:t>Desde principios de la década de 1990, la deslocalización de las actividades manufactureras a países extranjeros se ha convertido en una estrategia vital para mantener la competitividad de las empresas occidentales</w:t>
      </w:r>
      <w:r w:rsidR="005537A5">
        <w:rPr>
          <w:rFonts w:ascii="Arial" w:hAnsi="Arial" w:cs="Arial"/>
        </w:rPr>
        <w:t xml:space="preserve"> </w:t>
      </w:r>
      <w:r w:rsidR="005537A5">
        <w:rPr>
          <w:rFonts w:ascii="Arial" w:hAnsi="Arial" w:cs="Arial"/>
        </w:rPr>
        <w:fldChar w:fldCharType="begin"/>
      </w:r>
      <w:r w:rsidR="005537A5">
        <w:rPr>
          <w:rFonts w:ascii="Arial" w:hAnsi="Arial" w:cs="Arial"/>
        </w:rPr>
        <w:instrText xml:space="preserve"> ADDIN ZOTERO_ITEM CSL_CITATION {"citationID":"tUSO1Rxm","properties":{"unsorted":true,"formattedCitation":"(Longauer et al., 2023; Contractor et al., 2010)","plainCitation":"(Longauer et al., 2023; Contractor et al., 2010)","noteIndex":0},"citationItems":[{"id":2701,"uris":["http://zotero.org/users/9514289/items/INTD4XCD"],"itemData":{"id":2701,"type":"article-journal","abstract":"Current global problems like the pandemic or the war in Ukraine have raised new aspects of make-or-buy de­ cisions. Many companies consider shortening their supply chains or even reshore production. We are modelling the cost-related consequences of possible strategies, jointly considering the effect of productivity knowledge and interdependencies of consecutive production stages in the manufacturing process, assuming varying learning rates based on task complexity. The dynamic optimization problem enables us to investigate the role of learning effect in both outsourcing and insourcing (reshoring) decisions. In general, we find that firms should stick to or insource production processes where learning potential is high; however, keeping activities with low learning potential but higher interdependencies may also be beneficial as they can contribute to increase productivity at other stages. Optimal decisions might dynamically change from one period to the other. Reasons include that it might be reasonable to keep a production stage in-house until its cross-stage learning effect sufficiently con­ tributes to decrease production costs at other stages. Accordingly, if a firm partly re-establishes its in-house manufacturing, the rest of the production stages may also be brought back over time thanks to the accumu­ lated productivity knowledge. This may provide further implications for industrial policies that foster reshoring: pursuing activities with considerable learning potential or possible interdependencies with other corporate functions would trigger further relocation decisions and may result in upgrading in the value chain. We show numerical examples to illustrate the rationale behind different strategies, highlighting the key role of cross-stage learning.","container-title":"Computers &amp; Industrial Engineering","DOI":"10.1016/j.cie.2023.109259","ISSN":"03608352","journalAbbreviation":"Computers &amp; Industrial Engineering","language":"en","page":"109259","source":"DOI.org (Crossref)","title":"Make-or-buy strategies in a multi-stage manufacturing process and the role of learning effect in relocation decisions","volume":"180","author":[{"family":"Longauer","given":"Dóra"},{"family":"Hauck","given":"Zsuzsanna"},{"family":"Vasvári","given":"Tamás"}],"issued":{"date-parts":[["2023",6]]}}},{"id":2747,"uris":["http://zotero.org/users/9514289/items/KRTFDQ9C"],"itemData":{"id":2747,"type":"article-journal","abstract":"In the largest sense, global strategy amounts to (1) the optimal disaggregation or slicing of the ﬁrm’s value chain into as many constituent pieces as organizationally and economically feasible, followed by (2) decisions as how each slice should be allocated geographically (‘offshoring’) and organizationally (‘outsourcing’). Offshoring and outsourcing are treated as strategies that need to be simultaneously analysed, where just ‘core’ segments of the value chain are retained in-house, while others are optimally dispersed geographically, as well as dispersed over allies and contractors. This amounts to a reconsideration of the nature of the ﬁrm that captures the dynamic changes in global conﬁguration and a reconsideration of what constitutes ‘core’ activities that need to be retained internally. The article proposes a new research agenda that searches for each ﬁrm’s optimal degree of disaggregation and global dispersion given that further scattering of value chain activities entail beneﬁts as well as increased complexity and costs.","container-title":"Journal of Management Studies","DOI":"10.1111/j.1467-6486.2010.00945.x","ISSN":"0022-2380, 1467-6486","issue":"8","journalAbbreviation":"J Management Studies","language":"en","page":"1417-1433","source":"DOI.org (Crossref)","title":"Reconceptualizing the Firm in a World of Outsourcing and Offshoring: The Organizational and Geographical Relocation of High</w:instrText>
      </w:r>
      <w:r w:rsidR="005537A5">
        <w:rPr>
          <w:rFonts w:ascii="Cambria Math" w:hAnsi="Cambria Math" w:cs="Cambria Math"/>
        </w:rPr>
        <w:instrText>‐</w:instrText>
      </w:r>
      <w:r w:rsidR="005537A5">
        <w:rPr>
          <w:rFonts w:ascii="Arial" w:hAnsi="Arial" w:cs="Arial"/>
        </w:rPr>
        <w:instrText xml:space="preserve">Value Company Functions","title-short":"Reconceptualizing the Firm in a World of Outsourcing and Offshoring","volume":"47","author":[{"family":"Contractor","given":"Farok J."},{"family":"Kumar","given":"Vikas"},{"family":"Kundu","given":"Sumit K."},{"family":"Pedersen","given":"Torben"}],"issued":{"date-parts":[["2010",12]]}}}],"schema":"https://github.com/citation-style-language/schema/raw/master/csl-citation.json"} </w:instrText>
      </w:r>
      <w:r w:rsidR="005537A5">
        <w:rPr>
          <w:rFonts w:ascii="Arial" w:hAnsi="Arial" w:cs="Arial"/>
        </w:rPr>
        <w:fldChar w:fldCharType="separate"/>
      </w:r>
      <w:r w:rsidR="005537A5" w:rsidRPr="005537A5">
        <w:rPr>
          <w:rFonts w:ascii="Arial" w:hAnsi="Arial" w:cs="Arial"/>
        </w:rPr>
        <w:t>(Longauer et al., 2023; Contractor et al., 2010)</w:t>
      </w:r>
      <w:r w:rsidR="005537A5">
        <w:rPr>
          <w:rFonts w:ascii="Arial" w:hAnsi="Arial" w:cs="Arial"/>
        </w:rPr>
        <w:fldChar w:fldCharType="end"/>
      </w:r>
      <w:r w:rsidR="00121A0E">
        <w:rPr>
          <w:rFonts w:ascii="Arial" w:hAnsi="Arial" w:cs="Arial"/>
        </w:rPr>
        <w:t>.</w:t>
      </w:r>
      <w:r w:rsidR="00AB4657">
        <w:rPr>
          <w:rFonts w:ascii="Arial" w:hAnsi="Arial" w:cs="Arial"/>
        </w:rPr>
        <w:t xml:space="preserve"> </w:t>
      </w:r>
      <w:r w:rsidR="00A415E3" w:rsidRPr="00943D13">
        <w:rPr>
          <w:rFonts w:ascii="Arial" w:hAnsi="Arial" w:cs="Arial"/>
        </w:rPr>
        <w:t xml:space="preserve"> </w:t>
      </w:r>
      <w:r w:rsidR="007B0B30" w:rsidRPr="00187A81">
        <w:rPr>
          <w:rFonts w:ascii="Arial" w:hAnsi="Arial" w:cs="Arial"/>
        </w:rPr>
        <w:t>El concepto subyacente puede ser variado: en la mayoría de los casos, la fabricación se deslocaliza para lograr ventajas en cost</w:t>
      </w:r>
      <w:r w:rsidR="004322AA" w:rsidRPr="00187A81">
        <w:rPr>
          <w:rFonts w:ascii="Arial" w:hAnsi="Arial" w:cs="Arial"/>
        </w:rPr>
        <w:t>e</w:t>
      </w:r>
      <w:r w:rsidR="007B0B30" w:rsidRPr="00187A81">
        <w:rPr>
          <w:rFonts w:ascii="Arial" w:hAnsi="Arial" w:cs="Arial"/>
        </w:rPr>
        <w:t>s, acceso al mercado o seguir a clientes clave</w:t>
      </w:r>
      <w:r w:rsidR="00D42130" w:rsidRPr="00187A81">
        <w:rPr>
          <w:rFonts w:ascii="Arial" w:hAnsi="Arial" w:cs="Arial"/>
        </w:rPr>
        <w:t xml:space="preserve"> </w:t>
      </w:r>
      <w:r w:rsidR="006D4A5F">
        <w:rPr>
          <w:rFonts w:ascii="Arial" w:hAnsi="Arial" w:cs="Arial"/>
          <w:lang w:val="en-GB"/>
        </w:rPr>
        <w:fldChar w:fldCharType="begin"/>
      </w:r>
      <w:r w:rsidR="006D4A5F" w:rsidRPr="00187A81">
        <w:rPr>
          <w:rFonts w:ascii="Arial" w:hAnsi="Arial" w:cs="Arial"/>
        </w:rPr>
        <w:instrText xml:space="preserve"> ADDIN ZOTERO_ITEM CSL_CITATION {"citationID":"N9mbwH6t","properties":{"formattedCitation":"(Baraldi et al., 2018)","plainCitation":"(Baraldi et al., 2018)","noteIndex":0},"citationItems":[{"id":2738,"uris":["http://zotero.org/users/9514289/items/BQPC7LXZ"],"itemData":{"id":2738,"type":"article-journal","abstract":"While research on reshoring generally focuses on the host-country to explain why a company brings its previously o</w:instrText>
      </w:r>
      <w:r w:rsidR="006D4A5F">
        <w:rPr>
          <w:rFonts w:ascii="Arial" w:hAnsi="Arial" w:cs="Arial"/>
          <w:lang w:val="en-GB"/>
        </w:rPr>
        <w:instrText>ﬀ</w:instrText>
      </w:r>
      <w:r w:rsidR="006D4A5F" w:rsidRPr="00187A81">
        <w:rPr>
          <w:rFonts w:ascii="Arial" w:hAnsi="Arial" w:cs="Arial"/>
        </w:rPr>
        <w:instrText>shored activities back home, this paper stresses the relevance also of the home-country context. Speci</w:instrText>
      </w:r>
      <w:r w:rsidR="006D4A5F">
        <w:rPr>
          <w:rFonts w:ascii="Arial" w:hAnsi="Arial" w:cs="Arial"/>
          <w:lang w:val="en-GB"/>
        </w:rPr>
        <w:instrText>ﬁ</w:instrText>
      </w:r>
      <w:r w:rsidR="006D4A5F" w:rsidRPr="00187A81">
        <w:rPr>
          <w:rFonts w:ascii="Arial" w:hAnsi="Arial" w:cs="Arial"/>
        </w:rPr>
        <w:instrText>cally, relying on the IMP (Industrial Marketing &amp; Purchasing) perspective we show how o</w:instrText>
      </w:r>
      <w:r w:rsidR="006D4A5F">
        <w:rPr>
          <w:rFonts w:ascii="Arial" w:hAnsi="Arial" w:cs="Arial"/>
          <w:lang w:val="en-GB"/>
        </w:rPr>
        <w:instrText>ﬀ</w:instrText>
      </w:r>
      <w:r w:rsidR="006D4A5F" w:rsidRPr="00187A81">
        <w:rPr>
          <w:rFonts w:ascii="Arial" w:hAnsi="Arial" w:cs="Arial"/>
        </w:rPr>
        <w:instrText>shoring and reshoring processes and decisions are both enabled and constrained by the micro-interactions and interdependencies in the industrial networks stretching over the home-country and the host-country. This work relies on a longitudinal case study about an Italian manufactu</w:instrText>
      </w:r>
      <w:r w:rsidR="006D4A5F" w:rsidRPr="0041212B">
        <w:rPr>
          <w:rFonts w:ascii="Arial" w:hAnsi="Arial" w:cs="Arial"/>
        </w:rPr>
        <w:instrText xml:space="preserve">ring </w:instrText>
      </w:r>
      <w:r w:rsidR="006D4A5F">
        <w:rPr>
          <w:rFonts w:ascii="Arial" w:hAnsi="Arial" w:cs="Arial"/>
          <w:lang w:val="en-GB"/>
        </w:rPr>
        <w:instrText>ﬁ</w:instrText>
      </w:r>
      <w:r w:rsidR="006D4A5F" w:rsidRPr="0041212B">
        <w:rPr>
          <w:rFonts w:ascii="Arial" w:hAnsi="Arial" w:cs="Arial"/>
        </w:rPr>
        <w:instrText>rm to dev</w:instrText>
      </w:r>
      <w:r w:rsidR="006D4A5F" w:rsidRPr="00FD5F5A">
        <w:rPr>
          <w:rFonts w:ascii="Arial" w:hAnsi="Arial" w:cs="Arial"/>
        </w:rPr>
        <w:instrText>elop a model indicating how o</w:instrText>
      </w:r>
      <w:r w:rsidR="006D4A5F">
        <w:rPr>
          <w:rFonts w:ascii="Arial" w:hAnsi="Arial" w:cs="Arial"/>
          <w:lang w:val="en-GB"/>
        </w:rPr>
        <w:instrText>ﬀ</w:instrText>
      </w:r>
      <w:r w:rsidR="006D4A5F" w:rsidRPr="00FD5F5A">
        <w:rPr>
          <w:rFonts w:ascii="Arial" w:hAnsi="Arial" w:cs="Arial"/>
        </w:rPr>
        <w:instrText xml:space="preserve">shoring/ reshoring is a long-term process which unfolds depending both on the focal </w:instrText>
      </w:r>
      <w:r w:rsidR="006D4A5F">
        <w:rPr>
          <w:rFonts w:ascii="Arial" w:hAnsi="Arial" w:cs="Arial"/>
          <w:lang w:val="en-GB"/>
        </w:rPr>
        <w:instrText>ﬁ</w:instrText>
      </w:r>
      <w:r w:rsidR="006D4A5F" w:rsidRPr="00FD5F5A">
        <w:rPr>
          <w:rFonts w:ascii="Arial" w:hAnsi="Arial" w:cs="Arial"/>
        </w:rPr>
        <w:instrText>rm's strategy and on its interplay with the embedding network. Next to this interactive process perspective, we contribute to the literature on reshoring and the global factory also the concept of “selective reshoring”, whereby companies bring back a very speci</w:instrText>
      </w:r>
      <w:r w:rsidR="006D4A5F">
        <w:rPr>
          <w:rFonts w:ascii="Arial" w:hAnsi="Arial" w:cs="Arial"/>
          <w:lang w:val="en-GB"/>
        </w:rPr>
        <w:instrText>ﬁ</w:instrText>
      </w:r>
      <w:r w:rsidR="006D4A5F" w:rsidRPr="00FD5F5A">
        <w:rPr>
          <w:rFonts w:ascii="Arial" w:hAnsi="Arial" w:cs="Arial"/>
        </w:rPr>
        <w:instrText xml:space="preserve">c sub-set of activities, which were previously </w:instrText>
      </w:r>
      <w:r w:rsidR="006D4A5F">
        <w:rPr>
          <w:rFonts w:ascii="Arial" w:hAnsi="Arial" w:cs="Arial"/>
          <w:lang w:val="en-GB"/>
        </w:rPr>
        <w:instrText>ﬁ</w:instrText>
      </w:r>
      <w:r w:rsidR="006D4A5F" w:rsidRPr="00FD5F5A">
        <w:rPr>
          <w:rFonts w:ascii="Arial" w:hAnsi="Arial" w:cs="Arial"/>
        </w:rPr>
        <w:instrText>ne-sliced and o</w:instrText>
      </w:r>
      <w:r w:rsidR="006D4A5F">
        <w:rPr>
          <w:rFonts w:ascii="Arial" w:hAnsi="Arial" w:cs="Arial"/>
          <w:lang w:val="en-GB"/>
        </w:rPr>
        <w:instrText>ﬀ</w:instrText>
      </w:r>
      <w:r w:rsidR="006D4A5F" w:rsidRPr="00FD5F5A">
        <w:rPr>
          <w:rFonts w:ascii="Arial" w:hAnsi="Arial" w:cs="Arial"/>
        </w:rPr>
        <w:instrText xml:space="preserve">shored, and re-embed these activities in their local home context. The more </w:instrText>
      </w:r>
      <w:r w:rsidR="006D4A5F">
        <w:rPr>
          <w:rFonts w:ascii="Arial" w:hAnsi="Arial" w:cs="Arial"/>
          <w:lang w:val="en-GB"/>
        </w:rPr>
        <w:instrText>ﬂ</w:instrText>
      </w:r>
      <w:r w:rsidR="006D4A5F" w:rsidRPr="00FD5F5A">
        <w:rPr>
          <w:rFonts w:ascii="Arial" w:hAnsi="Arial" w:cs="Arial"/>
        </w:rPr>
        <w:instrText>exible and selective nature of this relocation of activities between di</w:instrText>
      </w:r>
      <w:r w:rsidR="006D4A5F">
        <w:rPr>
          <w:rFonts w:ascii="Arial" w:hAnsi="Arial" w:cs="Arial"/>
          <w:lang w:val="en-GB"/>
        </w:rPr>
        <w:instrText>ﬀ</w:instrText>
      </w:r>
      <w:r w:rsidR="006D4A5F" w:rsidRPr="00FD5F5A">
        <w:rPr>
          <w:rFonts w:ascii="Arial" w:hAnsi="Arial" w:cs="Arial"/>
        </w:rPr>
        <w:instrText xml:space="preserve">erent supply markets depends both on the </w:instrText>
      </w:r>
      <w:r w:rsidR="006D4A5F">
        <w:rPr>
          <w:rFonts w:ascii="Arial" w:hAnsi="Arial" w:cs="Arial"/>
          <w:lang w:val="en-GB"/>
        </w:rPr>
        <w:instrText>ﬁ</w:instrText>
      </w:r>
      <w:r w:rsidR="006D4A5F" w:rsidRPr="00FD5F5A">
        <w:rPr>
          <w:rFonts w:ascii="Arial" w:hAnsi="Arial" w:cs="Arial"/>
        </w:rPr>
        <w:instrText xml:space="preserve">rm's strategy and on the structure, overlap and evolution of the network elements located in the home- and host-country contexts.","container-title":"Industrial Marketing Management","DOI":"10.1016/j.indmarman.2017.08.016","ISSN":"00198501","journalAbbreviation":"Industrial Marketing Management","language":"en","page":"156-166","source":"DOI.org (Crossref)","title":"A network perspective on the reshoring process: The relevance of the home- and the host-country contexts","title-short":"A network perspective on the reshoring process","volume":"70","author":[{"family":"Baraldi","given":"Enrico"},{"family":"Ciabuschi","given":"Francesco"},{"family":"Lindahl","given":"Olof"},{"family":"Fratocchi","given":"Luciano"}],"issued":{"date-parts":[["2018",4]]}}}],"schema":"https://github.com/citation-style-language/schema/raw/master/csl-citation.json"} </w:instrText>
      </w:r>
      <w:r w:rsidR="006D4A5F">
        <w:rPr>
          <w:rFonts w:ascii="Arial" w:hAnsi="Arial" w:cs="Arial"/>
          <w:lang w:val="en-GB"/>
        </w:rPr>
        <w:fldChar w:fldCharType="separate"/>
      </w:r>
      <w:r w:rsidR="006D4A5F" w:rsidRPr="00FD5F5A">
        <w:rPr>
          <w:rFonts w:ascii="Arial" w:hAnsi="Arial" w:cs="Arial"/>
        </w:rPr>
        <w:t>(Baraldi et al., 2018)</w:t>
      </w:r>
      <w:r w:rsidR="006D4A5F">
        <w:rPr>
          <w:rFonts w:ascii="Arial" w:hAnsi="Arial" w:cs="Arial"/>
          <w:lang w:val="en-GB"/>
        </w:rPr>
        <w:fldChar w:fldCharType="end"/>
      </w:r>
      <w:r w:rsidR="001A7F0F" w:rsidRPr="00055E08">
        <w:rPr>
          <w:rFonts w:ascii="Arial" w:hAnsi="Arial" w:cs="Arial"/>
        </w:rPr>
        <w:t>.</w:t>
      </w:r>
      <w:r w:rsidR="001C16BA" w:rsidRPr="00FD5F5A">
        <w:rPr>
          <w:rFonts w:ascii="Arial" w:hAnsi="Arial" w:cs="Arial"/>
        </w:rPr>
        <w:t xml:space="preserve"> </w:t>
      </w:r>
      <w:r w:rsidR="00FD5F5A" w:rsidRPr="00FD5F5A">
        <w:rPr>
          <w:rFonts w:ascii="Arial" w:hAnsi="Arial" w:cs="Arial"/>
        </w:rPr>
        <w:t xml:space="preserve">Además, a medida que las condiciones que crean los beneficios de la deslocalización </w:t>
      </w:r>
      <w:r w:rsidR="00055E08">
        <w:rPr>
          <w:rFonts w:ascii="Arial" w:hAnsi="Arial" w:cs="Arial"/>
        </w:rPr>
        <w:t>cambian</w:t>
      </w:r>
      <w:r w:rsidR="00FD5F5A" w:rsidRPr="00FD5F5A">
        <w:rPr>
          <w:rFonts w:ascii="Arial" w:hAnsi="Arial" w:cs="Arial"/>
        </w:rPr>
        <w:t xml:space="preserve">, también lo </w:t>
      </w:r>
      <w:r w:rsidR="00A919FB">
        <w:rPr>
          <w:rFonts w:ascii="Arial" w:hAnsi="Arial" w:cs="Arial"/>
        </w:rPr>
        <w:t xml:space="preserve">hacen </w:t>
      </w:r>
      <w:r w:rsidR="00FD5F5A" w:rsidRPr="00FD5F5A">
        <w:rPr>
          <w:rFonts w:ascii="Arial" w:hAnsi="Arial" w:cs="Arial"/>
        </w:rPr>
        <w:t>las empresas</w:t>
      </w:r>
      <w:r w:rsidR="00452BA3">
        <w:rPr>
          <w:rFonts w:ascii="Arial" w:hAnsi="Arial" w:cs="Arial"/>
        </w:rPr>
        <w:t>,</w:t>
      </w:r>
      <w:r w:rsidR="00FD5F5A" w:rsidRPr="00FD5F5A">
        <w:rPr>
          <w:rFonts w:ascii="Arial" w:hAnsi="Arial" w:cs="Arial"/>
        </w:rPr>
        <w:t xml:space="preserve"> </w:t>
      </w:r>
      <w:r w:rsidR="00452BA3">
        <w:rPr>
          <w:rFonts w:ascii="Arial" w:hAnsi="Arial" w:cs="Arial"/>
        </w:rPr>
        <w:t xml:space="preserve">que </w:t>
      </w:r>
      <w:r w:rsidR="00FD5F5A" w:rsidRPr="00FD5F5A">
        <w:rPr>
          <w:rFonts w:ascii="Arial" w:hAnsi="Arial" w:cs="Arial"/>
        </w:rPr>
        <w:t>a menudo buscan los beneficios previstos de esta estrategia trasladando actividades de un país a otro.</w:t>
      </w:r>
    </w:p>
    <w:p w14:paraId="08292512" w14:textId="165F3AB1" w:rsidR="008D3936" w:rsidRPr="0041212B" w:rsidRDefault="00834075" w:rsidP="00705E36">
      <w:pPr>
        <w:ind w:right="140"/>
        <w:rPr>
          <w:rFonts w:ascii="Arial" w:hAnsi="Arial" w:cs="Arial"/>
        </w:rPr>
      </w:pPr>
      <w:r>
        <w:rPr>
          <w:rFonts w:ascii="Arial" w:hAnsi="Arial" w:cs="Arial"/>
        </w:rPr>
        <w:t xml:space="preserve">La decisión de </w:t>
      </w:r>
      <w:r w:rsidR="009C2735">
        <w:rPr>
          <w:rFonts w:ascii="Arial" w:hAnsi="Arial" w:cs="Arial"/>
        </w:rPr>
        <w:t>fabricación o compra</w:t>
      </w:r>
      <w:r w:rsidR="00521231">
        <w:rPr>
          <w:rFonts w:ascii="Arial" w:hAnsi="Arial" w:cs="Arial"/>
        </w:rPr>
        <w:t xml:space="preserve">, “make-or-buy”, </w:t>
      </w:r>
      <w:r w:rsidR="009C2735">
        <w:rPr>
          <w:rFonts w:ascii="Arial" w:hAnsi="Arial" w:cs="Arial"/>
        </w:rPr>
        <w:t>es</w:t>
      </w:r>
      <w:r w:rsidR="005D621C">
        <w:rPr>
          <w:rFonts w:ascii="Arial" w:hAnsi="Arial" w:cs="Arial"/>
        </w:rPr>
        <w:t xml:space="preserve"> particular </w:t>
      </w:r>
      <w:r w:rsidR="001C185D">
        <w:rPr>
          <w:rFonts w:ascii="Arial" w:hAnsi="Arial" w:cs="Arial"/>
        </w:rPr>
        <w:t>para</w:t>
      </w:r>
      <w:r w:rsidR="005D621C">
        <w:rPr>
          <w:rFonts w:ascii="Arial" w:hAnsi="Arial" w:cs="Arial"/>
        </w:rPr>
        <w:t xml:space="preserve"> cada caso</w:t>
      </w:r>
      <w:r w:rsidR="001C185D">
        <w:rPr>
          <w:rFonts w:ascii="Arial" w:hAnsi="Arial" w:cs="Arial"/>
        </w:rPr>
        <w:t>,</w:t>
      </w:r>
      <w:r w:rsidR="000C2A20">
        <w:rPr>
          <w:rFonts w:ascii="Arial" w:hAnsi="Arial" w:cs="Arial"/>
        </w:rPr>
        <w:t xml:space="preserve"> y es donde </w:t>
      </w:r>
      <w:r w:rsidR="007A3BAE">
        <w:rPr>
          <w:rFonts w:ascii="Arial" w:hAnsi="Arial" w:cs="Arial"/>
        </w:rPr>
        <w:t xml:space="preserve">se marca que parte de la cadena de valor se va a producir fuera, </w:t>
      </w:r>
      <w:r w:rsidR="00601A78">
        <w:rPr>
          <w:rFonts w:ascii="Arial" w:hAnsi="Arial" w:cs="Arial"/>
        </w:rPr>
        <w:t xml:space="preserve">y </w:t>
      </w:r>
      <w:r w:rsidR="002801AE">
        <w:rPr>
          <w:rFonts w:ascii="Arial" w:hAnsi="Arial" w:cs="Arial"/>
        </w:rPr>
        <w:t>por lo tanto</w:t>
      </w:r>
      <w:r w:rsidR="0041322B">
        <w:rPr>
          <w:rFonts w:ascii="Arial" w:hAnsi="Arial" w:cs="Arial"/>
        </w:rPr>
        <w:t xml:space="preserve"> la</w:t>
      </w:r>
      <w:r w:rsidR="007A3BAE">
        <w:rPr>
          <w:rFonts w:ascii="Arial" w:hAnsi="Arial" w:cs="Arial"/>
        </w:rPr>
        <w:t xml:space="preserve"> función de PSM </w:t>
      </w:r>
      <w:r w:rsidR="00AB2A0C">
        <w:rPr>
          <w:rFonts w:ascii="Arial" w:hAnsi="Arial" w:cs="Arial"/>
        </w:rPr>
        <w:t xml:space="preserve">coge </w:t>
      </w:r>
      <w:r w:rsidR="00521231">
        <w:rPr>
          <w:rFonts w:ascii="Arial" w:hAnsi="Arial" w:cs="Arial"/>
        </w:rPr>
        <w:t>un papel</w:t>
      </w:r>
      <w:r w:rsidR="00601A78">
        <w:rPr>
          <w:rFonts w:ascii="Arial" w:hAnsi="Arial" w:cs="Arial"/>
        </w:rPr>
        <w:t xml:space="preserve"> de referencia</w:t>
      </w:r>
      <w:r w:rsidR="0041322B">
        <w:rPr>
          <w:rFonts w:ascii="Arial" w:hAnsi="Arial" w:cs="Arial"/>
        </w:rPr>
        <w:t>, con la contratación</w:t>
      </w:r>
      <w:r w:rsidR="00601A78">
        <w:rPr>
          <w:rFonts w:ascii="Arial" w:hAnsi="Arial" w:cs="Arial"/>
        </w:rPr>
        <w:t>. L</w:t>
      </w:r>
      <w:r w:rsidR="003771BB" w:rsidRPr="003771BB">
        <w:rPr>
          <w:rFonts w:ascii="Arial" w:hAnsi="Arial" w:cs="Arial"/>
        </w:rPr>
        <w:t xml:space="preserve">a diferente complejidad de las tareas y </w:t>
      </w:r>
      <w:r w:rsidR="00085DB0">
        <w:rPr>
          <w:rFonts w:ascii="Arial" w:hAnsi="Arial" w:cs="Arial"/>
        </w:rPr>
        <w:t>el uso de maquinaria</w:t>
      </w:r>
      <w:r w:rsidR="003771BB" w:rsidRPr="003771BB">
        <w:rPr>
          <w:rFonts w:ascii="Arial" w:hAnsi="Arial" w:cs="Arial"/>
        </w:rPr>
        <w:t xml:space="preserve"> implican que cada etapa tiene un potencial de aprendizaje diferente y una interdependencia con otras etapas, lo que proporciona una buena base para </w:t>
      </w:r>
      <w:r w:rsidR="003A143A">
        <w:rPr>
          <w:rFonts w:ascii="Arial" w:hAnsi="Arial" w:cs="Arial"/>
        </w:rPr>
        <w:t>la</w:t>
      </w:r>
      <w:r w:rsidR="003771BB" w:rsidRPr="003771BB">
        <w:rPr>
          <w:rFonts w:ascii="Arial" w:hAnsi="Arial" w:cs="Arial"/>
        </w:rPr>
        <w:t xml:space="preserve"> exploración de las decisiones de fabricación o compra.</w:t>
      </w:r>
      <w:r w:rsidR="00F225CD">
        <w:rPr>
          <w:rFonts w:ascii="Arial" w:hAnsi="Arial" w:cs="Arial"/>
        </w:rPr>
        <w:fldChar w:fldCharType="begin"/>
      </w:r>
      <w:r w:rsidR="00F225CD">
        <w:rPr>
          <w:rFonts w:ascii="Arial" w:hAnsi="Arial" w:cs="Arial"/>
        </w:rPr>
        <w:instrText xml:space="preserve"> ADDIN ZOTERO_ITEM CSL_CITATION {"citationID":"HZOGwEsc","properties":{"formattedCitation":"(Longauer et al., 2023)","plainCitation":"(Longauer et al., 2023)","noteIndex":0},"citationItems":[{"id":2701,"uris":["http://zotero.org/users/9514289/items/INTD4XCD"],"itemData":{"id":2701,"type":"article-journal","abstract":"Current global problems like the pandemic or the war in Ukraine have raised new aspects of make-or-buy de­ cisions. Many companies consider shortening their supply chains or even reshore production. We are modelling the cost-related consequences of possible strategies, jointly considering the effect of productivity knowledge and interdependencies of consecutive production stages in the manufacturing process, assuming varying learning rates based on task complexity. The dynamic optimization problem enables us to investigate the role of learning effect in both outsourcing and insourcing (reshoring) decisions. In general, we find that firms should stick to or insource production processes where learning potential is high; however, keeping activities with low learning potential but higher interdependencies may also be beneficial as they can contribute to increase productivity at other stages. Optimal decisio</w:instrText>
      </w:r>
      <w:r w:rsidR="00F225CD" w:rsidRPr="0041212B">
        <w:rPr>
          <w:rFonts w:ascii="Arial" w:hAnsi="Arial" w:cs="Arial"/>
        </w:rPr>
        <w:instrText xml:space="preserve">ns might dynamically change from one period to the other. Reasons include that it might be reasonable to keep a production stage in-house until its cross-stage learning effect sufficiently con­ tributes to decrease production costs at other stages. Accordingly, if a firm partly re-establishes its in-house manufacturing, the rest of the production stages may also be brought back over time thanks to the accumu­ lated productivity knowledge. This may provide further implications for industrial policies that foster reshoring: pursuing activities with considerable learning potential or possible interdependencies with other corporate functions would trigger further relocation decisions and may result in upgrading in the value chain. We show numerical examples to illustrate the rationale behind different strategies, highlighting the key role of cross-stage learning.","container-title":"Computers &amp; Industrial Engineering","DOI":"10.1016/j.cie.2023.109259","ISSN":"03608352","journalAbbreviation":"Computers &amp; Industrial Engineering","language":"en","page":"109259","source":"DOI.org (Crossref)","title":"Make-or-buy strategies in a multi-stage manufacturing process and the role of learning effect in relocation decisions","volume":"180","author":[{"family":"Longauer","given":"Dóra"},{"family":"Hauck","given":"Zsuzsanna"},{"family":"Vasvári","given":"Tamás"}],"issued":{"date-parts":[["2023",6]]}}}],"schema":"https://github.com/citation-style-language/schema/raw/master/csl-citation.json"} </w:instrText>
      </w:r>
      <w:r w:rsidR="00F225CD">
        <w:rPr>
          <w:rFonts w:ascii="Arial" w:hAnsi="Arial" w:cs="Arial"/>
        </w:rPr>
        <w:fldChar w:fldCharType="separate"/>
      </w:r>
      <w:r w:rsidR="00F225CD" w:rsidRPr="0041212B">
        <w:rPr>
          <w:rFonts w:ascii="Arial" w:hAnsi="Arial" w:cs="Arial"/>
        </w:rPr>
        <w:t>(Longauer et al., 2023)</w:t>
      </w:r>
      <w:r w:rsidR="00F225CD">
        <w:rPr>
          <w:rFonts w:ascii="Arial" w:hAnsi="Arial" w:cs="Arial"/>
        </w:rPr>
        <w:fldChar w:fldCharType="end"/>
      </w:r>
    </w:p>
    <w:p w14:paraId="632FB3A9" w14:textId="77777777" w:rsidR="002D078F" w:rsidRPr="0041212B" w:rsidRDefault="002D078F" w:rsidP="00705E36">
      <w:pPr>
        <w:ind w:right="140"/>
        <w:rPr>
          <w:rFonts w:ascii="Arial" w:hAnsi="Arial" w:cs="Arial"/>
        </w:rPr>
      </w:pPr>
    </w:p>
    <w:p w14:paraId="381BD9F1" w14:textId="7FDB483C" w:rsidR="00244A5D" w:rsidRPr="003A16AE" w:rsidRDefault="00244A5D" w:rsidP="00705E36">
      <w:pPr>
        <w:pStyle w:val="Heading2"/>
        <w:ind w:right="140"/>
      </w:pPr>
      <w:bookmarkStart w:id="9" w:name="_Toc183376717"/>
      <w:r w:rsidRPr="003A16AE">
        <w:t>2.5.</w:t>
      </w:r>
      <w:r w:rsidRPr="003A16AE">
        <w:tab/>
      </w:r>
      <w:r w:rsidR="003A16AE" w:rsidRPr="003A16AE">
        <w:t xml:space="preserve">Efectos positivos en el </w:t>
      </w:r>
      <w:r w:rsidR="003A16AE">
        <w:t>medio ambiente de los ahorros</w:t>
      </w:r>
      <w:bookmarkEnd w:id="9"/>
    </w:p>
    <w:p w14:paraId="1F84BED5" w14:textId="77777777" w:rsidR="00244A5D" w:rsidRPr="003A16AE" w:rsidRDefault="00244A5D" w:rsidP="00705E36">
      <w:pPr>
        <w:ind w:right="140"/>
        <w:rPr>
          <w:rFonts w:ascii="Arial" w:hAnsi="Arial" w:cs="Arial"/>
        </w:rPr>
      </w:pPr>
    </w:p>
    <w:p w14:paraId="4299A168" w14:textId="57F9B216" w:rsidR="00244A5D" w:rsidRPr="007A77A2" w:rsidRDefault="009B1656" w:rsidP="00705E36">
      <w:pPr>
        <w:ind w:right="140"/>
        <w:rPr>
          <w:rFonts w:ascii="Arial" w:hAnsi="Arial" w:cs="Arial"/>
        </w:rPr>
      </w:pPr>
      <w:r w:rsidRPr="007A77A2">
        <w:rPr>
          <w:rFonts w:ascii="Arial" w:hAnsi="Arial" w:cs="Arial"/>
        </w:rPr>
        <w:t xml:space="preserve">Siguiendo el modelo de una economía simple de </w:t>
      </w:r>
      <w:r w:rsidR="00244A5D" w:rsidRPr="00BE2CF3">
        <w:rPr>
          <w:rFonts w:ascii="Arial" w:hAnsi="Arial" w:cs="Arial"/>
          <w:lang w:val="en-GB"/>
        </w:rPr>
        <w:fldChar w:fldCharType="begin"/>
      </w:r>
      <w:r w:rsidR="00244A5D" w:rsidRPr="007A77A2">
        <w:rPr>
          <w:rFonts w:ascii="Arial" w:hAnsi="Arial" w:cs="Arial"/>
        </w:rPr>
        <w:instrText xml:space="preserve"> ADDIN ZOTERO_ITEM CSL_CITATION {"citationID":"zcMyZEgc","properties":{"formattedCitation":"(Dasgupta, 2009)","plainCitation":"(Dasgupta, 2009)","noteIndex":0},"citationItems":[{"id":1148,"uris":["http://zotero.org/users/9514289/items/6ZG6ILVL"],"itemData":{"id":1148,"type":"article-journal","abstract":"This paper takes a critical look at the literature on green national accounts. The problem studied is to </w:instrText>
      </w:r>
      <w:r w:rsidR="00244A5D" w:rsidRPr="00BE2CF3">
        <w:rPr>
          <w:rFonts w:ascii="Arial" w:hAnsi="Arial" w:cs="Arial"/>
          <w:lang w:val="en-GB"/>
        </w:rPr>
        <w:instrText>ﬁ</w:instrText>
      </w:r>
      <w:r w:rsidR="00244A5D" w:rsidRPr="007A77A2">
        <w:rPr>
          <w:rFonts w:ascii="Arial" w:hAnsi="Arial" w:cs="Arial"/>
        </w:rPr>
        <w:instrText xml:space="preserve">nd a linear index of economic variables that responds to perturbations in the same direction as social well-being. The thesis of a large literature, that net national product (which is a </w:instrText>
      </w:r>
      <w:r w:rsidR="00244A5D" w:rsidRPr="00BE2CF3">
        <w:rPr>
          <w:rFonts w:ascii="Arial" w:hAnsi="Arial" w:cs="Arial"/>
          <w:lang w:val="en-GB"/>
        </w:rPr>
        <w:instrText>ﬂ</w:instrText>
      </w:r>
      <w:r w:rsidR="00244A5D" w:rsidRPr="007A77A2">
        <w:rPr>
          <w:rFonts w:ascii="Arial" w:hAnsi="Arial" w:cs="Arial"/>
        </w:rPr>
        <w:instrText>ow) is that index in closed economies, is shown in some interpretations to be simply false and in others to suffer from deep estimation problems. It is argued that capital depreciation using shadow prices should certainly be included in national accounts, but that the right welfare index is a comprehensive measure of wealth, de</w:instrText>
      </w:r>
      <w:r w:rsidR="00244A5D" w:rsidRPr="00BE2CF3">
        <w:rPr>
          <w:rFonts w:ascii="Arial" w:hAnsi="Arial" w:cs="Arial"/>
          <w:lang w:val="en-GB"/>
        </w:rPr>
        <w:instrText>ﬁ</w:instrText>
      </w:r>
      <w:r w:rsidR="00244A5D" w:rsidRPr="007A77A2">
        <w:rPr>
          <w:rFonts w:ascii="Arial" w:hAnsi="Arial" w:cs="Arial"/>
        </w:rPr>
        <w:instrText xml:space="preserve">ned as the shadow value of an economy’s stock of all capital assets. It is shown that comprehensive wealth is usable as a criterion for policy evaluation as well as for determining sustainable economic development.","container-title":"Environmental and Resource Economics","DOI":"10.1007/s10640-008-9223-y","ISSN":"0924-6460, 1573-1502","issue":"1","journalAbbreviation":"Environ Resource Econ","language":"en","page":"3-38","source":"DOI.org (Crossref)","title":"The Welfare Economic Theory of Green National Accounts","volume":"42","author":[{"family":"Dasgupta","given":"Partha"}],"issued":{"date-parts":[["2009",1]]}}}],"schema":"https://github.com/citation-style-language/schema/raw/master/csl-citation.json"} </w:instrText>
      </w:r>
      <w:r w:rsidR="00244A5D" w:rsidRPr="00BE2CF3">
        <w:rPr>
          <w:rFonts w:ascii="Arial" w:hAnsi="Arial" w:cs="Arial"/>
          <w:lang w:val="en-GB"/>
        </w:rPr>
        <w:fldChar w:fldCharType="separate"/>
      </w:r>
      <w:r w:rsidR="00244A5D" w:rsidRPr="007A77A2">
        <w:rPr>
          <w:rFonts w:ascii="Arial" w:hAnsi="Arial" w:cs="Arial"/>
        </w:rPr>
        <w:t>(Dasgupta, 2009)</w:t>
      </w:r>
      <w:r w:rsidR="00244A5D" w:rsidRPr="00BE2CF3">
        <w:rPr>
          <w:rFonts w:ascii="Arial" w:hAnsi="Arial" w:cs="Arial"/>
          <w:lang w:val="en-GB"/>
        </w:rPr>
        <w:fldChar w:fldCharType="end"/>
      </w:r>
      <w:r w:rsidR="004522BF" w:rsidRPr="004522BF">
        <w:rPr>
          <w:rFonts w:ascii="Arial" w:hAnsi="Arial" w:cs="Arial"/>
        </w:rPr>
        <w:t xml:space="preserve">, </w:t>
      </w:r>
      <w:r w:rsidR="004522BF">
        <w:rPr>
          <w:rFonts w:ascii="Arial" w:hAnsi="Arial" w:cs="Arial"/>
        </w:rPr>
        <w:t xml:space="preserve">donde se introduce </w:t>
      </w:r>
      <w:r w:rsidR="00C46DC0">
        <w:rPr>
          <w:rFonts w:ascii="Arial" w:hAnsi="Arial" w:cs="Arial"/>
        </w:rPr>
        <w:t>cómo</w:t>
      </w:r>
      <w:r w:rsidR="004522BF">
        <w:rPr>
          <w:rFonts w:ascii="Arial" w:hAnsi="Arial" w:cs="Arial"/>
        </w:rPr>
        <w:t xml:space="preserve"> factor productivo </w:t>
      </w:r>
      <w:r w:rsidR="00D325C2">
        <w:rPr>
          <w:rFonts w:ascii="Arial" w:hAnsi="Arial" w:cs="Arial"/>
        </w:rPr>
        <w:t>en</w:t>
      </w:r>
      <w:r w:rsidR="004522BF">
        <w:rPr>
          <w:rFonts w:ascii="Arial" w:hAnsi="Arial" w:cs="Arial"/>
        </w:rPr>
        <w:t xml:space="preserve"> </w:t>
      </w:r>
      <w:r w:rsidR="00D325C2">
        <w:rPr>
          <w:rFonts w:ascii="Arial" w:hAnsi="Arial" w:cs="Arial"/>
        </w:rPr>
        <w:t>l</w:t>
      </w:r>
      <w:r w:rsidR="004522BF">
        <w:rPr>
          <w:rFonts w:ascii="Arial" w:hAnsi="Arial" w:cs="Arial"/>
        </w:rPr>
        <w:t>a economía</w:t>
      </w:r>
      <w:r w:rsidR="00D325C2">
        <w:rPr>
          <w:rFonts w:ascii="Arial" w:hAnsi="Arial" w:cs="Arial"/>
        </w:rPr>
        <w:t xml:space="preserve"> </w:t>
      </w:r>
      <w:r w:rsidR="00C46DC0">
        <w:rPr>
          <w:rFonts w:ascii="Arial" w:hAnsi="Arial" w:cs="Arial"/>
        </w:rPr>
        <w:t>a</w:t>
      </w:r>
      <w:r w:rsidR="004522BF">
        <w:rPr>
          <w:rFonts w:ascii="Arial" w:hAnsi="Arial" w:cs="Arial"/>
        </w:rPr>
        <w:t xml:space="preserve"> los recursos naturales, </w:t>
      </w:r>
      <w:r w:rsidR="007A77A2">
        <w:rPr>
          <w:rFonts w:ascii="Arial" w:hAnsi="Arial" w:cs="Arial"/>
        </w:rPr>
        <w:t>e</w:t>
      </w:r>
      <w:r w:rsidR="007A77A2" w:rsidRPr="007A77A2">
        <w:rPr>
          <w:rFonts w:ascii="Arial" w:hAnsi="Arial" w:cs="Arial"/>
        </w:rPr>
        <w:t xml:space="preserve">s posible ver </w:t>
      </w:r>
      <w:r w:rsidR="00C46DC0">
        <w:rPr>
          <w:rFonts w:ascii="Arial" w:hAnsi="Arial" w:cs="Arial"/>
        </w:rPr>
        <w:t>esta</w:t>
      </w:r>
      <w:r w:rsidR="007A77A2" w:rsidRPr="007A77A2">
        <w:rPr>
          <w:rFonts w:ascii="Arial" w:hAnsi="Arial" w:cs="Arial"/>
        </w:rPr>
        <w:t xml:space="preserve"> conexión entre ahorro y sostenibilidad, a través de los efectos positivos en el medio ambiente</w:t>
      </w:r>
      <w:r w:rsidR="00C0560B">
        <w:rPr>
          <w:rFonts w:ascii="Arial" w:hAnsi="Arial" w:cs="Arial"/>
        </w:rPr>
        <w:t>.</w:t>
      </w:r>
      <w:r w:rsidR="007A77A2" w:rsidRPr="007A77A2">
        <w:rPr>
          <w:rFonts w:ascii="Arial" w:hAnsi="Arial" w:cs="Arial"/>
        </w:rPr>
        <w:t xml:space="preserve"> </w:t>
      </w:r>
      <w:r w:rsidR="000B72BB">
        <w:rPr>
          <w:rFonts w:ascii="Arial" w:hAnsi="Arial" w:cs="Arial"/>
        </w:rPr>
        <w:t>L</w:t>
      </w:r>
      <w:r w:rsidR="0088038D">
        <w:rPr>
          <w:rFonts w:ascii="Arial" w:hAnsi="Arial" w:cs="Arial"/>
        </w:rPr>
        <w:t>a</w:t>
      </w:r>
      <w:r w:rsidR="007A77A2" w:rsidRPr="007A77A2">
        <w:rPr>
          <w:rFonts w:ascii="Arial" w:hAnsi="Arial" w:cs="Arial"/>
        </w:rPr>
        <w:t xml:space="preserve"> producción </w:t>
      </w:r>
      <w:r w:rsidR="00D026D1">
        <w:rPr>
          <w:rFonts w:ascii="Arial" w:hAnsi="Arial" w:cs="Arial"/>
        </w:rPr>
        <w:t xml:space="preserve">de una </w:t>
      </w:r>
      <w:r w:rsidR="00D026D1" w:rsidRPr="007A77A2">
        <w:rPr>
          <w:rFonts w:ascii="Arial" w:hAnsi="Arial" w:cs="Arial"/>
        </w:rPr>
        <w:t>economía</w:t>
      </w:r>
      <w:r w:rsidR="007A77A2" w:rsidRPr="007A77A2">
        <w:rPr>
          <w:rFonts w:ascii="Arial" w:hAnsi="Arial" w:cs="Arial"/>
        </w:rPr>
        <w:t xml:space="preserve"> simple toma la forma</w:t>
      </w:r>
      <w:r w:rsidR="00244A5D" w:rsidRPr="007A77A2">
        <w:rPr>
          <w:rFonts w:ascii="Arial" w:hAnsi="Arial" w:cs="Arial"/>
        </w:rPr>
        <w:t>:</w:t>
      </w:r>
    </w:p>
    <w:p w14:paraId="1AD1FD2F" w14:textId="77777777" w:rsidR="00244A5D" w:rsidRPr="008F5768" w:rsidRDefault="00244A5D" w:rsidP="00705E36">
      <w:pPr>
        <w:ind w:right="140"/>
        <w:jc w:val="center"/>
        <w:rPr>
          <w:rFonts w:ascii="Arial" w:eastAsiaTheme="minorEastAsia" w:hAnsi="Arial" w:cs="Arial"/>
          <w:lang w:val="en-GB"/>
        </w:rPr>
      </w:pPr>
      <m:oMathPara>
        <m:oMath>
          <m:r>
            <m:rPr>
              <m:sty m:val="p"/>
            </m:rPr>
            <w:rPr>
              <w:rFonts w:ascii="Cambria Math" w:hAnsi="Cambria Math" w:cs="Arial"/>
              <w:lang w:val="en-GB"/>
            </w:rPr>
            <m:t>Y</m:t>
          </m:r>
          <m:d>
            <m:dPr>
              <m:ctrlPr>
                <w:rPr>
                  <w:rFonts w:ascii="Cambria Math" w:hAnsi="Cambria Math" w:cs="Arial"/>
                  <w:lang w:val="en-GB"/>
                </w:rPr>
              </m:ctrlPr>
            </m:dPr>
            <m:e>
              <m:r>
                <m:rPr>
                  <m:sty m:val="p"/>
                </m:rPr>
                <w:rPr>
                  <w:rFonts w:ascii="Cambria Math" w:hAnsi="Cambria Math" w:cs="Arial"/>
                  <w:lang w:val="en-GB"/>
                </w:rPr>
                <m:t>t</m:t>
              </m:r>
            </m:e>
          </m:d>
          <m:r>
            <m:rPr>
              <m:sty m:val="p"/>
            </m:rPr>
            <w:rPr>
              <w:rFonts w:ascii="Cambria Math" w:hAnsi="Cambria Math" w:cs="Arial"/>
              <w:lang w:val="en-GB"/>
            </w:rPr>
            <m:t>= A</m:t>
          </m:r>
          <m:d>
            <m:dPr>
              <m:ctrlPr>
                <w:rPr>
                  <w:rFonts w:ascii="Cambria Math" w:hAnsi="Cambria Math" w:cs="Arial"/>
                  <w:lang w:val="en-GB"/>
                </w:rPr>
              </m:ctrlPr>
            </m:dPr>
            <m:e>
              <m:r>
                <m:rPr>
                  <m:sty m:val="p"/>
                </m:rPr>
                <w:rPr>
                  <w:rFonts w:ascii="Cambria Math" w:hAnsi="Cambria Math" w:cs="Arial"/>
                  <w:lang w:val="en-GB"/>
                </w:rPr>
                <m:t>t</m:t>
              </m:r>
            </m:e>
          </m:d>
          <m:r>
            <m:rPr>
              <m:sty m:val="p"/>
            </m:rPr>
            <w:rPr>
              <w:rFonts w:ascii="Cambria Math" w:hAnsi="Cambria Math" w:cs="Arial"/>
              <w:lang w:val="en-GB"/>
            </w:rPr>
            <m:t>x f</m:t>
          </m:r>
          <m:d>
            <m:dPr>
              <m:ctrlPr>
                <w:rPr>
                  <w:rFonts w:ascii="Cambria Math" w:hAnsi="Cambria Math" w:cs="Arial"/>
                  <w:lang w:val="en-GB"/>
                </w:rPr>
              </m:ctrlPr>
            </m:dPr>
            <m:e>
              <m:r>
                <m:rPr>
                  <m:sty m:val="p"/>
                </m:rPr>
                <w:rPr>
                  <w:rFonts w:ascii="Cambria Math" w:hAnsi="Cambria Math" w:cs="Arial"/>
                  <w:lang w:val="en-GB"/>
                </w:rPr>
                <m:t>K</m:t>
              </m:r>
              <m:d>
                <m:dPr>
                  <m:ctrlPr>
                    <w:rPr>
                      <w:rFonts w:ascii="Cambria Math" w:hAnsi="Cambria Math" w:cs="Arial"/>
                      <w:lang w:val="en-GB"/>
                    </w:rPr>
                  </m:ctrlPr>
                </m:dPr>
                <m:e>
                  <m:r>
                    <m:rPr>
                      <m:sty m:val="p"/>
                    </m:rPr>
                    <w:rPr>
                      <w:rFonts w:ascii="Cambria Math" w:hAnsi="Cambria Math" w:cs="Arial"/>
                      <w:lang w:val="en-GB"/>
                    </w:rPr>
                    <m:t>t</m:t>
                  </m:r>
                </m:e>
              </m:d>
              <m:r>
                <m:rPr>
                  <m:sty m:val="p"/>
                </m:rPr>
                <w:rPr>
                  <w:rFonts w:ascii="Cambria Math" w:hAnsi="Cambria Math" w:cs="Arial"/>
                  <w:lang w:val="en-GB"/>
                </w:rPr>
                <m:t>, L</m:t>
              </m:r>
              <m:d>
                <m:dPr>
                  <m:ctrlPr>
                    <w:rPr>
                      <w:rFonts w:ascii="Cambria Math" w:hAnsi="Cambria Math" w:cs="Arial"/>
                      <w:lang w:val="en-GB"/>
                    </w:rPr>
                  </m:ctrlPr>
                </m:dPr>
                <m:e>
                  <m:r>
                    <m:rPr>
                      <m:sty m:val="p"/>
                    </m:rPr>
                    <w:rPr>
                      <w:rFonts w:ascii="Cambria Math" w:hAnsi="Cambria Math" w:cs="Arial"/>
                      <w:lang w:val="en-GB"/>
                    </w:rPr>
                    <m:t>t</m:t>
                  </m:r>
                </m:e>
              </m:d>
              <m:r>
                <m:rPr>
                  <m:sty m:val="p"/>
                </m:rPr>
                <w:rPr>
                  <w:rFonts w:ascii="Cambria Math" w:hAnsi="Cambria Math" w:cs="Arial"/>
                  <w:lang w:val="en-GB"/>
                </w:rPr>
                <m:t>, R</m:t>
              </m:r>
              <m:d>
                <m:dPr>
                  <m:ctrlPr>
                    <w:rPr>
                      <w:rFonts w:ascii="Cambria Math" w:hAnsi="Cambria Math" w:cs="Arial"/>
                      <w:lang w:val="en-GB"/>
                    </w:rPr>
                  </m:ctrlPr>
                </m:dPr>
                <m:e>
                  <m:r>
                    <m:rPr>
                      <m:sty m:val="p"/>
                    </m:rPr>
                    <w:rPr>
                      <w:rFonts w:ascii="Cambria Math" w:hAnsi="Cambria Math" w:cs="Arial"/>
                      <w:lang w:val="en-GB"/>
                    </w:rPr>
                    <m:t>t</m:t>
                  </m:r>
                </m:e>
              </m:d>
            </m:e>
          </m:d>
        </m:oMath>
      </m:oMathPara>
    </w:p>
    <w:p w14:paraId="04EAA4DB" w14:textId="14F591CB" w:rsidR="00244A5D" w:rsidRPr="00EA654E" w:rsidRDefault="00EA654E" w:rsidP="00705E36">
      <w:pPr>
        <w:ind w:right="140"/>
        <w:rPr>
          <w:rFonts w:ascii="Arial" w:hAnsi="Arial" w:cs="Arial"/>
        </w:rPr>
      </w:pPr>
      <w:r w:rsidRPr="00EA654E">
        <w:rPr>
          <w:rFonts w:ascii="Arial" w:hAnsi="Arial" w:cs="Arial"/>
        </w:rPr>
        <w:t>Donde A es la productividad total de los factores, la capacidad de la economía para combinar insumos. K, L, R son los insumos utilizados en la economía, siendo K el capital reproducible (creado por el hombre), L el trabajo o capital humano utilizado en la producción y R un flujo de un stock de capital natural N (t) utilizado en el proceso de producción.</w:t>
      </w:r>
      <w:r w:rsidR="00244A5D" w:rsidRPr="00EA654E">
        <w:rPr>
          <w:rFonts w:ascii="Arial" w:hAnsi="Arial" w:cs="Arial"/>
        </w:rPr>
        <w:t xml:space="preserve"> </w:t>
      </w:r>
    </w:p>
    <w:p w14:paraId="38C3228D" w14:textId="46635807" w:rsidR="00244A5D" w:rsidRPr="00B12333" w:rsidRDefault="00B12333" w:rsidP="00705E36">
      <w:pPr>
        <w:ind w:right="140"/>
        <w:rPr>
          <w:rFonts w:ascii="Arial" w:hAnsi="Arial" w:cs="Arial"/>
        </w:rPr>
      </w:pPr>
      <w:r w:rsidRPr="00B12333">
        <w:rPr>
          <w:rFonts w:ascii="Arial" w:hAnsi="Arial" w:cs="Arial"/>
        </w:rPr>
        <w:t xml:space="preserve">Esta fórmula de producción económica se utiliza </w:t>
      </w:r>
      <w:r w:rsidR="00684195">
        <w:rPr>
          <w:rFonts w:ascii="Arial" w:hAnsi="Arial" w:cs="Arial"/>
        </w:rPr>
        <w:t>para</w:t>
      </w:r>
      <w:r w:rsidR="00E25C4D">
        <w:rPr>
          <w:rFonts w:ascii="Arial" w:hAnsi="Arial" w:cs="Arial"/>
        </w:rPr>
        <w:t xml:space="preserve"> este trabajo, </w:t>
      </w:r>
      <w:r w:rsidRPr="00B12333">
        <w:rPr>
          <w:rFonts w:ascii="Arial" w:hAnsi="Arial" w:cs="Arial"/>
        </w:rPr>
        <w:t xml:space="preserve">conceptualmente </w:t>
      </w:r>
      <w:r w:rsidR="00930E34">
        <w:rPr>
          <w:rFonts w:ascii="Arial" w:hAnsi="Arial" w:cs="Arial"/>
        </w:rPr>
        <w:t>adaptada</w:t>
      </w:r>
      <w:r w:rsidRPr="00B12333">
        <w:rPr>
          <w:rFonts w:ascii="Arial" w:hAnsi="Arial" w:cs="Arial"/>
        </w:rPr>
        <w:t xml:space="preserve"> a las empresas privadas, clasificando el gasto necesario para la </w:t>
      </w:r>
      <w:r w:rsidR="004A24AB">
        <w:rPr>
          <w:rFonts w:ascii="Arial" w:hAnsi="Arial" w:cs="Arial"/>
        </w:rPr>
        <w:t>actividad</w:t>
      </w:r>
      <w:r w:rsidRPr="00B12333">
        <w:rPr>
          <w:rFonts w:ascii="Arial" w:hAnsi="Arial" w:cs="Arial"/>
        </w:rPr>
        <w:t xml:space="preserve"> de las empresas entre los grupos de insumos identificados por Dasgupta.</w:t>
      </w:r>
      <w:r w:rsidR="00244A5D" w:rsidRPr="00B12333">
        <w:rPr>
          <w:rFonts w:ascii="Arial" w:hAnsi="Arial" w:cs="Arial"/>
        </w:rPr>
        <w:t xml:space="preserve"> </w:t>
      </w:r>
    </w:p>
    <w:p w14:paraId="1E903BA9" w14:textId="3891B05D" w:rsidR="00BB143D" w:rsidRPr="00040EDE" w:rsidRDefault="00336FB4" w:rsidP="00705E36">
      <w:pPr>
        <w:ind w:right="140"/>
        <w:rPr>
          <w:rFonts w:ascii="Arial" w:hAnsi="Arial" w:cs="Arial"/>
        </w:rPr>
      </w:pPr>
      <w:r w:rsidRPr="00336FB4">
        <w:rPr>
          <w:rFonts w:ascii="Arial" w:hAnsi="Arial" w:cs="Arial"/>
        </w:rPr>
        <w:t>De la misma manera se utiliza el concepto de capital total de una nación</w:t>
      </w:r>
      <w:r w:rsidR="00727941">
        <w:rPr>
          <w:rFonts w:ascii="Arial" w:hAnsi="Arial" w:cs="Arial"/>
        </w:rPr>
        <w:t>,</w:t>
      </w:r>
      <w:r w:rsidRPr="00336FB4">
        <w:rPr>
          <w:rFonts w:ascii="Arial" w:hAnsi="Arial" w:cs="Arial"/>
        </w:rPr>
        <w:t xml:space="preserve"> </w:t>
      </w:r>
      <w:r w:rsidR="00727941">
        <w:rPr>
          <w:rFonts w:ascii="Arial" w:hAnsi="Arial" w:cs="Arial"/>
        </w:rPr>
        <w:t>q</w:t>
      </w:r>
      <w:r w:rsidR="00650FAA">
        <w:rPr>
          <w:rFonts w:ascii="Arial" w:hAnsi="Arial" w:cs="Arial"/>
        </w:rPr>
        <w:t>ue</w:t>
      </w:r>
      <w:r w:rsidRPr="00336FB4">
        <w:rPr>
          <w:rFonts w:ascii="Arial" w:hAnsi="Arial" w:cs="Arial"/>
        </w:rPr>
        <w:t xml:space="preserve"> comprende el capital producido (máquinas, edificios, redes de telecomunicaciones), el capital humano, el capital natural y el capital social. El capital natural está formado por todos los “</w:t>
      </w:r>
      <w:r w:rsidR="00806A9C">
        <w:rPr>
          <w:rFonts w:ascii="Arial" w:hAnsi="Arial" w:cs="Arial"/>
        </w:rPr>
        <w:t>regalos</w:t>
      </w:r>
      <w:r w:rsidRPr="00336FB4">
        <w:rPr>
          <w:rFonts w:ascii="Arial" w:hAnsi="Arial" w:cs="Arial"/>
        </w:rPr>
        <w:t xml:space="preserve"> de la naturaleza”: recursos renovables y no renovables, como las reservas de petróleo y los bosques. Los valores que obtenemos del capital natural tienen un precio de mercado en muchos casos (carbón, madera), pero no en otros (ciclos de nutrientes, calidad del paisaje, biodiversidad).</w:t>
      </w:r>
      <w:r w:rsidR="00BB143D">
        <w:rPr>
          <w:rFonts w:ascii="Arial" w:hAnsi="Arial" w:cs="Arial"/>
          <w:lang w:val="en-GB"/>
        </w:rPr>
        <w:fldChar w:fldCharType="begin"/>
      </w:r>
      <w:r w:rsidR="00BB143D" w:rsidRPr="00336FB4">
        <w:rPr>
          <w:rFonts w:ascii="Arial" w:hAnsi="Arial" w:cs="Arial"/>
        </w:rPr>
        <w:instrText xml:space="preserve"> ADDIN ZOTERO_ITEM CSL_CITATION {"citationID":"b2NI2O5K","properties":{"formattedCitation":"(Hanley et al., 2015)","plainCitation":"(Hanley et al., 2015)","noteIndex":0},"citationItems":[{"id":246,"uris":["http://zotero.org/users/9514289/items/SS8A5MW3"],"itemData":{"id":246,"type":"article-journal","abstract":"Genuine Savings has emerged as the leading economic indicator of sustainable economic development at the country level. It derives from the literatures on weak sustainability, wealth accounting and national income accounting. The paper is structured as follows: section 1 introduces the basic measure and the idea of weak sustainability. Section two provides an overview of the intellectual history of Genuine Savings (GS). This is followed by an outline of the basic theoretical structure underlying GS as well as extensions to this model. Section 4 provides an overview of empirical estimates of GS and section 5 looks at tests of the predictive power of GS. Section 6 concludes by assessing whether GS is in fact a sustainable and useful concept.","container-title":"Journal of Economic Surveys","DOI":"10.1111/joes.12120","ISSN":"09500804","issue":"4","journalAbbreviation":"Journal of Economic Surveys","language":"en","page":"779-806","source":"DOI.org (Crossref)","title":"GENUINE SAVINGS AND SUSTAINABILITY: GENUINE SAVINGS AND SUSTAINABILITY","title-short":"GENUINE SAVINGS AND SUSTAINABILITY","volume":"29","author":[{"family":"Hanley","given":"Nick"},{"family":"Dupuy","given":"Louis"},{"family":"McLaughlin","given":"Eoin"}],"issued":{"date-parts":[["2015",9]]}}}],"schema":"https://github.com/citation-style-language/schema/raw/master/csl-citation.json"} </w:instrText>
      </w:r>
      <w:r w:rsidR="00BB143D">
        <w:rPr>
          <w:rFonts w:ascii="Arial" w:hAnsi="Arial" w:cs="Arial"/>
          <w:lang w:val="en-GB"/>
        </w:rPr>
        <w:fldChar w:fldCharType="separate"/>
      </w:r>
      <w:r w:rsidR="00BB143D" w:rsidRPr="00040EDE">
        <w:rPr>
          <w:rFonts w:ascii="Arial" w:hAnsi="Arial" w:cs="Arial"/>
        </w:rPr>
        <w:t>(Hanley et al., 2015)</w:t>
      </w:r>
      <w:r w:rsidR="00BB143D">
        <w:rPr>
          <w:rFonts w:ascii="Arial" w:hAnsi="Arial" w:cs="Arial"/>
          <w:lang w:val="en-GB"/>
        </w:rPr>
        <w:fldChar w:fldCharType="end"/>
      </w:r>
    </w:p>
    <w:p w14:paraId="7931E240" w14:textId="6F171CA0" w:rsidR="00244A5D" w:rsidRPr="005A2BC1" w:rsidRDefault="00A37DC5" w:rsidP="00705E36">
      <w:pPr>
        <w:ind w:right="140"/>
        <w:rPr>
          <w:rFonts w:ascii="Arial" w:hAnsi="Arial" w:cs="Arial"/>
        </w:rPr>
      </w:pPr>
      <w:r w:rsidRPr="00A37DC5">
        <w:rPr>
          <w:rFonts w:ascii="Arial" w:hAnsi="Arial" w:cs="Arial"/>
        </w:rPr>
        <w:t>Para las empresas</w:t>
      </w:r>
      <w:r w:rsidR="00A542CC">
        <w:rPr>
          <w:rFonts w:ascii="Arial" w:hAnsi="Arial" w:cs="Arial"/>
        </w:rPr>
        <w:t>,</w:t>
      </w:r>
      <w:r w:rsidRPr="00A37DC5">
        <w:rPr>
          <w:rFonts w:ascii="Arial" w:hAnsi="Arial" w:cs="Arial"/>
        </w:rPr>
        <w:t xml:space="preserve"> las c</w:t>
      </w:r>
      <w:r>
        <w:rPr>
          <w:rFonts w:ascii="Arial" w:hAnsi="Arial" w:cs="Arial"/>
        </w:rPr>
        <w:t xml:space="preserve">ompras realizadas son los insumos necesarios </w:t>
      </w:r>
      <w:r w:rsidR="007028B3">
        <w:rPr>
          <w:rFonts w:ascii="Arial" w:hAnsi="Arial" w:cs="Arial"/>
        </w:rPr>
        <w:t xml:space="preserve">para su actividad, </w:t>
      </w:r>
      <w:r w:rsidR="00886771">
        <w:rPr>
          <w:rFonts w:ascii="Arial" w:hAnsi="Arial" w:cs="Arial"/>
        </w:rPr>
        <w:t xml:space="preserve">y </w:t>
      </w:r>
      <w:r w:rsidR="007028B3">
        <w:rPr>
          <w:rFonts w:ascii="Arial" w:hAnsi="Arial" w:cs="Arial"/>
        </w:rPr>
        <w:t>siguiendo con esta clasificación</w:t>
      </w:r>
      <w:r w:rsidR="006B4A15">
        <w:rPr>
          <w:rFonts w:ascii="Arial" w:hAnsi="Arial" w:cs="Arial"/>
        </w:rPr>
        <w:t xml:space="preserve"> </w:t>
      </w:r>
      <w:r w:rsidR="001B0EB6" w:rsidRPr="001B0EB6">
        <w:rPr>
          <w:rFonts w:ascii="Arial" w:hAnsi="Arial" w:cs="Arial"/>
        </w:rPr>
        <w:t>cada categoría de compra</w:t>
      </w:r>
      <w:r w:rsidR="0070108C">
        <w:rPr>
          <w:rFonts w:ascii="Arial" w:hAnsi="Arial" w:cs="Arial"/>
        </w:rPr>
        <w:t xml:space="preserve"> (PC)</w:t>
      </w:r>
      <w:r w:rsidR="001B0EB6" w:rsidRPr="001B0EB6">
        <w:rPr>
          <w:rFonts w:ascii="Arial" w:hAnsi="Arial" w:cs="Arial"/>
        </w:rPr>
        <w:t xml:space="preserve"> </w:t>
      </w:r>
      <w:r w:rsidR="00DE44E6">
        <w:rPr>
          <w:rFonts w:ascii="Arial" w:hAnsi="Arial" w:cs="Arial"/>
        </w:rPr>
        <w:t>quedaría</w:t>
      </w:r>
      <w:r w:rsidR="001B0EB6" w:rsidRPr="001B0EB6">
        <w:rPr>
          <w:rFonts w:ascii="Arial" w:hAnsi="Arial" w:cs="Arial"/>
        </w:rPr>
        <w:t xml:space="preserve"> dentro de uno de estos tres </w:t>
      </w:r>
      <w:r w:rsidR="00646DFF">
        <w:rPr>
          <w:rFonts w:ascii="Arial" w:hAnsi="Arial" w:cs="Arial"/>
        </w:rPr>
        <w:t>grupos</w:t>
      </w:r>
      <w:r w:rsidR="001B0EB6" w:rsidRPr="001B0EB6">
        <w:rPr>
          <w:rFonts w:ascii="Arial" w:hAnsi="Arial" w:cs="Arial"/>
        </w:rPr>
        <w:t xml:space="preserve"> </w:t>
      </w:r>
      <w:r w:rsidR="00B71767">
        <w:rPr>
          <w:rFonts w:ascii="Arial" w:hAnsi="Arial" w:cs="Arial"/>
        </w:rPr>
        <w:t xml:space="preserve">según </w:t>
      </w:r>
      <w:r w:rsidR="00767D6C">
        <w:rPr>
          <w:rFonts w:ascii="Arial" w:hAnsi="Arial" w:cs="Arial"/>
        </w:rPr>
        <w:t xml:space="preserve">sea </w:t>
      </w:r>
      <w:r w:rsidR="00B71767">
        <w:rPr>
          <w:rFonts w:ascii="Arial" w:hAnsi="Arial" w:cs="Arial"/>
        </w:rPr>
        <w:t xml:space="preserve">su mayor </w:t>
      </w:r>
      <w:r w:rsidR="001B0EB6" w:rsidRPr="001B0EB6">
        <w:rPr>
          <w:rFonts w:ascii="Arial" w:hAnsi="Arial" w:cs="Arial"/>
        </w:rPr>
        <w:t xml:space="preserve">impacto en K (capital creado por el hombre), en L (mano de obra) </w:t>
      </w:r>
      <w:r w:rsidR="00B71767">
        <w:rPr>
          <w:rFonts w:ascii="Arial" w:hAnsi="Arial" w:cs="Arial"/>
        </w:rPr>
        <w:t>o</w:t>
      </w:r>
      <w:r w:rsidR="001B0EB6" w:rsidRPr="001B0EB6">
        <w:rPr>
          <w:rFonts w:ascii="Arial" w:hAnsi="Arial" w:cs="Arial"/>
        </w:rPr>
        <w:t xml:space="preserve"> </w:t>
      </w:r>
      <w:r w:rsidR="00367AC1">
        <w:rPr>
          <w:rFonts w:ascii="Arial" w:hAnsi="Arial" w:cs="Arial"/>
        </w:rPr>
        <w:t xml:space="preserve">en </w:t>
      </w:r>
      <w:r w:rsidR="001B0EB6" w:rsidRPr="001B0EB6">
        <w:rPr>
          <w:rFonts w:ascii="Arial" w:hAnsi="Arial" w:cs="Arial"/>
        </w:rPr>
        <w:t>los recursos naturales R (flujo del Stock de Capital Natural N).</w:t>
      </w:r>
      <w:r w:rsidR="006831B6">
        <w:rPr>
          <w:rFonts w:ascii="Arial" w:hAnsi="Arial" w:cs="Arial"/>
        </w:rPr>
        <w:t xml:space="preserve"> </w:t>
      </w:r>
      <w:r w:rsidR="005A2BC1" w:rsidRPr="005A2BC1">
        <w:rPr>
          <w:rFonts w:ascii="Arial" w:hAnsi="Arial" w:cs="Arial"/>
        </w:rPr>
        <w:t xml:space="preserve">Por lo tanto, </w:t>
      </w:r>
      <w:r w:rsidR="00AA3504">
        <w:rPr>
          <w:rFonts w:ascii="Arial" w:hAnsi="Arial" w:cs="Arial"/>
        </w:rPr>
        <w:t xml:space="preserve">es </w:t>
      </w:r>
      <w:r w:rsidR="006831B6">
        <w:rPr>
          <w:rFonts w:ascii="Arial" w:hAnsi="Arial" w:cs="Arial"/>
        </w:rPr>
        <w:t xml:space="preserve">en estas </w:t>
      </w:r>
      <w:r w:rsidR="005A2BC1" w:rsidRPr="005A2BC1">
        <w:rPr>
          <w:rFonts w:ascii="Arial" w:hAnsi="Arial" w:cs="Arial"/>
        </w:rPr>
        <w:t>categorías de gasto que demandan más recursos naturales (Stock de Capital Natural N),</w:t>
      </w:r>
      <w:r w:rsidR="00D037B7">
        <w:rPr>
          <w:rFonts w:ascii="Arial" w:hAnsi="Arial" w:cs="Arial"/>
        </w:rPr>
        <w:t xml:space="preserve"> </w:t>
      </w:r>
      <w:r w:rsidR="005A2BC1" w:rsidRPr="005A2BC1">
        <w:rPr>
          <w:rFonts w:ascii="Arial" w:hAnsi="Arial" w:cs="Arial"/>
        </w:rPr>
        <w:t xml:space="preserve">cuando </w:t>
      </w:r>
      <w:r w:rsidR="00D037B7">
        <w:rPr>
          <w:rFonts w:ascii="Arial" w:hAnsi="Arial" w:cs="Arial"/>
        </w:rPr>
        <w:t xml:space="preserve">los </w:t>
      </w:r>
      <w:r w:rsidR="005A2BC1" w:rsidRPr="005A2BC1">
        <w:rPr>
          <w:rFonts w:ascii="Arial" w:hAnsi="Arial" w:cs="Arial"/>
        </w:rPr>
        <w:t xml:space="preserve">ahorros </w:t>
      </w:r>
      <w:r w:rsidR="00D037B7">
        <w:rPr>
          <w:rFonts w:ascii="Arial" w:hAnsi="Arial" w:cs="Arial"/>
        </w:rPr>
        <w:t xml:space="preserve">generados </w:t>
      </w:r>
      <w:r w:rsidR="006943E5">
        <w:rPr>
          <w:rFonts w:ascii="Arial" w:hAnsi="Arial" w:cs="Arial"/>
        </w:rPr>
        <w:t xml:space="preserve">pueden </w:t>
      </w:r>
      <w:r w:rsidR="00FD2834">
        <w:rPr>
          <w:rFonts w:ascii="Arial" w:hAnsi="Arial" w:cs="Arial"/>
        </w:rPr>
        <w:t xml:space="preserve">repercutir positivamente en el medio ambiente </w:t>
      </w:r>
      <w:r w:rsidR="0085548A">
        <w:rPr>
          <w:rFonts w:ascii="Arial" w:hAnsi="Arial" w:cs="Arial"/>
        </w:rPr>
        <w:t xml:space="preserve">por </w:t>
      </w:r>
      <w:r w:rsidR="005A2BC1" w:rsidRPr="005A2BC1">
        <w:rPr>
          <w:rFonts w:ascii="Arial" w:hAnsi="Arial" w:cs="Arial"/>
        </w:rPr>
        <w:t xml:space="preserve">un menor consumo de </w:t>
      </w:r>
      <w:r w:rsidR="002B3EF4">
        <w:rPr>
          <w:rFonts w:ascii="Arial" w:hAnsi="Arial" w:cs="Arial"/>
        </w:rPr>
        <w:t xml:space="preserve">estos </w:t>
      </w:r>
      <w:r w:rsidR="005A2BC1" w:rsidRPr="005A2BC1">
        <w:rPr>
          <w:rFonts w:ascii="Arial" w:hAnsi="Arial" w:cs="Arial"/>
        </w:rPr>
        <w:t>recursos naturales.</w:t>
      </w:r>
    </w:p>
    <w:p w14:paraId="09C1BC8C" w14:textId="77777777" w:rsidR="00244A5D" w:rsidRPr="005A2BC1" w:rsidRDefault="00244A5D" w:rsidP="00705E36">
      <w:pPr>
        <w:ind w:right="140"/>
        <w:rPr>
          <w:rFonts w:ascii="Arial" w:hAnsi="Arial" w:cs="Arial"/>
        </w:rPr>
      </w:pPr>
    </w:p>
    <w:p w14:paraId="0479511B" w14:textId="2366A4CA" w:rsidR="00453B19" w:rsidRPr="00BE2CF3" w:rsidRDefault="002349A5" w:rsidP="00705E36">
      <w:pPr>
        <w:pStyle w:val="Heading1"/>
        <w:numPr>
          <w:ilvl w:val="0"/>
          <w:numId w:val="1"/>
        </w:numPr>
        <w:ind w:right="140"/>
        <w:rPr>
          <w:rFonts w:ascii="Arial" w:hAnsi="Arial" w:cs="Arial"/>
          <w:lang w:val="en-GB"/>
        </w:rPr>
      </w:pPr>
      <w:bookmarkStart w:id="10" w:name="_Toc183376718"/>
      <w:r>
        <w:rPr>
          <w:rFonts w:ascii="Arial" w:hAnsi="Arial" w:cs="Arial"/>
          <w:lang w:val="en-GB"/>
        </w:rPr>
        <w:t>Desarrollo de las hipótesis</w:t>
      </w:r>
      <w:bookmarkEnd w:id="10"/>
    </w:p>
    <w:p w14:paraId="4A50A2A1" w14:textId="7923FC90" w:rsidR="006F61E9" w:rsidRPr="00BE2CF3" w:rsidRDefault="006F61E9" w:rsidP="00705E36">
      <w:pPr>
        <w:ind w:right="140"/>
        <w:rPr>
          <w:rFonts w:ascii="Arial" w:hAnsi="Arial" w:cs="Arial"/>
          <w:lang w:val="en-GB"/>
        </w:rPr>
      </w:pPr>
    </w:p>
    <w:p w14:paraId="34E07503" w14:textId="3A2A48B5" w:rsidR="002B1820" w:rsidRDefault="0021111D" w:rsidP="00705E36">
      <w:pPr>
        <w:ind w:right="140"/>
        <w:rPr>
          <w:rFonts w:ascii="Arial" w:hAnsi="Arial" w:cs="Arial"/>
        </w:rPr>
      </w:pPr>
      <w:r w:rsidRPr="0021111D">
        <w:rPr>
          <w:rFonts w:ascii="Arial" w:hAnsi="Arial" w:cs="Arial"/>
        </w:rPr>
        <w:t xml:space="preserve">Las organizaciones son vistas como un conjunto de recursos cuya estrategia empresarial correctamente vinculada y alineada puede crear un rendimiento </w:t>
      </w:r>
      <w:r w:rsidR="00C36AAF" w:rsidRPr="0021111D">
        <w:rPr>
          <w:rFonts w:ascii="Arial" w:hAnsi="Arial" w:cs="Arial"/>
        </w:rPr>
        <w:t xml:space="preserve">(Barney, 1991). </w:t>
      </w:r>
      <w:r w:rsidR="002B1820" w:rsidRPr="0019680D">
        <w:rPr>
          <w:rFonts w:ascii="Arial" w:hAnsi="Arial" w:cs="Arial"/>
        </w:rPr>
        <w:t xml:space="preserve">El </w:t>
      </w:r>
      <w:r w:rsidR="0030108E" w:rsidRPr="0019680D">
        <w:rPr>
          <w:rFonts w:ascii="Arial" w:hAnsi="Arial" w:cs="Arial"/>
        </w:rPr>
        <w:t>uso que se le da a estos</w:t>
      </w:r>
      <w:r w:rsidR="0019680D" w:rsidRPr="0019680D">
        <w:rPr>
          <w:rFonts w:ascii="Arial" w:hAnsi="Arial" w:cs="Arial"/>
        </w:rPr>
        <w:t xml:space="preserve">, normalmente limitados </w:t>
      </w:r>
      <w:r w:rsidR="0030108E" w:rsidRPr="0019680D">
        <w:rPr>
          <w:rFonts w:ascii="Arial" w:hAnsi="Arial" w:cs="Arial"/>
        </w:rPr>
        <w:t>recursos</w:t>
      </w:r>
      <w:r w:rsidR="006721CA">
        <w:rPr>
          <w:rFonts w:ascii="Arial" w:hAnsi="Arial" w:cs="Arial"/>
        </w:rPr>
        <w:t>,</w:t>
      </w:r>
      <w:r w:rsidR="0019680D" w:rsidRPr="0019680D">
        <w:rPr>
          <w:rFonts w:ascii="Arial" w:hAnsi="Arial" w:cs="Arial"/>
        </w:rPr>
        <w:t xml:space="preserve"> trata de satis</w:t>
      </w:r>
      <w:r w:rsidR="0019680D">
        <w:rPr>
          <w:rFonts w:ascii="Arial" w:hAnsi="Arial" w:cs="Arial"/>
        </w:rPr>
        <w:t xml:space="preserve">facer las necesidades de </w:t>
      </w:r>
      <w:r w:rsidR="00006256">
        <w:rPr>
          <w:rFonts w:ascii="Arial" w:hAnsi="Arial" w:cs="Arial"/>
        </w:rPr>
        <w:t>los clientes</w:t>
      </w:r>
      <w:r w:rsidR="00742D8E">
        <w:rPr>
          <w:rFonts w:ascii="Arial" w:hAnsi="Arial" w:cs="Arial"/>
        </w:rPr>
        <w:t>,</w:t>
      </w:r>
      <w:r w:rsidR="00006256">
        <w:rPr>
          <w:rFonts w:ascii="Arial" w:hAnsi="Arial" w:cs="Arial"/>
        </w:rPr>
        <w:t xml:space="preserve"> </w:t>
      </w:r>
      <w:r w:rsidR="001B790A">
        <w:rPr>
          <w:rFonts w:ascii="Arial" w:hAnsi="Arial" w:cs="Arial"/>
        </w:rPr>
        <w:t>accionistas</w:t>
      </w:r>
      <w:r w:rsidR="007242D1">
        <w:rPr>
          <w:rFonts w:ascii="Arial" w:hAnsi="Arial" w:cs="Arial"/>
        </w:rPr>
        <w:t xml:space="preserve"> y también </w:t>
      </w:r>
      <w:r w:rsidR="00006256">
        <w:rPr>
          <w:rFonts w:ascii="Arial" w:hAnsi="Arial" w:cs="Arial"/>
        </w:rPr>
        <w:t>la</w:t>
      </w:r>
      <w:r w:rsidR="002A0F45">
        <w:rPr>
          <w:rFonts w:ascii="Arial" w:hAnsi="Arial" w:cs="Arial"/>
        </w:rPr>
        <w:t>s</w:t>
      </w:r>
      <w:r w:rsidR="00006256">
        <w:rPr>
          <w:rFonts w:ascii="Arial" w:hAnsi="Arial" w:cs="Arial"/>
        </w:rPr>
        <w:t xml:space="preserve"> del mayor número </w:t>
      </w:r>
      <w:r w:rsidR="000C76F0">
        <w:rPr>
          <w:rFonts w:ascii="Arial" w:hAnsi="Arial" w:cs="Arial"/>
        </w:rPr>
        <w:t xml:space="preserve">posible </w:t>
      </w:r>
      <w:r w:rsidR="00550496">
        <w:rPr>
          <w:rFonts w:ascii="Arial" w:hAnsi="Arial" w:cs="Arial"/>
        </w:rPr>
        <w:t>de grupos de interés</w:t>
      </w:r>
      <w:r w:rsidR="007445F4">
        <w:rPr>
          <w:rFonts w:ascii="Arial" w:hAnsi="Arial" w:cs="Arial"/>
        </w:rPr>
        <w:t>, (SHT)</w:t>
      </w:r>
      <w:r w:rsidR="00550496">
        <w:rPr>
          <w:rFonts w:ascii="Arial" w:hAnsi="Arial" w:cs="Arial"/>
        </w:rPr>
        <w:t xml:space="preserve">. </w:t>
      </w:r>
      <w:r w:rsidR="00347CF9" w:rsidRPr="00347CF9">
        <w:rPr>
          <w:rFonts w:ascii="Arial" w:hAnsi="Arial" w:cs="Arial"/>
        </w:rPr>
        <w:t>Esto obliga a las empresas a una búsqueda continua d</w:t>
      </w:r>
      <w:r w:rsidR="00347CF9">
        <w:rPr>
          <w:rFonts w:ascii="Arial" w:hAnsi="Arial" w:cs="Arial"/>
        </w:rPr>
        <w:t>e eficiencia</w:t>
      </w:r>
      <w:r w:rsidR="00961C30">
        <w:rPr>
          <w:rFonts w:ascii="Arial" w:hAnsi="Arial" w:cs="Arial"/>
        </w:rPr>
        <w:t xml:space="preserve"> en la gestión de estos recursos</w:t>
      </w:r>
      <w:r w:rsidR="00234BAC">
        <w:rPr>
          <w:rFonts w:ascii="Arial" w:hAnsi="Arial" w:cs="Arial"/>
        </w:rPr>
        <w:t xml:space="preserve">, </w:t>
      </w:r>
      <w:r w:rsidR="009B1216">
        <w:rPr>
          <w:rFonts w:ascii="Arial" w:hAnsi="Arial" w:cs="Arial"/>
        </w:rPr>
        <w:t xml:space="preserve">y una herramienta para </w:t>
      </w:r>
      <w:r w:rsidR="004212DC">
        <w:rPr>
          <w:rFonts w:ascii="Arial" w:hAnsi="Arial" w:cs="Arial"/>
        </w:rPr>
        <w:t>mejorarla son los</w:t>
      </w:r>
      <w:r w:rsidR="00234BAC">
        <w:rPr>
          <w:rFonts w:ascii="Arial" w:hAnsi="Arial" w:cs="Arial"/>
        </w:rPr>
        <w:t xml:space="preserve"> ahorros</w:t>
      </w:r>
      <w:r w:rsidR="004B3CC0">
        <w:rPr>
          <w:rFonts w:ascii="Arial" w:hAnsi="Arial" w:cs="Arial"/>
        </w:rPr>
        <w:t>.</w:t>
      </w:r>
    </w:p>
    <w:p w14:paraId="10E6953F" w14:textId="50E15194" w:rsidR="001C5483" w:rsidRDefault="00241F95" w:rsidP="00705E36">
      <w:pPr>
        <w:ind w:right="140"/>
        <w:rPr>
          <w:rFonts w:ascii="Arial" w:hAnsi="Arial" w:cs="Arial"/>
        </w:rPr>
      </w:pPr>
      <w:r w:rsidRPr="00241F95">
        <w:rPr>
          <w:rFonts w:ascii="Arial" w:hAnsi="Arial" w:cs="Arial"/>
        </w:rPr>
        <w:t>La SHT, toma en consideración una variedad de grupos</w:t>
      </w:r>
      <w:r w:rsidR="00EB1BD9">
        <w:rPr>
          <w:rFonts w:ascii="Arial" w:hAnsi="Arial" w:cs="Arial"/>
        </w:rPr>
        <w:t xml:space="preserve"> de interés</w:t>
      </w:r>
      <w:r w:rsidRPr="00241F95">
        <w:rPr>
          <w:rFonts w:ascii="Arial" w:hAnsi="Arial" w:cs="Arial"/>
        </w:rPr>
        <w:t xml:space="preserve"> que se ven afectados por la actividad de la empresa, como empleados, proveedores, comunidades locales, acreedores y otros. Esta visión de </w:t>
      </w:r>
      <w:r w:rsidR="008F2C78">
        <w:rPr>
          <w:rFonts w:ascii="Arial" w:hAnsi="Arial" w:cs="Arial"/>
        </w:rPr>
        <w:t xml:space="preserve">los grupos de </w:t>
      </w:r>
      <w:r w:rsidR="00F022A2">
        <w:rPr>
          <w:rFonts w:ascii="Arial" w:hAnsi="Arial" w:cs="Arial"/>
        </w:rPr>
        <w:t>interés</w:t>
      </w:r>
      <w:r w:rsidR="00824321">
        <w:rPr>
          <w:rFonts w:ascii="Arial" w:hAnsi="Arial" w:cs="Arial"/>
        </w:rPr>
        <w:t xml:space="preserve"> </w:t>
      </w:r>
      <w:r w:rsidRPr="00241F95">
        <w:rPr>
          <w:rFonts w:ascii="Arial" w:hAnsi="Arial" w:cs="Arial"/>
        </w:rPr>
        <w:t xml:space="preserve">agrega un nivel sociopolítico a la actividad de la función PSM, considerando que satisfacer las necesidades de </w:t>
      </w:r>
      <w:r w:rsidR="00F022A2">
        <w:rPr>
          <w:rFonts w:ascii="Arial" w:hAnsi="Arial" w:cs="Arial"/>
        </w:rPr>
        <w:t>estos</w:t>
      </w:r>
      <w:r w:rsidRPr="00241F95">
        <w:rPr>
          <w:rFonts w:ascii="Arial" w:hAnsi="Arial" w:cs="Arial"/>
        </w:rPr>
        <w:t xml:space="preserve"> diferentes grupos de interés de la empresa es parte de la actividad normal</w:t>
      </w:r>
      <w:r w:rsidR="001C5483" w:rsidRPr="00241F95">
        <w:rPr>
          <w:rFonts w:ascii="Arial" w:hAnsi="Arial" w:cs="Arial"/>
        </w:rPr>
        <w:t xml:space="preserve"> (Laplume et al.; 2008). </w:t>
      </w:r>
    </w:p>
    <w:p w14:paraId="2A08B302" w14:textId="26D90C29" w:rsidR="00B50D5D" w:rsidRPr="00727ECD" w:rsidRDefault="00727ECD" w:rsidP="00705E36">
      <w:pPr>
        <w:ind w:right="140"/>
        <w:rPr>
          <w:rFonts w:ascii="Arial" w:hAnsi="Arial" w:cs="Arial"/>
        </w:rPr>
      </w:pPr>
      <w:r w:rsidRPr="00E63103">
        <w:rPr>
          <w:rFonts w:ascii="Arial" w:hAnsi="Arial" w:cs="Arial"/>
        </w:rPr>
        <w:t>Como</w:t>
      </w:r>
      <w:r w:rsidRPr="00727ECD">
        <w:rPr>
          <w:rFonts w:ascii="Arial" w:hAnsi="Arial" w:cs="Arial"/>
        </w:rPr>
        <w:t xml:space="preserve"> los ahorros son </w:t>
      </w:r>
      <w:r>
        <w:rPr>
          <w:rFonts w:ascii="Arial" w:hAnsi="Arial" w:cs="Arial"/>
        </w:rPr>
        <w:t xml:space="preserve">considerados </w:t>
      </w:r>
      <w:r w:rsidR="00961BD7">
        <w:rPr>
          <w:rFonts w:ascii="Arial" w:hAnsi="Arial" w:cs="Arial"/>
        </w:rPr>
        <w:t>un</w:t>
      </w:r>
      <w:r w:rsidRPr="00727ECD">
        <w:rPr>
          <w:rFonts w:ascii="Arial" w:hAnsi="Arial" w:cs="Arial"/>
        </w:rPr>
        <w:t xml:space="preserve"> resultado cuantitativo de los profesionales de </w:t>
      </w:r>
      <w:r w:rsidR="00E63620">
        <w:rPr>
          <w:rFonts w:ascii="Arial" w:hAnsi="Arial" w:cs="Arial"/>
        </w:rPr>
        <w:t xml:space="preserve">compras </w:t>
      </w:r>
      <w:r w:rsidR="00BC615B">
        <w:rPr>
          <w:rFonts w:ascii="Arial" w:hAnsi="Arial" w:cs="Arial"/>
        </w:rPr>
        <w:t xml:space="preserve">en su búsqueda de </w:t>
      </w:r>
      <w:r w:rsidRPr="00727ECD">
        <w:rPr>
          <w:rFonts w:ascii="Arial" w:hAnsi="Arial" w:cs="Arial"/>
        </w:rPr>
        <w:t xml:space="preserve">eficiencia, </w:t>
      </w:r>
      <w:r w:rsidR="00116B11">
        <w:rPr>
          <w:rFonts w:ascii="Arial" w:hAnsi="Arial" w:cs="Arial"/>
        </w:rPr>
        <w:t xml:space="preserve">y </w:t>
      </w:r>
      <w:r w:rsidR="00BD40EB">
        <w:rPr>
          <w:rFonts w:ascii="Arial" w:hAnsi="Arial" w:cs="Arial"/>
        </w:rPr>
        <w:t xml:space="preserve">por tanto una forma de satisfacer a estos grupos de interés. </w:t>
      </w:r>
      <w:r w:rsidR="003D1576">
        <w:rPr>
          <w:rFonts w:ascii="Arial" w:hAnsi="Arial" w:cs="Arial"/>
        </w:rPr>
        <w:t>Entonces</w:t>
      </w:r>
      <w:r w:rsidR="00BD40EB">
        <w:rPr>
          <w:rFonts w:ascii="Arial" w:hAnsi="Arial" w:cs="Arial"/>
        </w:rPr>
        <w:t xml:space="preserve"> </w:t>
      </w:r>
      <w:r w:rsidR="0022299A">
        <w:rPr>
          <w:rFonts w:ascii="Arial" w:hAnsi="Arial" w:cs="Arial"/>
        </w:rPr>
        <w:t>son</w:t>
      </w:r>
      <w:r w:rsidR="00C955E8">
        <w:rPr>
          <w:rFonts w:ascii="Arial" w:hAnsi="Arial" w:cs="Arial"/>
        </w:rPr>
        <w:t xml:space="preserve"> necesarios</w:t>
      </w:r>
      <w:r w:rsidRPr="00727ECD">
        <w:rPr>
          <w:rFonts w:ascii="Arial" w:hAnsi="Arial" w:cs="Arial"/>
        </w:rPr>
        <w:t xml:space="preserve"> tipos de ahorros más complejos para </w:t>
      </w:r>
      <w:r w:rsidR="00B51F09">
        <w:rPr>
          <w:rFonts w:ascii="Arial" w:hAnsi="Arial" w:cs="Arial"/>
        </w:rPr>
        <w:t xml:space="preserve">poder </w:t>
      </w:r>
      <w:r w:rsidRPr="00727ECD">
        <w:rPr>
          <w:rFonts w:ascii="Arial" w:hAnsi="Arial" w:cs="Arial"/>
        </w:rPr>
        <w:t xml:space="preserve">cumplir con </w:t>
      </w:r>
      <w:r w:rsidR="008A69F4">
        <w:rPr>
          <w:rFonts w:ascii="Arial" w:hAnsi="Arial" w:cs="Arial"/>
        </w:rPr>
        <w:t>este</w:t>
      </w:r>
      <w:r w:rsidRPr="00727ECD">
        <w:rPr>
          <w:rFonts w:ascii="Arial" w:hAnsi="Arial" w:cs="Arial"/>
        </w:rPr>
        <w:t xml:space="preserve"> alcance más amplio</w:t>
      </w:r>
      <w:r w:rsidR="00B51F09">
        <w:rPr>
          <w:rFonts w:ascii="Arial" w:hAnsi="Arial" w:cs="Arial"/>
        </w:rPr>
        <w:t>,</w:t>
      </w:r>
      <w:r w:rsidRPr="00727ECD">
        <w:rPr>
          <w:rFonts w:ascii="Arial" w:hAnsi="Arial" w:cs="Arial"/>
        </w:rPr>
        <w:t xml:space="preserve"> </w:t>
      </w:r>
      <w:r w:rsidR="00B51F09">
        <w:rPr>
          <w:rFonts w:ascii="Arial" w:hAnsi="Arial" w:cs="Arial"/>
        </w:rPr>
        <w:t>igual que una</w:t>
      </w:r>
      <w:r w:rsidRPr="00727ECD">
        <w:rPr>
          <w:rFonts w:ascii="Arial" w:hAnsi="Arial" w:cs="Arial"/>
        </w:rPr>
        <w:t xml:space="preserve"> posición más estratégica de </w:t>
      </w:r>
      <w:r w:rsidR="008A69F4">
        <w:rPr>
          <w:rFonts w:ascii="Arial" w:hAnsi="Arial" w:cs="Arial"/>
        </w:rPr>
        <w:t xml:space="preserve">compras </w:t>
      </w:r>
      <w:r w:rsidRPr="00727ECD">
        <w:rPr>
          <w:rFonts w:ascii="Arial" w:hAnsi="Arial" w:cs="Arial"/>
        </w:rPr>
        <w:t xml:space="preserve">dentro de las empresas. </w:t>
      </w:r>
      <w:r w:rsidR="00DB1BCE">
        <w:rPr>
          <w:rFonts w:ascii="Arial" w:hAnsi="Arial" w:cs="Arial"/>
        </w:rPr>
        <w:t xml:space="preserve">Y </w:t>
      </w:r>
      <w:r w:rsidR="00726DE9">
        <w:rPr>
          <w:rFonts w:ascii="Arial" w:hAnsi="Arial" w:cs="Arial"/>
        </w:rPr>
        <w:t xml:space="preserve">así </w:t>
      </w:r>
      <w:r w:rsidR="00DB1BCE">
        <w:rPr>
          <w:rFonts w:ascii="Arial" w:hAnsi="Arial" w:cs="Arial"/>
        </w:rPr>
        <w:t>estos ahorros</w:t>
      </w:r>
      <w:r w:rsidRPr="00727ECD">
        <w:rPr>
          <w:rFonts w:ascii="Arial" w:hAnsi="Arial" w:cs="Arial"/>
        </w:rPr>
        <w:t xml:space="preserve"> </w:t>
      </w:r>
      <w:r w:rsidR="00242DEA">
        <w:rPr>
          <w:rFonts w:ascii="Arial" w:hAnsi="Arial" w:cs="Arial"/>
        </w:rPr>
        <w:t>indirectos y más complejos</w:t>
      </w:r>
      <w:r w:rsidR="00E03C5D">
        <w:rPr>
          <w:rFonts w:ascii="Arial" w:hAnsi="Arial" w:cs="Arial"/>
        </w:rPr>
        <w:t>,</w:t>
      </w:r>
      <w:r w:rsidR="00242DEA">
        <w:rPr>
          <w:rFonts w:ascii="Arial" w:hAnsi="Arial" w:cs="Arial"/>
        </w:rPr>
        <w:t xml:space="preserve"> </w:t>
      </w:r>
      <w:r w:rsidRPr="00727ECD">
        <w:rPr>
          <w:rFonts w:ascii="Arial" w:hAnsi="Arial" w:cs="Arial"/>
        </w:rPr>
        <w:t xml:space="preserve">también </w:t>
      </w:r>
      <w:r w:rsidR="00033E43">
        <w:rPr>
          <w:rFonts w:ascii="Arial" w:hAnsi="Arial" w:cs="Arial"/>
        </w:rPr>
        <w:t xml:space="preserve">se </w:t>
      </w:r>
      <w:r w:rsidR="00726DE9">
        <w:rPr>
          <w:rFonts w:ascii="Arial" w:hAnsi="Arial" w:cs="Arial"/>
        </w:rPr>
        <w:t xml:space="preserve">podrán </w:t>
      </w:r>
      <w:r w:rsidR="00033E43">
        <w:rPr>
          <w:rFonts w:ascii="Arial" w:hAnsi="Arial" w:cs="Arial"/>
        </w:rPr>
        <w:t>utiliza</w:t>
      </w:r>
      <w:r w:rsidR="00726DE9">
        <w:rPr>
          <w:rFonts w:ascii="Arial" w:hAnsi="Arial" w:cs="Arial"/>
        </w:rPr>
        <w:t>r</w:t>
      </w:r>
      <w:r w:rsidR="00033E43">
        <w:rPr>
          <w:rFonts w:ascii="Arial" w:hAnsi="Arial" w:cs="Arial"/>
        </w:rPr>
        <w:t xml:space="preserve"> </w:t>
      </w:r>
      <w:r w:rsidR="00D82237">
        <w:rPr>
          <w:rFonts w:ascii="Arial" w:hAnsi="Arial" w:cs="Arial"/>
        </w:rPr>
        <w:t xml:space="preserve">como un indicador </w:t>
      </w:r>
      <w:r w:rsidR="003C20F4">
        <w:rPr>
          <w:rFonts w:ascii="Arial" w:hAnsi="Arial" w:cs="Arial"/>
        </w:rPr>
        <w:t xml:space="preserve">útil </w:t>
      </w:r>
      <w:r w:rsidR="00033E43">
        <w:rPr>
          <w:rFonts w:ascii="Arial" w:hAnsi="Arial" w:cs="Arial"/>
        </w:rPr>
        <w:t xml:space="preserve">para </w:t>
      </w:r>
      <w:r w:rsidR="00762EB5">
        <w:rPr>
          <w:rFonts w:ascii="Arial" w:hAnsi="Arial" w:cs="Arial"/>
        </w:rPr>
        <w:t xml:space="preserve">satisfacer </w:t>
      </w:r>
      <w:r w:rsidRPr="00727ECD">
        <w:rPr>
          <w:rFonts w:ascii="Arial" w:hAnsi="Arial" w:cs="Arial"/>
        </w:rPr>
        <w:t xml:space="preserve">a </w:t>
      </w:r>
      <w:r w:rsidR="00C25C7D">
        <w:rPr>
          <w:rFonts w:ascii="Arial" w:hAnsi="Arial" w:cs="Arial"/>
        </w:rPr>
        <w:t>ese</w:t>
      </w:r>
      <w:r w:rsidRPr="00727ECD">
        <w:rPr>
          <w:rFonts w:ascii="Arial" w:hAnsi="Arial" w:cs="Arial"/>
        </w:rPr>
        <w:t xml:space="preserve"> </w:t>
      </w:r>
      <w:r w:rsidR="00762EB5">
        <w:rPr>
          <w:rFonts w:ascii="Arial" w:hAnsi="Arial" w:cs="Arial"/>
        </w:rPr>
        <w:t>mayor número de grupos de interés</w:t>
      </w:r>
      <w:r w:rsidRPr="00727ECD">
        <w:rPr>
          <w:rFonts w:ascii="Arial" w:hAnsi="Arial" w:cs="Arial"/>
        </w:rPr>
        <w:t>.</w:t>
      </w:r>
    </w:p>
    <w:p w14:paraId="52948EC5" w14:textId="29D9A4C0" w:rsidR="00862B95" w:rsidRPr="006B4E92" w:rsidRDefault="00277D6D" w:rsidP="00705E36">
      <w:pPr>
        <w:ind w:right="140"/>
        <w:rPr>
          <w:rFonts w:ascii="Arial" w:hAnsi="Arial" w:cs="Arial"/>
        </w:rPr>
      </w:pPr>
      <w:r>
        <w:rPr>
          <w:rFonts w:ascii="Arial" w:hAnsi="Arial" w:cs="Arial"/>
        </w:rPr>
        <w:t>Se asume</w:t>
      </w:r>
      <w:r w:rsidR="006B4E92" w:rsidRPr="006B4E92">
        <w:rPr>
          <w:rFonts w:ascii="Arial" w:hAnsi="Arial" w:cs="Arial"/>
        </w:rPr>
        <w:t xml:space="preserve"> </w:t>
      </w:r>
      <w:r w:rsidR="002870C7" w:rsidRPr="006B4E92">
        <w:rPr>
          <w:rFonts w:ascii="Arial" w:hAnsi="Arial" w:cs="Arial"/>
        </w:rPr>
        <w:t>que,</w:t>
      </w:r>
      <w:r w:rsidR="006B4E92" w:rsidRPr="006B4E92">
        <w:rPr>
          <w:rFonts w:ascii="Arial" w:hAnsi="Arial" w:cs="Arial"/>
        </w:rPr>
        <w:t xml:space="preserve"> a mayor madurez</w:t>
      </w:r>
      <w:r w:rsidR="00065692">
        <w:rPr>
          <w:rFonts w:ascii="Arial" w:hAnsi="Arial" w:cs="Arial"/>
        </w:rPr>
        <w:t>,</w:t>
      </w:r>
      <w:r w:rsidR="006B4E92" w:rsidRPr="006B4E92">
        <w:rPr>
          <w:rFonts w:ascii="Arial" w:hAnsi="Arial" w:cs="Arial"/>
        </w:rPr>
        <w:t xml:space="preserve"> más complejas </w:t>
      </w:r>
      <w:r w:rsidR="00616134">
        <w:rPr>
          <w:rFonts w:ascii="Arial" w:hAnsi="Arial" w:cs="Arial"/>
        </w:rPr>
        <w:t>y de mayor</w:t>
      </w:r>
      <w:r w:rsidR="006B4E92" w:rsidRPr="006B4E92">
        <w:rPr>
          <w:rFonts w:ascii="Arial" w:hAnsi="Arial" w:cs="Arial"/>
        </w:rPr>
        <w:t xml:space="preserve"> impact</w:t>
      </w:r>
      <w:r w:rsidR="00616134">
        <w:rPr>
          <w:rFonts w:ascii="Arial" w:hAnsi="Arial" w:cs="Arial"/>
        </w:rPr>
        <w:t>o</w:t>
      </w:r>
      <w:r w:rsidR="006B4E92" w:rsidRPr="006B4E92">
        <w:rPr>
          <w:rFonts w:ascii="Arial" w:hAnsi="Arial" w:cs="Arial"/>
        </w:rPr>
        <w:t xml:space="preserve"> son las categorías</w:t>
      </w:r>
      <w:r w:rsidR="007C6F08">
        <w:rPr>
          <w:rFonts w:ascii="Arial" w:hAnsi="Arial" w:cs="Arial"/>
        </w:rPr>
        <w:t xml:space="preserve"> de </w:t>
      </w:r>
      <w:r w:rsidR="00B14782">
        <w:rPr>
          <w:rFonts w:ascii="Arial" w:hAnsi="Arial" w:cs="Arial"/>
        </w:rPr>
        <w:t>compras</w:t>
      </w:r>
      <w:r w:rsidR="006B4E92" w:rsidRPr="006B4E92">
        <w:rPr>
          <w:rFonts w:ascii="Arial" w:hAnsi="Arial" w:cs="Arial"/>
        </w:rPr>
        <w:t xml:space="preserve"> (PC) bajo el alcance del PSM, y por ende más posibilidades de generar tipos de ahorros más complejos (TS).</w:t>
      </w:r>
      <w:r w:rsidR="00862B95" w:rsidRPr="006B4E92">
        <w:rPr>
          <w:rFonts w:ascii="Arial" w:hAnsi="Arial" w:cs="Arial"/>
        </w:rPr>
        <w:t xml:space="preserve"> </w:t>
      </w:r>
      <w:r w:rsidR="00862B95">
        <w:rPr>
          <w:rFonts w:ascii="Arial" w:hAnsi="Arial" w:cs="Arial"/>
          <w:lang w:val="en-GB"/>
        </w:rPr>
        <w:fldChar w:fldCharType="begin"/>
      </w:r>
      <w:r w:rsidR="00862B95" w:rsidRPr="006B4E92">
        <w:rPr>
          <w:rFonts w:ascii="Arial" w:hAnsi="Arial" w:cs="Arial"/>
        </w:rPr>
        <w:instrText xml:space="preserve"> ADDIN ZOTERO_ITEM CSL_CITATION {"citationID":"ZeYCBNO4","properties":{"formattedCitation":"(\\uc0\\u218{}beda et al., 2015)","plainCitation":"(Úbeda et al., 2015)","noteIndex":0},"citationItems":[{"id":675,"uris":["http://zotero.org/users/9514289/items/A7PTSIAL"],"itemData":{"id":675,"type":"article-journal","abstract":"Latin American countries show a lack of productivity and innovation compared with OECD economies. Business networks constitute a tool to improve this situation, and purchasing can help organizations create business networks with suppliers, as purchasing has evolved from a support function to a key strategic tool for organizations. Purchasing maturity models re</w:instrText>
      </w:r>
      <w:r w:rsidR="00862B95">
        <w:rPr>
          <w:rFonts w:ascii="Arial" w:hAnsi="Arial" w:cs="Arial"/>
          <w:lang w:val="en-GB"/>
        </w:rPr>
        <w:instrText>ﬂ</w:instrText>
      </w:r>
      <w:r w:rsidR="00862B95" w:rsidRPr="006B4E92">
        <w:rPr>
          <w:rFonts w:ascii="Arial" w:hAnsi="Arial" w:cs="Arial"/>
        </w:rPr>
        <w:instrText xml:space="preserve">ect this evolution. As their level of purchasing maturity increases, organizations experience increased performance. Unfortunately, however, current models do not specify the purchasing tools and methodologies that </w:instrText>
      </w:r>
      <w:r w:rsidR="00862B95">
        <w:rPr>
          <w:rFonts w:ascii="Arial" w:hAnsi="Arial" w:cs="Arial"/>
          <w:lang w:val="en-GB"/>
        </w:rPr>
        <w:instrText>ﬁ</w:instrText>
      </w:r>
      <w:r w:rsidR="00862B95" w:rsidRPr="006B4E92">
        <w:rPr>
          <w:rFonts w:ascii="Arial" w:hAnsi="Arial" w:cs="Arial"/>
        </w:rPr>
        <w:instrText>rms should use to enhance their purchasing maturity level and thus increase their cost savings. This study advances the literature by identifying 16 tools, methodologies, and strategic and nonstrategic activities, as well as 10 cost-saving levers linked to the stages of purchasing maturity. Based on a study of 278 Chilean companies, this paper identi</w:instrText>
      </w:r>
      <w:r w:rsidR="00862B95">
        <w:rPr>
          <w:rFonts w:ascii="Arial" w:hAnsi="Arial" w:cs="Arial"/>
          <w:lang w:val="en-GB"/>
        </w:rPr>
        <w:instrText>ﬁ</w:instrText>
      </w:r>
      <w:r w:rsidR="00862B95" w:rsidRPr="006B4E92">
        <w:rPr>
          <w:rFonts w:ascii="Arial" w:hAnsi="Arial" w:cs="Arial"/>
        </w:rPr>
        <w:instrText xml:space="preserve">es which key activities, tools, and methodologies that organizations can use to improve their purchasing performance.","container-title":"Journal of Business Research","DOI":"10.1016/j.jbusres.2014.09.026","ISSN":"01482963","issue":"2","journalAbbreviation":"Journal of Business Research","language":"en","page":"177-188","source":"DOI.org (Crossref)","title":"Purchasing models and organizational performance: a study of key strategic tools","title-short":"Purchasing models and organizational performance","volume":"68","author":[{"family":"Úbeda","given":"Ricardo"},{"family":"Alsua","given":"Carlos"},{"family":"Carrasco","given":"Nelson"}],"issued":{"date-parts":[["2015",2]]}}}],"schema":"https://github.com/citation-style-language/schema/raw/master/csl-citation.json"} </w:instrText>
      </w:r>
      <w:r w:rsidR="00862B95">
        <w:rPr>
          <w:rFonts w:ascii="Arial" w:hAnsi="Arial" w:cs="Arial"/>
          <w:lang w:val="en-GB"/>
        </w:rPr>
        <w:fldChar w:fldCharType="separate"/>
      </w:r>
      <w:r w:rsidR="00862B95" w:rsidRPr="006B4E92">
        <w:rPr>
          <w:rFonts w:ascii="Arial" w:hAnsi="Arial" w:cs="Arial"/>
          <w:kern w:val="0"/>
        </w:rPr>
        <w:t>(Úbeda et al., 2015)</w:t>
      </w:r>
      <w:r w:rsidR="00862B95">
        <w:rPr>
          <w:rFonts w:ascii="Arial" w:hAnsi="Arial" w:cs="Arial"/>
          <w:lang w:val="en-GB"/>
        </w:rPr>
        <w:fldChar w:fldCharType="end"/>
      </w:r>
      <w:r w:rsidR="00862B95" w:rsidRPr="006B4E92">
        <w:rPr>
          <w:rFonts w:ascii="Arial" w:hAnsi="Arial" w:cs="Arial"/>
        </w:rPr>
        <w:t>.</w:t>
      </w:r>
      <w:r w:rsidR="00022114">
        <w:rPr>
          <w:rFonts w:ascii="Arial" w:hAnsi="Arial" w:cs="Arial"/>
        </w:rPr>
        <w:t xml:space="preserve"> </w:t>
      </w:r>
      <w:r w:rsidR="002870C7">
        <w:rPr>
          <w:rFonts w:ascii="Arial" w:hAnsi="Arial" w:cs="Arial"/>
        </w:rPr>
        <w:t xml:space="preserve">Por </w:t>
      </w:r>
      <w:r w:rsidR="00065692">
        <w:rPr>
          <w:rFonts w:ascii="Arial" w:hAnsi="Arial" w:cs="Arial"/>
        </w:rPr>
        <w:t>tanto,</w:t>
      </w:r>
      <w:r w:rsidR="00022114" w:rsidRPr="006B4E92">
        <w:rPr>
          <w:rFonts w:ascii="Arial" w:hAnsi="Arial" w:cs="Arial"/>
        </w:rPr>
        <w:t xml:space="preserve"> la madurez </w:t>
      </w:r>
      <w:r w:rsidR="00065692">
        <w:rPr>
          <w:rFonts w:ascii="Arial" w:hAnsi="Arial" w:cs="Arial"/>
        </w:rPr>
        <w:t xml:space="preserve">de la función de compras </w:t>
      </w:r>
      <w:r w:rsidR="00022114" w:rsidRPr="006B4E92">
        <w:rPr>
          <w:rFonts w:ascii="Arial" w:hAnsi="Arial" w:cs="Arial"/>
        </w:rPr>
        <w:t>(MPF) se relaciona positivamente con la forma en que las empresas utilizan sus recursos, activos y capacidades, obteniendo un mejor desempeño.</w:t>
      </w:r>
    </w:p>
    <w:p w14:paraId="05629A64" w14:textId="55D5A9D1" w:rsidR="006F61E9" w:rsidRPr="00F83321" w:rsidRDefault="00B6143B" w:rsidP="00705E36">
      <w:pPr>
        <w:ind w:right="140"/>
        <w:rPr>
          <w:rFonts w:ascii="Arial" w:hAnsi="Arial" w:cs="Arial"/>
        </w:rPr>
      </w:pPr>
      <w:r>
        <w:rPr>
          <w:rFonts w:ascii="Arial" w:hAnsi="Arial" w:cs="Arial"/>
        </w:rPr>
        <w:t>Siguiendo</w:t>
      </w:r>
      <w:r w:rsidR="00F83321" w:rsidRPr="00F83321">
        <w:rPr>
          <w:rFonts w:ascii="Arial" w:hAnsi="Arial" w:cs="Arial"/>
        </w:rPr>
        <w:t xml:space="preserve"> las preguntas de investigación, se desarrollan dos hipótesis para el modelo de investigación, como se presenta en la Fig</w:t>
      </w:r>
      <w:r w:rsidR="00F83321">
        <w:rPr>
          <w:rFonts w:ascii="Arial" w:hAnsi="Arial" w:cs="Arial"/>
        </w:rPr>
        <w:t>.</w:t>
      </w:r>
      <w:r w:rsidR="00F83321" w:rsidRPr="00F83321">
        <w:rPr>
          <w:rFonts w:ascii="Arial" w:hAnsi="Arial" w:cs="Arial"/>
        </w:rPr>
        <w:t xml:space="preserve"> 2</w:t>
      </w:r>
      <w:r w:rsidR="006F61E9" w:rsidRPr="00F83321">
        <w:rPr>
          <w:rFonts w:ascii="Arial" w:hAnsi="Arial" w:cs="Arial"/>
        </w:rPr>
        <w:t xml:space="preserve">. </w:t>
      </w:r>
    </w:p>
    <w:p w14:paraId="637CE1BF" w14:textId="4C9CFB0C" w:rsidR="006F61E9" w:rsidRPr="00B6143B" w:rsidRDefault="0084553C" w:rsidP="00705E36">
      <w:pPr>
        <w:ind w:right="140"/>
        <w:rPr>
          <w:rFonts w:ascii="Arial" w:hAnsi="Arial" w:cs="Arial"/>
        </w:rPr>
      </w:pPr>
      <w:r w:rsidRPr="00B6143B">
        <w:rPr>
          <w:rFonts w:ascii="Arial" w:hAnsi="Arial" w:cs="Arial"/>
        </w:rPr>
        <w:t xml:space="preserve">A </w:t>
      </w:r>
      <w:r w:rsidR="00B6143B" w:rsidRPr="00B6143B">
        <w:rPr>
          <w:rFonts w:ascii="Arial" w:hAnsi="Arial" w:cs="Arial"/>
        </w:rPr>
        <w:t>continuación,</w:t>
      </w:r>
      <w:r w:rsidRPr="00B6143B">
        <w:rPr>
          <w:rFonts w:ascii="Arial" w:hAnsi="Arial" w:cs="Arial"/>
        </w:rPr>
        <w:t xml:space="preserve"> se plantea la primera hipótesis</w:t>
      </w:r>
      <w:r w:rsidR="006F61E9" w:rsidRPr="00B6143B">
        <w:rPr>
          <w:rFonts w:ascii="Arial" w:hAnsi="Arial" w:cs="Arial"/>
        </w:rPr>
        <w:t>:</w:t>
      </w:r>
    </w:p>
    <w:p w14:paraId="48ED419D" w14:textId="49F2F42F" w:rsidR="006F61E9" w:rsidRPr="00B344ED" w:rsidRDefault="006F61E9" w:rsidP="00705E36">
      <w:pPr>
        <w:ind w:left="708" w:right="140"/>
        <w:rPr>
          <w:rFonts w:ascii="Arial" w:hAnsi="Arial" w:cs="Arial"/>
        </w:rPr>
      </w:pPr>
      <w:r w:rsidRPr="00B344ED">
        <w:rPr>
          <w:rFonts w:ascii="Arial" w:hAnsi="Arial" w:cs="Arial"/>
        </w:rPr>
        <w:t>H1 –</w:t>
      </w:r>
      <w:r w:rsidR="000A1DE2" w:rsidRPr="00B344ED">
        <w:rPr>
          <w:rFonts w:ascii="Arial" w:hAnsi="Arial" w:cs="Arial"/>
        </w:rPr>
        <w:t xml:space="preserve"> </w:t>
      </w:r>
      <w:r w:rsidR="00B344ED" w:rsidRPr="00B344ED">
        <w:rPr>
          <w:rFonts w:ascii="Arial" w:hAnsi="Arial" w:cs="Arial"/>
          <w:i/>
          <w:iCs/>
        </w:rPr>
        <w:t xml:space="preserve">Una función de </w:t>
      </w:r>
      <w:r w:rsidR="00B344ED">
        <w:rPr>
          <w:rFonts w:ascii="Arial" w:hAnsi="Arial" w:cs="Arial"/>
          <w:i/>
          <w:iCs/>
        </w:rPr>
        <w:t>compras</w:t>
      </w:r>
      <w:r w:rsidR="00B344ED" w:rsidRPr="00B344ED">
        <w:rPr>
          <w:rFonts w:ascii="Arial" w:hAnsi="Arial" w:cs="Arial"/>
          <w:i/>
          <w:iCs/>
        </w:rPr>
        <w:t xml:space="preserve"> más madura reconoce </w:t>
      </w:r>
      <w:r w:rsidR="00916CD8">
        <w:rPr>
          <w:rFonts w:ascii="Arial" w:hAnsi="Arial" w:cs="Arial"/>
          <w:i/>
          <w:iCs/>
        </w:rPr>
        <w:t xml:space="preserve">más </w:t>
      </w:r>
      <w:r w:rsidR="00B344ED" w:rsidRPr="00B344ED">
        <w:rPr>
          <w:rFonts w:ascii="Arial" w:hAnsi="Arial" w:cs="Arial"/>
          <w:i/>
          <w:iCs/>
        </w:rPr>
        <w:t xml:space="preserve">ahorros </w:t>
      </w:r>
      <w:r w:rsidR="00916CD8">
        <w:rPr>
          <w:rFonts w:ascii="Arial" w:hAnsi="Arial" w:cs="Arial"/>
          <w:i/>
          <w:iCs/>
        </w:rPr>
        <w:t xml:space="preserve">indirectos </w:t>
      </w:r>
      <w:r w:rsidR="00B344ED" w:rsidRPr="00B344ED">
        <w:rPr>
          <w:rFonts w:ascii="Arial" w:hAnsi="Arial" w:cs="Arial"/>
          <w:i/>
          <w:iCs/>
        </w:rPr>
        <w:t>complejos</w:t>
      </w:r>
      <w:r w:rsidR="000A1DE2" w:rsidRPr="00B344ED">
        <w:rPr>
          <w:rFonts w:ascii="Arial" w:hAnsi="Arial" w:cs="Arial"/>
        </w:rPr>
        <w:t>.</w:t>
      </w:r>
    </w:p>
    <w:p w14:paraId="6198C957" w14:textId="606F0991" w:rsidR="006F6FBD" w:rsidRDefault="00637A1E" w:rsidP="00705E36">
      <w:pPr>
        <w:ind w:right="140"/>
        <w:rPr>
          <w:rFonts w:ascii="Arial" w:hAnsi="Arial" w:cs="Arial"/>
        </w:rPr>
      </w:pPr>
      <w:r w:rsidRPr="00637A1E">
        <w:rPr>
          <w:rFonts w:ascii="Arial" w:hAnsi="Arial" w:cs="Arial"/>
        </w:rPr>
        <w:t xml:space="preserve">Así, </w:t>
      </w:r>
      <w:r w:rsidR="00AB6A6C">
        <w:rPr>
          <w:rFonts w:ascii="Arial" w:hAnsi="Arial" w:cs="Arial"/>
        </w:rPr>
        <w:t>dentro</w:t>
      </w:r>
      <w:r w:rsidRPr="00637A1E">
        <w:rPr>
          <w:rFonts w:ascii="Arial" w:hAnsi="Arial" w:cs="Arial"/>
        </w:rPr>
        <w:t xml:space="preserve"> </w:t>
      </w:r>
      <w:r w:rsidR="00AB6A6C">
        <w:rPr>
          <w:rFonts w:ascii="Arial" w:hAnsi="Arial" w:cs="Arial"/>
        </w:rPr>
        <w:t>d</w:t>
      </w:r>
      <w:r w:rsidRPr="00637A1E">
        <w:rPr>
          <w:rFonts w:ascii="Arial" w:hAnsi="Arial" w:cs="Arial"/>
        </w:rPr>
        <w:t>el marco teórico de SHT, existe un</w:t>
      </w:r>
      <w:r w:rsidR="00780F2E">
        <w:rPr>
          <w:rFonts w:ascii="Arial" w:hAnsi="Arial" w:cs="Arial"/>
        </w:rPr>
        <w:t xml:space="preserve"> creciente</w:t>
      </w:r>
      <w:r w:rsidRPr="00637A1E">
        <w:rPr>
          <w:rFonts w:ascii="Arial" w:hAnsi="Arial" w:cs="Arial"/>
        </w:rPr>
        <w:t xml:space="preserve"> grupo</w:t>
      </w:r>
      <w:r w:rsidR="00780F2E">
        <w:rPr>
          <w:rFonts w:ascii="Arial" w:hAnsi="Arial" w:cs="Arial"/>
        </w:rPr>
        <w:t xml:space="preserve"> de</w:t>
      </w:r>
      <w:r w:rsidRPr="00637A1E">
        <w:rPr>
          <w:rFonts w:ascii="Arial" w:hAnsi="Arial" w:cs="Arial"/>
        </w:rPr>
        <w:t xml:space="preserve"> interesados ​​en cuestiones ambientales</w:t>
      </w:r>
      <w:r w:rsidR="00907F6C">
        <w:rPr>
          <w:rFonts w:ascii="Arial" w:hAnsi="Arial" w:cs="Arial"/>
        </w:rPr>
        <w:t xml:space="preserve">, a los cuales </w:t>
      </w:r>
      <w:r w:rsidR="00764BF4">
        <w:rPr>
          <w:rFonts w:ascii="Arial" w:hAnsi="Arial" w:cs="Arial"/>
        </w:rPr>
        <w:t>la</w:t>
      </w:r>
      <w:r w:rsidR="00E66E85">
        <w:rPr>
          <w:rFonts w:ascii="Arial" w:hAnsi="Arial" w:cs="Arial"/>
        </w:rPr>
        <w:t>s</w:t>
      </w:r>
      <w:r w:rsidR="00764BF4">
        <w:rPr>
          <w:rFonts w:ascii="Arial" w:hAnsi="Arial" w:cs="Arial"/>
        </w:rPr>
        <w:t xml:space="preserve"> empresa</w:t>
      </w:r>
      <w:r w:rsidR="00E66E85">
        <w:rPr>
          <w:rFonts w:ascii="Arial" w:hAnsi="Arial" w:cs="Arial"/>
        </w:rPr>
        <w:t>s</w:t>
      </w:r>
      <w:r w:rsidR="00907F6C">
        <w:rPr>
          <w:rFonts w:ascii="Arial" w:hAnsi="Arial" w:cs="Arial"/>
        </w:rPr>
        <w:t xml:space="preserve"> puede</w:t>
      </w:r>
      <w:r w:rsidR="00E66E85">
        <w:rPr>
          <w:rFonts w:ascii="Arial" w:hAnsi="Arial" w:cs="Arial"/>
        </w:rPr>
        <w:t>n</w:t>
      </w:r>
      <w:r w:rsidR="00907F6C">
        <w:rPr>
          <w:rFonts w:ascii="Arial" w:hAnsi="Arial" w:cs="Arial"/>
        </w:rPr>
        <w:t xml:space="preserve"> satisfacer</w:t>
      </w:r>
      <w:r w:rsidRPr="00637A1E">
        <w:rPr>
          <w:rFonts w:ascii="Arial" w:hAnsi="Arial" w:cs="Arial"/>
        </w:rPr>
        <w:t xml:space="preserve"> a través de los ahorros generados</w:t>
      </w:r>
      <w:r w:rsidR="00F66668">
        <w:rPr>
          <w:rFonts w:ascii="Arial" w:hAnsi="Arial" w:cs="Arial"/>
        </w:rPr>
        <w:t>.</w:t>
      </w:r>
      <w:r w:rsidRPr="00637A1E">
        <w:rPr>
          <w:rFonts w:ascii="Arial" w:hAnsi="Arial" w:cs="Arial"/>
        </w:rPr>
        <w:t xml:space="preserve"> </w:t>
      </w:r>
      <w:r w:rsidR="00F66668">
        <w:rPr>
          <w:rFonts w:ascii="Arial" w:hAnsi="Arial" w:cs="Arial"/>
        </w:rPr>
        <w:t xml:space="preserve">Y especialmente </w:t>
      </w:r>
      <w:r w:rsidRPr="00637A1E">
        <w:rPr>
          <w:rFonts w:ascii="Arial" w:hAnsi="Arial" w:cs="Arial"/>
        </w:rPr>
        <w:t xml:space="preserve">en aquellas categorías de gasto con </w:t>
      </w:r>
      <w:r w:rsidR="00F66668">
        <w:rPr>
          <w:rFonts w:ascii="Arial" w:hAnsi="Arial" w:cs="Arial"/>
        </w:rPr>
        <w:t xml:space="preserve">mayor </w:t>
      </w:r>
      <w:r w:rsidRPr="00637A1E">
        <w:rPr>
          <w:rFonts w:ascii="Arial" w:hAnsi="Arial" w:cs="Arial"/>
        </w:rPr>
        <w:t xml:space="preserve">impacto sobre los recursos naturales (Natural Capital Stock N), ya que los ahorros dentro de dichas categorías tienen efectos positivos sobre el medio ambiente, pues significan </w:t>
      </w:r>
      <w:r w:rsidR="00CD0340">
        <w:rPr>
          <w:rFonts w:ascii="Arial" w:hAnsi="Arial" w:cs="Arial"/>
        </w:rPr>
        <w:t xml:space="preserve">una </w:t>
      </w:r>
      <w:r w:rsidRPr="00637A1E">
        <w:rPr>
          <w:rFonts w:ascii="Arial" w:hAnsi="Arial" w:cs="Arial"/>
        </w:rPr>
        <w:t xml:space="preserve">reducción </w:t>
      </w:r>
      <w:r w:rsidR="00CD0340">
        <w:rPr>
          <w:rFonts w:ascii="Arial" w:hAnsi="Arial" w:cs="Arial"/>
        </w:rPr>
        <w:t xml:space="preserve">directa o indirecta </w:t>
      </w:r>
      <w:r w:rsidRPr="00637A1E">
        <w:rPr>
          <w:rFonts w:ascii="Arial" w:hAnsi="Arial" w:cs="Arial"/>
        </w:rPr>
        <w:t>en el consumo de recursos naturales.</w:t>
      </w:r>
    </w:p>
    <w:p w14:paraId="4B2E3C1E" w14:textId="267111F4" w:rsidR="00420D0F" w:rsidRPr="00A04786" w:rsidRDefault="006E7A73" w:rsidP="00705E36">
      <w:pPr>
        <w:ind w:right="140"/>
        <w:rPr>
          <w:rFonts w:ascii="Arial" w:hAnsi="Arial" w:cs="Arial"/>
        </w:rPr>
      </w:pPr>
      <w:r w:rsidRPr="006E7A73">
        <w:rPr>
          <w:rFonts w:ascii="Arial" w:hAnsi="Arial" w:cs="Arial"/>
        </w:rPr>
        <w:t xml:space="preserve">Es oportuno debido al surgimiento de organizaciones formales como las instituciones dominantes de nuestro tiempo, </w:t>
      </w:r>
      <w:r w:rsidR="00954474">
        <w:rPr>
          <w:rFonts w:ascii="Arial" w:hAnsi="Arial" w:cs="Arial"/>
        </w:rPr>
        <w:t xml:space="preserve">y </w:t>
      </w:r>
      <w:r w:rsidRPr="006E7A73">
        <w:rPr>
          <w:rFonts w:ascii="Arial" w:hAnsi="Arial" w:cs="Arial"/>
        </w:rPr>
        <w:t xml:space="preserve">el aumento de informes sobre mala conducta ética </w:t>
      </w:r>
      <w:r w:rsidR="007B1CD0">
        <w:rPr>
          <w:rFonts w:ascii="Arial" w:hAnsi="Arial" w:cs="Arial"/>
        </w:rPr>
        <w:t>e</w:t>
      </w:r>
      <w:r w:rsidRPr="006E7A73">
        <w:rPr>
          <w:rFonts w:ascii="Arial" w:hAnsi="Arial" w:cs="Arial"/>
        </w:rPr>
        <w:t xml:space="preserve"> impacto nocivo de la negligencia corporativa con respecto al medio ambiente</w:t>
      </w:r>
      <w:r w:rsidR="00420D0F" w:rsidRPr="006E7A73">
        <w:rPr>
          <w:rFonts w:ascii="Arial" w:hAnsi="Arial" w:cs="Arial"/>
        </w:rPr>
        <w:t xml:space="preserve"> </w:t>
      </w:r>
      <w:r w:rsidR="00420D0F">
        <w:rPr>
          <w:rFonts w:ascii="Arial" w:hAnsi="Arial" w:cs="Arial"/>
          <w:lang w:val="en-GB"/>
        </w:rPr>
        <w:fldChar w:fldCharType="begin"/>
      </w:r>
      <w:r w:rsidR="00420D0F" w:rsidRPr="006E7A73">
        <w:rPr>
          <w:rFonts w:ascii="Arial" w:hAnsi="Arial" w:cs="Arial"/>
        </w:rPr>
        <w:instrText xml:space="preserve"> ADDIN ZOTERO_ITEM CSL_CITATION {"citationID":"i3yRNPrM","properties":{"formattedCitation":"(Laplume et al., 2008)","plainCitation":"(Laplume et al., 2008)","noteIndex":0},"citationItems":[{"id":1151,"uris":["http://zotero.org/users/9514289/items/WL4W7BLQ"],"itemData":{"id":1151,"type":"article-journal","abstract":"This article reviews the academic stakeholder theory literature as it developed between 1984 and 2007. The authors content analyzed 179 articles that directly addressed Freeman's work on stakeholder theory and found five themes: (a) stakeholder definition and salience, (b) stakeholder actions and responses, (c) firm actions and responses, (d) firm performance, and (e) theory debates. Themes were observed in multiple research fields, suggesting broad appeal. The authors noted a substantial rise in stakeholder theory's prominence since 1995 and documented that the theory has detractors insofar as it questions shareholders' wealth maximization as the most fundamental objective of business. The authors' recommendations include urging more empirical research across a broader set of organizations apart from large publicly traded corporations, more qualitative research to document cognitive aspects of how managers respond to stakeholder expectations, and a return to the theory's emphasis on the strategic benefits of stakeholder management, albeit with a broader view of firm performance.","container-title":"Journal of Management","DOI":"10.1177/0149206308324322","ISSN":"0149-2063, 1557-1211","issue":"6","journalAbbreviation":"Journal of Management","language":"en","page":"1152-1189","source":"DOI.org (Crossref)","title":"Stakeholder Theory: Reviewing a Theory That Moves Us","title-short":"Stakeholder Theory","volume":"34","author":[{"family":"Laplume","given":"André O."},{"family":"Sonpar","given":"Karan"},{"family":"Litz","given":"Reginald A."}],"issued":{"date-parts":[["2008",12]]}}}],"schema":"https://github.com/citation-style-language/schema/raw/master/csl-citation.json"} </w:instrText>
      </w:r>
      <w:r w:rsidR="00420D0F">
        <w:rPr>
          <w:rFonts w:ascii="Arial" w:hAnsi="Arial" w:cs="Arial"/>
          <w:lang w:val="en-GB"/>
        </w:rPr>
        <w:fldChar w:fldCharType="separate"/>
      </w:r>
      <w:r w:rsidR="00420D0F" w:rsidRPr="006E7A73">
        <w:rPr>
          <w:rFonts w:ascii="Arial" w:hAnsi="Arial" w:cs="Arial"/>
        </w:rPr>
        <w:t>(Laplume et al., 2008)</w:t>
      </w:r>
      <w:r w:rsidR="00420D0F">
        <w:rPr>
          <w:rFonts w:ascii="Arial" w:hAnsi="Arial" w:cs="Arial"/>
          <w:lang w:val="en-GB"/>
        </w:rPr>
        <w:fldChar w:fldCharType="end"/>
      </w:r>
      <w:r w:rsidR="00420D0F" w:rsidRPr="006E7A73">
        <w:rPr>
          <w:rFonts w:ascii="Arial" w:hAnsi="Arial" w:cs="Arial"/>
        </w:rPr>
        <w:t>.</w:t>
      </w:r>
    </w:p>
    <w:p w14:paraId="1C33B26A" w14:textId="77777777" w:rsidR="002C0D43" w:rsidRDefault="00E908E1" w:rsidP="00705E36">
      <w:pPr>
        <w:ind w:right="140"/>
        <w:rPr>
          <w:rFonts w:ascii="Arial" w:hAnsi="Arial" w:cs="Arial"/>
        </w:rPr>
      </w:pPr>
      <w:r w:rsidRPr="00576ADD">
        <w:rPr>
          <w:rFonts w:ascii="Arial" w:hAnsi="Arial" w:cs="Arial"/>
        </w:rPr>
        <w:t>Es fácil</w:t>
      </w:r>
      <w:r w:rsidRPr="00E908E1">
        <w:rPr>
          <w:rFonts w:ascii="Arial" w:hAnsi="Arial" w:cs="Arial"/>
        </w:rPr>
        <w:t xml:space="preserve"> ver</w:t>
      </w:r>
      <w:r w:rsidR="00BE393C">
        <w:rPr>
          <w:rFonts w:ascii="Arial" w:hAnsi="Arial" w:cs="Arial"/>
        </w:rPr>
        <w:t>lo</w:t>
      </w:r>
      <w:r w:rsidRPr="00E908E1">
        <w:rPr>
          <w:rFonts w:ascii="Arial" w:hAnsi="Arial" w:cs="Arial"/>
        </w:rPr>
        <w:t xml:space="preserve"> con el ejemplo de una categoría de gasto relacionada con recursos naturales como </w:t>
      </w:r>
      <w:r w:rsidR="00CE2224">
        <w:rPr>
          <w:rFonts w:ascii="Arial" w:hAnsi="Arial" w:cs="Arial"/>
        </w:rPr>
        <w:t>puede ser el</w:t>
      </w:r>
      <w:r w:rsidRPr="00E908E1">
        <w:rPr>
          <w:rFonts w:ascii="Arial" w:hAnsi="Arial" w:cs="Arial"/>
        </w:rPr>
        <w:t xml:space="preserve"> gasto energético dentro de las empresas, y así ver </w:t>
      </w:r>
      <w:r w:rsidR="00311D82">
        <w:rPr>
          <w:rFonts w:ascii="Arial" w:hAnsi="Arial" w:cs="Arial"/>
        </w:rPr>
        <w:t xml:space="preserve">la </w:t>
      </w:r>
      <w:r w:rsidRPr="00E908E1">
        <w:rPr>
          <w:rFonts w:ascii="Arial" w:hAnsi="Arial" w:cs="Arial"/>
        </w:rPr>
        <w:t>conexión</w:t>
      </w:r>
      <w:r w:rsidR="00311D82">
        <w:rPr>
          <w:rFonts w:ascii="Arial" w:hAnsi="Arial" w:cs="Arial"/>
        </w:rPr>
        <w:t xml:space="preserve"> entre la </w:t>
      </w:r>
      <w:r w:rsidR="0021639E">
        <w:rPr>
          <w:rFonts w:ascii="Arial" w:hAnsi="Arial" w:cs="Arial"/>
        </w:rPr>
        <w:t xml:space="preserve">SHT, la madurez del departamento de compras, la </w:t>
      </w:r>
      <w:r w:rsidR="00311D82">
        <w:rPr>
          <w:rFonts w:ascii="Arial" w:hAnsi="Arial" w:cs="Arial"/>
        </w:rPr>
        <w:t>complejidad</w:t>
      </w:r>
      <w:r w:rsidR="0021639E">
        <w:rPr>
          <w:rFonts w:ascii="Arial" w:hAnsi="Arial" w:cs="Arial"/>
        </w:rPr>
        <w:t xml:space="preserve"> de los ahorros y su efecto positivo en </w:t>
      </w:r>
      <w:r w:rsidR="00091F6C">
        <w:rPr>
          <w:rFonts w:ascii="Arial" w:hAnsi="Arial" w:cs="Arial"/>
        </w:rPr>
        <w:t>el medio ambiente</w:t>
      </w:r>
      <w:r w:rsidRPr="00E908E1">
        <w:rPr>
          <w:rFonts w:ascii="Arial" w:hAnsi="Arial" w:cs="Arial"/>
        </w:rPr>
        <w:t>.</w:t>
      </w:r>
      <w:r w:rsidR="00BE393C">
        <w:rPr>
          <w:rFonts w:ascii="Arial" w:hAnsi="Arial" w:cs="Arial"/>
        </w:rPr>
        <w:t xml:space="preserve"> </w:t>
      </w:r>
    </w:p>
    <w:p w14:paraId="5B37773F" w14:textId="451AC526" w:rsidR="00BE393C" w:rsidRDefault="00C05A46" w:rsidP="00705E36">
      <w:pPr>
        <w:ind w:right="140"/>
        <w:rPr>
          <w:rFonts w:ascii="Arial" w:hAnsi="Arial" w:cs="Arial"/>
        </w:rPr>
      </w:pPr>
      <w:r w:rsidRPr="00C05A46">
        <w:rPr>
          <w:rFonts w:ascii="Arial" w:hAnsi="Arial" w:cs="Arial"/>
        </w:rPr>
        <w:t>La racionalización del gasto energético por parte del departamento de compras en una empresa puede lograr un ahorro económico que beneficia tanto a los accionistas como a los intereses medioambientales a largo plazo de la sociedad</w:t>
      </w:r>
      <w:r w:rsidR="00AF1ED5">
        <w:rPr>
          <w:rFonts w:ascii="Arial" w:hAnsi="Arial" w:cs="Arial"/>
        </w:rPr>
        <w:t xml:space="preserve">, con la reducción de </w:t>
      </w:r>
      <w:r w:rsidR="00EB50B7">
        <w:rPr>
          <w:rFonts w:ascii="Arial" w:hAnsi="Arial" w:cs="Arial"/>
        </w:rPr>
        <w:t>consumo de energía</w:t>
      </w:r>
      <w:r w:rsidRPr="00C05A46">
        <w:rPr>
          <w:rFonts w:ascii="Arial" w:hAnsi="Arial" w:cs="Arial"/>
        </w:rPr>
        <w:t>. Para alcanzar estos ahorros, son necesarios estudios de ingeniería e inversiones en capital, lo que aumenta la complejidad y el número de partes implicadas. Para que el departamento de compras pueda llevar a cabo estos proyectos, debe tener la madurez suficiente, es decir, el conocimiento y las competencias necesarias para afrontarlos con éxito</w:t>
      </w:r>
      <w:r w:rsidR="00024050">
        <w:rPr>
          <w:rFonts w:ascii="Arial" w:hAnsi="Arial" w:cs="Arial"/>
        </w:rPr>
        <w:t>.</w:t>
      </w:r>
    </w:p>
    <w:p w14:paraId="0A85115F" w14:textId="780D2AD1" w:rsidR="002D796A" w:rsidRPr="00D52FB5" w:rsidRDefault="00E908E1" w:rsidP="00705E36">
      <w:pPr>
        <w:ind w:right="140"/>
        <w:rPr>
          <w:rFonts w:ascii="Arial" w:hAnsi="Arial" w:cs="Arial"/>
        </w:rPr>
      </w:pPr>
      <w:r w:rsidRPr="00E908E1">
        <w:rPr>
          <w:rFonts w:ascii="Arial" w:hAnsi="Arial" w:cs="Arial"/>
        </w:rPr>
        <w:t xml:space="preserve">Destacando que la eficiencia energética y el ahorro de electricidad no deben considerarse como fines en sí mismos, sino </w:t>
      </w:r>
      <w:r w:rsidR="00AB1458">
        <w:rPr>
          <w:rFonts w:ascii="Arial" w:hAnsi="Arial" w:cs="Arial"/>
        </w:rPr>
        <w:t xml:space="preserve">también </w:t>
      </w:r>
      <w:r w:rsidRPr="00E908E1">
        <w:rPr>
          <w:rFonts w:ascii="Arial" w:hAnsi="Arial" w:cs="Arial"/>
        </w:rPr>
        <w:t>como medios para implementar mejoras ambientales. Las mejoras económicas tienen efectos significativos en el sector productivo debido a</w:t>
      </w:r>
      <w:r w:rsidR="007072ED">
        <w:rPr>
          <w:rFonts w:ascii="Arial" w:hAnsi="Arial" w:cs="Arial"/>
        </w:rPr>
        <w:t xml:space="preserve"> la mejora </w:t>
      </w:r>
      <w:r w:rsidRPr="00E908E1">
        <w:rPr>
          <w:rFonts w:ascii="Arial" w:hAnsi="Arial" w:cs="Arial"/>
        </w:rPr>
        <w:t>en la eficiencia energética.</w:t>
      </w:r>
      <w:r w:rsidR="00B03D77" w:rsidRPr="00E908E1">
        <w:rPr>
          <w:rFonts w:ascii="Arial" w:hAnsi="Arial" w:cs="Arial"/>
        </w:rPr>
        <w:t xml:space="preserve"> </w:t>
      </w:r>
      <w:r w:rsidR="00AE59B3" w:rsidRPr="00AE59B3">
        <w:rPr>
          <w:rFonts w:ascii="Arial" w:hAnsi="Arial" w:cs="Arial"/>
        </w:rPr>
        <w:t>Sin embargo, además de las políticas destinadas a mejorar la eficiencia energética, los encargados de la toma de decisiones, las comunidades o los gobiernos también tendrían que establecer políticas para abordar l</w:t>
      </w:r>
      <w:r w:rsidR="00D11CDC">
        <w:rPr>
          <w:rFonts w:ascii="Arial" w:hAnsi="Arial" w:cs="Arial"/>
        </w:rPr>
        <w:t>o</w:t>
      </w:r>
      <w:r w:rsidR="00AE59B3" w:rsidRPr="00AE59B3">
        <w:rPr>
          <w:rFonts w:ascii="Arial" w:hAnsi="Arial" w:cs="Arial"/>
        </w:rPr>
        <w:t>s fall</w:t>
      </w:r>
      <w:r w:rsidR="00D11CDC">
        <w:rPr>
          <w:rFonts w:ascii="Arial" w:hAnsi="Arial" w:cs="Arial"/>
        </w:rPr>
        <w:t>o</w:t>
      </w:r>
      <w:r w:rsidR="00AE59B3" w:rsidRPr="00AE59B3">
        <w:rPr>
          <w:rFonts w:ascii="Arial" w:hAnsi="Arial" w:cs="Arial"/>
        </w:rPr>
        <w:t>s del mercado relacionad</w:t>
      </w:r>
      <w:r w:rsidR="00D11CDC">
        <w:rPr>
          <w:rFonts w:ascii="Arial" w:hAnsi="Arial" w:cs="Arial"/>
        </w:rPr>
        <w:t>o</w:t>
      </w:r>
      <w:r w:rsidR="00AE59B3" w:rsidRPr="00AE59B3">
        <w:rPr>
          <w:rFonts w:ascii="Arial" w:hAnsi="Arial" w:cs="Arial"/>
        </w:rPr>
        <w:t xml:space="preserve">s con el impacto ambiental. </w:t>
      </w:r>
      <w:r w:rsidR="00AE59B3" w:rsidRPr="00D52FB5">
        <w:rPr>
          <w:rFonts w:ascii="Arial" w:hAnsi="Arial" w:cs="Arial"/>
        </w:rPr>
        <w:t xml:space="preserve">Todos </w:t>
      </w:r>
      <w:r w:rsidR="00042D5B" w:rsidRPr="00D52FB5">
        <w:rPr>
          <w:rFonts w:ascii="Arial" w:hAnsi="Arial" w:cs="Arial"/>
        </w:rPr>
        <w:t>t</w:t>
      </w:r>
      <w:r w:rsidR="00AE59B3" w:rsidRPr="00D52FB5">
        <w:rPr>
          <w:rFonts w:ascii="Arial" w:hAnsi="Arial" w:cs="Arial"/>
        </w:rPr>
        <w:t>ienen su papel que desempeñar</w:t>
      </w:r>
      <w:r w:rsidR="00B76C50" w:rsidRPr="00D52FB5">
        <w:rPr>
          <w:rFonts w:ascii="Arial" w:hAnsi="Arial" w:cs="Arial"/>
        </w:rPr>
        <w:t xml:space="preserve"> </w:t>
      </w:r>
      <w:r w:rsidR="00EE6350">
        <w:rPr>
          <w:rFonts w:ascii="Arial" w:hAnsi="Arial" w:cs="Arial"/>
          <w:lang w:val="en-GB"/>
        </w:rPr>
        <w:fldChar w:fldCharType="begin"/>
      </w:r>
      <w:r w:rsidR="00EE6350" w:rsidRPr="00D52FB5">
        <w:rPr>
          <w:rFonts w:ascii="Arial" w:hAnsi="Arial" w:cs="Arial"/>
        </w:rPr>
        <w:instrText xml:space="preserve"> ADDIN ZOTERO_ITEM CSL_CITATION {"citationID":"FZus3B9E","properties":{"formattedCitation":"(Medina et al., 2016)","plainCitation":"(Medina et al., 2016)","noteIndex":0},"citationItems":[{"id":2436,"uris":["http://zotero.org/users/9514289/items/YTGVL2GA"],"itemData":{"id":2436,"type":"article-journal","abstract":"We present here an application of a multisector economic model to simulate the impact of investing in energy-ef</w:instrText>
      </w:r>
      <w:r w:rsidR="00EE6350">
        <w:rPr>
          <w:rFonts w:ascii="Arial" w:hAnsi="Arial" w:cs="Arial"/>
          <w:lang w:val="en-GB"/>
        </w:rPr>
        <w:instrText>ﬁ</w:instrText>
      </w:r>
      <w:r w:rsidR="00EE6350" w:rsidRPr="00D52FB5">
        <w:rPr>
          <w:rFonts w:ascii="Arial" w:hAnsi="Arial" w:cs="Arial"/>
        </w:rPr>
        <w:instrText>ciency-related sectors. Given the value chain of energy production shows several aspects to be improved, this paper intends to identify the economic sectors where investment should be allocated in order to reach the targeted energy ef</w:instrText>
      </w:r>
      <w:r w:rsidR="00EE6350">
        <w:rPr>
          <w:rFonts w:ascii="Arial" w:hAnsi="Arial" w:cs="Arial"/>
          <w:lang w:val="en-GB"/>
        </w:rPr>
        <w:instrText>ﬁ</w:instrText>
      </w:r>
      <w:r w:rsidR="00EE6350" w:rsidRPr="00D52FB5">
        <w:rPr>
          <w:rFonts w:ascii="Arial" w:hAnsi="Arial" w:cs="Arial"/>
        </w:rPr>
        <w:instrText>ciency levels in the overall economic system. We expect that an improvement in energy ef</w:instrText>
      </w:r>
      <w:r w:rsidR="00EE6350">
        <w:rPr>
          <w:rFonts w:ascii="Arial" w:hAnsi="Arial" w:cs="Arial"/>
          <w:lang w:val="en-GB"/>
        </w:rPr>
        <w:instrText>ﬁ</w:instrText>
      </w:r>
      <w:r w:rsidR="00EE6350" w:rsidRPr="00D52FB5">
        <w:rPr>
          <w:rFonts w:ascii="Arial" w:hAnsi="Arial" w:cs="Arial"/>
        </w:rPr>
        <w:instrText>ciency will bring a fall in electricity demand. Simulating these impacts will enable an assessment of the macroeconomic effects of such demand-side changes in Spain. For simulation purposes, we will use input–output methodology, based on data from a Spanish input–output table from the year 2012 that we have constructed. The scenario used for modeling has been obtained from the objectives proposed by the European Union for 2030, speci</w:instrText>
      </w:r>
      <w:r w:rsidR="00EE6350">
        <w:rPr>
          <w:rFonts w:ascii="Arial" w:hAnsi="Arial" w:cs="Arial"/>
          <w:lang w:val="en-GB"/>
        </w:rPr>
        <w:instrText>ﬁ</w:instrText>
      </w:r>
      <w:r w:rsidR="00EE6350" w:rsidRPr="00D52FB5">
        <w:rPr>
          <w:rFonts w:ascii="Arial" w:hAnsi="Arial" w:cs="Arial"/>
        </w:rPr>
        <w:instrText>cally the one promoting an increase to at least a 27% increase in energy ef</w:instrText>
      </w:r>
      <w:r w:rsidR="00EE6350">
        <w:rPr>
          <w:rFonts w:ascii="Arial" w:hAnsi="Arial" w:cs="Arial"/>
          <w:lang w:val="en-GB"/>
        </w:rPr>
        <w:instrText>ﬁ</w:instrText>
      </w:r>
      <w:r w:rsidR="00EE6350" w:rsidRPr="00D52FB5">
        <w:rPr>
          <w:rFonts w:ascii="Arial" w:hAnsi="Arial" w:cs="Arial"/>
        </w:rPr>
        <w:instrText>ciency compared with the business-as-usual scenario. This demand-side model enables us to measure the potential sector-by-sector growth of the Spanish economy and to calculate households’ expected savings in energy bills due to the implementation of energy ef</w:instrText>
      </w:r>
      <w:r w:rsidR="00EE6350">
        <w:rPr>
          <w:rFonts w:ascii="Arial" w:hAnsi="Arial" w:cs="Arial"/>
          <w:lang w:val="en-GB"/>
        </w:rPr>
        <w:instrText>ﬁ</w:instrText>
      </w:r>
      <w:r w:rsidR="00EE6350" w:rsidRPr="00D52FB5">
        <w:rPr>
          <w:rFonts w:ascii="Arial" w:hAnsi="Arial" w:cs="Arial"/>
        </w:rPr>
        <w:instrText>ciency measures. The impacts of employment and CO2 emissions are also quanti</w:instrText>
      </w:r>
      <w:r w:rsidR="00EE6350">
        <w:rPr>
          <w:rFonts w:ascii="Arial" w:hAnsi="Arial" w:cs="Arial"/>
          <w:lang w:val="en-GB"/>
        </w:rPr>
        <w:instrText>ﬁ</w:instrText>
      </w:r>
      <w:r w:rsidR="00EE6350" w:rsidRPr="00D52FB5">
        <w:rPr>
          <w:rFonts w:ascii="Arial" w:hAnsi="Arial" w:cs="Arial"/>
        </w:rPr>
        <w:instrText>ed as a result of the investments aimed at improving energy ef</w:instrText>
      </w:r>
      <w:r w:rsidR="00EE6350">
        <w:rPr>
          <w:rFonts w:ascii="Arial" w:hAnsi="Arial" w:cs="Arial"/>
          <w:lang w:val="en-GB"/>
        </w:rPr>
        <w:instrText>ﬁ</w:instrText>
      </w:r>
      <w:r w:rsidR="00EE6350" w:rsidRPr="00D52FB5">
        <w:rPr>
          <w:rFonts w:ascii="Arial" w:hAnsi="Arial" w:cs="Arial"/>
        </w:rPr>
        <w:instrText xml:space="preserve">ciency.","container-title":"Sustainability","DOI":"10.3390/su8101039","ISSN":"2071-1050","issue":"10","journalAbbreviation":"Sustainability","language":"en","license":"https://creativecommons.org/licenses/by/4.0/","page":"1039","source":"DOI.org (Crossref)","title":"Measuring the Socioeconomic and Environmental Effects of Energy Efficiency Investments for a More Sustainable Spanish Economy","volume":"8","author":[{"family":"Medina","given":"Ana"},{"family":"Cámara","given":"Ángeles"},{"family":"Monrobel","given":"José-Ramón"}],"issued":{"date-parts":[["2016",10,18]]}}}],"schema":"https://github.com/citation-style-language/schema/raw/master/csl-citation.json"} </w:instrText>
      </w:r>
      <w:r w:rsidR="00EE6350">
        <w:rPr>
          <w:rFonts w:ascii="Arial" w:hAnsi="Arial" w:cs="Arial"/>
          <w:lang w:val="en-GB"/>
        </w:rPr>
        <w:fldChar w:fldCharType="separate"/>
      </w:r>
      <w:r w:rsidR="00EE6350" w:rsidRPr="00D52FB5">
        <w:rPr>
          <w:rFonts w:ascii="Arial" w:hAnsi="Arial" w:cs="Arial"/>
        </w:rPr>
        <w:t>(Medina et al., 2016)</w:t>
      </w:r>
      <w:r w:rsidR="00EE6350">
        <w:rPr>
          <w:rFonts w:ascii="Arial" w:hAnsi="Arial" w:cs="Arial"/>
          <w:lang w:val="en-GB"/>
        </w:rPr>
        <w:fldChar w:fldCharType="end"/>
      </w:r>
    </w:p>
    <w:p w14:paraId="675B7AB6" w14:textId="4E288F9B" w:rsidR="001E03A2" w:rsidRPr="00D52FB5" w:rsidRDefault="00D52FB5" w:rsidP="00705E36">
      <w:pPr>
        <w:ind w:right="140"/>
        <w:rPr>
          <w:rFonts w:ascii="Arial" w:hAnsi="Arial" w:cs="Arial"/>
        </w:rPr>
      </w:pPr>
      <w:r>
        <w:rPr>
          <w:rFonts w:ascii="Arial" w:hAnsi="Arial" w:cs="Arial"/>
        </w:rPr>
        <w:t>C</w:t>
      </w:r>
      <w:r w:rsidRPr="00D52FB5">
        <w:rPr>
          <w:rFonts w:ascii="Arial" w:hAnsi="Arial" w:cs="Arial"/>
        </w:rPr>
        <w:t>on base en lo anterior, se plantea la hipótesis 2</w:t>
      </w:r>
      <w:r w:rsidR="001E03A2" w:rsidRPr="00D52FB5">
        <w:rPr>
          <w:rFonts w:ascii="Arial" w:hAnsi="Arial" w:cs="Arial"/>
        </w:rPr>
        <w:t>.</w:t>
      </w:r>
    </w:p>
    <w:p w14:paraId="3B7F8EBB" w14:textId="59CC6262" w:rsidR="001E03A2" w:rsidRDefault="001E03A2" w:rsidP="00705E36">
      <w:pPr>
        <w:ind w:left="708" w:right="140"/>
        <w:rPr>
          <w:rFonts w:ascii="Arial" w:hAnsi="Arial" w:cs="Arial"/>
          <w:i/>
          <w:iCs/>
        </w:rPr>
      </w:pPr>
      <w:r w:rsidRPr="00292363">
        <w:rPr>
          <w:rFonts w:ascii="Arial" w:hAnsi="Arial" w:cs="Arial"/>
        </w:rPr>
        <w:t>H</w:t>
      </w:r>
      <w:r w:rsidR="00C360E4" w:rsidRPr="00292363">
        <w:rPr>
          <w:rFonts w:ascii="Arial" w:hAnsi="Arial" w:cs="Arial"/>
        </w:rPr>
        <w:t>2</w:t>
      </w:r>
      <w:r w:rsidRPr="00292363">
        <w:rPr>
          <w:rFonts w:ascii="Arial" w:hAnsi="Arial" w:cs="Arial"/>
        </w:rPr>
        <w:t xml:space="preserve"> – </w:t>
      </w:r>
      <w:r w:rsidR="00F55027" w:rsidRPr="00292363">
        <w:rPr>
          <w:rFonts w:ascii="Arial" w:hAnsi="Arial" w:cs="Arial"/>
          <w:i/>
          <w:iCs/>
        </w:rPr>
        <w:t>Cuantos más ahorros</w:t>
      </w:r>
      <w:r w:rsidR="007F3E6F">
        <w:rPr>
          <w:rFonts w:ascii="Arial" w:hAnsi="Arial" w:cs="Arial"/>
          <w:i/>
          <w:iCs/>
        </w:rPr>
        <w:t xml:space="preserve"> </w:t>
      </w:r>
      <w:r w:rsidR="00292363" w:rsidRPr="00292363">
        <w:rPr>
          <w:rFonts w:ascii="Arial" w:hAnsi="Arial" w:cs="Arial"/>
          <w:i/>
          <w:iCs/>
        </w:rPr>
        <w:t>reconocidos dentro de la empresa, más efectos positivos en el medio ambiente.</w:t>
      </w:r>
    </w:p>
    <w:p w14:paraId="05E84F89" w14:textId="77777777" w:rsidR="007F3E6F" w:rsidRPr="008F2BE9" w:rsidRDefault="007F3E6F" w:rsidP="00705E36">
      <w:pPr>
        <w:ind w:left="708" w:right="140"/>
        <w:rPr>
          <w:rFonts w:ascii="Arial" w:hAnsi="Arial" w:cs="Arial"/>
        </w:rPr>
      </w:pPr>
    </w:p>
    <w:p w14:paraId="47564410" w14:textId="1BF1E748" w:rsidR="006F61E9" w:rsidRPr="0023295B" w:rsidRDefault="006F61E9" w:rsidP="00705E36">
      <w:pPr>
        <w:ind w:right="140"/>
        <w:jc w:val="center"/>
        <w:rPr>
          <w:rFonts w:ascii="Arial" w:hAnsi="Arial" w:cs="Arial"/>
        </w:rPr>
      </w:pPr>
      <w:r w:rsidRPr="0023295B">
        <w:rPr>
          <w:rFonts w:ascii="Arial" w:hAnsi="Arial" w:cs="Arial"/>
          <w:b/>
          <w:bCs/>
        </w:rPr>
        <w:t xml:space="preserve">Fig. </w:t>
      </w:r>
      <w:r w:rsidR="004E5B5B" w:rsidRPr="0023295B">
        <w:rPr>
          <w:rFonts w:ascii="Arial" w:hAnsi="Arial" w:cs="Arial"/>
          <w:b/>
          <w:bCs/>
        </w:rPr>
        <w:t>2</w:t>
      </w:r>
      <w:r w:rsidRPr="0023295B">
        <w:rPr>
          <w:rFonts w:ascii="Arial" w:hAnsi="Arial" w:cs="Arial"/>
        </w:rPr>
        <w:t xml:space="preserve"> </w:t>
      </w:r>
      <w:r w:rsidR="00AC5DAD" w:rsidRPr="0023295B">
        <w:rPr>
          <w:rFonts w:ascii="Arial" w:hAnsi="Arial" w:cs="Arial"/>
        </w:rPr>
        <w:t>Mod</w:t>
      </w:r>
      <w:r w:rsidR="0023295B" w:rsidRPr="0023295B">
        <w:rPr>
          <w:rFonts w:ascii="Arial" w:hAnsi="Arial" w:cs="Arial"/>
        </w:rPr>
        <w:t>elo de la investigación</w:t>
      </w:r>
      <w:r w:rsidRPr="0023295B">
        <w:rPr>
          <w:rFonts w:ascii="Arial" w:hAnsi="Arial" w:cs="Arial"/>
        </w:rPr>
        <w:t xml:space="preserve"> - H</w:t>
      </w:r>
      <w:r w:rsidR="0023295B" w:rsidRPr="0023295B">
        <w:rPr>
          <w:rFonts w:ascii="Arial" w:hAnsi="Arial" w:cs="Arial"/>
        </w:rPr>
        <w:t>i</w:t>
      </w:r>
      <w:r w:rsidRPr="0023295B">
        <w:rPr>
          <w:rFonts w:ascii="Arial" w:hAnsi="Arial" w:cs="Arial"/>
        </w:rPr>
        <w:t>p</w:t>
      </w:r>
      <w:r w:rsidR="0023295B" w:rsidRPr="0023295B">
        <w:rPr>
          <w:rFonts w:ascii="Arial" w:hAnsi="Arial" w:cs="Arial"/>
        </w:rPr>
        <w:t>ó</w:t>
      </w:r>
      <w:r w:rsidRPr="0023295B">
        <w:rPr>
          <w:rFonts w:ascii="Arial" w:hAnsi="Arial" w:cs="Arial"/>
        </w:rPr>
        <w:t>tes</w:t>
      </w:r>
      <w:r w:rsidR="0023295B" w:rsidRPr="0023295B">
        <w:rPr>
          <w:rFonts w:ascii="Arial" w:hAnsi="Arial" w:cs="Arial"/>
        </w:rPr>
        <w:t>i</w:t>
      </w:r>
      <w:r w:rsidRPr="0023295B">
        <w:rPr>
          <w:rFonts w:ascii="Arial" w:hAnsi="Arial" w:cs="Arial"/>
        </w:rPr>
        <w:t>s</w:t>
      </w:r>
    </w:p>
    <w:p w14:paraId="240727AD" w14:textId="541C7D85" w:rsidR="006F61E9" w:rsidRDefault="005473CC" w:rsidP="00705E36">
      <w:pPr>
        <w:tabs>
          <w:tab w:val="left" w:pos="1085"/>
        </w:tabs>
        <w:ind w:right="140"/>
        <w:rPr>
          <w:rFonts w:ascii="Arial" w:hAnsi="Arial" w:cs="Arial"/>
          <w:lang w:val="en-US"/>
        </w:rPr>
      </w:pPr>
      <w:r>
        <w:rPr>
          <w:rFonts w:ascii="Arial" w:hAnsi="Arial" w:cs="Arial"/>
          <w:noProof/>
          <w:lang w:val="en-US"/>
        </w:rPr>
        <w:drawing>
          <wp:inline distT="0" distB="0" distL="0" distR="0" wp14:anchorId="40ED38FA" wp14:editId="7B045F4B">
            <wp:extent cx="5429250" cy="539090"/>
            <wp:effectExtent l="0" t="0" r="19050" b="52070"/>
            <wp:docPr id="543553204"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314B3121" w14:textId="1DC3DD2B" w:rsidR="006E3E18" w:rsidRDefault="006E3E18" w:rsidP="00705E36">
      <w:pPr>
        <w:tabs>
          <w:tab w:val="left" w:pos="1085"/>
        </w:tabs>
        <w:ind w:right="140"/>
        <w:rPr>
          <w:rFonts w:ascii="Arial" w:hAnsi="Arial" w:cs="Arial"/>
          <w:lang w:val="en-US"/>
        </w:rPr>
      </w:pPr>
      <w:r>
        <w:rPr>
          <w:rFonts w:ascii="Arial" w:hAnsi="Arial" w:cs="Arial"/>
          <w:noProof/>
          <w:lang w:val="en-US"/>
        </w:rPr>
        <w:drawing>
          <wp:inline distT="0" distB="0" distL="0" distR="0" wp14:anchorId="7E086E18" wp14:editId="42C919C1">
            <wp:extent cx="5400040" cy="552202"/>
            <wp:effectExtent l="0" t="0" r="29210" b="57785"/>
            <wp:docPr id="1957283913"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59A89DF2" w14:textId="77777777" w:rsidR="006E3E18" w:rsidRDefault="006E3E18" w:rsidP="00705E36">
      <w:pPr>
        <w:tabs>
          <w:tab w:val="left" w:pos="1085"/>
        </w:tabs>
        <w:ind w:right="140"/>
        <w:rPr>
          <w:rFonts w:ascii="Arial" w:hAnsi="Arial" w:cs="Arial"/>
          <w:lang w:val="en-US"/>
        </w:rPr>
      </w:pPr>
    </w:p>
    <w:p w14:paraId="31D62AE1" w14:textId="77777777" w:rsidR="00A3582D" w:rsidRPr="00BE2CF3" w:rsidRDefault="00A3582D" w:rsidP="00705E36">
      <w:pPr>
        <w:tabs>
          <w:tab w:val="left" w:pos="1085"/>
        </w:tabs>
        <w:ind w:right="140"/>
        <w:rPr>
          <w:rFonts w:ascii="Arial" w:hAnsi="Arial" w:cs="Arial"/>
          <w:lang w:val="en-US"/>
        </w:rPr>
      </w:pPr>
    </w:p>
    <w:p w14:paraId="6869D0A1" w14:textId="5DE5C0A9" w:rsidR="00B6557E" w:rsidRPr="00BE2CF3" w:rsidRDefault="004D5256" w:rsidP="00705E36">
      <w:pPr>
        <w:pStyle w:val="Heading1"/>
        <w:numPr>
          <w:ilvl w:val="0"/>
          <w:numId w:val="1"/>
        </w:numPr>
        <w:ind w:right="140"/>
        <w:rPr>
          <w:rFonts w:ascii="Arial" w:hAnsi="Arial" w:cs="Arial"/>
          <w:lang w:val="en-GB"/>
        </w:rPr>
      </w:pPr>
      <w:bookmarkStart w:id="11" w:name="_Toc183376719"/>
      <w:r>
        <w:rPr>
          <w:rFonts w:ascii="Arial" w:hAnsi="Arial" w:cs="Arial"/>
          <w:lang w:val="en-GB"/>
        </w:rPr>
        <w:t>Metodología</w:t>
      </w:r>
      <w:bookmarkEnd w:id="11"/>
    </w:p>
    <w:p w14:paraId="334FAD11" w14:textId="77777777" w:rsidR="009953B8" w:rsidRPr="00BE2CF3" w:rsidRDefault="009953B8" w:rsidP="00705E36">
      <w:pPr>
        <w:ind w:right="140"/>
        <w:rPr>
          <w:rFonts w:ascii="Arial" w:hAnsi="Arial" w:cs="Arial"/>
          <w:lang w:val="en-GB"/>
        </w:rPr>
      </w:pPr>
    </w:p>
    <w:p w14:paraId="673F7790" w14:textId="562A2854" w:rsidR="009953B8" w:rsidRPr="00BE2CF3" w:rsidRDefault="00F16E3D" w:rsidP="00705E36">
      <w:pPr>
        <w:pStyle w:val="Heading2"/>
        <w:numPr>
          <w:ilvl w:val="1"/>
          <w:numId w:val="1"/>
        </w:numPr>
        <w:ind w:right="140"/>
        <w:rPr>
          <w:rFonts w:ascii="Arial" w:hAnsi="Arial" w:cs="Arial"/>
          <w:lang w:val="en-GB"/>
        </w:rPr>
      </w:pPr>
      <w:r w:rsidRPr="00BE2CF3">
        <w:rPr>
          <w:rFonts w:ascii="Arial" w:hAnsi="Arial" w:cs="Arial"/>
          <w:lang w:val="en-GB"/>
        </w:rPr>
        <w:t xml:space="preserve"> </w:t>
      </w:r>
      <w:bookmarkStart w:id="12" w:name="_Toc183376720"/>
      <w:r w:rsidR="007456BA">
        <w:rPr>
          <w:rFonts w:ascii="Arial" w:hAnsi="Arial" w:cs="Arial"/>
          <w:lang w:val="en-GB"/>
        </w:rPr>
        <w:t>Diseño de la investigación</w:t>
      </w:r>
      <w:bookmarkEnd w:id="12"/>
    </w:p>
    <w:p w14:paraId="09362AC1" w14:textId="77777777" w:rsidR="00EF4B97" w:rsidRPr="00BE2CF3" w:rsidRDefault="00EF4B97" w:rsidP="00705E36">
      <w:pPr>
        <w:ind w:right="140"/>
        <w:rPr>
          <w:rFonts w:ascii="Arial" w:hAnsi="Arial" w:cs="Arial"/>
          <w:lang w:val="en-GB"/>
        </w:rPr>
      </w:pPr>
    </w:p>
    <w:p w14:paraId="4BE58481" w14:textId="471C8D57" w:rsidR="00F16373" w:rsidRPr="000B4B1D" w:rsidRDefault="000B4B1D" w:rsidP="00705E36">
      <w:pPr>
        <w:ind w:right="140"/>
        <w:rPr>
          <w:rFonts w:ascii="Arial" w:hAnsi="Arial" w:cs="Arial"/>
        </w:rPr>
      </w:pPr>
      <w:r w:rsidRPr="000B4B1D">
        <w:rPr>
          <w:rFonts w:ascii="Arial" w:hAnsi="Arial" w:cs="Arial"/>
        </w:rPr>
        <w:t>Para contrastar las hipótesis</w:t>
      </w:r>
      <w:r w:rsidR="009A34EF">
        <w:rPr>
          <w:rFonts w:ascii="Arial" w:hAnsi="Arial" w:cs="Arial"/>
        </w:rPr>
        <w:t>,</w:t>
      </w:r>
      <w:r w:rsidRPr="000B4B1D">
        <w:rPr>
          <w:rFonts w:ascii="Arial" w:hAnsi="Arial" w:cs="Arial"/>
        </w:rPr>
        <w:t xml:space="preserve"> se </w:t>
      </w:r>
      <w:r w:rsidR="00EF6415">
        <w:rPr>
          <w:rFonts w:ascii="Arial" w:hAnsi="Arial" w:cs="Arial"/>
        </w:rPr>
        <w:t xml:space="preserve">creó una base de datos primarios </w:t>
      </w:r>
      <w:r w:rsidRPr="000B4B1D">
        <w:rPr>
          <w:rFonts w:ascii="Arial" w:hAnsi="Arial" w:cs="Arial"/>
        </w:rPr>
        <w:t xml:space="preserve">cuantitativos </w:t>
      </w:r>
      <w:r w:rsidR="00051B93">
        <w:rPr>
          <w:rFonts w:ascii="Arial" w:hAnsi="Arial" w:cs="Arial"/>
        </w:rPr>
        <w:t>directamente pregun</w:t>
      </w:r>
      <w:r w:rsidR="00A610B2">
        <w:rPr>
          <w:rFonts w:ascii="Arial" w:hAnsi="Arial" w:cs="Arial"/>
        </w:rPr>
        <w:t>tando a</w:t>
      </w:r>
      <w:r w:rsidR="00040769">
        <w:rPr>
          <w:rFonts w:ascii="Arial" w:hAnsi="Arial" w:cs="Arial"/>
        </w:rPr>
        <w:t xml:space="preserve">l colectivo </w:t>
      </w:r>
      <w:r w:rsidR="00A610B2">
        <w:rPr>
          <w:rFonts w:ascii="Arial" w:hAnsi="Arial" w:cs="Arial"/>
        </w:rPr>
        <w:t xml:space="preserve">de compradores </w:t>
      </w:r>
      <w:r w:rsidR="00F42E5F">
        <w:rPr>
          <w:rFonts w:ascii="Arial" w:hAnsi="Arial" w:cs="Arial"/>
        </w:rPr>
        <w:t>en</w:t>
      </w:r>
      <w:r w:rsidR="00330DAF">
        <w:rPr>
          <w:rFonts w:ascii="Arial" w:hAnsi="Arial" w:cs="Arial"/>
        </w:rPr>
        <w:t xml:space="preserve"> las</w:t>
      </w:r>
      <w:r w:rsidR="00A610B2">
        <w:rPr>
          <w:rFonts w:ascii="Arial" w:hAnsi="Arial" w:cs="Arial"/>
        </w:rPr>
        <w:t xml:space="preserve"> empresas</w:t>
      </w:r>
      <w:r w:rsidR="0069022C">
        <w:rPr>
          <w:rFonts w:ascii="Arial" w:hAnsi="Arial" w:cs="Arial"/>
        </w:rPr>
        <w:t>,</w:t>
      </w:r>
      <w:r w:rsidR="00A610B2">
        <w:rPr>
          <w:rFonts w:ascii="Arial" w:hAnsi="Arial" w:cs="Arial"/>
        </w:rPr>
        <w:t xml:space="preserve"> </w:t>
      </w:r>
      <w:r w:rsidRPr="000B4B1D">
        <w:rPr>
          <w:rFonts w:ascii="Arial" w:hAnsi="Arial" w:cs="Arial"/>
        </w:rPr>
        <w:t>a través de una encuesta</w:t>
      </w:r>
      <w:r w:rsidR="005907EA">
        <w:rPr>
          <w:rFonts w:ascii="Arial" w:hAnsi="Arial" w:cs="Arial"/>
        </w:rPr>
        <w:t xml:space="preserve">. Para lo que se </w:t>
      </w:r>
      <w:r w:rsidRPr="000B4B1D">
        <w:rPr>
          <w:rFonts w:ascii="Arial" w:hAnsi="Arial" w:cs="Arial"/>
        </w:rPr>
        <w:t>contact</w:t>
      </w:r>
      <w:r w:rsidR="005907EA">
        <w:rPr>
          <w:rFonts w:ascii="Arial" w:hAnsi="Arial" w:cs="Arial"/>
        </w:rPr>
        <w:t>ó</w:t>
      </w:r>
      <w:r w:rsidRPr="000B4B1D">
        <w:rPr>
          <w:rFonts w:ascii="Arial" w:hAnsi="Arial" w:cs="Arial"/>
        </w:rPr>
        <w:t xml:space="preserve"> con la Asociación Española de Profesionales de Compras, Contratación y Aprovisionamientos (AERCE), </w:t>
      </w:r>
      <w:r w:rsidR="006E587B">
        <w:rPr>
          <w:rFonts w:ascii="Arial" w:hAnsi="Arial" w:cs="Arial"/>
        </w:rPr>
        <w:t xml:space="preserve">y </w:t>
      </w:r>
      <w:r w:rsidR="00C733C5">
        <w:rPr>
          <w:rFonts w:ascii="Arial" w:hAnsi="Arial" w:cs="Arial"/>
        </w:rPr>
        <w:t xml:space="preserve">con </w:t>
      </w:r>
      <w:r w:rsidR="006E587B">
        <w:rPr>
          <w:rFonts w:ascii="Arial" w:hAnsi="Arial" w:cs="Arial"/>
        </w:rPr>
        <w:t>su</w:t>
      </w:r>
      <w:r w:rsidR="00C733C5">
        <w:rPr>
          <w:rFonts w:ascii="Arial" w:hAnsi="Arial" w:cs="Arial"/>
        </w:rPr>
        <w:t xml:space="preserve"> ayuda</w:t>
      </w:r>
      <w:r w:rsidR="00144C54">
        <w:rPr>
          <w:rFonts w:ascii="Arial" w:hAnsi="Arial" w:cs="Arial"/>
        </w:rPr>
        <w:t xml:space="preserve"> se realizaron </w:t>
      </w:r>
      <w:r w:rsidR="007650C8">
        <w:rPr>
          <w:rFonts w:ascii="Arial" w:hAnsi="Arial" w:cs="Arial"/>
        </w:rPr>
        <w:t>las siguientes</w:t>
      </w:r>
      <w:r w:rsidR="00144C54">
        <w:rPr>
          <w:rFonts w:ascii="Arial" w:hAnsi="Arial" w:cs="Arial"/>
        </w:rPr>
        <w:t xml:space="preserve"> acciones</w:t>
      </w:r>
      <w:r w:rsidR="002C7112">
        <w:rPr>
          <w:rFonts w:ascii="Arial" w:hAnsi="Arial" w:cs="Arial"/>
        </w:rPr>
        <w:t>;</w:t>
      </w:r>
      <w:r w:rsidR="007650C8">
        <w:rPr>
          <w:rFonts w:ascii="Arial" w:hAnsi="Arial" w:cs="Arial"/>
        </w:rPr>
        <w:t xml:space="preserve"> </w:t>
      </w:r>
      <w:r w:rsidR="00212A3F">
        <w:rPr>
          <w:rFonts w:ascii="Arial" w:hAnsi="Arial" w:cs="Arial"/>
        </w:rPr>
        <w:t>se</w:t>
      </w:r>
      <w:r w:rsidR="005907EA">
        <w:rPr>
          <w:rFonts w:ascii="Arial" w:hAnsi="Arial" w:cs="Arial"/>
        </w:rPr>
        <w:t xml:space="preserve"> env</w:t>
      </w:r>
      <w:r w:rsidR="00212A3F">
        <w:rPr>
          <w:rFonts w:ascii="Arial" w:hAnsi="Arial" w:cs="Arial"/>
        </w:rPr>
        <w:t>ió</w:t>
      </w:r>
      <w:r w:rsidR="007650C8">
        <w:rPr>
          <w:rFonts w:ascii="Arial" w:hAnsi="Arial" w:cs="Arial"/>
        </w:rPr>
        <w:t xml:space="preserve"> </w:t>
      </w:r>
      <w:r w:rsidR="000A2E13">
        <w:rPr>
          <w:rFonts w:ascii="Arial" w:hAnsi="Arial" w:cs="Arial"/>
        </w:rPr>
        <w:t>un</w:t>
      </w:r>
      <w:r w:rsidRPr="000B4B1D">
        <w:rPr>
          <w:rFonts w:ascii="Arial" w:hAnsi="Arial" w:cs="Arial"/>
        </w:rPr>
        <w:t xml:space="preserve"> cuestionario a sus miembros </w:t>
      </w:r>
      <w:r w:rsidR="001C2EE2">
        <w:rPr>
          <w:rFonts w:ascii="Arial" w:hAnsi="Arial" w:cs="Arial"/>
        </w:rPr>
        <w:t xml:space="preserve">a través de </w:t>
      </w:r>
      <w:r w:rsidRPr="000B4B1D">
        <w:rPr>
          <w:rFonts w:ascii="Arial" w:hAnsi="Arial" w:cs="Arial"/>
        </w:rPr>
        <w:t xml:space="preserve">5 publicaciones internas </w:t>
      </w:r>
      <w:r w:rsidR="00425CF1">
        <w:rPr>
          <w:rFonts w:ascii="Arial" w:hAnsi="Arial" w:cs="Arial"/>
        </w:rPr>
        <w:t xml:space="preserve">en su </w:t>
      </w:r>
      <w:r w:rsidRPr="000B4B1D">
        <w:rPr>
          <w:rFonts w:ascii="Arial" w:hAnsi="Arial" w:cs="Arial"/>
        </w:rPr>
        <w:t>boletín</w:t>
      </w:r>
      <w:r w:rsidR="00AF392B">
        <w:rPr>
          <w:rFonts w:ascii="Arial" w:hAnsi="Arial" w:cs="Arial"/>
        </w:rPr>
        <w:t xml:space="preserve"> que reciben </w:t>
      </w:r>
      <w:r w:rsidRPr="000B4B1D">
        <w:rPr>
          <w:rFonts w:ascii="Arial" w:hAnsi="Arial" w:cs="Arial"/>
        </w:rPr>
        <w:t xml:space="preserve">directamente </w:t>
      </w:r>
      <w:r w:rsidR="00425CF1">
        <w:rPr>
          <w:rFonts w:ascii="Arial" w:hAnsi="Arial" w:cs="Arial"/>
        </w:rPr>
        <w:t>los</w:t>
      </w:r>
      <w:r w:rsidRPr="000B4B1D">
        <w:rPr>
          <w:rFonts w:ascii="Arial" w:hAnsi="Arial" w:cs="Arial"/>
        </w:rPr>
        <w:t xml:space="preserve"> </w:t>
      </w:r>
      <w:r w:rsidR="00425CF1">
        <w:rPr>
          <w:rFonts w:ascii="Arial" w:hAnsi="Arial" w:cs="Arial"/>
        </w:rPr>
        <w:t>asociados</w:t>
      </w:r>
      <w:r w:rsidRPr="000B4B1D">
        <w:rPr>
          <w:rFonts w:ascii="Arial" w:hAnsi="Arial" w:cs="Arial"/>
        </w:rPr>
        <w:t xml:space="preserve">, </w:t>
      </w:r>
      <w:r w:rsidR="00720311">
        <w:rPr>
          <w:rFonts w:ascii="Arial" w:hAnsi="Arial" w:cs="Arial"/>
        </w:rPr>
        <w:t>se adjunt</w:t>
      </w:r>
      <w:r w:rsidR="00212A3F">
        <w:rPr>
          <w:rFonts w:ascii="Arial" w:hAnsi="Arial" w:cs="Arial"/>
        </w:rPr>
        <w:t>ó</w:t>
      </w:r>
      <w:r w:rsidRPr="000B4B1D">
        <w:rPr>
          <w:rFonts w:ascii="Arial" w:hAnsi="Arial" w:cs="Arial"/>
        </w:rPr>
        <w:t xml:space="preserve"> </w:t>
      </w:r>
      <w:r w:rsidR="00212A3F">
        <w:rPr>
          <w:rFonts w:ascii="Arial" w:hAnsi="Arial" w:cs="Arial"/>
        </w:rPr>
        <w:t>l</w:t>
      </w:r>
      <w:r w:rsidR="00720311">
        <w:rPr>
          <w:rFonts w:ascii="Arial" w:hAnsi="Arial" w:cs="Arial"/>
        </w:rPr>
        <w:t>a</w:t>
      </w:r>
      <w:r w:rsidRPr="000B4B1D">
        <w:rPr>
          <w:rFonts w:ascii="Arial" w:hAnsi="Arial" w:cs="Arial"/>
        </w:rPr>
        <w:t xml:space="preserve"> encuesta en su revista mensual </w:t>
      </w:r>
      <w:r w:rsidR="00720311">
        <w:rPr>
          <w:rFonts w:ascii="Arial" w:hAnsi="Arial" w:cs="Arial"/>
        </w:rPr>
        <w:t>durante</w:t>
      </w:r>
      <w:r w:rsidRPr="000B4B1D">
        <w:rPr>
          <w:rFonts w:ascii="Arial" w:hAnsi="Arial" w:cs="Arial"/>
        </w:rPr>
        <w:t xml:space="preserve"> dos publicaciones </w:t>
      </w:r>
      <w:r w:rsidR="000D7C73">
        <w:rPr>
          <w:rFonts w:ascii="Arial" w:hAnsi="Arial" w:cs="Arial"/>
        </w:rPr>
        <w:t xml:space="preserve">y que se </w:t>
      </w:r>
      <w:r w:rsidR="00E05AC2">
        <w:rPr>
          <w:rFonts w:ascii="Arial" w:hAnsi="Arial" w:cs="Arial"/>
        </w:rPr>
        <w:t>enví</w:t>
      </w:r>
      <w:r w:rsidR="000D7C73">
        <w:rPr>
          <w:rFonts w:ascii="Arial" w:hAnsi="Arial" w:cs="Arial"/>
        </w:rPr>
        <w:t>a</w:t>
      </w:r>
      <w:r w:rsidR="00E05AC2">
        <w:rPr>
          <w:rFonts w:ascii="Arial" w:hAnsi="Arial" w:cs="Arial"/>
        </w:rPr>
        <w:t xml:space="preserve"> por </w:t>
      </w:r>
      <w:r w:rsidRPr="000B4B1D">
        <w:rPr>
          <w:rFonts w:ascii="Arial" w:hAnsi="Arial" w:cs="Arial"/>
        </w:rPr>
        <w:t>correo electrónico</w:t>
      </w:r>
      <w:r w:rsidR="000D7C73">
        <w:rPr>
          <w:rFonts w:ascii="Arial" w:hAnsi="Arial" w:cs="Arial"/>
        </w:rPr>
        <w:t xml:space="preserve"> a sus asociados</w:t>
      </w:r>
      <w:r w:rsidRPr="000B4B1D">
        <w:rPr>
          <w:rFonts w:ascii="Arial" w:hAnsi="Arial" w:cs="Arial"/>
        </w:rPr>
        <w:t xml:space="preserve"> y </w:t>
      </w:r>
      <w:r w:rsidR="004A4AF2">
        <w:rPr>
          <w:rFonts w:ascii="Arial" w:hAnsi="Arial" w:cs="Arial"/>
        </w:rPr>
        <w:t xml:space="preserve">se publica el cuestionario </w:t>
      </w:r>
      <w:r w:rsidRPr="000B4B1D">
        <w:rPr>
          <w:rFonts w:ascii="Arial" w:hAnsi="Arial" w:cs="Arial"/>
        </w:rPr>
        <w:t xml:space="preserve">en su página web, invitando </w:t>
      </w:r>
      <w:r w:rsidR="00E255BB">
        <w:rPr>
          <w:rFonts w:ascii="Arial" w:hAnsi="Arial" w:cs="Arial"/>
        </w:rPr>
        <w:t xml:space="preserve">así </w:t>
      </w:r>
      <w:r w:rsidRPr="000B4B1D">
        <w:rPr>
          <w:rFonts w:ascii="Arial" w:hAnsi="Arial" w:cs="Arial"/>
        </w:rPr>
        <w:t>a sus miembros a responder. Todas estas actividades de promoción del cuestionario se realizaron durante el periodo de octubre de 2022 a enero de 2023.</w:t>
      </w:r>
    </w:p>
    <w:p w14:paraId="3F192028" w14:textId="531E9FEF" w:rsidR="00F16373" w:rsidRPr="00FA684F" w:rsidRDefault="00FA684F" w:rsidP="00705E36">
      <w:pPr>
        <w:ind w:right="140"/>
        <w:rPr>
          <w:rFonts w:ascii="Arial" w:hAnsi="Arial" w:cs="Arial"/>
        </w:rPr>
      </w:pPr>
      <w:r w:rsidRPr="00FA684F">
        <w:rPr>
          <w:rFonts w:ascii="Arial" w:hAnsi="Arial" w:cs="Arial"/>
        </w:rPr>
        <w:t xml:space="preserve">AERCE en 2024 </w:t>
      </w:r>
      <w:r w:rsidR="00042417">
        <w:rPr>
          <w:rFonts w:ascii="Arial" w:hAnsi="Arial" w:cs="Arial"/>
        </w:rPr>
        <w:t xml:space="preserve">cuenta </w:t>
      </w:r>
      <w:r w:rsidRPr="00FA684F">
        <w:rPr>
          <w:rFonts w:ascii="Arial" w:hAnsi="Arial" w:cs="Arial"/>
        </w:rPr>
        <w:t xml:space="preserve">con más de 800 asociados, </w:t>
      </w:r>
      <w:r w:rsidR="008D3593">
        <w:rPr>
          <w:rFonts w:ascii="Arial" w:hAnsi="Arial" w:cs="Arial"/>
        </w:rPr>
        <w:t>y</w:t>
      </w:r>
      <w:r w:rsidRPr="00FA684F">
        <w:rPr>
          <w:rFonts w:ascii="Arial" w:hAnsi="Arial" w:cs="Arial"/>
        </w:rPr>
        <w:t xml:space="preserve"> es una de las 44 asociaciones nacionales de compras a nivel mundial de la </w:t>
      </w:r>
      <w:r w:rsidR="00F16373" w:rsidRPr="00FA684F">
        <w:rPr>
          <w:rFonts w:ascii="Arial" w:hAnsi="Arial" w:cs="Arial"/>
        </w:rPr>
        <w:t>International Federation of Purchasing and Supply Management, (IFPSM).</w:t>
      </w:r>
    </w:p>
    <w:p w14:paraId="1D098B9D" w14:textId="34658A31" w:rsidR="002D2B4E" w:rsidRPr="002951A0" w:rsidRDefault="004360AA" w:rsidP="00705E36">
      <w:pPr>
        <w:ind w:right="140"/>
        <w:rPr>
          <w:rFonts w:ascii="Arial" w:hAnsi="Arial" w:cs="Arial"/>
        </w:rPr>
      </w:pPr>
      <w:r>
        <w:rPr>
          <w:rFonts w:ascii="Arial" w:hAnsi="Arial" w:cs="Arial"/>
        </w:rPr>
        <w:t xml:space="preserve">Para </w:t>
      </w:r>
      <w:r w:rsidR="002A7E43">
        <w:rPr>
          <w:rFonts w:ascii="Arial" w:hAnsi="Arial" w:cs="Arial"/>
        </w:rPr>
        <w:t xml:space="preserve">el </w:t>
      </w:r>
      <w:r>
        <w:rPr>
          <w:rFonts w:ascii="Arial" w:hAnsi="Arial" w:cs="Arial"/>
        </w:rPr>
        <w:t xml:space="preserve">estudio </w:t>
      </w:r>
      <w:r w:rsidR="002951A0" w:rsidRPr="002951A0">
        <w:rPr>
          <w:rFonts w:ascii="Arial" w:hAnsi="Arial" w:cs="Arial"/>
        </w:rPr>
        <w:t>de la cadena de suministro, la investigación mediante encuestas es una metodología</w:t>
      </w:r>
      <w:r w:rsidR="007F0EFA">
        <w:rPr>
          <w:rFonts w:ascii="Arial" w:hAnsi="Arial" w:cs="Arial"/>
        </w:rPr>
        <w:t xml:space="preserve"> habitual</w:t>
      </w:r>
      <w:r w:rsidR="002951A0" w:rsidRPr="002951A0">
        <w:rPr>
          <w:rFonts w:ascii="Arial" w:hAnsi="Arial" w:cs="Arial"/>
        </w:rPr>
        <w:t xml:space="preserve"> </w:t>
      </w:r>
      <w:r w:rsidR="007F0EFA">
        <w:rPr>
          <w:rFonts w:ascii="Arial" w:hAnsi="Arial" w:cs="Arial"/>
        </w:rPr>
        <w:t>entre</w:t>
      </w:r>
      <w:r w:rsidR="002951A0" w:rsidRPr="002951A0">
        <w:rPr>
          <w:rFonts w:ascii="Arial" w:hAnsi="Arial" w:cs="Arial"/>
        </w:rPr>
        <w:t xml:space="preserve"> los investigadores para generar datos empíricos. Para que sea eficaz, es fundamental contar con una tasa de respuesta aceptable</w:t>
      </w:r>
      <w:r w:rsidR="002D2B4E" w:rsidRPr="002951A0">
        <w:rPr>
          <w:rFonts w:ascii="Arial" w:hAnsi="Arial" w:cs="Arial"/>
        </w:rPr>
        <w:t xml:space="preserve"> </w:t>
      </w:r>
      <w:r w:rsidR="002D2B4E" w:rsidRPr="00BE2CF3">
        <w:rPr>
          <w:rFonts w:ascii="Arial" w:hAnsi="Arial" w:cs="Arial"/>
          <w:lang w:val="en-GB"/>
        </w:rPr>
        <w:fldChar w:fldCharType="begin"/>
      </w:r>
      <w:r w:rsidR="002D2B4E" w:rsidRPr="002951A0">
        <w:rPr>
          <w:rFonts w:ascii="Arial" w:hAnsi="Arial" w:cs="Arial"/>
        </w:rPr>
        <w:instrText xml:space="preserve"> ADDIN ZOTERO_ITEM CSL_CITATION {"citationID":"B8vkg2yT","properties":{"formattedCitation":"(Melnyk et al., 2012)","plainCitation":"(Melnyk et al., 2012)","noteIndex":0},"citationItems":[{"id":610,"uris":["http://zotero.org/users/9514289/items/5NAV7SQW"],"itemData":{"id":610,"type":"article-journal","abstract":"In supply chain management, survey research is one of the primary methodologies used by researchers to generate empirical data. Critical to its effectiveness is an acceptable response rate. Recently, concerns have been raised regarding perceived falling response rates. Using data taken from 464 survey-based studies, as drawn from </w:instrText>
      </w:r>
      <w:r w:rsidR="002D2B4E" w:rsidRPr="00BE2CF3">
        <w:rPr>
          <w:rFonts w:ascii="Arial" w:hAnsi="Arial" w:cs="Arial"/>
          <w:lang w:val="en-GB"/>
        </w:rPr>
        <w:instrText>ﬁ</w:instrText>
      </w:r>
      <w:r w:rsidR="002D2B4E" w:rsidRPr="002951A0">
        <w:rPr>
          <w:rFonts w:ascii="Arial" w:hAnsi="Arial" w:cs="Arial"/>
        </w:rPr>
        <w:instrText xml:space="preserve">ve representative journals that publish survey-based supply chain studies, this study assesses whether these concerns are valid. Furthermore, it assesses whether the various tactics recommended for improving response rates have been successful. The </w:instrText>
      </w:r>
      <w:r w:rsidR="002D2B4E" w:rsidRPr="00BE2CF3">
        <w:rPr>
          <w:rFonts w:ascii="Arial" w:hAnsi="Arial" w:cs="Arial"/>
          <w:lang w:val="en-GB"/>
        </w:rPr>
        <w:instrText>ﬁ</w:instrText>
      </w:r>
      <w:r w:rsidR="002D2B4E" w:rsidRPr="002951A0">
        <w:rPr>
          <w:rFonts w:ascii="Arial" w:hAnsi="Arial" w:cs="Arial"/>
        </w:rPr>
        <w:instrText>ndings indicate that (1) responses rates have been falling (with a signi</w:instrText>
      </w:r>
      <w:r w:rsidR="002D2B4E" w:rsidRPr="00BE2CF3">
        <w:rPr>
          <w:rFonts w:ascii="Arial" w:hAnsi="Arial" w:cs="Arial"/>
          <w:lang w:val="en-GB"/>
        </w:rPr>
        <w:instrText>ﬁ</w:instrText>
      </w:r>
      <w:r w:rsidR="002D2B4E" w:rsidRPr="002951A0">
        <w:rPr>
          <w:rFonts w:ascii="Arial" w:hAnsi="Arial" w:cs="Arial"/>
        </w:rPr>
        <w:instrText>cant decrease beginning in 2001); (2) it is dif</w:instrText>
      </w:r>
      <w:r w:rsidR="002D2B4E" w:rsidRPr="00BE2CF3">
        <w:rPr>
          <w:rFonts w:ascii="Arial" w:hAnsi="Arial" w:cs="Arial"/>
          <w:lang w:val="en-GB"/>
        </w:rPr>
        <w:instrText>ﬁ</w:instrText>
      </w:r>
      <w:r w:rsidR="002D2B4E" w:rsidRPr="002951A0">
        <w:rPr>
          <w:rFonts w:ascii="Arial" w:hAnsi="Arial" w:cs="Arial"/>
        </w:rPr>
        <w:instrText>cult to evaluate the effectiveness of the various techniques because of unevenness in reporting of techniques used; and, (3) response rates are signi</w:instrText>
      </w:r>
      <w:r w:rsidR="002D2B4E" w:rsidRPr="00BE2CF3">
        <w:rPr>
          <w:rFonts w:ascii="Arial" w:hAnsi="Arial" w:cs="Arial"/>
          <w:lang w:val="en-GB"/>
        </w:rPr>
        <w:instrText>ﬁ</w:instrText>
      </w:r>
      <w:r w:rsidR="002D2B4E" w:rsidRPr="002951A0">
        <w:rPr>
          <w:rFonts w:ascii="Arial" w:hAnsi="Arial" w:cs="Arial"/>
        </w:rPr>
        <w:instrText>cantly in</w:instrText>
      </w:r>
      <w:r w:rsidR="002D2B4E" w:rsidRPr="00BE2CF3">
        <w:rPr>
          <w:rFonts w:ascii="Arial" w:hAnsi="Arial" w:cs="Arial"/>
          <w:lang w:val="en-GB"/>
        </w:rPr>
        <w:instrText>ﬂ</w:instrText>
      </w:r>
      <w:r w:rsidR="002D2B4E" w:rsidRPr="002951A0">
        <w:rPr>
          <w:rFonts w:ascii="Arial" w:hAnsi="Arial" w:cs="Arial"/>
        </w:rPr>
        <w:instrText>uenced by factors such as the number of questions, source of survey population, method of survey delivery, speci</w:instrText>
      </w:r>
      <w:r w:rsidR="002D2B4E" w:rsidRPr="00BE2CF3">
        <w:rPr>
          <w:rFonts w:ascii="Arial" w:hAnsi="Arial" w:cs="Arial"/>
          <w:lang w:val="en-GB"/>
        </w:rPr>
        <w:instrText>ﬁ</w:instrText>
      </w:r>
      <w:r w:rsidR="002D2B4E" w:rsidRPr="002951A0">
        <w:rPr>
          <w:rFonts w:ascii="Arial" w:hAnsi="Arial" w:cs="Arial"/>
        </w:rPr>
        <w:instrText>c respondents targeted, and use of prequali</w:instrText>
      </w:r>
      <w:r w:rsidR="002D2B4E" w:rsidRPr="00BE2CF3">
        <w:rPr>
          <w:rFonts w:ascii="Arial" w:hAnsi="Arial" w:cs="Arial"/>
          <w:lang w:val="en-GB"/>
        </w:rPr>
        <w:instrText>ﬁ</w:instrText>
      </w:r>
      <w:r w:rsidR="002D2B4E" w:rsidRPr="002951A0">
        <w:rPr>
          <w:rFonts w:ascii="Arial" w:hAnsi="Arial" w:cs="Arial"/>
        </w:rPr>
        <w:instrText>cation/pre-noti</w:instrText>
      </w:r>
      <w:r w:rsidR="002D2B4E" w:rsidRPr="00BE2CF3">
        <w:rPr>
          <w:rFonts w:ascii="Arial" w:hAnsi="Arial" w:cs="Arial"/>
          <w:lang w:val="en-GB"/>
        </w:rPr>
        <w:instrText>ﬁ</w:instrText>
      </w:r>
      <w:r w:rsidR="002D2B4E" w:rsidRPr="002951A0">
        <w:rPr>
          <w:rFonts w:ascii="Arial" w:hAnsi="Arial" w:cs="Arial"/>
        </w:rPr>
        <w:instrText xml:space="preserve">cation.","container-title":"Journal of Purchasing and Supply Management","DOI":"10.1016/j.pursup.2011.12.002","ISSN":"14784092","issue":"1","journalAbbreviation":"Journal of Purchasing and Supply Management","language":"en","page":"35-45","source":"DOI.org (Crossref)","title":"Would you mind completing this survey: Assessing the state of survey research in supply chain management","title-short":"Would you mind completing this survey","volume":"18","author":[{"family":"Melnyk","given":"Steven A."},{"family":"Page","given":"Thomas J."},{"family":"Wu","given":"Sarah Jinhui"},{"family":"Burns","given":"Laird A."}],"issued":{"date-parts":[["2012",3]]}}}],"schema":"https://github.com/citation-style-language/schema/raw/master/csl-citation.json"} </w:instrText>
      </w:r>
      <w:r w:rsidR="002D2B4E" w:rsidRPr="00BE2CF3">
        <w:rPr>
          <w:rFonts w:ascii="Arial" w:hAnsi="Arial" w:cs="Arial"/>
          <w:lang w:val="en-GB"/>
        </w:rPr>
        <w:fldChar w:fldCharType="separate"/>
      </w:r>
      <w:r w:rsidR="002D2B4E" w:rsidRPr="002951A0">
        <w:rPr>
          <w:rFonts w:ascii="Arial" w:hAnsi="Arial" w:cs="Arial"/>
        </w:rPr>
        <w:t>(Melnyk et al., 2012)</w:t>
      </w:r>
      <w:r w:rsidR="002D2B4E" w:rsidRPr="00BE2CF3">
        <w:rPr>
          <w:rFonts w:ascii="Arial" w:hAnsi="Arial" w:cs="Arial"/>
          <w:lang w:val="en-GB"/>
        </w:rPr>
        <w:fldChar w:fldCharType="end"/>
      </w:r>
      <w:r w:rsidR="002D2B4E" w:rsidRPr="002951A0">
        <w:rPr>
          <w:rFonts w:ascii="Arial" w:hAnsi="Arial" w:cs="Arial"/>
        </w:rPr>
        <w:t xml:space="preserve">. </w:t>
      </w:r>
    </w:p>
    <w:p w14:paraId="32219FEC" w14:textId="6F3BCF5B" w:rsidR="00F16373" w:rsidRPr="00A0256A" w:rsidRDefault="002440D4" w:rsidP="00705E36">
      <w:pPr>
        <w:ind w:right="140"/>
        <w:rPr>
          <w:rFonts w:ascii="Arial" w:hAnsi="Arial" w:cs="Arial"/>
        </w:rPr>
      </w:pPr>
      <w:r w:rsidRPr="002440D4">
        <w:rPr>
          <w:rFonts w:ascii="Arial" w:hAnsi="Arial" w:cs="Arial"/>
        </w:rPr>
        <w:t>Durante es</w:t>
      </w:r>
      <w:r w:rsidR="00040769">
        <w:rPr>
          <w:rFonts w:ascii="Arial" w:hAnsi="Arial" w:cs="Arial"/>
        </w:rPr>
        <w:t>o</w:t>
      </w:r>
      <w:r w:rsidRPr="002440D4">
        <w:rPr>
          <w:rFonts w:ascii="Arial" w:hAnsi="Arial" w:cs="Arial"/>
        </w:rPr>
        <w:t>s meses de encuesta se recog</w:t>
      </w:r>
      <w:r w:rsidR="00040769">
        <w:rPr>
          <w:rFonts w:ascii="Arial" w:hAnsi="Arial" w:cs="Arial"/>
        </w:rPr>
        <w:t>ió</w:t>
      </w:r>
      <w:r w:rsidRPr="002440D4">
        <w:rPr>
          <w:rFonts w:ascii="Arial" w:hAnsi="Arial" w:cs="Arial"/>
        </w:rPr>
        <w:t xml:space="preserve"> una muestra de 181 encuestados válidos de </w:t>
      </w:r>
      <w:r w:rsidR="00040769">
        <w:rPr>
          <w:rFonts w:ascii="Arial" w:hAnsi="Arial" w:cs="Arial"/>
        </w:rPr>
        <w:t>una población total de</w:t>
      </w:r>
      <w:r w:rsidRPr="002440D4">
        <w:rPr>
          <w:rFonts w:ascii="Arial" w:hAnsi="Arial" w:cs="Arial"/>
        </w:rPr>
        <w:t xml:space="preserve"> 800 </w:t>
      </w:r>
      <w:r w:rsidR="00040769">
        <w:rPr>
          <w:rFonts w:ascii="Arial" w:hAnsi="Arial" w:cs="Arial"/>
        </w:rPr>
        <w:t>asociados</w:t>
      </w:r>
      <w:r w:rsidRPr="002440D4">
        <w:rPr>
          <w:rFonts w:ascii="Arial" w:hAnsi="Arial" w:cs="Arial"/>
        </w:rPr>
        <w:t>, con una media de 33 minutos</w:t>
      </w:r>
      <w:r w:rsidR="000966A0">
        <w:rPr>
          <w:rFonts w:ascii="Arial" w:hAnsi="Arial" w:cs="Arial"/>
        </w:rPr>
        <w:t xml:space="preserve"> dedicados</w:t>
      </w:r>
      <w:r w:rsidRPr="002440D4">
        <w:rPr>
          <w:rFonts w:ascii="Arial" w:hAnsi="Arial" w:cs="Arial"/>
        </w:rPr>
        <w:t xml:space="preserve"> para completarla. La muestra puede considerarse suficientemente grande</w:t>
      </w:r>
      <w:r w:rsidR="00F746D9">
        <w:rPr>
          <w:rFonts w:ascii="Arial" w:hAnsi="Arial" w:cs="Arial"/>
        </w:rPr>
        <w:t>,</w:t>
      </w:r>
      <w:r w:rsidRPr="002440D4">
        <w:rPr>
          <w:rFonts w:ascii="Arial" w:hAnsi="Arial" w:cs="Arial"/>
        </w:rPr>
        <w:t xml:space="preserve"> con datos de calidad</w:t>
      </w:r>
      <w:r w:rsidR="00F746D9">
        <w:rPr>
          <w:rFonts w:ascii="Arial" w:hAnsi="Arial" w:cs="Arial"/>
        </w:rPr>
        <w:t xml:space="preserve"> y</w:t>
      </w:r>
      <w:r w:rsidRPr="002440D4">
        <w:rPr>
          <w:rFonts w:ascii="Arial" w:hAnsi="Arial" w:cs="Arial"/>
        </w:rPr>
        <w:t xml:space="preserve"> con una tasa de efectividad del 22%. </w:t>
      </w:r>
      <w:r w:rsidR="00715F68">
        <w:rPr>
          <w:rFonts w:ascii="Arial" w:hAnsi="Arial" w:cs="Arial"/>
        </w:rPr>
        <w:t>Y</w:t>
      </w:r>
      <w:r w:rsidRPr="002440D4">
        <w:rPr>
          <w:rFonts w:ascii="Arial" w:hAnsi="Arial" w:cs="Arial"/>
        </w:rPr>
        <w:t xml:space="preserve"> se considera </w:t>
      </w:r>
      <w:r w:rsidR="00874705">
        <w:rPr>
          <w:rFonts w:ascii="Arial" w:hAnsi="Arial" w:cs="Arial"/>
        </w:rPr>
        <w:t>suficiente</w:t>
      </w:r>
      <w:r w:rsidRPr="002440D4">
        <w:rPr>
          <w:rFonts w:ascii="Arial" w:hAnsi="Arial" w:cs="Arial"/>
        </w:rPr>
        <w:t xml:space="preserve"> </w:t>
      </w:r>
      <w:r w:rsidR="00874705">
        <w:rPr>
          <w:rFonts w:ascii="Arial" w:hAnsi="Arial" w:cs="Arial"/>
        </w:rPr>
        <w:t>al compararla</w:t>
      </w:r>
      <w:r w:rsidRPr="002440D4">
        <w:rPr>
          <w:rFonts w:ascii="Arial" w:hAnsi="Arial" w:cs="Arial"/>
        </w:rPr>
        <w:t xml:space="preserve"> con estudios similares.</w:t>
      </w:r>
      <w:r w:rsidR="00F16373" w:rsidRPr="002440D4">
        <w:rPr>
          <w:rFonts w:ascii="Arial" w:hAnsi="Arial" w:cs="Arial"/>
        </w:rPr>
        <w:t xml:space="preserve"> </w:t>
      </w:r>
      <w:r w:rsidR="00FB46FF">
        <w:rPr>
          <w:rFonts w:ascii="Arial" w:hAnsi="Arial" w:cs="Arial"/>
        </w:rPr>
        <w:t>En las últimas publicaciones</w:t>
      </w:r>
      <w:r w:rsidR="00A0256A" w:rsidRPr="00A0256A">
        <w:rPr>
          <w:rFonts w:ascii="Arial" w:hAnsi="Arial" w:cs="Arial"/>
        </w:rPr>
        <w:t xml:space="preserve">, se observó que no </w:t>
      </w:r>
      <w:r w:rsidR="00DA71D7">
        <w:rPr>
          <w:rFonts w:ascii="Arial" w:hAnsi="Arial" w:cs="Arial"/>
        </w:rPr>
        <w:t xml:space="preserve">se </w:t>
      </w:r>
      <w:r w:rsidR="00A0256A" w:rsidRPr="00A0256A">
        <w:rPr>
          <w:rFonts w:ascii="Arial" w:hAnsi="Arial" w:cs="Arial"/>
        </w:rPr>
        <w:t>generaba</w:t>
      </w:r>
      <w:r w:rsidR="00DA71D7">
        <w:rPr>
          <w:rFonts w:ascii="Arial" w:hAnsi="Arial" w:cs="Arial"/>
        </w:rPr>
        <w:t>n</w:t>
      </w:r>
      <w:r w:rsidR="00A0256A" w:rsidRPr="00A0256A">
        <w:rPr>
          <w:rFonts w:ascii="Arial" w:hAnsi="Arial" w:cs="Arial"/>
        </w:rPr>
        <w:t xml:space="preserve"> nuevas respuestas y se estaba llegando a la saturación, ya que nuevos encuestados daban información similar.</w:t>
      </w:r>
    </w:p>
    <w:p w14:paraId="36950677" w14:textId="2B5CD1DF" w:rsidR="004473D8" w:rsidRDefault="00A0256A" w:rsidP="00705E36">
      <w:pPr>
        <w:ind w:right="140"/>
        <w:rPr>
          <w:rFonts w:ascii="Arial" w:hAnsi="Arial" w:cs="Arial"/>
        </w:rPr>
      </w:pPr>
      <w:r w:rsidRPr="00A0256A">
        <w:rPr>
          <w:rFonts w:ascii="Arial" w:hAnsi="Arial" w:cs="Arial"/>
        </w:rPr>
        <w:t xml:space="preserve">Algunas características relevantes de la muestra se muestran en la Tabla </w:t>
      </w:r>
      <w:r w:rsidR="00353BF7">
        <w:rPr>
          <w:rFonts w:ascii="Arial" w:hAnsi="Arial" w:cs="Arial"/>
        </w:rPr>
        <w:t>1</w:t>
      </w:r>
      <w:r w:rsidRPr="00A0256A">
        <w:rPr>
          <w:rFonts w:ascii="Arial" w:hAnsi="Arial" w:cs="Arial"/>
        </w:rPr>
        <w:t>.</w:t>
      </w:r>
    </w:p>
    <w:p w14:paraId="166F9CA0" w14:textId="77777777" w:rsidR="00C741DF" w:rsidRPr="00A0256A" w:rsidRDefault="00C741DF" w:rsidP="00705E36">
      <w:pPr>
        <w:ind w:right="140"/>
        <w:rPr>
          <w:rFonts w:ascii="Arial" w:hAnsi="Arial" w:cs="Arial"/>
        </w:rPr>
      </w:pPr>
    </w:p>
    <w:p w14:paraId="0E25E5EA" w14:textId="58DCD9E7" w:rsidR="004473D8" w:rsidRPr="00353BF7" w:rsidRDefault="004473D8" w:rsidP="00705E36">
      <w:pPr>
        <w:ind w:right="140"/>
        <w:jc w:val="center"/>
        <w:rPr>
          <w:rFonts w:ascii="Arial" w:hAnsi="Arial" w:cs="Arial"/>
        </w:rPr>
      </w:pPr>
      <w:r w:rsidRPr="00353BF7">
        <w:rPr>
          <w:rFonts w:ascii="Arial" w:hAnsi="Arial" w:cs="Arial"/>
          <w:b/>
          <w:bCs/>
        </w:rPr>
        <w:t>Tabl</w:t>
      </w:r>
      <w:r w:rsidR="00A0256A" w:rsidRPr="00353BF7">
        <w:rPr>
          <w:rFonts w:ascii="Arial" w:hAnsi="Arial" w:cs="Arial"/>
          <w:b/>
          <w:bCs/>
        </w:rPr>
        <w:t>a</w:t>
      </w:r>
      <w:r w:rsidRPr="00353BF7">
        <w:rPr>
          <w:rFonts w:ascii="Arial" w:hAnsi="Arial" w:cs="Arial"/>
          <w:b/>
          <w:bCs/>
        </w:rPr>
        <w:t>.</w:t>
      </w:r>
      <w:r w:rsidR="00353BF7" w:rsidRPr="00353BF7">
        <w:rPr>
          <w:rFonts w:ascii="Arial" w:hAnsi="Arial" w:cs="Arial"/>
          <w:b/>
          <w:bCs/>
        </w:rPr>
        <w:t>1</w:t>
      </w:r>
      <w:r w:rsidRPr="00353BF7">
        <w:rPr>
          <w:rFonts w:ascii="Arial" w:hAnsi="Arial" w:cs="Arial"/>
        </w:rPr>
        <w:t xml:space="preserve"> </w:t>
      </w:r>
      <w:r w:rsidR="00DD62E2" w:rsidRPr="00353BF7">
        <w:rPr>
          <w:rFonts w:ascii="Arial" w:hAnsi="Arial" w:cs="Arial"/>
        </w:rPr>
        <w:t>Características de la muestra</w:t>
      </w:r>
      <w:r w:rsidRPr="00353BF7">
        <w:rPr>
          <w:rFonts w:ascii="Arial" w:hAnsi="Arial" w:cs="Arial"/>
        </w:rPr>
        <w:t xml:space="preserve"> </w:t>
      </w:r>
    </w:p>
    <w:tbl>
      <w:tblPr>
        <w:tblW w:w="8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870"/>
        <w:gridCol w:w="1071"/>
        <w:gridCol w:w="1405"/>
      </w:tblGrid>
      <w:tr w:rsidR="000D6953" w:rsidRPr="00BE2CF3" w14:paraId="2F7E3794" w14:textId="77777777" w:rsidTr="00A06380">
        <w:trPr>
          <w:trHeight w:val="385"/>
        </w:trPr>
        <w:tc>
          <w:tcPr>
            <w:tcW w:w="5870" w:type="dxa"/>
            <w:shd w:val="clear" w:color="auto" w:fill="auto"/>
            <w:noWrap/>
            <w:vAlign w:val="center"/>
            <w:hideMark/>
          </w:tcPr>
          <w:p w14:paraId="5EF1FDF3" w14:textId="49335791" w:rsidR="004473D8" w:rsidRPr="00AC1837" w:rsidRDefault="00090875" w:rsidP="00705E36">
            <w:pPr>
              <w:spacing w:after="0" w:line="240" w:lineRule="auto"/>
              <w:ind w:right="140"/>
              <w:jc w:val="center"/>
              <w:rPr>
                <w:rFonts w:ascii="Arial" w:eastAsia="Times New Roman" w:hAnsi="Arial" w:cs="Arial"/>
                <w:b/>
                <w:bCs/>
                <w:i/>
                <w:iCs/>
                <w:color w:val="000000"/>
                <w:kern w:val="0"/>
                <w:u w:val="single"/>
                <w:lang w:eastAsia="es-ES"/>
                <w14:ligatures w14:val="none"/>
              </w:rPr>
            </w:pPr>
            <w:r w:rsidRPr="00AC1837">
              <w:rPr>
                <w:rFonts w:ascii="Arial" w:eastAsia="Times New Roman" w:hAnsi="Arial" w:cs="Arial"/>
                <w:b/>
                <w:bCs/>
                <w:i/>
                <w:iCs/>
                <w:color w:val="000000"/>
                <w:kern w:val="0"/>
                <w:u w:val="single"/>
                <w:lang w:eastAsia="es-ES"/>
                <w14:ligatures w14:val="none"/>
              </w:rPr>
              <w:t>Tamaño de la compañía</w:t>
            </w:r>
          </w:p>
          <w:p w14:paraId="04A8391C" w14:textId="77777777" w:rsidR="004473D8" w:rsidRPr="00BE2CF3" w:rsidRDefault="004473D8" w:rsidP="00705E36">
            <w:pPr>
              <w:spacing w:after="0" w:line="240" w:lineRule="auto"/>
              <w:ind w:right="140"/>
              <w:jc w:val="center"/>
              <w:rPr>
                <w:rFonts w:ascii="Arial" w:eastAsia="Times New Roman" w:hAnsi="Arial" w:cs="Arial"/>
                <w:b/>
                <w:bCs/>
                <w:i/>
                <w:iCs/>
                <w:color w:val="000000"/>
                <w:kern w:val="0"/>
                <w:lang w:eastAsia="es-ES"/>
                <w14:ligatures w14:val="none"/>
              </w:rPr>
            </w:pPr>
          </w:p>
        </w:tc>
        <w:tc>
          <w:tcPr>
            <w:tcW w:w="1071" w:type="dxa"/>
            <w:shd w:val="clear" w:color="auto" w:fill="auto"/>
            <w:noWrap/>
            <w:vAlign w:val="center"/>
            <w:hideMark/>
          </w:tcPr>
          <w:p w14:paraId="44A394E1" w14:textId="77777777" w:rsidR="004473D8" w:rsidRPr="00BE2CF3" w:rsidRDefault="004473D8" w:rsidP="00705E36">
            <w:pPr>
              <w:spacing w:after="0" w:line="240" w:lineRule="auto"/>
              <w:ind w:right="140"/>
              <w:jc w:val="right"/>
              <w:rPr>
                <w:rFonts w:ascii="Arial" w:eastAsia="Times New Roman" w:hAnsi="Arial" w:cs="Arial"/>
                <w:b/>
                <w:bCs/>
                <w:color w:val="000000"/>
                <w:kern w:val="0"/>
                <w:lang w:eastAsia="es-ES"/>
                <w14:ligatures w14:val="none"/>
              </w:rPr>
            </w:pPr>
            <w:r w:rsidRPr="00BE2CF3">
              <w:rPr>
                <w:rFonts w:ascii="Arial" w:eastAsia="Times New Roman" w:hAnsi="Arial" w:cs="Arial"/>
                <w:b/>
                <w:bCs/>
                <w:color w:val="000000"/>
                <w:kern w:val="0"/>
                <w:lang w:eastAsia="es-ES"/>
                <w14:ligatures w14:val="none"/>
              </w:rPr>
              <w:t>N</w:t>
            </w:r>
          </w:p>
        </w:tc>
        <w:tc>
          <w:tcPr>
            <w:tcW w:w="1405" w:type="dxa"/>
            <w:shd w:val="clear" w:color="auto" w:fill="auto"/>
            <w:noWrap/>
            <w:vAlign w:val="center"/>
            <w:hideMark/>
          </w:tcPr>
          <w:p w14:paraId="52934DEF" w14:textId="2F2E7DE0" w:rsidR="004473D8" w:rsidRPr="00BE2CF3" w:rsidRDefault="00090875" w:rsidP="00705E36">
            <w:pPr>
              <w:spacing w:after="0" w:line="240" w:lineRule="auto"/>
              <w:ind w:right="140"/>
              <w:jc w:val="center"/>
              <w:rPr>
                <w:rFonts w:ascii="Arial" w:eastAsia="Times New Roman" w:hAnsi="Arial" w:cs="Arial"/>
                <w:b/>
                <w:bCs/>
                <w:color w:val="000000"/>
                <w:kern w:val="0"/>
                <w:lang w:eastAsia="es-ES"/>
                <w14:ligatures w14:val="none"/>
              </w:rPr>
            </w:pPr>
            <w:r>
              <w:rPr>
                <w:rFonts w:ascii="Arial" w:eastAsia="Times New Roman" w:hAnsi="Arial" w:cs="Arial"/>
                <w:b/>
                <w:bCs/>
                <w:color w:val="000000"/>
                <w:kern w:val="0"/>
                <w:lang w:eastAsia="es-ES"/>
                <w14:ligatures w14:val="none"/>
              </w:rPr>
              <w:t>Porcentaje</w:t>
            </w:r>
          </w:p>
        </w:tc>
      </w:tr>
      <w:tr w:rsidR="000D6953" w:rsidRPr="00BE2CF3" w14:paraId="5E911C7F" w14:textId="77777777" w:rsidTr="00A06380">
        <w:trPr>
          <w:trHeight w:val="271"/>
        </w:trPr>
        <w:tc>
          <w:tcPr>
            <w:tcW w:w="5870" w:type="dxa"/>
            <w:shd w:val="clear" w:color="auto" w:fill="auto"/>
            <w:noWrap/>
            <w:vAlign w:val="bottom"/>
            <w:hideMark/>
          </w:tcPr>
          <w:p w14:paraId="3F0ED13B" w14:textId="3C37330E" w:rsidR="004473D8" w:rsidRPr="00BE2CF3" w:rsidRDefault="00090875" w:rsidP="00705E36">
            <w:pPr>
              <w:spacing w:after="0" w:line="240" w:lineRule="auto"/>
              <w:ind w:right="140"/>
              <w:rPr>
                <w:rFonts w:ascii="Arial" w:eastAsia="Times New Roman" w:hAnsi="Arial" w:cs="Arial"/>
                <w:color w:val="000000"/>
                <w:kern w:val="0"/>
                <w:lang w:eastAsia="es-ES"/>
                <w14:ligatures w14:val="none"/>
              </w:rPr>
            </w:pPr>
            <w:r>
              <w:rPr>
                <w:rFonts w:ascii="Arial" w:eastAsia="Times New Roman" w:hAnsi="Arial" w:cs="Arial"/>
                <w:color w:val="000000"/>
                <w:kern w:val="0"/>
                <w:lang w:eastAsia="es-ES"/>
                <w14:ligatures w14:val="none"/>
              </w:rPr>
              <w:t>Gran empresa</w:t>
            </w:r>
            <w:r w:rsidR="004473D8" w:rsidRPr="00BE2CF3">
              <w:rPr>
                <w:rFonts w:ascii="Arial" w:eastAsia="Times New Roman" w:hAnsi="Arial" w:cs="Arial"/>
                <w:color w:val="000000"/>
                <w:kern w:val="0"/>
                <w:lang w:eastAsia="es-ES"/>
                <w14:ligatures w14:val="none"/>
              </w:rPr>
              <w:t xml:space="preserve"> &gt; = 250 </w:t>
            </w:r>
            <w:r>
              <w:rPr>
                <w:rFonts w:ascii="Arial" w:eastAsia="Times New Roman" w:hAnsi="Arial" w:cs="Arial"/>
                <w:color w:val="000000"/>
                <w:kern w:val="0"/>
                <w:lang w:eastAsia="es-ES"/>
                <w14:ligatures w14:val="none"/>
              </w:rPr>
              <w:t>empleados</w:t>
            </w:r>
            <w:r w:rsidR="004473D8" w:rsidRPr="00BE2CF3">
              <w:rPr>
                <w:rFonts w:ascii="Arial" w:eastAsia="Times New Roman" w:hAnsi="Arial" w:cs="Arial"/>
                <w:color w:val="000000"/>
                <w:kern w:val="0"/>
                <w:lang w:eastAsia="es-ES"/>
                <w14:ligatures w14:val="none"/>
              </w:rPr>
              <w:t xml:space="preserve"> </w:t>
            </w:r>
          </w:p>
        </w:tc>
        <w:tc>
          <w:tcPr>
            <w:tcW w:w="1071" w:type="dxa"/>
            <w:shd w:val="clear" w:color="auto" w:fill="auto"/>
            <w:noWrap/>
            <w:vAlign w:val="bottom"/>
            <w:hideMark/>
          </w:tcPr>
          <w:p w14:paraId="367D92E2"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142</w:t>
            </w:r>
          </w:p>
        </w:tc>
        <w:tc>
          <w:tcPr>
            <w:tcW w:w="1405" w:type="dxa"/>
            <w:shd w:val="clear" w:color="auto" w:fill="auto"/>
            <w:noWrap/>
            <w:vAlign w:val="bottom"/>
            <w:hideMark/>
          </w:tcPr>
          <w:p w14:paraId="0A78C8C3"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78,45%</w:t>
            </w:r>
          </w:p>
        </w:tc>
      </w:tr>
      <w:tr w:rsidR="000D6953" w:rsidRPr="00BE2CF3" w14:paraId="7AE402C5" w14:textId="77777777" w:rsidTr="00A06380">
        <w:trPr>
          <w:trHeight w:val="271"/>
        </w:trPr>
        <w:tc>
          <w:tcPr>
            <w:tcW w:w="5870" w:type="dxa"/>
            <w:shd w:val="clear" w:color="auto" w:fill="auto"/>
            <w:noWrap/>
            <w:vAlign w:val="bottom"/>
            <w:hideMark/>
          </w:tcPr>
          <w:p w14:paraId="50AA6425" w14:textId="430B889E" w:rsidR="004473D8" w:rsidRPr="00BE2CF3" w:rsidRDefault="00F00B8C" w:rsidP="00705E36">
            <w:pPr>
              <w:spacing w:after="0" w:line="240" w:lineRule="auto"/>
              <w:ind w:right="140"/>
              <w:rPr>
                <w:rFonts w:ascii="Arial" w:eastAsia="Times New Roman" w:hAnsi="Arial" w:cs="Arial"/>
                <w:color w:val="000000"/>
                <w:kern w:val="0"/>
                <w:lang w:eastAsia="es-ES"/>
                <w14:ligatures w14:val="none"/>
              </w:rPr>
            </w:pPr>
            <w:r>
              <w:rPr>
                <w:rFonts w:ascii="Arial" w:eastAsia="Times New Roman" w:hAnsi="Arial" w:cs="Arial"/>
                <w:color w:val="000000"/>
                <w:kern w:val="0"/>
                <w:lang w:eastAsia="es-ES"/>
                <w14:ligatures w14:val="none"/>
              </w:rPr>
              <w:t>Mediana empresa</w:t>
            </w:r>
            <w:r w:rsidR="004473D8" w:rsidRPr="00BE2CF3">
              <w:rPr>
                <w:rFonts w:ascii="Arial" w:eastAsia="Times New Roman" w:hAnsi="Arial" w:cs="Arial"/>
                <w:color w:val="000000"/>
                <w:kern w:val="0"/>
                <w:lang w:eastAsia="es-ES"/>
                <w14:ligatures w14:val="none"/>
              </w:rPr>
              <w:t xml:space="preserve"> &lt; 250 </w:t>
            </w:r>
            <w:r>
              <w:rPr>
                <w:rFonts w:ascii="Arial" w:eastAsia="Times New Roman" w:hAnsi="Arial" w:cs="Arial"/>
                <w:color w:val="000000"/>
                <w:kern w:val="0"/>
                <w:lang w:eastAsia="es-ES"/>
                <w14:ligatures w14:val="none"/>
              </w:rPr>
              <w:t>empleados</w:t>
            </w:r>
            <w:r w:rsidR="004473D8" w:rsidRPr="00BE2CF3">
              <w:rPr>
                <w:rFonts w:ascii="Arial" w:eastAsia="Times New Roman" w:hAnsi="Arial" w:cs="Arial"/>
                <w:color w:val="000000"/>
                <w:kern w:val="0"/>
                <w:lang w:eastAsia="es-ES"/>
                <w14:ligatures w14:val="none"/>
              </w:rPr>
              <w:t xml:space="preserve"> </w:t>
            </w:r>
          </w:p>
        </w:tc>
        <w:tc>
          <w:tcPr>
            <w:tcW w:w="1071" w:type="dxa"/>
            <w:shd w:val="clear" w:color="auto" w:fill="auto"/>
            <w:noWrap/>
            <w:vAlign w:val="bottom"/>
            <w:hideMark/>
          </w:tcPr>
          <w:p w14:paraId="33D0CFC3"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23</w:t>
            </w:r>
          </w:p>
        </w:tc>
        <w:tc>
          <w:tcPr>
            <w:tcW w:w="1405" w:type="dxa"/>
            <w:shd w:val="clear" w:color="auto" w:fill="auto"/>
            <w:noWrap/>
            <w:vAlign w:val="bottom"/>
            <w:hideMark/>
          </w:tcPr>
          <w:p w14:paraId="6CBF2A07"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12,71%</w:t>
            </w:r>
          </w:p>
        </w:tc>
      </w:tr>
      <w:tr w:rsidR="000D6953" w:rsidRPr="00BE2CF3" w14:paraId="15177B1E" w14:textId="77777777" w:rsidTr="00A06380">
        <w:trPr>
          <w:trHeight w:val="271"/>
        </w:trPr>
        <w:tc>
          <w:tcPr>
            <w:tcW w:w="5870" w:type="dxa"/>
            <w:shd w:val="clear" w:color="auto" w:fill="auto"/>
            <w:noWrap/>
            <w:vAlign w:val="bottom"/>
            <w:hideMark/>
          </w:tcPr>
          <w:p w14:paraId="5DC716E9" w14:textId="35DF7D0A" w:rsidR="004473D8" w:rsidRPr="00BE2CF3" w:rsidRDefault="005C3BB9" w:rsidP="00705E36">
            <w:pPr>
              <w:spacing w:after="0" w:line="240" w:lineRule="auto"/>
              <w:ind w:right="140"/>
              <w:rPr>
                <w:rFonts w:ascii="Arial" w:eastAsia="Times New Roman" w:hAnsi="Arial" w:cs="Arial"/>
                <w:color w:val="000000"/>
                <w:kern w:val="0"/>
                <w:lang w:eastAsia="es-ES"/>
                <w14:ligatures w14:val="none"/>
              </w:rPr>
            </w:pPr>
            <w:r>
              <w:rPr>
                <w:rFonts w:ascii="Arial" w:eastAsia="Times New Roman" w:hAnsi="Arial" w:cs="Arial"/>
                <w:color w:val="000000"/>
                <w:kern w:val="0"/>
                <w:lang w:eastAsia="es-ES"/>
                <w14:ligatures w14:val="none"/>
              </w:rPr>
              <w:t>Microempresa</w:t>
            </w:r>
            <w:r w:rsidR="004473D8" w:rsidRPr="00BE2CF3">
              <w:rPr>
                <w:rFonts w:ascii="Arial" w:eastAsia="Times New Roman" w:hAnsi="Arial" w:cs="Arial"/>
                <w:color w:val="000000"/>
                <w:kern w:val="0"/>
                <w:lang w:eastAsia="es-ES"/>
                <w14:ligatures w14:val="none"/>
              </w:rPr>
              <w:t xml:space="preserve"> &lt; 10 </w:t>
            </w:r>
            <w:r w:rsidR="003E539F">
              <w:rPr>
                <w:rFonts w:ascii="Arial" w:eastAsia="Times New Roman" w:hAnsi="Arial" w:cs="Arial"/>
                <w:color w:val="000000"/>
                <w:kern w:val="0"/>
                <w:lang w:eastAsia="es-ES"/>
                <w14:ligatures w14:val="none"/>
              </w:rPr>
              <w:t>empleados</w:t>
            </w:r>
            <w:r w:rsidR="004473D8" w:rsidRPr="00BE2CF3">
              <w:rPr>
                <w:rFonts w:ascii="Arial" w:eastAsia="Times New Roman" w:hAnsi="Arial" w:cs="Arial"/>
                <w:color w:val="000000"/>
                <w:kern w:val="0"/>
                <w:lang w:eastAsia="es-ES"/>
                <w14:ligatures w14:val="none"/>
              </w:rPr>
              <w:t xml:space="preserve"> </w:t>
            </w:r>
          </w:p>
        </w:tc>
        <w:tc>
          <w:tcPr>
            <w:tcW w:w="1071" w:type="dxa"/>
            <w:shd w:val="clear" w:color="auto" w:fill="auto"/>
            <w:noWrap/>
            <w:vAlign w:val="bottom"/>
            <w:hideMark/>
          </w:tcPr>
          <w:p w14:paraId="39C6CD20"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6</w:t>
            </w:r>
          </w:p>
        </w:tc>
        <w:tc>
          <w:tcPr>
            <w:tcW w:w="1405" w:type="dxa"/>
            <w:shd w:val="clear" w:color="auto" w:fill="auto"/>
            <w:noWrap/>
            <w:vAlign w:val="bottom"/>
            <w:hideMark/>
          </w:tcPr>
          <w:p w14:paraId="1AB80E5B"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3,31%</w:t>
            </w:r>
          </w:p>
        </w:tc>
      </w:tr>
      <w:tr w:rsidR="000D6953" w:rsidRPr="00BE2CF3" w14:paraId="29C246F5" w14:textId="77777777" w:rsidTr="00A06380">
        <w:trPr>
          <w:trHeight w:val="271"/>
        </w:trPr>
        <w:tc>
          <w:tcPr>
            <w:tcW w:w="5870" w:type="dxa"/>
            <w:shd w:val="clear" w:color="auto" w:fill="auto"/>
            <w:noWrap/>
            <w:vAlign w:val="bottom"/>
            <w:hideMark/>
          </w:tcPr>
          <w:p w14:paraId="2F8864D1" w14:textId="5CCA048B" w:rsidR="004473D8" w:rsidRPr="00BE2CF3" w:rsidRDefault="005C3BB9" w:rsidP="00705E36">
            <w:pPr>
              <w:spacing w:after="0" w:line="240" w:lineRule="auto"/>
              <w:ind w:right="140"/>
              <w:rPr>
                <w:rFonts w:ascii="Arial" w:eastAsia="Times New Roman" w:hAnsi="Arial" w:cs="Arial"/>
                <w:color w:val="000000"/>
                <w:kern w:val="0"/>
                <w:lang w:eastAsia="es-ES"/>
                <w14:ligatures w14:val="none"/>
              </w:rPr>
            </w:pPr>
            <w:r>
              <w:rPr>
                <w:rFonts w:ascii="Arial" w:eastAsia="Times New Roman" w:hAnsi="Arial" w:cs="Arial"/>
                <w:color w:val="000000"/>
                <w:kern w:val="0"/>
                <w:lang w:eastAsia="es-ES"/>
                <w14:ligatures w14:val="none"/>
              </w:rPr>
              <w:t>Pequeña empresa</w:t>
            </w:r>
            <w:r w:rsidR="004473D8" w:rsidRPr="00BE2CF3">
              <w:rPr>
                <w:rFonts w:ascii="Arial" w:eastAsia="Times New Roman" w:hAnsi="Arial" w:cs="Arial"/>
                <w:color w:val="000000"/>
                <w:kern w:val="0"/>
                <w:lang w:eastAsia="es-ES"/>
                <w14:ligatures w14:val="none"/>
              </w:rPr>
              <w:t xml:space="preserve"> &lt; 49 </w:t>
            </w:r>
            <w:r w:rsidR="003E539F">
              <w:rPr>
                <w:rFonts w:ascii="Arial" w:eastAsia="Times New Roman" w:hAnsi="Arial" w:cs="Arial"/>
                <w:color w:val="000000"/>
                <w:kern w:val="0"/>
                <w:lang w:eastAsia="es-ES"/>
                <w14:ligatures w14:val="none"/>
              </w:rPr>
              <w:t>empleados</w:t>
            </w:r>
            <w:r w:rsidR="004473D8" w:rsidRPr="00BE2CF3">
              <w:rPr>
                <w:rFonts w:ascii="Arial" w:eastAsia="Times New Roman" w:hAnsi="Arial" w:cs="Arial"/>
                <w:color w:val="000000"/>
                <w:kern w:val="0"/>
                <w:lang w:eastAsia="es-ES"/>
                <w14:ligatures w14:val="none"/>
              </w:rPr>
              <w:t xml:space="preserve"> </w:t>
            </w:r>
          </w:p>
        </w:tc>
        <w:tc>
          <w:tcPr>
            <w:tcW w:w="1071" w:type="dxa"/>
            <w:shd w:val="clear" w:color="auto" w:fill="auto"/>
            <w:noWrap/>
            <w:vAlign w:val="bottom"/>
            <w:hideMark/>
          </w:tcPr>
          <w:p w14:paraId="1E907055"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10</w:t>
            </w:r>
          </w:p>
        </w:tc>
        <w:tc>
          <w:tcPr>
            <w:tcW w:w="1405" w:type="dxa"/>
            <w:shd w:val="clear" w:color="auto" w:fill="auto"/>
            <w:noWrap/>
            <w:vAlign w:val="bottom"/>
            <w:hideMark/>
          </w:tcPr>
          <w:p w14:paraId="26322E85"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5,52%</w:t>
            </w:r>
          </w:p>
        </w:tc>
      </w:tr>
      <w:tr w:rsidR="000D6953" w:rsidRPr="00BE2CF3" w14:paraId="64A08383" w14:textId="77777777" w:rsidTr="00A06380">
        <w:trPr>
          <w:trHeight w:val="271"/>
        </w:trPr>
        <w:tc>
          <w:tcPr>
            <w:tcW w:w="5870" w:type="dxa"/>
            <w:shd w:val="clear" w:color="auto" w:fill="auto"/>
            <w:noWrap/>
            <w:vAlign w:val="bottom"/>
            <w:hideMark/>
          </w:tcPr>
          <w:p w14:paraId="29F450A9"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Total</w:t>
            </w:r>
          </w:p>
        </w:tc>
        <w:tc>
          <w:tcPr>
            <w:tcW w:w="1071" w:type="dxa"/>
            <w:shd w:val="clear" w:color="auto" w:fill="auto"/>
            <w:noWrap/>
            <w:vAlign w:val="bottom"/>
            <w:hideMark/>
          </w:tcPr>
          <w:p w14:paraId="1CC72BDA"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181</w:t>
            </w:r>
          </w:p>
        </w:tc>
        <w:tc>
          <w:tcPr>
            <w:tcW w:w="1405" w:type="dxa"/>
            <w:shd w:val="clear" w:color="auto" w:fill="auto"/>
            <w:noWrap/>
            <w:vAlign w:val="bottom"/>
            <w:hideMark/>
          </w:tcPr>
          <w:p w14:paraId="1FEA1679"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100,00%</w:t>
            </w:r>
          </w:p>
        </w:tc>
      </w:tr>
      <w:tr w:rsidR="000D6953" w:rsidRPr="00BE2CF3" w14:paraId="0B382B7A" w14:textId="77777777" w:rsidTr="00A06380">
        <w:trPr>
          <w:trHeight w:val="396"/>
        </w:trPr>
        <w:tc>
          <w:tcPr>
            <w:tcW w:w="5870" w:type="dxa"/>
            <w:shd w:val="clear" w:color="auto" w:fill="auto"/>
            <w:noWrap/>
            <w:vAlign w:val="center"/>
            <w:hideMark/>
          </w:tcPr>
          <w:p w14:paraId="59339EBB" w14:textId="17ACA877" w:rsidR="004473D8" w:rsidRPr="00AC1837" w:rsidRDefault="00652EF0" w:rsidP="00705E36">
            <w:pPr>
              <w:spacing w:after="0" w:line="240" w:lineRule="auto"/>
              <w:ind w:right="140"/>
              <w:jc w:val="center"/>
              <w:rPr>
                <w:rFonts w:ascii="Arial" w:eastAsia="Times New Roman" w:hAnsi="Arial" w:cs="Arial"/>
                <w:b/>
                <w:bCs/>
                <w:i/>
                <w:iCs/>
                <w:color w:val="000000"/>
                <w:kern w:val="0"/>
                <w:u w:val="single"/>
                <w:lang w:eastAsia="es-ES"/>
                <w14:ligatures w14:val="none"/>
              </w:rPr>
            </w:pPr>
            <w:r w:rsidRPr="00AC1837">
              <w:rPr>
                <w:rFonts w:ascii="Arial" w:eastAsia="Times New Roman" w:hAnsi="Arial" w:cs="Arial"/>
                <w:b/>
                <w:bCs/>
                <w:i/>
                <w:iCs/>
                <w:color w:val="000000"/>
                <w:kern w:val="0"/>
                <w:u w:val="single"/>
                <w:lang w:eastAsia="es-ES"/>
                <w14:ligatures w14:val="none"/>
              </w:rPr>
              <w:t>Posición jerárquica de los encuestados</w:t>
            </w:r>
          </w:p>
        </w:tc>
        <w:tc>
          <w:tcPr>
            <w:tcW w:w="1071" w:type="dxa"/>
            <w:shd w:val="clear" w:color="auto" w:fill="auto"/>
            <w:noWrap/>
            <w:vAlign w:val="bottom"/>
            <w:hideMark/>
          </w:tcPr>
          <w:p w14:paraId="2C5D4314" w14:textId="77777777" w:rsidR="004473D8" w:rsidRPr="00BE2CF3" w:rsidRDefault="004473D8" w:rsidP="00705E36">
            <w:pPr>
              <w:spacing w:after="0" w:line="240" w:lineRule="auto"/>
              <w:ind w:right="140"/>
              <w:jc w:val="center"/>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 </w:t>
            </w:r>
          </w:p>
        </w:tc>
        <w:tc>
          <w:tcPr>
            <w:tcW w:w="1405" w:type="dxa"/>
            <w:shd w:val="clear" w:color="auto" w:fill="auto"/>
            <w:noWrap/>
            <w:vAlign w:val="bottom"/>
            <w:hideMark/>
          </w:tcPr>
          <w:p w14:paraId="10E31343" w14:textId="77777777" w:rsidR="004473D8" w:rsidRPr="00BE2CF3" w:rsidRDefault="004473D8" w:rsidP="00705E36">
            <w:pPr>
              <w:spacing w:after="0" w:line="240" w:lineRule="auto"/>
              <w:ind w:right="140"/>
              <w:jc w:val="center"/>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 </w:t>
            </w:r>
          </w:p>
        </w:tc>
      </w:tr>
      <w:tr w:rsidR="000D6953" w:rsidRPr="00BE2CF3" w14:paraId="1F9F3EC0" w14:textId="77777777" w:rsidTr="00A06380">
        <w:trPr>
          <w:trHeight w:val="271"/>
        </w:trPr>
        <w:tc>
          <w:tcPr>
            <w:tcW w:w="5870" w:type="dxa"/>
            <w:shd w:val="clear" w:color="auto" w:fill="auto"/>
            <w:noWrap/>
            <w:vAlign w:val="bottom"/>
            <w:hideMark/>
          </w:tcPr>
          <w:p w14:paraId="65F9012A" w14:textId="099E477D" w:rsidR="004473D8" w:rsidRPr="00BE2CF3" w:rsidRDefault="00652EF0" w:rsidP="00705E36">
            <w:pPr>
              <w:spacing w:after="0" w:line="240" w:lineRule="auto"/>
              <w:ind w:right="140"/>
              <w:rPr>
                <w:rFonts w:ascii="Arial" w:eastAsia="Times New Roman" w:hAnsi="Arial" w:cs="Arial"/>
                <w:color w:val="000000"/>
                <w:kern w:val="0"/>
                <w:lang w:eastAsia="es-ES"/>
                <w14:ligatures w14:val="none"/>
              </w:rPr>
            </w:pPr>
            <w:r>
              <w:rPr>
                <w:rFonts w:ascii="Arial" w:eastAsia="Times New Roman" w:hAnsi="Arial" w:cs="Arial"/>
                <w:color w:val="000000"/>
                <w:kern w:val="0"/>
                <w:lang w:eastAsia="es-ES"/>
                <w14:ligatures w14:val="none"/>
              </w:rPr>
              <w:t>Comprador estratégico</w:t>
            </w:r>
            <w:r w:rsidR="004473D8" w:rsidRPr="00BE2CF3">
              <w:rPr>
                <w:rFonts w:ascii="Arial" w:eastAsia="Times New Roman" w:hAnsi="Arial" w:cs="Arial"/>
                <w:color w:val="000000"/>
                <w:kern w:val="0"/>
                <w:lang w:eastAsia="es-ES"/>
                <w14:ligatures w14:val="none"/>
              </w:rPr>
              <w:t xml:space="preserve"> / </w:t>
            </w:r>
            <w:r>
              <w:rPr>
                <w:rFonts w:ascii="Arial" w:eastAsia="Times New Roman" w:hAnsi="Arial" w:cs="Arial"/>
                <w:color w:val="000000"/>
                <w:kern w:val="0"/>
                <w:lang w:eastAsia="es-ES"/>
                <w14:ligatures w14:val="none"/>
              </w:rPr>
              <w:t>Técnico de compras</w:t>
            </w:r>
          </w:p>
        </w:tc>
        <w:tc>
          <w:tcPr>
            <w:tcW w:w="1071" w:type="dxa"/>
            <w:shd w:val="clear" w:color="auto" w:fill="auto"/>
            <w:noWrap/>
            <w:vAlign w:val="bottom"/>
            <w:hideMark/>
          </w:tcPr>
          <w:p w14:paraId="1CAEA611"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45</w:t>
            </w:r>
          </w:p>
        </w:tc>
        <w:tc>
          <w:tcPr>
            <w:tcW w:w="1405" w:type="dxa"/>
            <w:shd w:val="clear" w:color="auto" w:fill="auto"/>
            <w:noWrap/>
            <w:vAlign w:val="bottom"/>
            <w:hideMark/>
          </w:tcPr>
          <w:p w14:paraId="73258CAD"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24,86%</w:t>
            </w:r>
          </w:p>
        </w:tc>
      </w:tr>
      <w:tr w:rsidR="000D6953" w:rsidRPr="00BE2CF3" w14:paraId="7FEE5F37" w14:textId="77777777" w:rsidTr="00A06380">
        <w:trPr>
          <w:trHeight w:val="271"/>
        </w:trPr>
        <w:tc>
          <w:tcPr>
            <w:tcW w:w="5870" w:type="dxa"/>
            <w:shd w:val="clear" w:color="auto" w:fill="auto"/>
            <w:noWrap/>
            <w:vAlign w:val="bottom"/>
            <w:hideMark/>
          </w:tcPr>
          <w:p w14:paraId="50EAAF7E" w14:textId="0D16F315" w:rsidR="004473D8" w:rsidRPr="00BE2CF3" w:rsidRDefault="00652EF0" w:rsidP="00705E36">
            <w:pPr>
              <w:spacing w:after="0" w:line="240" w:lineRule="auto"/>
              <w:ind w:right="140"/>
              <w:rPr>
                <w:rFonts w:ascii="Arial" w:eastAsia="Times New Roman" w:hAnsi="Arial" w:cs="Arial"/>
                <w:color w:val="000000"/>
                <w:kern w:val="0"/>
                <w:lang w:eastAsia="es-ES"/>
                <w14:ligatures w14:val="none"/>
              </w:rPr>
            </w:pPr>
            <w:r>
              <w:rPr>
                <w:rFonts w:ascii="Arial" w:eastAsia="Times New Roman" w:hAnsi="Arial" w:cs="Arial"/>
                <w:color w:val="000000"/>
                <w:kern w:val="0"/>
                <w:lang w:eastAsia="es-ES"/>
                <w14:ligatures w14:val="none"/>
              </w:rPr>
              <w:t>Comprador táctico</w:t>
            </w:r>
            <w:r w:rsidR="004473D8" w:rsidRPr="00BE2CF3">
              <w:rPr>
                <w:rFonts w:ascii="Arial" w:eastAsia="Times New Roman" w:hAnsi="Arial" w:cs="Arial"/>
                <w:color w:val="000000"/>
                <w:kern w:val="0"/>
                <w:lang w:eastAsia="es-ES"/>
                <w14:ligatures w14:val="none"/>
              </w:rPr>
              <w:t xml:space="preserve"> / </w:t>
            </w:r>
            <w:r>
              <w:rPr>
                <w:rFonts w:ascii="Arial" w:eastAsia="Times New Roman" w:hAnsi="Arial" w:cs="Arial"/>
                <w:color w:val="000000"/>
                <w:kern w:val="0"/>
                <w:lang w:eastAsia="es-ES"/>
                <w14:ligatures w14:val="none"/>
              </w:rPr>
              <w:t>Asistente de compras</w:t>
            </w:r>
          </w:p>
        </w:tc>
        <w:tc>
          <w:tcPr>
            <w:tcW w:w="1071" w:type="dxa"/>
            <w:shd w:val="clear" w:color="auto" w:fill="auto"/>
            <w:noWrap/>
            <w:vAlign w:val="bottom"/>
            <w:hideMark/>
          </w:tcPr>
          <w:p w14:paraId="565B4519"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12</w:t>
            </w:r>
          </w:p>
        </w:tc>
        <w:tc>
          <w:tcPr>
            <w:tcW w:w="1405" w:type="dxa"/>
            <w:shd w:val="clear" w:color="auto" w:fill="auto"/>
            <w:noWrap/>
            <w:vAlign w:val="bottom"/>
            <w:hideMark/>
          </w:tcPr>
          <w:p w14:paraId="0676B623"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6,63%</w:t>
            </w:r>
          </w:p>
        </w:tc>
      </w:tr>
      <w:tr w:rsidR="000D6953" w:rsidRPr="00BE2CF3" w14:paraId="32ECEE28" w14:textId="77777777" w:rsidTr="00A06380">
        <w:trPr>
          <w:trHeight w:val="271"/>
        </w:trPr>
        <w:tc>
          <w:tcPr>
            <w:tcW w:w="5870" w:type="dxa"/>
            <w:shd w:val="clear" w:color="auto" w:fill="auto"/>
            <w:noWrap/>
            <w:vAlign w:val="bottom"/>
            <w:hideMark/>
          </w:tcPr>
          <w:p w14:paraId="1E5C9F5A" w14:textId="3DCCC879" w:rsidR="004473D8" w:rsidRPr="00BE2CF3" w:rsidRDefault="00652EF0" w:rsidP="00705E36">
            <w:pPr>
              <w:spacing w:after="0" w:line="240" w:lineRule="auto"/>
              <w:ind w:right="140"/>
              <w:rPr>
                <w:rFonts w:ascii="Arial" w:eastAsia="Times New Roman" w:hAnsi="Arial" w:cs="Arial"/>
                <w:color w:val="000000"/>
                <w:kern w:val="0"/>
                <w:lang w:eastAsia="es-ES"/>
                <w14:ligatures w14:val="none"/>
              </w:rPr>
            </w:pPr>
            <w:r>
              <w:rPr>
                <w:rFonts w:ascii="Arial" w:eastAsia="Times New Roman" w:hAnsi="Arial" w:cs="Arial"/>
                <w:color w:val="000000"/>
                <w:kern w:val="0"/>
                <w:lang w:eastAsia="es-ES"/>
                <w14:ligatures w14:val="none"/>
              </w:rPr>
              <w:t>Consultor</w:t>
            </w:r>
            <w:r w:rsidR="004473D8" w:rsidRPr="00BE2CF3">
              <w:rPr>
                <w:rFonts w:ascii="Arial" w:eastAsia="Times New Roman" w:hAnsi="Arial" w:cs="Arial"/>
                <w:color w:val="000000"/>
                <w:kern w:val="0"/>
                <w:lang w:eastAsia="es-ES"/>
                <w14:ligatures w14:val="none"/>
              </w:rPr>
              <w:t xml:space="preserve"> / </w:t>
            </w:r>
            <w:r>
              <w:rPr>
                <w:rFonts w:ascii="Arial" w:eastAsia="Times New Roman" w:hAnsi="Arial" w:cs="Arial"/>
                <w:color w:val="000000"/>
                <w:kern w:val="0"/>
                <w:lang w:eastAsia="es-ES"/>
                <w14:ligatures w14:val="none"/>
              </w:rPr>
              <w:t>consejero</w:t>
            </w:r>
          </w:p>
        </w:tc>
        <w:tc>
          <w:tcPr>
            <w:tcW w:w="1071" w:type="dxa"/>
            <w:shd w:val="clear" w:color="auto" w:fill="auto"/>
            <w:noWrap/>
            <w:vAlign w:val="bottom"/>
            <w:hideMark/>
          </w:tcPr>
          <w:p w14:paraId="6259FE42"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14</w:t>
            </w:r>
          </w:p>
        </w:tc>
        <w:tc>
          <w:tcPr>
            <w:tcW w:w="1405" w:type="dxa"/>
            <w:shd w:val="clear" w:color="auto" w:fill="auto"/>
            <w:noWrap/>
            <w:vAlign w:val="bottom"/>
            <w:hideMark/>
          </w:tcPr>
          <w:p w14:paraId="317C1D84"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7,73%</w:t>
            </w:r>
          </w:p>
        </w:tc>
      </w:tr>
      <w:tr w:rsidR="000D6953" w:rsidRPr="00BE2CF3" w14:paraId="4CE09078" w14:textId="77777777" w:rsidTr="00A06380">
        <w:trPr>
          <w:trHeight w:val="271"/>
        </w:trPr>
        <w:tc>
          <w:tcPr>
            <w:tcW w:w="5870" w:type="dxa"/>
            <w:shd w:val="clear" w:color="auto" w:fill="auto"/>
            <w:noWrap/>
            <w:vAlign w:val="bottom"/>
            <w:hideMark/>
          </w:tcPr>
          <w:p w14:paraId="6D4BB977" w14:textId="317488DF" w:rsidR="004473D8" w:rsidRPr="00BE2CF3" w:rsidRDefault="00FA67DA" w:rsidP="00705E36">
            <w:pPr>
              <w:spacing w:after="0" w:line="240" w:lineRule="auto"/>
              <w:ind w:right="140"/>
              <w:rPr>
                <w:rFonts w:ascii="Arial" w:eastAsia="Times New Roman" w:hAnsi="Arial" w:cs="Arial"/>
                <w:color w:val="000000"/>
                <w:kern w:val="0"/>
                <w:lang w:val="en-GB" w:eastAsia="es-ES"/>
                <w14:ligatures w14:val="none"/>
              </w:rPr>
            </w:pPr>
            <w:r>
              <w:rPr>
                <w:rFonts w:ascii="Arial" w:eastAsia="Times New Roman" w:hAnsi="Arial" w:cs="Arial"/>
                <w:color w:val="000000"/>
                <w:kern w:val="0"/>
                <w:lang w:val="en-GB" w:eastAsia="es-ES"/>
                <w14:ligatures w14:val="none"/>
              </w:rPr>
              <w:t>Responsable</w:t>
            </w:r>
            <w:r w:rsidR="004473D8" w:rsidRPr="00BE2CF3">
              <w:rPr>
                <w:rFonts w:ascii="Arial" w:eastAsia="Times New Roman" w:hAnsi="Arial" w:cs="Arial"/>
                <w:color w:val="000000"/>
                <w:kern w:val="0"/>
                <w:lang w:val="en-GB" w:eastAsia="es-ES"/>
                <w14:ligatures w14:val="none"/>
              </w:rPr>
              <w:t xml:space="preserve"> / </w:t>
            </w:r>
            <w:r>
              <w:rPr>
                <w:rFonts w:ascii="Arial" w:eastAsia="Times New Roman" w:hAnsi="Arial" w:cs="Arial"/>
                <w:color w:val="000000"/>
                <w:kern w:val="0"/>
                <w:lang w:val="en-GB" w:eastAsia="es-ES"/>
                <w14:ligatures w14:val="none"/>
              </w:rPr>
              <w:t>director de</w:t>
            </w:r>
            <w:r w:rsidR="004473D8" w:rsidRPr="00BE2CF3">
              <w:rPr>
                <w:rFonts w:ascii="Arial" w:eastAsia="Times New Roman" w:hAnsi="Arial" w:cs="Arial"/>
                <w:color w:val="000000"/>
                <w:kern w:val="0"/>
                <w:lang w:val="en-GB" w:eastAsia="es-ES"/>
                <w14:ligatures w14:val="none"/>
              </w:rPr>
              <w:t xml:space="preserve"> </w:t>
            </w:r>
            <w:r>
              <w:rPr>
                <w:rFonts w:ascii="Arial" w:eastAsia="Times New Roman" w:hAnsi="Arial" w:cs="Arial"/>
                <w:color w:val="000000"/>
                <w:kern w:val="0"/>
                <w:lang w:val="en-GB" w:eastAsia="es-ES"/>
                <w14:ligatures w14:val="none"/>
              </w:rPr>
              <w:t>compras</w:t>
            </w:r>
          </w:p>
        </w:tc>
        <w:tc>
          <w:tcPr>
            <w:tcW w:w="1071" w:type="dxa"/>
            <w:shd w:val="clear" w:color="auto" w:fill="auto"/>
            <w:noWrap/>
            <w:vAlign w:val="bottom"/>
            <w:hideMark/>
          </w:tcPr>
          <w:p w14:paraId="0D170C3C"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58</w:t>
            </w:r>
          </w:p>
        </w:tc>
        <w:tc>
          <w:tcPr>
            <w:tcW w:w="1405" w:type="dxa"/>
            <w:shd w:val="clear" w:color="auto" w:fill="auto"/>
            <w:noWrap/>
            <w:vAlign w:val="bottom"/>
            <w:hideMark/>
          </w:tcPr>
          <w:p w14:paraId="483D1E82"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32,04%</w:t>
            </w:r>
          </w:p>
        </w:tc>
      </w:tr>
      <w:tr w:rsidR="000D6953" w:rsidRPr="00BE2CF3" w14:paraId="4E97B880" w14:textId="77777777" w:rsidTr="00A06380">
        <w:trPr>
          <w:trHeight w:val="271"/>
        </w:trPr>
        <w:tc>
          <w:tcPr>
            <w:tcW w:w="5870" w:type="dxa"/>
            <w:shd w:val="clear" w:color="auto" w:fill="auto"/>
            <w:noWrap/>
            <w:vAlign w:val="bottom"/>
            <w:hideMark/>
          </w:tcPr>
          <w:p w14:paraId="790DC9AF" w14:textId="6690C43B" w:rsidR="004473D8" w:rsidRPr="00BE2CF3" w:rsidRDefault="00FA67DA" w:rsidP="00705E36">
            <w:pPr>
              <w:spacing w:after="0" w:line="240" w:lineRule="auto"/>
              <w:ind w:right="140"/>
              <w:rPr>
                <w:rFonts w:ascii="Arial" w:eastAsia="Times New Roman" w:hAnsi="Arial" w:cs="Arial"/>
                <w:color w:val="000000"/>
                <w:kern w:val="0"/>
                <w:lang w:eastAsia="es-ES"/>
                <w14:ligatures w14:val="none"/>
              </w:rPr>
            </w:pPr>
            <w:r>
              <w:rPr>
                <w:rFonts w:ascii="Arial" w:eastAsia="Times New Roman" w:hAnsi="Arial" w:cs="Arial"/>
                <w:color w:val="000000"/>
                <w:kern w:val="0"/>
                <w:lang w:eastAsia="es-ES"/>
                <w14:ligatures w14:val="none"/>
              </w:rPr>
              <w:t>Director general</w:t>
            </w:r>
            <w:r w:rsidR="004473D8" w:rsidRPr="00BE2CF3">
              <w:rPr>
                <w:rFonts w:ascii="Arial" w:eastAsia="Times New Roman" w:hAnsi="Arial" w:cs="Arial"/>
                <w:color w:val="000000"/>
                <w:kern w:val="0"/>
                <w:lang w:eastAsia="es-ES"/>
                <w14:ligatures w14:val="none"/>
              </w:rPr>
              <w:t xml:space="preserve"> / </w:t>
            </w:r>
            <w:r>
              <w:rPr>
                <w:rFonts w:ascii="Arial" w:eastAsia="Times New Roman" w:hAnsi="Arial" w:cs="Arial"/>
                <w:color w:val="000000"/>
                <w:kern w:val="0"/>
                <w:lang w:eastAsia="es-ES"/>
                <w14:ligatures w14:val="none"/>
              </w:rPr>
              <w:t>Miembro del consejo de admon</w:t>
            </w:r>
          </w:p>
        </w:tc>
        <w:tc>
          <w:tcPr>
            <w:tcW w:w="1071" w:type="dxa"/>
            <w:shd w:val="clear" w:color="auto" w:fill="auto"/>
            <w:noWrap/>
            <w:vAlign w:val="bottom"/>
            <w:hideMark/>
          </w:tcPr>
          <w:p w14:paraId="20FF3CAE"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11</w:t>
            </w:r>
          </w:p>
        </w:tc>
        <w:tc>
          <w:tcPr>
            <w:tcW w:w="1405" w:type="dxa"/>
            <w:shd w:val="clear" w:color="auto" w:fill="auto"/>
            <w:noWrap/>
            <w:vAlign w:val="bottom"/>
            <w:hideMark/>
          </w:tcPr>
          <w:p w14:paraId="7AC7ADA8"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6,08%</w:t>
            </w:r>
          </w:p>
        </w:tc>
      </w:tr>
      <w:tr w:rsidR="000D6953" w:rsidRPr="00BE2CF3" w14:paraId="0B7FECD3" w14:textId="77777777" w:rsidTr="00A06380">
        <w:trPr>
          <w:trHeight w:val="271"/>
        </w:trPr>
        <w:tc>
          <w:tcPr>
            <w:tcW w:w="5870" w:type="dxa"/>
            <w:shd w:val="clear" w:color="auto" w:fill="auto"/>
            <w:noWrap/>
            <w:vAlign w:val="bottom"/>
            <w:hideMark/>
          </w:tcPr>
          <w:p w14:paraId="082791DB" w14:textId="64C40FE4" w:rsidR="004473D8" w:rsidRPr="00BE2CF3" w:rsidRDefault="00CD20D7" w:rsidP="00705E36">
            <w:pPr>
              <w:spacing w:after="0" w:line="240" w:lineRule="auto"/>
              <w:ind w:right="140"/>
              <w:rPr>
                <w:rFonts w:ascii="Arial" w:eastAsia="Times New Roman" w:hAnsi="Arial" w:cs="Arial"/>
                <w:color w:val="000000"/>
                <w:kern w:val="0"/>
                <w:lang w:eastAsia="es-ES"/>
                <w14:ligatures w14:val="none"/>
              </w:rPr>
            </w:pPr>
            <w:r>
              <w:rPr>
                <w:rFonts w:ascii="Arial" w:eastAsia="Times New Roman" w:hAnsi="Arial" w:cs="Arial"/>
                <w:color w:val="000000"/>
                <w:kern w:val="0"/>
                <w:lang w:eastAsia="es-ES"/>
                <w14:ligatures w14:val="none"/>
              </w:rPr>
              <w:t>Coordinador de compras</w:t>
            </w:r>
            <w:r w:rsidR="004473D8" w:rsidRPr="00BE2CF3">
              <w:rPr>
                <w:rFonts w:ascii="Arial" w:eastAsia="Times New Roman" w:hAnsi="Arial" w:cs="Arial"/>
                <w:color w:val="000000"/>
                <w:kern w:val="0"/>
                <w:lang w:eastAsia="es-ES"/>
                <w14:ligatures w14:val="none"/>
              </w:rPr>
              <w:t xml:space="preserve"> / </w:t>
            </w:r>
            <w:r w:rsidR="00E06189">
              <w:rPr>
                <w:rFonts w:ascii="Arial" w:eastAsia="Times New Roman" w:hAnsi="Arial" w:cs="Arial"/>
                <w:color w:val="000000"/>
                <w:kern w:val="0"/>
                <w:lang w:eastAsia="es-ES"/>
                <w14:ligatures w14:val="none"/>
              </w:rPr>
              <w:t>Responsable de categoría</w:t>
            </w:r>
          </w:p>
        </w:tc>
        <w:tc>
          <w:tcPr>
            <w:tcW w:w="1071" w:type="dxa"/>
            <w:shd w:val="clear" w:color="auto" w:fill="auto"/>
            <w:noWrap/>
            <w:vAlign w:val="bottom"/>
            <w:hideMark/>
          </w:tcPr>
          <w:p w14:paraId="711321C6"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41</w:t>
            </w:r>
          </w:p>
        </w:tc>
        <w:tc>
          <w:tcPr>
            <w:tcW w:w="1405" w:type="dxa"/>
            <w:shd w:val="clear" w:color="auto" w:fill="auto"/>
            <w:noWrap/>
            <w:vAlign w:val="bottom"/>
            <w:hideMark/>
          </w:tcPr>
          <w:p w14:paraId="06039102"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22,65%</w:t>
            </w:r>
          </w:p>
        </w:tc>
      </w:tr>
      <w:tr w:rsidR="000D6953" w:rsidRPr="00BE2CF3" w14:paraId="7C68C89F" w14:textId="77777777" w:rsidTr="00A06380">
        <w:trPr>
          <w:trHeight w:val="271"/>
        </w:trPr>
        <w:tc>
          <w:tcPr>
            <w:tcW w:w="5870" w:type="dxa"/>
            <w:shd w:val="clear" w:color="auto" w:fill="auto"/>
            <w:noWrap/>
            <w:vAlign w:val="bottom"/>
            <w:hideMark/>
          </w:tcPr>
          <w:p w14:paraId="686221A5"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 xml:space="preserve">Total </w:t>
            </w:r>
          </w:p>
        </w:tc>
        <w:tc>
          <w:tcPr>
            <w:tcW w:w="1071" w:type="dxa"/>
            <w:shd w:val="clear" w:color="auto" w:fill="auto"/>
            <w:noWrap/>
            <w:vAlign w:val="bottom"/>
            <w:hideMark/>
          </w:tcPr>
          <w:p w14:paraId="17B1A1DE"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181</w:t>
            </w:r>
          </w:p>
        </w:tc>
        <w:tc>
          <w:tcPr>
            <w:tcW w:w="1405" w:type="dxa"/>
            <w:shd w:val="clear" w:color="auto" w:fill="auto"/>
            <w:noWrap/>
            <w:vAlign w:val="bottom"/>
            <w:hideMark/>
          </w:tcPr>
          <w:p w14:paraId="149B7CD8" w14:textId="77777777" w:rsidR="004473D8" w:rsidRPr="00BE2CF3" w:rsidRDefault="004473D8" w:rsidP="00705E36">
            <w:pPr>
              <w:spacing w:after="0" w:line="240" w:lineRule="auto"/>
              <w:ind w:right="140"/>
              <w:jc w:val="right"/>
              <w:rPr>
                <w:rFonts w:ascii="Arial" w:eastAsia="Times New Roman" w:hAnsi="Arial" w:cs="Arial"/>
                <w:color w:val="000000"/>
                <w:kern w:val="0"/>
                <w:lang w:eastAsia="es-ES"/>
                <w14:ligatures w14:val="none"/>
              </w:rPr>
            </w:pPr>
            <w:r w:rsidRPr="00BE2CF3">
              <w:rPr>
                <w:rFonts w:ascii="Arial" w:eastAsia="Times New Roman" w:hAnsi="Arial" w:cs="Arial"/>
                <w:color w:val="000000"/>
                <w:kern w:val="0"/>
                <w:lang w:eastAsia="es-ES"/>
                <w14:ligatures w14:val="none"/>
              </w:rPr>
              <w:t>100,00%</w:t>
            </w:r>
          </w:p>
        </w:tc>
      </w:tr>
      <w:tr w:rsidR="00A06380" w:rsidRPr="00A06380" w14:paraId="10E6B5C3" w14:textId="77777777" w:rsidTr="00AC1837">
        <w:trPr>
          <w:trHeight w:val="363"/>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AD4E27" w14:textId="067C11CE" w:rsidR="00AC1837" w:rsidRPr="00A06380" w:rsidRDefault="00585C26" w:rsidP="00AC1837">
            <w:pPr>
              <w:spacing w:after="0" w:line="240" w:lineRule="auto"/>
              <w:ind w:right="140"/>
              <w:jc w:val="center"/>
              <w:rPr>
                <w:rFonts w:ascii="Arial" w:eastAsia="Times New Roman" w:hAnsi="Arial" w:cs="Arial"/>
                <w:b/>
                <w:bCs/>
                <w:i/>
                <w:iCs/>
                <w:color w:val="000000"/>
                <w:kern w:val="0"/>
                <w:u w:val="single"/>
                <w:lang w:eastAsia="es-ES"/>
                <w14:ligatures w14:val="none"/>
              </w:rPr>
            </w:pPr>
            <w:r w:rsidRPr="00AC1837">
              <w:rPr>
                <w:rFonts w:ascii="Arial" w:eastAsia="Times New Roman" w:hAnsi="Arial" w:cs="Arial"/>
                <w:b/>
                <w:bCs/>
                <w:i/>
                <w:iCs/>
                <w:color w:val="000000"/>
                <w:kern w:val="0"/>
                <w:u w:val="single"/>
                <w:lang w:eastAsia="es-ES"/>
                <w14:ligatures w14:val="none"/>
              </w:rPr>
              <w:t>S</w:t>
            </w:r>
            <w:r w:rsidR="00A06380" w:rsidRPr="00A06380">
              <w:rPr>
                <w:rFonts w:ascii="Arial" w:eastAsia="Times New Roman" w:hAnsi="Arial" w:cs="Arial"/>
                <w:b/>
                <w:bCs/>
                <w:i/>
                <w:iCs/>
                <w:color w:val="000000"/>
                <w:kern w:val="0"/>
                <w:u w:val="single"/>
                <w:lang w:eastAsia="es-ES"/>
                <w14:ligatures w14:val="none"/>
              </w:rPr>
              <w:t>ector</w:t>
            </w:r>
            <w:r w:rsidRPr="00AC1837">
              <w:rPr>
                <w:rFonts w:ascii="Arial" w:eastAsia="Times New Roman" w:hAnsi="Arial" w:cs="Arial"/>
                <w:b/>
                <w:bCs/>
                <w:i/>
                <w:iCs/>
                <w:color w:val="000000"/>
                <w:kern w:val="0"/>
                <w:u w:val="single"/>
                <w:lang w:eastAsia="es-ES"/>
                <w14:ligatures w14:val="none"/>
              </w:rPr>
              <w:t xml:space="preserve"> </w:t>
            </w:r>
            <w:r w:rsidR="00175AF2" w:rsidRPr="00AC1837">
              <w:rPr>
                <w:rFonts w:ascii="Arial" w:eastAsia="Times New Roman" w:hAnsi="Arial" w:cs="Arial"/>
                <w:b/>
                <w:bCs/>
                <w:i/>
                <w:iCs/>
                <w:color w:val="000000"/>
                <w:kern w:val="0"/>
                <w:u w:val="single"/>
                <w:lang w:eastAsia="es-ES"/>
                <w14:ligatures w14:val="none"/>
              </w:rPr>
              <w:t>de actividad</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9BEFCE"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 </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4B902B"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 </w:t>
            </w:r>
          </w:p>
        </w:tc>
      </w:tr>
      <w:tr w:rsidR="00A06380" w:rsidRPr="00A06380" w14:paraId="0C0B5EB4"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D7C24B" w14:textId="0E7B7819" w:rsidR="00A06380" w:rsidRPr="00A06380" w:rsidRDefault="00660D86" w:rsidP="0000750E">
            <w:pPr>
              <w:spacing w:after="0" w:line="240" w:lineRule="auto"/>
              <w:ind w:right="140"/>
              <w:rPr>
                <w:rFonts w:ascii="Arial" w:eastAsia="Times New Roman" w:hAnsi="Arial" w:cs="Arial"/>
                <w:color w:val="000000"/>
                <w:kern w:val="0"/>
                <w:lang w:eastAsia="es-ES"/>
                <w14:ligatures w14:val="none"/>
              </w:rPr>
            </w:pPr>
            <w:r w:rsidRPr="00660D86">
              <w:rPr>
                <w:rFonts w:ascii="Arial" w:eastAsia="Times New Roman" w:hAnsi="Arial" w:cs="Arial"/>
                <w:color w:val="000000"/>
                <w:kern w:val="0"/>
                <w:lang w:eastAsia="es-ES"/>
                <w14:ligatures w14:val="none"/>
              </w:rPr>
              <w:t>Actividades artísticas, recreativas y de entretenimiento</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45A9E3"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2</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934001"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1,10%</w:t>
            </w:r>
          </w:p>
        </w:tc>
      </w:tr>
      <w:tr w:rsidR="00A06380" w:rsidRPr="00A06380" w14:paraId="068F0C56"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3CC7EE" w14:textId="6813CD36" w:rsidR="00A06380" w:rsidRPr="00A06380" w:rsidRDefault="00F25A29" w:rsidP="0000750E">
            <w:pPr>
              <w:spacing w:after="0" w:line="240" w:lineRule="auto"/>
              <w:ind w:right="140"/>
              <w:rPr>
                <w:rFonts w:ascii="Arial" w:eastAsia="Times New Roman" w:hAnsi="Arial" w:cs="Arial"/>
                <w:color w:val="000000"/>
                <w:kern w:val="0"/>
                <w:lang w:eastAsia="es-ES"/>
                <w14:ligatures w14:val="none"/>
              </w:rPr>
            </w:pPr>
            <w:r w:rsidRPr="00F25A29">
              <w:rPr>
                <w:rFonts w:ascii="Arial" w:eastAsia="Times New Roman" w:hAnsi="Arial" w:cs="Arial"/>
                <w:color w:val="000000"/>
                <w:kern w:val="0"/>
                <w:lang w:eastAsia="es-ES"/>
                <w14:ligatures w14:val="none"/>
              </w:rPr>
              <w:t>Actividades inmobiliarias</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CEB333"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4</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BD9F24"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2,21%</w:t>
            </w:r>
          </w:p>
        </w:tc>
      </w:tr>
      <w:tr w:rsidR="00A06380" w:rsidRPr="00A06380" w14:paraId="5FA7FD53"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D8F438" w14:textId="33406288" w:rsidR="00A06380" w:rsidRPr="00A06380" w:rsidRDefault="00F25A29" w:rsidP="0000750E">
            <w:pPr>
              <w:spacing w:after="0" w:line="240" w:lineRule="auto"/>
              <w:ind w:right="140"/>
              <w:rPr>
                <w:rFonts w:ascii="Arial" w:eastAsia="Times New Roman" w:hAnsi="Arial" w:cs="Arial"/>
                <w:color w:val="000000"/>
                <w:kern w:val="0"/>
                <w:lang w:eastAsia="es-ES"/>
                <w14:ligatures w14:val="none"/>
              </w:rPr>
            </w:pPr>
            <w:r w:rsidRPr="00F25A29">
              <w:rPr>
                <w:rFonts w:ascii="Arial" w:eastAsia="Times New Roman" w:hAnsi="Arial" w:cs="Arial"/>
                <w:color w:val="000000"/>
                <w:kern w:val="0"/>
                <w:lang w:eastAsia="es-ES"/>
                <w14:ligatures w14:val="none"/>
              </w:rPr>
              <w:t>Actividades profesionales, científicas y técnicas</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1DCBED"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6</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253D27"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3,31%</w:t>
            </w:r>
          </w:p>
        </w:tc>
      </w:tr>
      <w:tr w:rsidR="00A06380" w:rsidRPr="00A06380" w14:paraId="31C98889"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AE323E" w14:textId="1B066BC9" w:rsidR="00A06380" w:rsidRPr="00A06380" w:rsidRDefault="004379FF" w:rsidP="0000750E">
            <w:pPr>
              <w:spacing w:after="0" w:line="240" w:lineRule="auto"/>
              <w:ind w:right="140"/>
              <w:rPr>
                <w:rFonts w:ascii="Arial" w:eastAsia="Times New Roman" w:hAnsi="Arial" w:cs="Arial"/>
                <w:color w:val="000000"/>
                <w:kern w:val="0"/>
                <w:lang w:eastAsia="es-ES"/>
                <w14:ligatures w14:val="none"/>
              </w:rPr>
            </w:pPr>
            <w:r w:rsidRPr="004379FF">
              <w:rPr>
                <w:rFonts w:ascii="Arial" w:eastAsia="Times New Roman" w:hAnsi="Arial" w:cs="Arial"/>
                <w:color w:val="000000"/>
                <w:kern w:val="0"/>
                <w:lang w:eastAsia="es-ES"/>
                <w14:ligatures w14:val="none"/>
              </w:rPr>
              <w:t>Agricultura, ganadería, silvicultura y pesca</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CA4D3E"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2</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01F966"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1,10%</w:t>
            </w:r>
          </w:p>
        </w:tc>
      </w:tr>
      <w:tr w:rsidR="00A06380" w:rsidRPr="00A06380" w14:paraId="7A59FD02"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87B861" w14:textId="44706789" w:rsidR="00A06380" w:rsidRPr="00A06380" w:rsidRDefault="004379FF" w:rsidP="0000750E">
            <w:pPr>
              <w:spacing w:after="0" w:line="240" w:lineRule="auto"/>
              <w:ind w:right="140"/>
              <w:rPr>
                <w:rFonts w:ascii="Arial" w:eastAsia="Times New Roman" w:hAnsi="Arial" w:cs="Arial"/>
                <w:color w:val="000000"/>
                <w:kern w:val="0"/>
                <w:lang w:eastAsia="es-ES"/>
                <w14:ligatures w14:val="none"/>
              </w:rPr>
            </w:pPr>
            <w:r w:rsidRPr="004379FF">
              <w:rPr>
                <w:rFonts w:ascii="Arial" w:eastAsia="Times New Roman" w:hAnsi="Arial" w:cs="Arial"/>
                <w:color w:val="000000"/>
                <w:kern w:val="0"/>
                <w:lang w:eastAsia="es-ES"/>
                <w14:ligatures w14:val="none"/>
              </w:rPr>
              <w:t>Comercio al por mayor y al por menor, incluida la reparación de vehículos de motor y motocicletas.</w:t>
            </w:r>
            <w:r w:rsidR="00A06380" w:rsidRPr="00A06380">
              <w:rPr>
                <w:rFonts w:ascii="Arial" w:eastAsia="Times New Roman" w:hAnsi="Arial" w:cs="Arial"/>
                <w:color w:val="000000"/>
                <w:kern w:val="0"/>
                <w:lang w:eastAsia="es-ES"/>
                <w14:ligatures w14:val="none"/>
              </w:rPr>
              <w:t xml:space="preserve"> </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B91517"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10</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6AE182"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5,52%</w:t>
            </w:r>
          </w:p>
        </w:tc>
      </w:tr>
      <w:tr w:rsidR="00A06380" w:rsidRPr="00A06380" w14:paraId="4B7BE8C7"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4C2C30" w14:textId="57355475" w:rsidR="00A06380" w:rsidRPr="00A06380" w:rsidRDefault="00ED1735" w:rsidP="0000750E">
            <w:pPr>
              <w:spacing w:after="0" w:line="240" w:lineRule="auto"/>
              <w:ind w:right="140"/>
              <w:rPr>
                <w:rFonts w:ascii="Arial" w:eastAsia="Times New Roman" w:hAnsi="Arial" w:cs="Arial"/>
                <w:color w:val="000000"/>
                <w:kern w:val="0"/>
                <w:lang w:eastAsia="es-ES"/>
                <w14:ligatures w14:val="none"/>
              </w:rPr>
            </w:pPr>
            <w:r w:rsidRPr="00ED1735">
              <w:rPr>
                <w:rFonts w:ascii="Arial" w:eastAsia="Times New Roman" w:hAnsi="Arial" w:cs="Arial"/>
                <w:color w:val="000000"/>
                <w:kern w:val="0"/>
                <w:lang w:eastAsia="es-ES"/>
                <w14:ligatures w14:val="none"/>
              </w:rPr>
              <w:t>Construcción</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480E06"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8</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4EB4D4"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4,42%</w:t>
            </w:r>
          </w:p>
        </w:tc>
      </w:tr>
      <w:tr w:rsidR="00A06380" w:rsidRPr="00A06380" w14:paraId="73F6DBF3"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9E0A3C" w14:textId="42DD055C" w:rsidR="00A06380" w:rsidRPr="00A06380" w:rsidRDefault="00ED1735" w:rsidP="0000750E">
            <w:pPr>
              <w:spacing w:after="0" w:line="240" w:lineRule="auto"/>
              <w:ind w:right="140"/>
              <w:rPr>
                <w:rFonts w:ascii="Arial" w:eastAsia="Times New Roman" w:hAnsi="Arial" w:cs="Arial"/>
                <w:color w:val="000000"/>
                <w:kern w:val="0"/>
                <w:lang w:eastAsia="es-ES"/>
                <w14:ligatures w14:val="none"/>
              </w:rPr>
            </w:pPr>
            <w:r w:rsidRPr="00ED1735">
              <w:rPr>
                <w:rFonts w:ascii="Arial" w:eastAsia="Times New Roman" w:hAnsi="Arial" w:cs="Arial"/>
                <w:color w:val="000000"/>
                <w:kern w:val="0"/>
                <w:lang w:eastAsia="es-ES"/>
                <w14:ligatures w14:val="none"/>
              </w:rPr>
              <w:t>Educación</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FB87E0"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5</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985B64"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2,76%</w:t>
            </w:r>
          </w:p>
        </w:tc>
      </w:tr>
      <w:tr w:rsidR="00A06380" w:rsidRPr="00A06380" w14:paraId="24F8A350"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60E433" w14:textId="1AFD3149" w:rsidR="00A06380" w:rsidRPr="00A06380" w:rsidRDefault="00ED1735" w:rsidP="0000750E">
            <w:pPr>
              <w:spacing w:after="0" w:line="240" w:lineRule="auto"/>
              <w:ind w:right="140"/>
              <w:rPr>
                <w:rFonts w:ascii="Arial" w:eastAsia="Times New Roman" w:hAnsi="Arial" w:cs="Arial"/>
                <w:color w:val="000000"/>
                <w:kern w:val="0"/>
                <w:lang w:eastAsia="es-ES"/>
                <w14:ligatures w14:val="none"/>
              </w:rPr>
            </w:pPr>
            <w:r w:rsidRPr="00ED1735">
              <w:rPr>
                <w:rFonts w:ascii="Arial" w:eastAsia="Times New Roman" w:hAnsi="Arial" w:cs="Arial"/>
                <w:color w:val="000000"/>
                <w:kern w:val="0"/>
                <w:lang w:eastAsia="es-ES"/>
                <w14:ligatures w14:val="none"/>
              </w:rPr>
              <w:t>Industrias extractivas</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1F5A2A"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6</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D2A45F"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3,31%</w:t>
            </w:r>
          </w:p>
        </w:tc>
      </w:tr>
      <w:tr w:rsidR="00A06380" w:rsidRPr="00A06380" w14:paraId="4E518A4A"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9DEAE8" w14:textId="7FAE4621" w:rsidR="00A06380" w:rsidRPr="00A06380" w:rsidRDefault="00557353" w:rsidP="0000750E">
            <w:pPr>
              <w:spacing w:after="0" w:line="240" w:lineRule="auto"/>
              <w:ind w:right="140"/>
              <w:rPr>
                <w:rFonts w:ascii="Arial" w:eastAsia="Times New Roman" w:hAnsi="Arial" w:cs="Arial"/>
                <w:color w:val="000000"/>
                <w:kern w:val="0"/>
                <w:lang w:eastAsia="es-ES"/>
                <w14:ligatures w14:val="none"/>
              </w:rPr>
            </w:pPr>
            <w:r w:rsidRPr="00557353">
              <w:rPr>
                <w:rFonts w:ascii="Arial" w:eastAsia="Times New Roman" w:hAnsi="Arial" w:cs="Arial"/>
                <w:color w:val="000000"/>
                <w:kern w:val="0"/>
                <w:lang w:eastAsia="es-ES"/>
                <w14:ligatures w14:val="none"/>
              </w:rPr>
              <w:t>Actividades financieras y de seguros</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49C4FC"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13</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16D761"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7,18%</w:t>
            </w:r>
          </w:p>
        </w:tc>
      </w:tr>
      <w:tr w:rsidR="00A06380" w:rsidRPr="00A06380" w14:paraId="46180A94"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332202" w14:textId="095C845A" w:rsidR="00A06380" w:rsidRPr="00A06380" w:rsidRDefault="00A02E6F" w:rsidP="0000750E">
            <w:pPr>
              <w:spacing w:after="0" w:line="240" w:lineRule="auto"/>
              <w:ind w:right="140"/>
              <w:rPr>
                <w:rFonts w:ascii="Arial" w:eastAsia="Times New Roman" w:hAnsi="Arial" w:cs="Arial"/>
                <w:color w:val="000000"/>
                <w:kern w:val="0"/>
                <w:lang w:eastAsia="es-ES"/>
                <w14:ligatures w14:val="none"/>
              </w:rPr>
            </w:pPr>
            <w:r w:rsidRPr="00A02E6F">
              <w:rPr>
                <w:rFonts w:ascii="Arial" w:eastAsia="Times New Roman" w:hAnsi="Arial" w:cs="Arial"/>
                <w:color w:val="000000"/>
                <w:kern w:val="0"/>
                <w:lang w:eastAsia="es-ES"/>
                <w14:ligatures w14:val="none"/>
              </w:rPr>
              <w:t>Actividades de salud y servicios sociales</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AC7A80"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15</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E436D2"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8,29%</w:t>
            </w:r>
          </w:p>
        </w:tc>
      </w:tr>
      <w:tr w:rsidR="00A06380" w:rsidRPr="00A06380" w14:paraId="4BE599E5"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5AA603" w14:textId="718C4F7C" w:rsidR="00A06380" w:rsidRPr="00A06380" w:rsidRDefault="009831E4" w:rsidP="0000750E">
            <w:pPr>
              <w:spacing w:after="0" w:line="240" w:lineRule="auto"/>
              <w:ind w:right="140"/>
              <w:rPr>
                <w:rFonts w:ascii="Arial" w:eastAsia="Times New Roman" w:hAnsi="Arial" w:cs="Arial"/>
                <w:color w:val="000000"/>
                <w:kern w:val="0"/>
                <w:lang w:eastAsia="es-ES"/>
                <w14:ligatures w14:val="none"/>
              </w:rPr>
            </w:pPr>
            <w:r>
              <w:rPr>
                <w:rFonts w:ascii="Arial" w:eastAsia="Times New Roman" w:hAnsi="Arial" w:cs="Arial"/>
                <w:color w:val="000000"/>
                <w:kern w:val="0"/>
                <w:lang w:eastAsia="es-ES"/>
                <w14:ligatures w14:val="none"/>
              </w:rPr>
              <w:t>Hostelería</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9F7730"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7</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AC4BD2"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3,87%</w:t>
            </w:r>
          </w:p>
        </w:tc>
      </w:tr>
      <w:tr w:rsidR="00A06380" w:rsidRPr="00A06380" w14:paraId="48467FD0"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4DC187" w14:textId="1C4959CC" w:rsidR="00A06380" w:rsidRPr="00A06380" w:rsidRDefault="001B0B56" w:rsidP="0000750E">
            <w:pPr>
              <w:spacing w:after="0" w:line="240" w:lineRule="auto"/>
              <w:ind w:right="140"/>
              <w:rPr>
                <w:rFonts w:ascii="Arial" w:eastAsia="Times New Roman" w:hAnsi="Arial" w:cs="Arial"/>
                <w:color w:val="000000"/>
                <w:kern w:val="0"/>
                <w:lang w:eastAsia="es-ES"/>
                <w14:ligatures w14:val="none"/>
              </w:rPr>
            </w:pPr>
            <w:r w:rsidRPr="001B0B56">
              <w:rPr>
                <w:rFonts w:ascii="Arial" w:eastAsia="Times New Roman" w:hAnsi="Arial" w:cs="Arial"/>
                <w:color w:val="000000"/>
                <w:kern w:val="0"/>
                <w:lang w:eastAsia="es-ES"/>
                <w14:ligatures w14:val="none"/>
              </w:rPr>
              <w:t>Industria manufacturera</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0641FE"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59</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1E80F8"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32,60%</w:t>
            </w:r>
          </w:p>
        </w:tc>
      </w:tr>
      <w:tr w:rsidR="00A06380" w:rsidRPr="00A06380" w14:paraId="71CCE885"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A2209C" w14:textId="0EC1C367" w:rsidR="00A06380" w:rsidRPr="00A06380" w:rsidRDefault="001155AC" w:rsidP="0000750E">
            <w:pPr>
              <w:spacing w:after="0" w:line="240" w:lineRule="auto"/>
              <w:ind w:right="140"/>
              <w:rPr>
                <w:rFonts w:ascii="Arial" w:eastAsia="Times New Roman" w:hAnsi="Arial" w:cs="Arial"/>
                <w:color w:val="000000"/>
                <w:kern w:val="0"/>
                <w:lang w:eastAsia="es-ES"/>
                <w14:ligatures w14:val="none"/>
              </w:rPr>
            </w:pPr>
            <w:r w:rsidRPr="001155AC">
              <w:rPr>
                <w:rFonts w:ascii="Arial" w:eastAsia="Times New Roman" w:hAnsi="Arial" w:cs="Arial"/>
                <w:color w:val="000000"/>
                <w:kern w:val="0"/>
                <w:lang w:eastAsia="es-ES"/>
                <w14:ligatures w14:val="none"/>
              </w:rPr>
              <w:t>Información y comunicaciones</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C9D68B"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12</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384C1E"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6,63%</w:t>
            </w:r>
          </w:p>
        </w:tc>
      </w:tr>
      <w:tr w:rsidR="00A06380" w:rsidRPr="00A06380" w14:paraId="631D70BE"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013D69" w14:textId="2A67543F" w:rsidR="00A06380" w:rsidRPr="00A06380" w:rsidRDefault="009D7A8C" w:rsidP="0000750E">
            <w:pPr>
              <w:spacing w:after="0" w:line="240" w:lineRule="auto"/>
              <w:ind w:right="140"/>
              <w:rPr>
                <w:rFonts w:ascii="Arial" w:eastAsia="Times New Roman" w:hAnsi="Arial" w:cs="Arial"/>
                <w:color w:val="000000"/>
                <w:kern w:val="0"/>
                <w:lang w:eastAsia="es-ES"/>
                <w14:ligatures w14:val="none"/>
              </w:rPr>
            </w:pPr>
            <w:r w:rsidRPr="009D7A8C">
              <w:rPr>
                <w:rFonts w:ascii="Arial" w:eastAsia="Times New Roman" w:hAnsi="Arial" w:cs="Arial"/>
                <w:color w:val="000000"/>
                <w:kern w:val="0"/>
                <w:lang w:eastAsia="es-ES"/>
                <w14:ligatures w14:val="none"/>
              </w:rPr>
              <w:t>Otros servicios (actividades sindicales, políticas, religiosas, organizaciones profesionales...)</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9DD22B"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4</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947A1D"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2,21%</w:t>
            </w:r>
          </w:p>
        </w:tc>
      </w:tr>
      <w:tr w:rsidR="00A06380" w:rsidRPr="00A06380" w14:paraId="5F167644"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7B0A6D" w14:textId="42A3FA6D" w:rsidR="00A06380" w:rsidRPr="00A06380" w:rsidRDefault="00F63329" w:rsidP="0000750E">
            <w:pPr>
              <w:spacing w:after="0" w:line="240" w:lineRule="auto"/>
              <w:ind w:right="140"/>
              <w:rPr>
                <w:rFonts w:ascii="Arial" w:eastAsia="Times New Roman" w:hAnsi="Arial" w:cs="Arial"/>
                <w:color w:val="000000"/>
                <w:kern w:val="0"/>
                <w:lang w:eastAsia="es-ES"/>
                <w14:ligatures w14:val="none"/>
              </w:rPr>
            </w:pPr>
            <w:r w:rsidRPr="00F63329">
              <w:rPr>
                <w:rFonts w:ascii="Arial" w:eastAsia="Times New Roman" w:hAnsi="Arial" w:cs="Arial"/>
                <w:color w:val="000000"/>
                <w:kern w:val="0"/>
                <w:lang w:eastAsia="es-ES"/>
                <w14:ligatures w14:val="none"/>
              </w:rPr>
              <w:t>Administración Pública y defensa; Seguridad Social</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4BFCE5"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6</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31BC6E"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3,31%</w:t>
            </w:r>
          </w:p>
        </w:tc>
      </w:tr>
      <w:tr w:rsidR="00A06380" w:rsidRPr="00A06380" w14:paraId="29FF18AD"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C3F248" w14:textId="14A6825A" w:rsidR="00A06380" w:rsidRPr="00A06380" w:rsidRDefault="0047018B" w:rsidP="0000750E">
            <w:pPr>
              <w:spacing w:after="0" w:line="240" w:lineRule="auto"/>
              <w:ind w:right="140"/>
              <w:rPr>
                <w:rFonts w:ascii="Arial" w:eastAsia="Times New Roman" w:hAnsi="Arial" w:cs="Arial"/>
                <w:color w:val="000000"/>
                <w:kern w:val="0"/>
                <w:lang w:eastAsia="es-ES"/>
                <w14:ligatures w14:val="none"/>
              </w:rPr>
            </w:pPr>
            <w:r w:rsidRPr="0047018B">
              <w:rPr>
                <w:rFonts w:ascii="Arial" w:eastAsia="Times New Roman" w:hAnsi="Arial" w:cs="Arial"/>
                <w:color w:val="000000"/>
                <w:kern w:val="0"/>
                <w:lang w:eastAsia="es-ES"/>
                <w14:ligatures w14:val="none"/>
              </w:rPr>
              <w:t>Suministro de energía eléctrica, gas, vapor, aire acondicionado</w:t>
            </w:r>
            <w:r w:rsidR="00A06380" w:rsidRPr="00A06380">
              <w:rPr>
                <w:rFonts w:ascii="Arial" w:eastAsia="Times New Roman" w:hAnsi="Arial" w:cs="Arial"/>
                <w:color w:val="000000"/>
                <w:kern w:val="0"/>
                <w:lang w:eastAsia="es-ES"/>
                <w14:ligatures w14:val="none"/>
              </w:rPr>
              <w:t xml:space="preserve"> </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329D5B"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4</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CB86CC"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2,21%</w:t>
            </w:r>
          </w:p>
        </w:tc>
      </w:tr>
      <w:tr w:rsidR="00A06380" w:rsidRPr="00A06380" w14:paraId="1C3AF5E4"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627326" w14:textId="33D3EF91" w:rsidR="00A06380" w:rsidRPr="00A06380" w:rsidRDefault="0000750E" w:rsidP="0000750E">
            <w:pPr>
              <w:spacing w:after="0" w:line="240" w:lineRule="auto"/>
              <w:ind w:right="140"/>
              <w:rPr>
                <w:rFonts w:ascii="Arial" w:eastAsia="Times New Roman" w:hAnsi="Arial" w:cs="Arial"/>
                <w:color w:val="000000"/>
                <w:kern w:val="0"/>
                <w:lang w:eastAsia="es-ES"/>
                <w14:ligatures w14:val="none"/>
              </w:rPr>
            </w:pPr>
            <w:r w:rsidRPr="0000750E">
              <w:rPr>
                <w:rFonts w:ascii="Arial" w:eastAsia="Times New Roman" w:hAnsi="Arial" w:cs="Arial"/>
                <w:color w:val="000000"/>
                <w:kern w:val="0"/>
                <w:lang w:eastAsia="es-ES"/>
                <w14:ligatures w14:val="none"/>
              </w:rPr>
              <w:t>Transporte y almacenamiento</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E84B86"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17</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A641E7"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9,39%</w:t>
            </w:r>
          </w:p>
        </w:tc>
      </w:tr>
      <w:tr w:rsidR="00A06380" w:rsidRPr="00A06380" w14:paraId="704FB30D"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F7DD6F" w14:textId="43736D68" w:rsidR="00A06380" w:rsidRPr="00A06380" w:rsidRDefault="00A06380" w:rsidP="0000750E">
            <w:pPr>
              <w:spacing w:after="0" w:line="240" w:lineRule="auto"/>
              <w:ind w:right="140"/>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w:t>
            </w:r>
            <w:r w:rsidR="0000750E">
              <w:rPr>
                <w:rFonts w:ascii="Arial" w:eastAsia="Times New Roman" w:hAnsi="Arial" w:cs="Arial"/>
                <w:color w:val="000000"/>
                <w:kern w:val="0"/>
                <w:lang w:eastAsia="es-ES"/>
                <w14:ligatures w14:val="none"/>
              </w:rPr>
              <w:t>blanco</w:t>
            </w:r>
            <w:r w:rsidRPr="00A06380">
              <w:rPr>
                <w:rFonts w:ascii="Arial" w:eastAsia="Times New Roman" w:hAnsi="Arial" w:cs="Arial"/>
                <w:color w:val="000000"/>
                <w:kern w:val="0"/>
                <w:lang w:eastAsia="es-ES"/>
                <w14:ligatures w14:val="none"/>
              </w:rPr>
              <w:t>)</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F6A83D"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A11FD9"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0,55%</w:t>
            </w:r>
          </w:p>
        </w:tc>
      </w:tr>
      <w:tr w:rsidR="00A06380" w:rsidRPr="00A06380" w14:paraId="7A3967D1"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94F73A"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 xml:space="preserve">Total </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DD4F80"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181</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3FBCC2"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100,00%</w:t>
            </w:r>
          </w:p>
        </w:tc>
      </w:tr>
      <w:tr w:rsidR="00A06380" w:rsidRPr="00A06380" w14:paraId="12EA1045"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ED6E40" w14:textId="06BCBC5F" w:rsidR="00585C26" w:rsidRPr="00A06380" w:rsidRDefault="00585C26" w:rsidP="00AC1837">
            <w:pPr>
              <w:spacing w:after="0" w:line="240" w:lineRule="auto"/>
              <w:ind w:right="140"/>
              <w:jc w:val="center"/>
              <w:rPr>
                <w:rFonts w:ascii="Arial" w:eastAsia="Times New Roman" w:hAnsi="Arial" w:cs="Arial"/>
                <w:b/>
                <w:bCs/>
                <w:i/>
                <w:iCs/>
                <w:color w:val="000000"/>
                <w:kern w:val="0"/>
                <w:u w:val="single"/>
                <w:lang w:eastAsia="es-ES"/>
                <w14:ligatures w14:val="none"/>
              </w:rPr>
            </w:pPr>
            <w:r w:rsidRPr="00AC1837">
              <w:rPr>
                <w:rFonts w:ascii="Arial" w:eastAsia="Times New Roman" w:hAnsi="Arial" w:cs="Arial"/>
                <w:b/>
                <w:bCs/>
                <w:i/>
                <w:iCs/>
                <w:color w:val="000000"/>
                <w:kern w:val="0"/>
                <w:u w:val="single"/>
                <w:lang w:eastAsia="es-ES"/>
                <w14:ligatures w14:val="none"/>
              </w:rPr>
              <w:t>Antigüedad de la empresa</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AB545C"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 </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D00F5C"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 </w:t>
            </w:r>
          </w:p>
        </w:tc>
      </w:tr>
      <w:tr w:rsidR="00A06380" w:rsidRPr="00A06380" w14:paraId="600222E0"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7EE45C" w14:textId="77777777" w:rsidR="00A06380" w:rsidRPr="00A06380" w:rsidRDefault="00A06380" w:rsidP="0000750E">
            <w:pPr>
              <w:spacing w:after="0" w:line="240" w:lineRule="auto"/>
              <w:ind w:right="140"/>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menor a 5 años</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0B6739"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13</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83F2B1"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7,18%</w:t>
            </w:r>
          </w:p>
        </w:tc>
      </w:tr>
      <w:tr w:rsidR="00A06380" w:rsidRPr="00A06380" w14:paraId="134E7CBD"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00DC84" w14:textId="77777777" w:rsidR="00A06380" w:rsidRPr="00A06380" w:rsidRDefault="00A06380" w:rsidP="0000750E">
            <w:pPr>
              <w:spacing w:after="0" w:line="240" w:lineRule="auto"/>
              <w:ind w:right="140"/>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entre 5 y 10 años</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18986F"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18</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9CA40F"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9,94%</w:t>
            </w:r>
          </w:p>
        </w:tc>
      </w:tr>
      <w:tr w:rsidR="00A06380" w:rsidRPr="00A06380" w14:paraId="02676702"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14155C" w14:textId="77777777" w:rsidR="00A06380" w:rsidRPr="00A06380" w:rsidRDefault="00A06380" w:rsidP="0000750E">
            <w:pPr>
              <w:spacing w:after="0" w:line="240" w:lineRule="auto"/>
              <w:ind w:right="140"/>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entre 10 y 20 años</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8434D4"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17</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EB6AA8"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9,39%</w:t>
            </w:r>
          </w:p>
        </w:tc>
      </w:tr>
      <w:tr w:rsidR="00A06380" w:rsidRPr="00A06380" w14:paraId="01C2FB59"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E75F23" w14:textId="77777777" w:rsidR="00A06380" w:rsidRPr="00A06380" w:rsidRDefault="00A06380" w:rsidP="0000750E">
            <w:pPr>
              <w:spacing w:after="0" w:line="240" w:lineRule="auto"/>
              <w:ind w:right="140"/>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entre 20 y 30 años</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39B062"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13</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309B4F"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7,18%</w:t>
            </w:r>
          </w:p>
        </w:tc>
      </w:tr>
      <w:tr w:rsidR="00A06380" w:rsidRPr="00A06380" w14:paraId="3BDACFFF"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312A0C" w14:textId="77777777" w:rsidR="00A06380" w:rsidRPr="00A06380" w:rsidRDefault="00A06380" w:rsidP="0000750E">
            <w:pPr>
              <w:spacing w:after="0" w:line="240" w:lineRule="auto"/>
              <w:ind w:right="140"/>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entre 30 y 40 años</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26E859"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25</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AC94F2"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13,81%</w:t>
            </w:r>
          </w:p>
        </w:tc>
      </w:tr>
      <w:tr w:rsidR="00A06380" w:rsidRPr="00A06380" w14:paraId="1C93E1D1"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6A396F" w14:textId="77777777" w:rsidR="00A06380" w:rsidRPr="00A06380" w:rsidRDefault="00A06380" w:rsidP="0000750E">
            <w:pPr>
              <w:spacing w:after="0" w:line="240" w:lineRule="auto"/>
              <w:ind w:right="140"/>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entre 40 y 50 años</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2A4253"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11</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3F2C51"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6,08%</w:t>
            </w:r>
          </w:p>
        </w:tc>
      </w:tr>
      <w:tr w:rsidR="00A06380" w:rsidRPr="00A06380" w14:paraId="0E45D8CC"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4ABFDA" w14:textId="77777777" w:rsidR="00A06380" w:rsidRPr="00A06380" w:rsidRDefault="00A06380" w:rsidP="0000750E">
            <w:pPr>
              <w:spacing w:after="0" w:line="240" w:lineRule="auto"/>
              <w:ind w:right="140"/>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entre 50 y 60 años</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AEFF7C"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17</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8C2A77"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9,39%</w:t>
            </w:r>
          </w:p>
        </w:tc>
      </w:tr>
      <w:tr w:rsidR="00A06380" w:rsidRPr="00A06380" w14:paraId="631BC8D6"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9ABB1D" w14:textId="77777777" w:rsidR="00A06380" w:rsidRPr="00A06380" w:rsidRDefault="00A06380" w:rsidP="0000750E">
            <w:pPr>
              <w:spacing w:after="0" w:line="240" w:lineRule="auto"/>
              <w:ind w:right="140"/>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entre 60 y 70 años</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09196E"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9</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217F42"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4,97%</w:t>
            </w:r>
          </w:p>
        </w:tc>
      </w:tr>
      <w:tr w:rsidR="00A06380" w:rsidRPr="00A06380" w14:paraId="131DBA40"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F4ACFC" w14:textId="77777777" w:rsidR="00A06380" w:rsidRPr="00A06380" w:rsidRDefault="00A06380" w:rsidP="0000750E">
            <w:pPr>
              <w:spacing w:after="0" w:line="240" w:lineRule="auto"/>
              <w:ind w:right="140"/>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más de 70 años</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9D00F6"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58</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3AA6CD"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32,04%</w:t>
            </w:r>
          </w:p>
        </w:tc>
      </w:tr>
      <w:tr w:rsidR="00A06380" w:rsidRPr="00A06380" w14:paraId="4BD02081" w14:textId="77777777" w:rsidTr="00A06380">
        <w:trPr>
          <w:trHeight w:val="271"/>
        </w:trPr>
        <w:tc>
          <w:tcPr>
            <w:tcW w:w="58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7EF06E" w14:textId="1ED77243"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Total</w:t>
            </w:r>
          </w:p>
        </w:tc>
        <w:tc>
          <w:tcPr>
            <w:tcW w:w="10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DA9B3A"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181</w:t>
            </w:r>
          </w:p>
        </w:tc>
        <w:tc>
          <w:tcPr>
            <w:tcW w:w="1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81F63C" w14:textId="77777777" w:rsidR="00A06380" w:rsidRPr="00A06380" w:rsidRDefault="00A06380" w:rsidP="00A06380">
            <w:pPr>
              <w:spacing w:after="0" w:line="240" w:lineRule="auto"/>
              <w:ind w:right="140"/>
              <w:jc w:val="right"/>
              <w:rPr>
                <w:rFonts w:ascii="Arial" w:eastAsia="Times New Roman" w:hAnsi="Arial" w:cs="Arial"/>
                <w:color w:val="000000"/>
                <w:kern w:val="0"/>
                <w:lang w:eastAsia="es-ES"/>
                <w14:ligatures w14:val="none"/>
              </w:rPr>
            </w:pPr>
            <w:r w:rsidRPr="00A06380">
              <w:rPr>
                <w:rFonts w:ascii="Arial" w:eastAsia="Times New Roman" w:hAnsi="Arial" w:cs="Arial"/>
                <w:color w:val="000000"/>
                <w:kern w:val="0"/>
                <w:lang w:eastAsia="es-ES"/>
                <w14:ligatures w14:val="none"/>
              </w:rPr>
              <w:t>100,00%</w:t>
            </w:r>
          </w:p>
        </w:tc>
      </w:tr>
    </w:tbl>
    <w:p w14:paraId="3374B02D" w14:textId="77777777" w:rsidR="004473D8" w:rsidRPr="00BE2CF3" w:rsidRDefault="004473D8" w:rsidP="00705E36">
      <w:pPr>
        <w:ind w:right="140"/>
        <w:rPr>
          <w:rFonts w:ascii="Arial" w:hAnsi="Arial" w:cs="Arial"/>
          <w:lang w:val="en-GB"/>
        </w:rPr>
      </w:pPr>
    </w:p>
    <w:p w14:paraId="5B155235" w14:textId="78B0C70E" w:rsidR="00D50A7D" w:rsidRPr="00E466DD" w:rsidRDefault="00523734" w:rsidP="00705E36">
      <w:pPr>
        <w:ind w:right="140"/>
        <w:rPr>
          <w:rFonts w:ascii="Arial" w:hAnsi="Arial" w:cs="Arial"/>
        </w:rPr>
      </w:pPr>
      <w:r w:rsidRPr="00523734">
        <w:rPr>
          <w:rFonts w:ascii="Arial" w:hAnsi="Arial" w:cs="Arial"/>
        </w:rPr>
        <w:t xml:space="preserve">Aunque 39 preguntas </w:t>
      </w:r>
      <w:r w:rsidR="00CE794B">
        <w:rPr>
          <w:rFonts w:ascii="Arial" w:hAnsi="Arial" w:cs="Arial"/>
        </w:rPr>
        <w:t>es un número elevado</w:t>
      </w:r>
      <w:r w:rsidRPr="00523734">
        <w:rPr>
          <w:rFonts w:ascii="Arial" w:hAnsi="Arial" w:cs="Arial"/>
        </w:rPr>
        <w:t xml:space="preserve">, se consideró que para el propósito de esta investigación eran necesarias y se esperaba contrarrestar </w:t>
      </w:r>
      <w:r w:rsidR="00514AF2">
        <w:rPr>
          <w:rFonts w:ascii="Arial" w:hAnsi="Arial" w:cs="Arial"/>
        </w:rPr>
        <w:t xml:space="preserve">ese </w:t>
      </w:r>
      <w:r w:rsidRPr="00523734">
        <w:rPr>
          <w:rFonts w:ascii="Arial" w:hAnsi="Arial" w:cs="Arial"/>
        </w:rPr>
        <w:t xml:space="preserve">efecto </w:t>
      </w:r>
      <w:r w:rsidR="00F12F7A">
        <w:rPr>
          <w:rFonts w:ascii="Arial" w:hAnsi="Arial" w:cs="Arial"/>
        </w:rPr>
        <w:t>negativo</w:t>
      </w:r>
      <w:r w:rsidRPr="00523734">
        <w:rPr>
          <w:rFonts w:ascii="Arial" w:hAnsi="Arial" w:cs="Arial"/>
        </w:rPr>
        <w:t xml:space="preserve"> en el número de encuestados</w:t>
      </w:r>
      <w:r w:rsidR="00EC3D8D" w:rsidRPr="00523734">
        <w:rPr>
          <w:rFonts w:ascii="Arial" w:hAnsi="Arial" w:cs="Arial"/>
        </w:rPr>
        <w:t xml:space="preserve"> </w:t>
      </w:r>
      <w:r w:rsidR="006C41DC" w:rsidRPr="00BE2CF3">
        <w:rPr>
          <w:rFonts w:ascii="Arial" w:hAnsi="Arial" w:cs="Arial"/>
          <w:lang w:val="en-GB"/>
        </w:rPr>
        <w:fldChar w:fldCharType="begin"/>
      </w:r>
      <w:r w:rsidR="006C41DC" w:rsidRPr="00523734">
        <w:rPr>
          <w:rFonts w:ascii="Arial" w:hAnsi="Arial" w:cs="Arial"/>
        </w:rPr>
        <w:instrText xml:space="preserve"> ADDIN ZOTERO_ITEM CSL_CITATION {"citationID":"vtvMdMKV","properties":{"formattedCitation":"(Melnyk et al., 2012)","plainCitation":"(Melnyk et al., 2012)","noteIndex":0},"citationItems":[{"id":610,"uris":["http://zotero.org/users/9514289/items/5NAV7SQW"],"itemData":{"id":610,"type":"article-journal","abstract":"In supply chain management, survey research is one of the primary methodologies used by researchers to generate empirical data. Critical to its effectiveness is an acceptable response rate. Recently, concerns have been raised regarding perceived falling response rates. Using data taken from 464 survey-based studies, as drawn from </w:instrText>
      </w:r>
      <w:r w:rsidR="006C41DC" w:rsidRPr="00BE2CF3">
        <w:rPr>
          <w:rFonts w:ascii="Arial" w:hAnsi="Arial" w:cs="Arial"/>
          <w:lang w:val="en-GB"/>
        </w:rPr>
        <w:instrText>ﬁ</w:instrText>
      </w:r>
      <w:r w:rsidR="006C41DC" w:rsidRPr="00523734">
        <w:rPr>
          <w:rFonts w:ascii="Arial" w:hAnsi="Arial" w:cs="Arial"/>
        </w:rPr>
        <w:instrText xml:space="preserve">ve representative journals that publish survey-based supply chain studies, this study assesses whether these concerns are valid. Furthermore, it assesses whether the various tactics recommended for improving response rates have been successful. The </w:instrText>
      </w:r>
      <w:r w:rsidR="006C41DC" w:rsidRPr="00BE2CF3">
        <w:rPr>
          <w:rFonts w:ascii="Arial" w:hAnsi="Arial" w:cs="Arial"/>
          <w:lang w:val="en-GB"/>
        </w:rPr>
        <w:instrText>ﬁ</w:instrText>
      </w:r>
      <w:r w:rsidR="006C41DC" w:rsidRPr="00523734">
        <w:rPr>
          <w:rFonts w:ascii="Arial" w:hAnsi="Arial" w:cs="Arial"/>
        </w:rPr>
        <w:instrText>ndings indicate that (1) responses rates have been falling (with a signi</w:instrText>
      </w:r>
      <w:r w:rsidR="006C41DC" w:rsidRPr="00BE2CF3">
        <w:rPr>
          <w:rFonts w:ascii="Arial" w:hAnsi="Arial" w:cs="Arial"/>
          <w:lang w:val="en-GB"/>
        </w:rPr>
        <w:instrText>ﬁ</w:instrText>
      </w:r>
      <w:r w:rsidR="006C41DC" w:rsidRPr="00523734">
        <w:rPr>
          <w:rFonts w:ascii="Arial" w:hAnsi="Arial" w:cs="Arial"/>
        </w:rPr>
        <w:instrText>cant decrease beginning in 2001); (2) it is dif</w:instrText>
      </w:r>
      <w:r w:rsidR="006C41DC" w:rsidRPr="00BE2CF3">
        <w:rPr>
          <w:rFonts w:ascii="Arial" w:hAnsi="Arial" w:cs="Arial"/>
          <w:lang w:val="en-GB"/>
        </w:rPr>
        <w:instrText>ﬁ</w:instrText>
      </w:r>
      <w:r w:rsidR="006C41DC" w:rsidRPr="00523734">
        <w:rPr>
          <w:rFonts w:ascii="Arial" w:hAnsi="Arial" w:cs="Arial"/>
        </w:rPr>
        <w:instrText>cult to evaluate the effectiveness of the various techniques because of unevenness in reporting of techniques used; and, (3) response rates are signi</w:instrText>
      </w:r>
      <w:r w:rsidR="006C41DC" w:rsidRPr="00BE2CF3">
        <w:rPr>
          <w:rFonts w:ascii="Arial" w:hAnsi="Arial" w:cs="Arial"/>
          <w:lang w:val="en-GB"/>
        </w:rPr>
        <w:instrText>ﬁ</w:instrText>
      </w:r>
      <w:r w:rsidR="006C41DC" w:rsidRPr="00523734">
        <w:rPr>
          <w:rFonts w:ascii="Arial" w:hAnsi="Arial" w:cs="Arial"/>
        </w:rPr>
        <w:instrText>cantly in</w:instrText>
      </w:r>
      <w:r w:rsidR="006C41DC" w:rsidRPr="00BE2CF3">
        <w:rPr>
          <w:rFonts w:ascii="Arial" w:hAnsi="Arial" w:cs="Arial"/>
          <w:lang w:val="en-GB"/>
        </w:rPr>
        <w:instrText>ﬂ</w:instrText>
      </w:r>
      <w:r w:rsidR="006C41DC" w:rsidRPr="00523734">
        <w:rPr>
          <w:rFonts w:ascii="Arial" w:hAnsi="Arial" w:cs="Arial"/>
        </w:rPr>
        <w:instrText>uenced by factors such as the number of questions, source of survey population, method of survey delivery, speci</w:instrText>
      </w:r>
      <w:r w:rsidR="006C41DC" w:rsidRPr="00BE2CF3">
        <w:rPr>
          <w:rFonts w:ascii="Arial" w:hAnsi="Arial" w:cs="Arial"/>
          <w:lang w:val="en-GB"/>
        </w:rPr>
        <w:instrText>ﬁ</w:instrText>
      </w:r>
      <w:r w:rsidR="006C41DC" w:rsidRPr="00523734">
        <w:rPr>
          <w:rFonts w:ascii="Arial" w:hAnsi="Arial" w:cs="Arial"/>
        </w:rPr>
        <w:instrText>c respondents targeted, and use of prequali</w:instrText>
      </w:r>
      <w:r w:rsidR="006C41DC" w:rsidRPr="00BE2CF3">
        <w:rPr>
          <w:rFonts w:ascii="Arial" w:hAnsi="Arial" w:cs="Arial"/>
          <w:lang w:val="en-GB"/>
        </w:rPr>
        <w:instrText>ﬁ</w:instrText>
      </w:r>
      <w:r w:rsidR="006C41DC" w:rsidRPr="00523734">
        <w:rPr>
          <w:rFonts w:ascii="Arial" w:hAnsi="Arial" w:cs="Arial"/>
        </w:rPr>
        <w:instrText>cation/pre-noti</w:instrText>
      </w:r>
      <w:r w:rsidR="006C41DC" w:rsidRPr="00BE2CF3">
        <w:rPr>
          <w:rFonts w:ascii="Arial" w:hAnsi="Arial" w:cs="Arial"/>
          <w:lang w:val="en-GB"/>
        </w:rPr>
        <w:instrText>ﬁ</w:instrText>
      </w:r>
      <w:r w:rsidR="006C41DC" w:rsidRPr="00523734">
        <w:rPr>
          <w:rFonts w:ascii="Arial" w:hAnsi="Arial" w:cs="Arial"/>
        </w:rPr>
        <w:instrText xml:space="preserve">cation.","container-title":"Journal of Purchasing and Supply Management","DOI":"10.1016/j.pursup.2011.12.002","ISSN":"14784092","issue":"1","journalAbbreviation":"Journal of Purchasing and Supply Management","language":"en","page":"35-45","source":"DOI.org (Crossref)","title":"Would you mind completing this survey: Assessing the state of survey research in supply chain management","title-short":"Would you mind completing this survey","volume":"18","author":[{"family":"Melnyk","given":"Steven A."},{"family":"Page","given":"Thomas J."},{"family":"Wu","given":"Sarah Jinhui"},{"family":"Burns","given":"Laird A."}],"issued":{"date-parts":[["2012",3]]}}}],"schema":"https://github.com/citation-style-language/schema/raw/master/csl-citation.json"} </w:instrText>
      </w:r>
      <w:r w:rsidR="006C41DC" w:rsidRPr="00BE2CF3">
        <w:rPr>
          <w:rFonts w:ascii="Arial" w:hAnsi="Arial" w:cs="Arial"/>
          <w:lang w:val="en-GB"/>
        </w:rPr>
        <w:fldChar w:fldCharType="separate"/>
      </w:r>
      <w:r w:rsidR="006C41DC" w:rsidRPr="00E466DD">
        <w:rPr>
          <w:rFonts w:ascii="Arial" w:hAnsi="Arial" w:cs="Arial"/>
        </w:rPr>
        <w:t>(Melnyk et al., 2012)</w:t>
      </w:r>
      <w:r w:rsidR="006C41DC" w:rsidRPr="00BE2CF3">
        <w:rPr>
          <w:rFonts w:ascii="Arial" w:hAnsi="Arial" w:cs="Arial"/>
          <w:lang w:val="en-GB"/>
        </w:rPr>
        <w:fldChar w:fldCharType="end"/>
      </w:r>
      <w:r w:rsidR="00A43262" w:rsidRPr="00E466DD">
        <w:rPr>
          <w:rFonts w:ascii="Arial" w:hAnsi="Arial" w:cs="Arial"/>
        </w:rPr>
        <w:t xml:space="preserve">, </w:t>
      </w:r>
      <w:r w:rsidR="00035C31" w:rsidRPr="00035C31">
        <w:rPr>
          <w:rFonts w:ascii="Arial" w:hAnsi="Arial" w:cs="Arial"/>
        </w:rPr>
        <w:t xml:space="preserve">por </w:t>
      </w:r>
      <w:r w:rsidR="00514AF2">
        <w:rPr>
          <w:rFonts w:ascii="Arial" w:hAnsi="Arial" w:cs="Arial"/>
        </w:rPr>
        <w:t xml:space="preserve">el </w:t>
      </w:r>
      <w:r w:rsidR="00035C31" w:rsidRPr="00035C31">
        <w:rPr>
          <w:rFonts w:ascii="Arial" w:hAnsi="Arial" w:cs="Arial"/>
        </w:rPr>
        <w:t>interés de</w:t>
      </w:r>
      <w:r w:rsidR="00F12F7A">
        <w:rPr>
          <w:rFonts w:ascii="Arial" w:hAnsi="Arial" w:cs="Arial"/>
        </w:rPr>
        <w:t xml:space="preserve"> estos en</w:t>
      </w:r>
      <w:r w:rsidR="00035C31" w:rsidRPr="00035C31">
        <w:rPr>
          <w:rFonts w:ascii="Arial" w:hAnsi="Arial" w:cs="Arial"/>
        </w:rPr>
        <w:t xml:space="preserve"> conocer los resultados.</w:t>
      </w:r>
    </w:p>
    <w:p w14:paraId="3FBD1646" w14:textId="457BF493" w:rsidR="008172DF" w:rsidRPr="00EB5475" w:rsidRDefault="00D0525A" w:rsidP="00705E36">
      <w:pPr>
        <w:ind w:right="140"/>
        <w:rPr>
          <w:rFonts w:ascii="Arial" w:hAnsi="Arial" w:cs="Arial"/>
        </w:rPr>
      </w:pPr>
      <w:r>
        <w:rPr>
          <w:rFonts w:ascii="Arial" w:hAnsi="Arial" w:cs="Arial"/>
        </w:rPr>
        <w:t xml:space="preserve">Como </w:t>
      </w:r>
      <w:r w:rsidR="007E1887" w:rsidRPr="007E1887">
        <w:rPr>
          <w:rFonts w:ascii="Arial" w:hAnsi="Arial" w:cs="Arial"/>
        </w:rPr>
        <w:t>los encuestados proporcionar</w:t>
      </w:r>
      <w:r>
        <w:rPr>
          <w:rFonts w:ascii="Arial" w:hAnsi="Arial" w:cs="Arial"/>
        </w:rPr>
        <w:t>o</w:t>
      </w:r>
      <w:r w:rsidR="007E1887" w:rsidRPr="007E1887">
        <w:rPr>
          <w:rFonts w:ascii="Arial" w:hAnsi="Arial" w:cs="Arial"/>
        </w:rPr>
        <w:t>n información sobre las variables dependientes e independientes</w:t>
      </w:r>
      <w:r w:rsidR="00CE4DCA">
        <w:rPr>
          <w:rFonts w:ascii="Arial" w:hAnsi="Arial" w:cs="Arial"/>
        </w:rPr>
        <w:t xml:space="preserve">, </w:t>
      </w:r>
      <w:r>
        <w:rPr>
          <w:rFonts w:ascii="Arial" w:hAnsi="Arial" w:cs="Arial"/>
        </w:rPr>
        <w:t xml:space="preserve">es </w:t>
      </w:r>
      <w:r w:rsidR="00CE4DCA">
        <w:rPr>
          <w:rFonts w:ascii="Arial" w:hAnsi="Arial" w:cs="Arial"/>
        </w:rPr>
        <w:t xml:space="preserve">algo </w:t>
      </w:r>
      <w:r w:rsidR="007E1887" w:rsidRPr="007E1887">
        <w:rPr>
          <w:rFonts w:ascii="Arial" w:hAnsi="Arial" w:cs="Arial"/>
        </w:rPr>
        <w:t xml:space="preserve">que </w:t>
      </w:r>
      <w:r w:rsidR="00B15953">
        <w:rPr>
          <w:rFonts w:ascii="Arial" w:hAnsi="Arial" w:cs="Arial"/>
        </w:rPr>
        <w:t>puede</w:t>
      </w:r>
      <w:r w:rsidR="007E1887" w:rsidRPr="007E1887">
        <w:rPr>
          <w:rFonts w:ascii="Arial" w:hAnsi="Arial" w:cs="Arial"/>
        </w:rPr>
        <w:t xml:space="preserve"> introducir sesgo debido al método común de recopilación de datos.</w:t>
      </w:r>
      <w:r w:rsidR="00203F41" w:rsidRPr="007E1887">
        <w:rPr>
          <w:rFonts w:ascii="Arial" w:hAnsi="Arial" w:cs="Arial"/>
        </w:rPr>
        <w:t xml:space="preserve"> </w:t>
      </w:r>
      <w:r w:rsidR="00FD7053" w:rsidRPr="00FD7053">
        <w:rPr>
          <w:rFonts w:ascii="Arial" w:hAnsi="Arial" w:cs="Arial"/>
        </w:rPr>
        <w:t>Para evitarlo se emplearon remedios estadísticos para minimizar sus efectos.</w:t>
      </w:r>
      <w:r w:rsidR="008172DF" w:rsidRPr="00FD7053">
        <w:rPr>
          <w:rFonts w:ascii="Arial" w:hAnsi="Arial" w:cs="Arial"/>
        </w:rPr>
        <w:t xml:space="preserve"> </w:t>
      </w:r>
      <w:r w:rsidR="00063D01" w:rsidRPr="00BE2CF3">
        <w:rPr>
          <w:rFonts w:ascii="Arial" w:hAnsi="Arial" w:cs="Arial"/>
          <w:lang w:val="en-GB"/>
        </w:rPr>
        <w:fldChar w:fldCharType="begin"/>
      </w:r>
      <w:r w:rsidR="00063D01" w:rsidRPr="00FD7053">
        <w:rPr>
          <w:rFonts w:ascii="Arial" w:hAnsi="Arial" w:cs="Arial"/>
        </w:rPr>
        <w:instrText xml:space="preserve"> ADDIN ZOTERO_ITEM CSL_CITATION {"citationID":"cGqF8MZC","properties":{"formattedCitation":"(Podsakoff et al., 2003)","plainCitation":"(Podsakoff et al., 2003)","noteIndex":0},"citationItems":[{"id":1991,"uris":["http://zotero.org/users/9514289/items/FU2QRKKW"],"itemData":{"id":1991,"type":"article-journal","container-title":"Journal of Applied Psychology","DOI":"10.1037/0021-9010.88.5.879","ISSN":"1939-1854, 0021-9010","issue":"5","journalAbbreviation":"Journal of Applied Psychology","language":"en","page":"879-903","source":"DOI.org (Crossref)","title":"Common method biases in behavioral research: A critical review of the literature and recommended remedies.","title-short":"Common method biases in behavioral research","volume":"88","author":[{"family":"Podsakoff","given":"Philip M."},{"family":"MacKenzie","given":"Scott B."},{"family":"Lee","given":"Jeong-Yeon"},{"family":"Podsakoff","given":"Nathan P."}],"issued":{"date-parts":[["2003"]]}}}],"schema":"https://github.com/citation-style-language/schema/raw/master/csl-citation.json"} </w:instrText>
      </w:r>
      <w:r w:rsidR="00063D01" w:rsidRPr="00BE2CF3">
        <w:rPr>
          <w:rFonts w:ascii="Arial" w:hAnsi="Arial" w:cs="Arial"/>
          <w:lang w:val="en-GB"/>
        </w:rPr>
        <w:fldChar w:fldCharType="separate"/>
      </w:r>
      <w:r w:rsidR="00063D01" w:rsidRPr="00EB5475">
        <w:rPr>
          <w:rFonts w:ascii="Arial" w:hAnsi="Arial" w:cs="Arial"/>
        </w:rPr>
        <w:t>(Podsakoff et al., 2003)</w:t>
      </w:r>
      <w:r w:rsidR="00063D01" w:rsidRPr="00BE2CF3">
        <w:rPr>
          <w:rFonts w:ascii="Arial" w:hAnsi="Arial" w:cs="Arial"/>
          <w:lang w:val="en-GB"/>
        </w:rPr>
        <w:fldChar w:fldCharType="end"/>
      </w:r>
      <w:r w:rsidR="008172DF" w:rsidRPr="00EB5475">
        <w:rPr>
          <w:rFonts w:ascii="Arial" w:hAnsi="Arial" w:cs="Arial"/>
        </w:rPr>
        <w:t xml:space="preserve">. </w:t>
      </w:r>
      <w:r w:rsidR="00E738BD" w:rsidRPr="00EB5475">
        <w:rPr>
          <w:rFonts w:ascii="Arial" w:hAnsi="Arial" w:cs="Arial"/>
        </w:rPr>
        <w:t>En primer lugar, los ítems fueron cuidadosamente seleccionados en base a una revisión exhaustiva de la literatura</w:t>
      </w:r>
      <w:r w:rsidR="00EB5475">
        <w:rPr>
          <w:rFonts w:ascii="Arial" w:hAnsi="Arial" w:cs="Arial"/>
        </w:rPr>
        <w:t>,</w:t>
      </w:r>
      <w:r w:rsidR="00E738BD" w:rsidRPr="00EB5475">
        <w:rPr>
          <w:rFonts w:ascii="Arial" w:hAnsi="Arial" w:cs="Arial"/>
        </w:rPr>
        <w:t xml:space="preserve"> seguida de una prueba piloto para asegurar que no quedara ninguna ambigüedad en las preguntas y los ítems de la encuesta. En segundo lugar, no se realizaron entrevistas directas, sino que se envió a los encuestados un enlace en línea al cuestionario. En tercer lugar, para superar la deseabilidad social no había respuestas "correctas", era voluntario y anónimo y los datos se tratarían de manera agregada. Por último, para superar el posible efecto de los modelos teóricos implícitos en los encuestados, no se les informó sobre el modelo de investigación del estudio.</w:t>
      </w:r>
    </w:p>
    <w:p w14:paraId="52E5645F" w14:textId="485D22C5" w:rsidR="00BF2AF4" w:rsidRDefault="00A73FE2" w:rsidP="00705E36">
      <w:pPr>
        <w:ind w:right="140"/>
        <w:rPr>
          <w:rFonts w:ascii="Arial" w:hAnsi="Arial" w:cs="Arial"/>
        </w:rPr>
      </w:pPr>
      <w:r w:rsidRPr="00494CD8">
        <w:rPr>
          <w:rFonts w:ascii="Arial" w:hAnsi="Arial" w:cs="Arial"/>
        </w:rPr>
        <w:t>La validez de</w:t>
      </w:r>
      <w:r w:rsidR="006D3EEB">
        <w:rPr>
          <w:rFonts w:ascii="Arial" w:hAnsi="Arial" w:cs="Arial"/>
        </w:rPr>
        <w:t>l</w:t>
      </w:r>
      <w:r w:rsidRPr="00494CD8">
        <w:rPr>
          <w:rFonts w:ascii="Arial" w:hAnsi="Arial" w:cs="Arial"/>
        </w:rPr>
        <w:t xml:space="preserve"> contenido de la encuesta para esta investigación se basa principalmente en la literatura y la prueba piloto realizada con antelación, lo que ayudó a centrarse solo en preguntas que cubrieran completamente los aspectos relevantes de los temas de la investigación, relacionados con la madurez</w:t>
      </w:r>
      <w:r w:rsidR="00E70504">
        <w:rPr>
          <w:rFonts w:ascii="Arial" w:hAnsi="Arial" w:cs="Arial"/>
        </w:rPr>
        <w:t xml:space="preserve"> de la función de compras</w:t>
      </w:r>
      <w:r w:rsidRPr="00494CD8">
        <w:rPr>
          <w:rFonts w:ascii="Arial" w:hAnsi="Arial" w:cs="Arial"/>
        </w:rPr>
        <w:t xml:space="preserve">, </w:t>
      </w:r>
      <w:r w:rsidR="00E70504">
        <w:rPr>
          <w:rFonts w:ascii="Arial" w:hAnsi="Arial" w:cs="Arial"/>
        </w:rPr>
        <w:t>los</w:t>
      </w:r>
      <w:r w:rsidRPr="00494CD8">
        <w:rPr>
          <w:rFonts w:ascii="Arial" w:hAnsi="Arial" w:cs="Arial"/>
        </w:rPr>
        <w:t xml:space="preserve"> tipo</w:t>
      </w:r>
      <w:r w:rsidR="00E70504">
        <w:rPr>
          <w:rFonts w:ascii="Arial" w:hAnsi="Arial" w:cs="Arial"/>
        </w:rPr>
        <w:t>s</w:t>
      </w:r>
      <w:r w:rsidRPr="00494CD8">
        <w:rPr>
          <w:rFonts w:ascii="Arial" w:hAnsi="Arial" w:cs="Arial"/>
        </w:rPr>
        <w:t xml:space="preserve"> de ahorro y los efectos </w:t>
      </w:r>
      <w:r w:rsidR="002F67B9">
        <w:rPr>
          <w:rFonts w:ascii="Arial" w:hAnsi="Arial" w:cs="Arial"/>
        </w:rPr>
        <w:t>positivos en el medioambiente</w:t>
      </w:r>
      <w:r w:rsidRPr="00494CD8">
        <w:rPr>
          <w:rFonts w:ascii="Arial" w:hAnsi="Arial" w:cs="Arial"/>
        </w:rPr>
        <w:t>.</w:t>
      </w:r>
    </w:p>
    <w:p w14:paraId="0DE88F1A" w14:textId="77777777" w:rsidR="00494CD8" w:rsidRPr="00494CD8" w:rsidRDefault="00494CD8" w:rsidP="00705E36">
      <w:pPr>
        <w:ind w:right="140"/>
        <w:rPr>
          <w:rFonts w:ascii="Arial" w:hAnsi="Arial" w:cs="Arial"/>
        </w:rPr>
      </w:pPr>
    </w:p>
    <w:p w14:paraId="7ECA600B" w14:textId="59A67EF7" w:rsidR="00914C8F" w:rsidRPr="0041212B" w:rsidRDefault="00BC0565" w:rsidP="00705E36">
      <w:pPr>
        <w:pStyle w:val="Heading2"/>
        <w:ind w:right="140"/>
      </w:pPr>
      <w:bookmarkStart w:id="13" w:name="_Toc183376721"/>
      <w:r w:rsidRPr="0041212B">
        <w:t>4.</w:t>
      </w:r>
      <w:r w:rsidR="00EA49A5" w:rsidRPr="0041212B">
        <w:t>2</w:t>
      </w:r>
      <w:r w:rsidRPr="0041212B">
        <w:t>.</w:t>
      </w:r>
      <w:r w:rsidRPr="0041212B">
        <w:tab/>
      </w:r>
      <w:r w:rsidR="003778F9" w:rsidRPr="0041212B">
        <w:t>V</w:t>
      </w:r>
      <w:r w:rsidR="0098111E" w:rsidRPr="0041212B">
        <w:t>ariable</w:t>
      </w:r>
      <w:r w:rsidR="00415F48" w:rsidRPr="0041212B">
        <w:t>s</w:t>
      </w:r>
      <w:bookmarkEnd w:id="13"/>
    </w:p>
    <w:p w14:paraId="63F1B9C9" w14:textId="77777777" w:rsidR="0098111E" w:rsidRPr="0041212B" w:rsidRDefault="0098111E" w:rsidP="00705E36">
      <w:pPr>
        <w:ind w:right="140"/>
        <w:rPr>
          <w:rFonts w:ascii="Arial" w:hAnsi="Arial" w:cs="Arial"/>
        </w:rPr>
      </w:pPr>
    </w:p>
    <w:p w14:paraId="07E451DD" w14:textId="047530D8" w:rsidR="000676DF" w:rsidRPr="00353BF7" w:rsidRDefault="001F17DA" w:rsidP="00705E36">
      <w:pPr>
        <w:ind w:right="140"/>
        <w:rPr>
          <w:rFonts w:ascii="Arial" w:hAnsi="Arial" w:cs="Arial"/>
        </w:rPr>
      </w:pPr>
      <w:r w:rsidRPr="00353BF7">
        <w:rPr>
          <w:rFonts w:ascii="Arial" w:hAnsi="Arial" w:cs="Arial"/>
        </w:rPr>
        <w:t xml:space="preserve">Para la operacionalización de las variables, los ítems utilizados para medir los constructos teóricos se derivaron de </w:t>
      </w:r>
      <w:r w:rsidR="00F3053C">
        <w:rPr>
          <w:rFonts w:ascii="Arial" w:hAnsi="Arial" w:cs="Arial"/>
        </w:rPr>
        <w:t>la</w:t>
      </w:r>
      <w:r w:rsidRPr="00353BF7">
        <w:rPr>
          <w:rFonts w:ascii="Arial" w:hAnsi="Arial" w:cs="Arial"/>
        </w:rPr>
        <w:t xml:space="preserve"> revisión de la literatura existente. Cada una de estas variables se midió utilizando diferentes tipos de preguntas adaptadas a la </w:t>
      </w:r>
      <w:r w:rsidR="00B240A9">
        <w:rPr>
          <w:rFonts w:ascii="Arial" w:hAnsi="Arial" w:cs="Arial"/>
        </w:rPr>
        <w:t>variable en cuestión</w:t>
      </w:r>
      <w:r w:rsidRPr="00353BF7">
        <w:rPr>
          <w:rFonts w:ascii="Arial" w:hAnsi="Arial" w:cs="Arial"/>
        </w:rPr>
        <w:t>, evitando el uso de preguntas de texto abierto y utilizando preguntas de selección de opciones, preguntas de calificación, preguntas de escala Likert y preguntas de orden.</w:t>
      </w:r>
      <w:r w:rsidR="000676DF" w:rsidRPr="00353BF7">
        <w:rPr>
          <w:rFonts w:ascii="Arial" w:hAnsi="Arial" w:cs="Arial"/>
        </w:rPr>
        <w:t xml:space="preserve"> </w:t>
      </w:r>
    </w:p>
    <w:p w14:paraId="123FCE7F" w14:textId="430D0323" w:rsidR="00052E64" w:rsidRPr="00962AF1" w:rsidRDefault="00052E64" w:rsidP="00705E36">
      <w:pPr>
        <w:ind w:right="140"/>
        <w:rPr>
          <w:rFonts w:ascii="Arial" w:hAnsi="Arial" w:cs="Arial"/>
        </w:rPr>
      </w:pPr>
      <w:r w:rsidRPr="00962AF1">
        <w:rPr>
          <w:rFonts w:ascii="Arial" w:hAnsi="Arial" w:cs="Arial"/>
        </w:rPr>
        <w:t xml:space="preserve">Para la variable madurez la clasificación utilizada es la que aparece en la Tabla </w:t>
      </w:r>
      <w:r w:rsidR="00353BF7">
        <w:rPr>
          <w:rFonts w:ascii="Arial" w:hAnsi="Arial" w:cs="Arial"/>
        </w:rPr>
        <w:t>2</w:t>
      </w:r>
      <w:r w:rsidR="009913CC">
        <w:rPr>
          <w:rFonts w:ascii="Arial" w:hAnsi="Arial" w:cs="Arial"/>
        </w:rPr>
        <w:t>, que recoge las etapas tomadas como referencia</w:t>
      </w:r>
      <w:r w:rsidR="00B72758">
        <w:rPr>
          <w:rFonts w:ascii="Arial" w:hAnsi="Arial" w:cs="Arial"/>
        </w:rPr>
        <w:t xml:space="preserve"> del modelo</w:t>
      </w:r>
      <w:r w:rsidR="002417D8">
        <w:rPr>
          <w:rFonts w:ascii="Arial" w:hAnsi="Arial" w:cs="Arial"/>
        </w:rPr>
        <w:t xml:space="preserve"> </w:t>
      </w:r>
      <w:r w:rsidR="009460F0" w:rsidRPr="00F052BA">
        <w:rPr>
          <w:rFonts w:ascii="Arial" w:hAnsi="Arial" w:cs="Arial"/>
        </w:rPr>
        <w:t>desarrollado por Weele, A. J. van., 2018</w:t>
      </w:r>
      <w:r w:rsidR="009460F0">
        <w:rPr>
          <w:rFonts w:ascii="Arial" w:hAnsi="Arial" w:cs="Arial"/>
        </w:rPr>
        <w:t>.</w:t>
      </w:r>
    </w:p>
    <w:p w14:paraId="34E18626" w14:textId="5145CB6D" w:rsidR="00052E64" w:rsidRPr="003F7160" w:rsidRDefault="00052E64" w:rsidP="00705E36">
      <w:pPr>
        <w:ind w:right="140"/>
        <w:jc w:val="center"/>
        <w:rPr>
          <w:rFonts w:ascii="Arial" w:hAnsi="Arial" w:cs="Arial"/>
        </w:rPr>
      </w:pPr>
      <w:r w:rsidRPr="003F7160">
        <w:rPr>
          <w:rFonts w:ascii="Arial" w:hAnsi="Arial" w:cs="Arial"/>
          <w:b/>
          <w:bCs/>
        </w:rPr>
        <w:t>Tabl</w:t>
      </w:r>
      <w:r>
        <w:rPr>
          <w:rFonts w:ascii="Arial" w:hAnsi="Arial" w:cs="Arial"/>
          <w:b/>
          <w:bCs/>
        </w:rPr>
        <w:t>a</w:t>
      </w:r>
      <w:r w:rsidRPr="003F7160">
        <w:rPr>
          <w:rFonts w:ascii="Arial" w:hAnsi="Arial" w:cs="Arial"/>
          <w:b/>
          <w:bCs/>
        </w:rPr>
        <w:t xml:space="preserve">. </w:t>
      </w:r>
      <w:r w:rsidR="00353BF7">
        <w:rPr>
          <w:rFonts w:ascii="Arial" w:hAnsi="Arial" w:cs="Arial"/>
          <w:b/>
          <w:bCs/>
        </w:rPr>
        <w:t>2</w:t>
      </w:r>
      <w:r w:rsidRPr="003F7160">
        <w:rPr>
          <w:rFonts w:ascii="Arial" w:hAnsi="Arial" w:cs="Arial"/>
        </w:rPr>
        <w:t xml:space="preserve"> </w:t>
      </w:r>
      <w:r>
        <w:rPr>
          <w:rFonts w:ascii="Arial" w:hAnsi="Arial" w:cs="Arial"/>
        </w:rPr>
        <w:t>Madurez de la función de compras</w:t>
      </w:r>
    </w:p>
    <w:tbl>
      <w:tblPr>
        <w:tblW w:w="8500" w:type="dxa"/>
        <w:tblLayout w:type="fixed"/>
        <w:tblCellMar>
          <w:left w:w="70" w:type="dxa"/>
          <w:right w:w="70" w:type="dxa"/>
        </w:tblCellMar>
        <w:tblLook w:val="04A0" w:firstRow="1" w:lastRow="0" w:firstColumn="1" w:lastColumn="0" w:noHBand="0" w:noVBand="1"/>
      </w:tblPr>
      <w:tblGrid>
        <w:gridCol w:w="4531"/>
        <w:gridCol w:w="206"/>
        <w:gridCol w:w="2710"/>
        <w:gridCol w:w="189"/>
        <w:gridCol w:w="864"/>
      </w:tblGrid>
      <w:tr w:rsidR="00052E64" w:rsidRPr="00ED4C68" w14:paraId="307E80E0" w14:textId="77777777" w:rsidTr="00B0784D">
        <w:trPr>
          <w:trHeight w:val="397"/>
        </w:trPr>
        <w:tc>
          <w:tcPr>
            <w:tcW w:w="8500" w:type="dxa"/>
            <w:gridSpan w:val="5"/>
            <w:tcBorders>
              <w:top w:val="single" w:sz="4" w:space="0" w:color="auto"/>
              <w:left w:val="single" w:sz="4" w:space="0" w:color="auto"/>
              <w:bottom w:val="double" w:sz="6" w:space="0" w:color="auto"/>
              <w:right w:val="single" w:sz="4" w:space="0" w:color="auto"/>
            </w:tcBorders>
          </w:tcPr>
          <w:p w14:paraId="4AE4397E" w14:textId="77777777" w:rsidR="00052E64" w:rsidRPr="00ED4C68" w:rsidRDefault="00052E64" w:rsidP="00705E36">
            <w:pPr>
              <w:spacing w:after="0" w:line="240" w:lineRule="auto"/>
              <w:ind w:right="140"/>
              <w:jc w:val="center"/>
              <w:rPr>
                <w:rFonts w:ascii="Arial" w:eastAsia="Times New Roman" w:hAnsi="Arial" w:cs="Arial"/>
                <w:b/>
                <w:bCs/>
                <w:i/>
                <w:iCs/>
                <w:color w:val="000000"/>
                <w:lang w:eastAsia="es-ES"/>
              </w:rPr>
            </w:pPr>
            <w:r w:rsidRPr="00ED4C68">
              <w:rPr>
                <w:rFonts w:ascii="Arial" w:eastAsia="Times New Roman" w:hAnsi="Arial" w:cs="Arial"/>
                <w:b/>
                <w:bCs/>
                <w:i/>
                <w:iCs/>
                <w:color w:val="000000"/>
                <w:lang w:eastAsia="es-ES"/>
              </w:rPr>
              <w:t>Madurez de la función de compras - MPF</w:t>
            </w:r>
          </w:p>
        </w:tc>
      </w:tr>
      <w:tr w:rsidR="00DF46C0" w:rsidRPr="00BE2CF3" w14:paraId="4AA2E41A" w14:textId="77777777" w:rsidTr="00EF63AD">
        <w:trPr>
          <w:trHeight w:val="164"/>
        </w:trPr>
        <w:tc>
          <w:tcPr>
            <w:tcW w:w="4531" w:type="dxa"/>
            <w:tcBorders>
              <w:top w:val="nil"/>
              <w:left w:val="single" w:sz="4" w:space="0" w:color="auto"/>
              <w:bottom w:val="nil"/>
              <w:right w:val="nil"/>
            </w:tcBorders>
            <w:shd w:val="clear" w:color="auto" w:fill="auto"/>
            <w:noWrap/>
            <w:hideMark/>
          </w:tcPr>
          <w:p w14:paraId="0022CCA6" w14:textId="77777777" w:rsidR="00052E64" w:rsidRPr="00EA2EED" w:rsidRDefault="00052E64" w:rsidP="00705E36">
            <w:pPr>
              <w:spacing w:after="0" w:line="240" w:lineRule="auto"/>
              <w:ind w:right="140"/>
              <w:rPr>
                <w:rFonts w:ascii="Arial" w:eastAsia="Times New Roman" w:hAnsi="Arial" w:cs="Arial"/>
                <w:color w:val="000000"/>
                <w:sz w:val="20"/>
                <w:szCs w:val="20"/>
                <w:lang w:eastAsia="es-ES"/>
              </w:rPr>
            </w:pPr>
            <w:r w:rsidRPr="00EA2EED">
              <w:rPr>
                <w:rFonts w:ascii="Arial" w:eastAsia="Times New Roman" w:hAnsi="Arial" w:cs="Arial"/>
                <w:color w:val="000000"/>
                <w:sz w:val="20"/>
                <w:szCs w:val="20"/>
                <w:lang w:eastAsia="es-ES"/>
              </w:rPr>
              <w:t>Todos siguen comprando dentro de la empresa.</w:t>
            </w:r>
          </w:p>
        </w:tc>
        <w:tc>
          <w:tcPr>
            <w:tcW w:w="206" w:type="dxa"/>
            <w:tcBorders>
              <w:top w:val="nil"/>
              <w:left w:val="nil"/>
              <w:bottom w:val="nil"/>
            </w:tcBorders>
            <w:shd w:val="clear" w:color="auto" w:fill="auto"/>
            <w:noWrap/>
          </w:tcPr>
          <w:p w14:paraId="5211A36B" w14:textId="77777777" w:rsidR="00052E64" w:rsidRPr="00EA2EED" w:rsidRDefault="00052E64" w:rsidP="00705E36">
            <w:pPr>
              <w:spacing w:after="0" w:line="240" w:lineRule="auto"/>
              <w:ind w:right="140"/>
              <w:jc w:val="right"/>
              <w:rPr>
                <w:rFonts w:ascii="Arial" w:eastAsia="Times New Roman" w:hAnsi="Arial" w:cs="Arial"/>
                <w:color w:val="000000"/>
                <w:sz w:val="20"/>
                <w:szCs w:val="20"/>
                <w:lang w:eastAsia="es-ES"/>
              </w:rPr>
            </w:pPr>
          </w:p>
        </w:tc>
        <w:tc>
          <w:tcPr>
            <w:tcW w:w="2710" w:type="dxa"/>
            <w:tcBorders>
              <w:top w:val="single" w:sz="4" w:space="0" w:color="auto"/>
              <w:bottom w:val="nil"/>
            </w:tcBorders>
          </w:tcPr>
          <w:p w14:paraId="09B712AC" w14:textId="77777777" w:rsidR="00052E64" w:rsidRPr="00E069D2" w:rsidRDefault="00052E64" w:rsidP="00705E36">
            <w:pPr>
              <w:spacing w:after="0" w:line="240" w:lineRule="auto"/>
              <w:ind w:right="140"/>
              <w:rPr>
                <w:rFonts w:ascii="Arial" w:eastAsia="Times New Roman" w:hAnsi="Arial" w:cs="Arial"/>
                <w:color w:val="000000"/>
                <w:sz w:val="20"/>
                <w:szCs w:val="20"/>
                <w:lang w:eastAsia="es-ES"/>
              </w:rPr>
            </w:pPr>
            <w:r w:rsidRPr="00E069D2">
              <w:rPr>
                <w:rFonts w:ascii="Arial" w:eastAsia="Times New Roman" w:hAnsi="Arial" w:cs="Arial"/>
                <w:color w:val="000000"/>
                <w:sz w:val="20"/>
                <w:szCs w:val="20"/>
                <w:lang w:eastAsia="es-ES"/>
              </w:rPr>
              <w:t>1.- Orientación a transacción</w:t>
            </w:r>
          </w:p>
        </w:tc>
        <w:tc>
          <w:tcPr>
            <w:tcW w:w="189" w:type="dxa"/>
            <w:tcBorders>
              <w:top w:val="single" w:sz="4" w:space="0" w:color="auto"/>
              <w:bottom w:val="nil"/>
            </w:tcBorders>
          </w:tcPr>
          <w:p w14:paraId="4F540755" w14:textId="77777777" w:rsidR="00052E64" w:rsidRPr="00E069D2" w:rsidRDefault="00052E64" w:rsidP="00705E36">
            <w:pPr>
              <w:spacing w:after="0" w:line="240" w:lineRule="auto"/>
              <w:ind w:right="140"/>
              <w:jc w:val="center"/>
              <w:rPr>
                <w:rFonts w:ascii="Arial" w:eastAsia="Times New Roman" w:hAnsi="Arial" w:cs="Arial"/>
                <w:color w:val="000000"/>
                <w:sz w:val="20"/>
                <w:szCs w:val="20"/>
                <w:lang w:eastAsia="es-ES"/>
              </w:rPr>
            </w:pPr>
          </w:p>
        </w:tc>
        <w:tc>
          <w:tcPr>
            <w:tcW w:w="864" w:type="dxa"/>
            <w:tcBorders>
              <w:top w:val="single" w:sz="4" w:space="0" w:color="auto"/>
              <w:bottom w:val="nil"/>
              <w:right w:val="single" w:sz="4" w:space="0" w:color="auto"/>
            </w:tcBorders>
          </w:tcPr>
          <w:p w14:paraId="65AA2038" w14:textId="77777777" w:rsidR="00052E64" w:rsidRPr="00B701DB" w:rsidRDefault="00052E64" w:rsidP="00705E36">
            <w:pPr>
              <w:spacing w:after="0" w:line="240" w:lineRule="auto"/>
              <w:ind w:right="140"/>
              <w:rPr>
                <w:rFonts w:ascii="Arial" w:eastAsia="Times New Roman" w:hAnsi="Arial" w:cs="Arial"/>
                <w:color w:val="000000"/>
                <w:sz w:val="20"/>
                <w:szCs w:val="20"/>
                <w:lang w:eastAsia="es-ES"/>
              </w:rPr>
            </w:pPr>
            <w:r w:rsidRPr="00B701DB">
              <w:rPr>
                <w:rFonts w:ascii="Arial" w:eastAsia="Times New Roman" w:hAnsi="Arial" w:cs="Arial"/>
                <w:color w:val="000000"/>
                <w:sz w:val="20"/>
                <w:szCs w:val="20"/>
                <w:lang w:eastAsia="es-ES"/>
              </w:rPr>
              <w:t>MPF1</w:t>
            </w:r>
          </w:p>
        </w:tc>
      </w:tr>
      <w:tr w:rsidR="00052E64" w:rsidRPr="00BE2CF3" w14:paraId="5BCED020" w14:textId="77777777" w:rsidTr="00EF63AD">
        <w:trPr>
          <w:trHeight w:val="155"/>
        </w:trPr>
        <w:tc>
          <w:tcPr>
            <w:tcW w:w="4737" w:type="dxa"/>
            <w:gridSpan w:val="2"/>
            <w:tcBorders>
              <w:top w:val="nil"/>
              <w:left w:val="single" w:sz="4" w:space="0" w:color="auto"/>
              <w:bottom w:val="nil"/>
            </w:tcBorders>
            <w:shd w:val="clear" w:color="auto" w:fill="auto"/>
            <w:noWrap/>
            <w:hideMark/>
          </w:tcPr>
          <w:p w14:paraId="66159887" w14:textId="77777777" w:rsidR="00052E64" w:rsidRPr="00812FFC" w:rsidRDefault="00052E64" w:rsidP="00705E36">
            <w:pPr>
              <w:spacing w:after="0" w:line="240" w:lineRule="auto"/>
              <w:ind w:right="140"/>
              <w:rPr>
                <w:rFonts w:ascii="Arial" w:eastAsia="Times New Roman" w:hAnsi="Arial" w:cs="Arial"/>
                <w:color w:val="000000"/>
                <w:sz w:val="20"/>
                <w:szCs w:val="20"/>
                <w:lang w:eastAsia="es-ES"/>
              </w:rPr>
            </w:pPr>
            <w:r w:rsidRPr="00812FFC">
              <w:rPr>
                <w:rFonts w:ascii="Arial" w:eastAsia="Times New Roman" w:hAnsi="Arial" w:cs="Arial"/>
                <w:color w:val="000000"/>
                <w:sz w:val="20"/>
                <w:szCs w:val="20"/>
                <w:lang w:eastAsia="es-ES"/>
              </w:rPr>
              <w:t>El departamento de compras negocia precios, agrupa volúmenes, envía y hace un seguimiento de los pedidos.</w:t>
            </w:r>
          </w:p>
        </w:tc>
        <w:tc>
          <w:tcPr>
            <w:tcW w:w="2710" w:type="dxa"/>
            <w:tcBorders>
              <w:top w:val="nil"/>
              <w:bottom w:val="nil"/>
            </w:tcBorders>
          </w:tcPr>
          <w:p w14:paraId="65896023" w14:textId="77777777" w:rsidR="00052E64" w:rsidRPr="00B701DB" w:rsidRDefault="00052E64" w:rsidP="00705E36">
            <w:pPr>
              <w:spacing w:after="0" w:line="240" w:lineRule="auto"/>
              <w:ind w:right="140"/>
              <w:rPr>
                <w:rFonts w:ascii="Arial" w:eastAsia="Times New Roman" w:hAnsi="Arial" w:cs="Arial"/>
                <w:color w:val="000000"/>
                <w:sz w:val="20"/>
                <w:szCs w:val="20"/>
                <w:lang w:val="en-GB" w:eastAsia="es-ES"/>
              </w:rPr>
            </w:pPr>
            <w:r w:rsidRPr="00B701DB">
              <w:rPr>
                <w:rFonts w:ascii="Arial" w:eastAsia="Times New Roman" w:hAnsi="Arial" w:cs="Arial"/>
                <w:color w:val="000000"/>
                <w:sz w:val="20"/>
                <w:szCs w:val="20"/>
                <w:lang w:val="en-GB" w:eastAsia="es-ES"/>
              </w:rPr>
              <w:t xml:space="preserve">2.- </w:t>
            </w:r>
            <w:r>
              <w:rPr>
                <w:rFonts w:ascii="Arial" w:eastAsia="Times New Roman" w:hAnsi="Arial" w:cs="Arial"/>
                <w:color w:val="000000"/>
                <w:sz w:val="20"/>
                <w:szCs w:val="20"/>
                <w:lang w:val="en-GB" w:eastAsia="es-ES"/>
              </w:rPr>
              <w:t>Orientación comercial</w:t>
            </w:r>
          </w:p>
        </w:tc>
        <w:tc>
          <w:tcPr>
            <w:tcW w:w="189" w:type="dxa"/>
            <w:tcBorders>
              <w:top w:val="nil"/>
              <w:bottom w:val="nil"/>
            </w:tcBorders>
          </w:tcPr>
          <w:p w14:paraId="623A0A89" w14:textId="77777777" w:rsidR="00052E64" w:rsidRPr="00B701DB" w:rsidRDefault="00052E64" w:rsidP="00705E36">
            <w:pPr>
              <w:spacing w:after="0" w:line="240" w:lineRule="auto"/>
              <w:ind w:right="140"/>
              <w:jc w:val="center"/>
              <w:rPr>
                <w:rFonts w:ascii="Arial" w:eastAsia="Times New Roman" w:hAnsi="Arial" w:cs="Arial"/>
                <w:color w:val="000000"/>
                <w:sz w:val="20"/>
                <w:szCs w:val="20"/>
                <w:lang w:val="en-GB" w:eastAsia="es-ES"/>
              </w:rPr>
            </w:pPr>
          </w:p>
        </w:tc>
        <w:tc>
          <w:tcPr>
            <w:tcW w:w="864" w:type="dxa"/>
            <w:tcBorders>
              <w:top w:val="nil"/>
              <w:bottom w:val="nil"/>
              <w:right w:val="single" w:sz="4" w:space="0" w:color="auto"/>
            </w:tcBorders>
          </w:tcPr>
          <w:p w14:paraId="67B31238" w14:textId="77777777" w:rsidR="00052E64" w:rsidRPr="00B701DB" w:rsidRDefault="00052E64" w:rsidP="00705E36">
            <w:pPr>
              <w:spacing w:after="0" w:line="240" w:lineRule="auto"/>
              <w:ind w:right="140"/>
              <w:rPr>
                <w:rFonts w:ascii="Arial" w:eastAsia="Times New Roman" w:hAnsi="Arial" w:cs="Arial"/>
                <w:color w:val="000000"/>
                <w:sz w:val="20"/>
                <w:szCs w:val="20"/>
                <w:lang w:eastAsia="es-ES"/>
              </w:rPr>
            </w:pPr>
            <w:r w:rsidRPr="00B701DB">
              <w:rPr>
                <w:rFonts w:ascii="Arial" w:eastAsia="Times New Roman" w:hAnsi="Arial" w:cs="Arial"/>
                <w:color w:val="000000"/>
                <w:sz w:val="20"/>
                <w:szCs w:val="20"/>
                <w:lang w:eastAsia="es-ES"/>
              </w:rPr>
              <w:t>MPF2</w:t>
            </w:r>
          </w:p>
        </w:tc>
      </w:tr>
      <w:tr w:rsidR="00052E64" w:rsidRPr="00BE2CF3" w14:paraId="3017809A" w14:textId="77777777" w:rsidTr="00EF63AD">
        <w:trPr>
          <w:trHeight w:val="155"/>
        </w:trPr>
        <w:tc>
          <w:tcPr>
            <w:tcW w:w="4737" w:type="dxa"/>
            <w:gridSpan w:val="2"/>
            <w:tcBorders>
              <w:top w:val="nil"/>
              <w:left w:val="single" w:sz="4" w:space="0" w:color="auto"/>
              <w:bottom w:val="nil"/>
            </w:tcBorders>
            <w:shd w:val="clear" w:color="auto" w:fill="auto"/>
            <w:noWrap/>
            <w:hideMark/>
          </w:tcPr>
          <w:p w14:paraId="2813370A" w14:textId="77777777" w:rsidR="00052E64" w:rsidRPr="003B497F" w:rsidRDefault="00052E64" w:rsidP="00705E36">
            <w:pPr>
              <w:spacing w:after="0" w:line="240" w:lineRule="auto"/>
              <w:ind w:right="140"/>
              <w:rPr>
                <w:rFonts w:ascii="Arial" w:eastAsia="Times New Roman" w:hAnsi="Arial" w:cs="Arial"/>
                <w:color w:val="000000"/>
                <w:sz w:val="20"/>
                <w:szCs w:val="20"/>
                <w:lang w:eastAsia="es-ES"/>
              </w:rPr>
            </w:pPr>
            <w:r w:rsidRPr="003B497F">
              <w:rPr>
                <w:rFonts w:ascii="Arial" w:eastAsia="Times New Roman" w:hAnsi="Arial" w:cs="Arial"/>
                <w:color w:val="000000"/>
                <w:sz w:val="20"/>
                <w:szCs w:val="20"/>
                <w:lang w:eastAsia="es-ES"/>
              </w:rPr>
              <w:t>El departamento de compras es una función reconocida, con procesos y políticas implementados, pero aún hay margen para el desarrollo y la mejora</w:t>
            </w:r>
            <w:r>
              <w:rPr>
                <w:rFonts w:ascii="Arial" w:eastAsia="Times New Roman" w:hAnsi="Arial" w:cs="Arial"/>
                <w:color w:val="000000"/>
                <w:sz w:val="20"/>
                <w:szCs w:val="20"/>
                <w:lang w:eastAsia="es-ES"/>
              </w:rPr>
              <w:t>.</w:t>
            </w:r>
          </w:p>
        </w:tc>
        <w:tc>
          <w:tcPr>
            <w:tcW w:w="2710" w:type="dxa"/>
            <w:tcBorders>
              <w:top w:val="nil"/>
              <w:bottom w:val="nil"/>
            </w:tcBorders>
          </w:tcPr>
          <w:p w14:paraId="04334531" w14:textId="77777777" w:rsidR="00052E64" w:rsidRPr="00B701DB" w:rsidRDefault="00052E64" w:rsidP="00705E36">
            <w:pPr>
              <w:spacing w:after="0" w:line="240" w:lineRule="auto"/>
              <w:ind w:right="140"/>
              <w:rPr>
                <w:rFonts w:ascii="Arial" w:eastAsia="Times New Roman" w:hAnsi="Arial" w:cs="Arial"/>
                <w:color w:val="000000"/>
                <w:sz w:val="20"/>
                <w:szCs w:val="20"/>
                <w:lang w:val="en-GB" w:eastAsia="es-ES"/>
              </w:rPr>
            </w:pPr>
            <w:r w:rsidRPr="00B701DB">
              <w:rPr>
                <w:rFonts w:ascii="Arial" w:eastAsia="Times New Roman" w:hAnsi="Arial" w:cs="Arial"/>
                <w:color w:val="000000"/>
                <w:sz w:val="20"/>
                <w:szCs w:val="20"/>
                <w:lang w:val="en-GB" w:eastAsia="es-ES"/>
              </w:rPr>
              <w:t xml:space="preserve">3.- </w:t>
            </w:r>
            <w:r>
              <w:rPr>
                <w:rFonts w:ascii="Arial" w:eastAsia="Times New Roman" w:hAnsi="Arial" w:cs="Arial"/>
                <w:color w:val="000000"/>
                <w:sz w:val="20"/>
                <w:szCs w:val="20"/>
                <w:lang w:val="en-GB" w:eastAsia="es-ES"/>
              </w:rPr>
              <w:t>Compras coordinadas</w:t>
            </w:r>
          </w:p>
        </w:tc>
        <w:tc>
          <w:tcPr>
            <w:tcW w:w="189" w:type="dxa"/>
            <w:tcBorders>
              <w:top w:val="nil"/>
              <w:bottom w:val="nil"/>
            </w:tcBorders>
          </w:tcPr>
          <w:p w14:paraId="3DF21203" w14:textId="77777777" w:rsidR="00052E64" w:rsidRPr="00B701DB" w:rsidRDefault="00052E64" w:rsidP="00705E36">
            <w:pPr>
              <w:spacing w:after="0" w:line="240" w:lineRule="auto"/>
              <w:ind w:right="140"/>
              <w:jc w:val="center"/>
              <w:rPr>
                <w:rFonts w:ascii="Arial" w:eastAsia="Times New Roman" w:hAnsi="Arial" w:cs="Arial"/>
                <w:color w:val="000000"/>
                <w:sz w:val="20"/>
                <w:szCs w:val="20"/>
                <w:lang w:val="en-GB" w:eastAsia="es-ES"/>
              </w:rPr>
            </w:pPr>
          </w:p>
        </w:tc>
        <w:tc>
          <w:tcPr>
            <w:tcW w:w="864" w:type="dxa"/>
            <w:tcBorders>
              <w:top w:val="nil"/>
              <w:bottom w:val="nil"/>
              <w:right w:val="single" w:sz="4" w:space="0" w:color="auto"/>
            </w:tcBorders>
          </w:tcPr>
          <w:p w14:paraId="0AA9D330" w14:textId="77777777" w:rsidR="00052E64" w:rsidRPr="00B701DB" w:rsidRDefault="00052E64" w:rsidP="00705E36">
            <w:pPr>
              <w:spacing w:after="0" w:line="240" w:lineRule="auto"/>
              <w:ind w:right="140"/>
              <w:rPr>
                <w:rFonts w:ascii="Arial" w:eastAsia="Times New Roman" w:hAnsi="Arial" w:cs="Arial"/>
                <w:color w:val="000000"/>
                <w:sz w:val="20"/>
                <w:szCs w:val="20"/>
                <w:lang w:eastAsia="es-ES"/>
              </w:rPr>
            </w:pPr>
            <w:r w:rsidRPr="00B701DB">
              <w:rPr>
                <w:rFonts w:ascii="Arial" w:eastAsia="Times New Roman" w:hAnsi="Arial" w:cs="Arial"/>
                <w:color w:val="000000"/>
                <w:sz w:val="20"/>
                <w:szCs w:val="20"/>
                <w:lang w:eastAsia="es-ES"/>
              </w:rPr>
              <w:t>MPF3</w:t>
            </w:r>
          </w:p>
        </w:tc>
      </w:tr>
      <w:tr w:rsidR="00052E64" w:rsidRPr="00BE2CF3" w14:paraId="7CA2DDC3" w14:textId="77777777" w:rsidTr="00EF63AD">
        <w:trPr>
          <w:trHeight w:val="155"/>
        </w:trPr>
        <w:tc>
          <w:tcPr>
            <w:tcW w:w="4737" w:type="dxa"/>
            <w:gridSpan w:val="2"/>
            <w:tcBorders>
              <w:top w:val="nil"/>
              <w:left w:val="single" w:sz="4" w:space="0" w:color="auto"/>
              <w:bottom w:val="nil"/>
            </w:tcBorders>
            <w:shd w:val="clear" w:color="auto" w:fill="auto"/>
            <w:noWrap/>
            <w:hideMark/>
          </w:tcPr>
          <w:p w14:paraId="10AD5536" w14:textId="77777777" w:rsidR="00052E64" w:rsidRPr="008D3418" w:rsidRDefault="00052E64" w:rsidP="00705E36">
            <w:pPr>
              <w:spacing w:after="0" w:line="240" w:lineRule="auto"/>
              <w:ind w:right="140"/>
              <w:rPr>
                <w:rFonts w:ascii="Arial" w:eastAsia="Times New Roman" w:hAnsi="Arial" w:cs="Arial"/>
                <w:color w:val="000000"/>
                <w:sz w:val="20"/>
                <w:szCs w:val="20"/>
                <w:lang w:eastAsia="es-ES"/>
              </w:rPr>
            </w:pPr>
            <w:r w:rsidRPr="008D3418">
              <w:rPr>
                <w:rFonts w:ascii="Arial" w:eastAsia="Times New Roman" w:hAnsi="Arial" w:cs="Arial"/>
                <w:color w:val="000000"/>
                <w:sz w:val="20"/>
                <w:szCs w:val="20"/>
                <w:lang w:eastAsia="es-ES"/>
              </w:rPr>
              <w:t>El departamento de compras está plenamente establecido dentro de la empresa, aplicando la gestión de categorías y todo el alcance del gasto bajo su control. Con una gestión activa de las relaciones con los proveedores.</w:t>
            </w:r>
          </w:p>
        </w:tc>
        <w:tc>
          <w:tcPr>
            <w:tcW w:w="2710" w:type="dxa"/>
            <w:tcBorders>
              <w:top w:val="nil"/>
              <w:bottom w:val="nil"/>
            </w:tcBorders>
          </w:tcPr>
          <w:p w14:paraId="64AAB41C" w14:textId="77777777" w:rsidR="00052E64" w:rsidRPr="00B701DB" w:rsidRDefault="00052E64" w:rsidP="00705E36">
            <w:pPr>
              <w:spacing w:after="0" w:line="240" w:lineRule="auto"/>
              <w:ind w:right="140"/>
              <w:rPr>
                <w:rFonts w:ascii="Arial" w:eastAsia="Times New Roman" w:hAnsi="Arial" w:cs="Arial"/>
                <w:color w:val="000000"/>
                <w:sz w:val="20"/>
                <w:szCs w:val="20"/>
                <w:lang w:val="en-GB" w:eastAsia="es-ES"/>
              </w:rPr>
            </w:pPr>
            <w:r w:rsidRPr="00B701DB">
              <w:rPr>
                <w:rFonts w:ascii="Arial" w:eastAsia="Times New Roman" w:hAnsi="Arial" w:cs="Arial"/>
                <w:color w:val="000000"/>
                <w:sz w:val="20"/>
                <w:szCs w:val="20"/>
                <w:lang w:val="en-GB" w:eastAsia="es-ES"/>
              </w:rPr>
              <w:t xml:space="preserve">4.- </w:t>
            </w:r>
            <w:r>
              <w:rPr>
                <w:rFonts w:ascii="Arial" w:eastAsia="Times New Roman" w:hAnsi="Arial" w:cs="Arial"/>
                <w:color w:val="000000"/>
                <w:sz w:val="20"/>
                <w:szCs w:val="20"/>
                <w:lang w:val="en-GB" w:eastAsia="es-ES"/>
              </w:rPr>
              <w:t>Integración Interna</w:t>
            </w:r>
          </w:p>
        </w:tc>
        <w:tc>
          <w:tcPr>
            <w:tcW w:w="189" w:type="dxa"/>
            <w:tcBorders>
              <w:top w:val="nil"/>
              <w:bottom w:val="nil"/>
            </w:tcBorders>
          </w:tcPr>
          <w:p w14:paraId="03CC788F" w14:textId="77777777" w:rsidR="00052E64" w:rsidRPr="00B701DB" w:rsidRDefault="00052E64" w:rsidP="00705E36">
            <w:pPr>
              <w:spacing w:after="0" w:line="240" w:lineRule="auto"/>
              <w:ind w:right="140"/>
              <w:jc w:val="center"/>
              <w:rPr>
                <w:rFonts w:ascii="Arial" w:eastAsia="Times New Roman" w:hAnsi="Arial" w:cs="Arial"/>
                <w:color w:val="000000"/>
                <w:sz w:val="20"/>
                <w:szCs w:val="20"/>
                <w:lang w:val="en-GB" w:eastAsia="es-ES"/>
              </w:rPr>
            </w:pPr>
          </w:p>
        </w:tc>
        <w:tc>
          <w:tcPr>
            <w:tcW w:w="864" w:type="dxa"/>
            <w:tcBorders>
              <w:top w:val="nil"/>
              <w:bottom w:val="nil"/>
              <w:right w:val="single" w:sz="4" w:space="0" w:color="auto"/>
            </w:tcBorders>
          </w:tcPr>
          <w:p w14:paraId="5639A604" w14:textId="77777777" w:rsidR="00052E64" w:rsidRPr="00B701DB" w:rsidRDefault="00052E64" w:rsidP="00705E36">
            <w:pPr>
              <w:spacing w:after="0" w:line="240" w:lineRule="auto"/>
              <w:ind w:right="140"/>
              <w:rPr>
                <w:rFonts w:ascii="Arial" w:eastAsia="Times New Roman" w:hAnsi="Arial" w:cs="Arial"/>
                <w:color w:val="000000"/>
                <w:sz w:val="20"/>
                <w:szCs w:val="20"/>
                <w:lang w:eastAsia="es-ES"/>
              </w:rPr>
            </w:pPr>
            <w:r w:rsidRPr="00B701DB">
              <w:rPr>
                <w:rFonts w:ascii="Arial" w:eastAsia="Times New Roman" w:hAnsi="Arial" w:cs="Arial"/>
                <w:color w:val="000000"/>
                <w:sz w:val="20"/>
                <w:szCs w:val="20"/>
                <w:lang w:eastAsia="es-ES"/>
              </w:rPr>
              <w:t>MPF4</w:t>
            </w:r>
          </w:p>
        </w:tc>
      </w:tr>
      <w:tr w:rsidR="00052E64" w:rsidRPr="00BE2CF3" w14:paraId="3059EC4B" w14:textId="77777777" w:rsidTr="00EF63AD">
        <w:trPr>
          <w:trHeight w:val="155"/>
        </w:trPr>
        <w:tc>
          <w:tcPr>
            <w:tcW w:w="4737" w:type="dxa"/>
            <w:gridSpan w:val="2"/>
            <w:tcBorders>
              <w:top w:val="nil"/>
              <w:left w:val="single" w:sz="4" w:space="0" w:color="auto"/>
              <w:bottom w:val="single" w:sz="4" w:space="0" w:color="auto"/>
            </w:tcBorders>
            <w:shd w:val="clear" w:color="auto" w:fill="auto"/>
            <w:noWrap/>
            <w:hideMark/>
          </w:tcPr>
          <w:p w14:paraId="0F227AC7" w14:textId="77777777" w:rsidR="00052E64" w:rsidRPr="00E069D2" w:rsidRDefault="00052E64" w:rsidP="00705E36">
            <w:pPr>
              <w:spacing w:after="0" w:line="240" w:lineRule="auto"/>
              <w:ind w:right="140"/>
              <w:rPr>
                <w:rFonts w:ascii="Arial" w:eastAsia="Times New Roman" w:hAnsi="Arial" w:cs="Arial"/>
                <w:color w:val="000000"/>
                <w:sz w:val="20"/>
                <w:szCs w:val="20"/>
                <w:lang w:eastAsia="es-ES"/>
              </w:rPr>
            </w:pPr>
            <w:r w:rsidRPr="00E069D2">
              <w:rPr>
                <w:rFonts w:ascii="Arial" w:eastAsia="Times New Roman" w:hAnsi="Arial" w:cs="Arial"/>
                <w:color w:val="000000"/>
                <w:sz w:val="20"/>
                <w:szCs w:val="20"/>
                <w:lang w:eastAsia="es-ES"/>
              </w:rPr>
              <w:t>El departamento de compras es un socio comercial de la empresa, escuchado por la junta directiva. Aporta innovación y se incluye desde el principio en cualquier proyecto en el que pueda aportar valor.</w:t>
            </w:r>
          </w:p>
        </w:tc>
        <w:tc>
          <w:tcPr>
            <w:tcW w:w="2710" w:type="dxa"/>
            <w:tcBorders>
              <w:top w:val="nil"/>
              <w:bottom w:val="single" w:sz="4" w:space="0" w:color="auto"/>
            </w:tcBorders>
          </w:tcPr>
          <w:p w14:paraId="38CCDE5D" w14:textId="77777777" w:rsidR="00052E64" w:rsidRPr="00566650" w:rsidRDefault="00052E64" w:rsidP="00705E36">
            <w:pPr>
              <w:spacing w:after="0" w:line="240" w:lineRule="auto"/>
              <w:ind w:right="140"/>
              <w:rPr>
                <w:rFonts w:ascii="Arial" w:eastAsia="Times New Roman" w:hAnsi="Arial" w:cs="Arial"/>
                <w:color w:val="000000"/>
                <w:sz w:val="20"/>
                <w:szCs w:val="20"/>
                <w:lang w:eastAsia="es-ES"/>
              </w:rPr>
            </w:pPr>
            <w:r w:rsidRPr="00566650">
              <w:rPr>
                <w:rFonts w:ascii="Arial" w:eastAsia="Times New Roman" w:hAnsi="Arial" w:cs="Arial"/>
                <w:color w:val="000000"/>
                <w:sz w:val="20"/>
                <w:szCs w:val="20"/>
                <w:lang w:eastAsia="es-ES"/>
              </w:rPr>
              <w:t>5.- Integración Ex</w:t>
            </w:r>
            <w:r>
              <w:rPr>
                <w:rFonts w:ascii="Arial" w:eastAsia="Times New Roman" w:hAnsi="Arial" w:cs="Arial"/>
                <w:color w:val="000000"/>
                <w:sz w:val="20"/>
                <w:szCs w:val="20"/>
                <w:lang w:eastAsia="es-ES"/>
              </w:rPr>
              <w:t>t.</w:t>
            </w:r>
            <w:r w:rsidRPr="00566650">
              <w:rPr>
                <w:rFonts w:ascii="Arial" w:eastAsia="Times New Roman" w:hAnsi="Arial" w:cs="Arial"/>
                <w:color w:val="000000"/>
                <w:sz w:val="20"/>
                <w:szCs w:val="20"/>
                <w:lang w:eastAsia="es-ES"/>
              </w:rPr>
              <w:t xml:space="preserve"> </w:t>
            </w:r>
            <w:r>
              <w:rPr>
                <w:rFonts w:ascii="Arial" w:eastAsia="Times New Roman" w:hAnsi="Arial" w:cs="Arial"/>
                <w:color w:val="000000"/>
                <w:sz w:val="20"/>
                <w:szCs w:val="20"/>
                <w:lang w:eastAsia="es-ES"/>
              </w:rPr>
              <w:t xml:space="preserve">/ </w:t>
            </w:r>
            <w:r w:rsidRPr="00566650">
              <w:rPr>
                <w:rFonts w:ascii="Arial" w:eastAsia="Times New Roman" w:hAnsi="Arial" w:cs="Arial"/>
                <w:color w:val="000000"/>
                <w:sz w:val="20"/>
                <w:szCs w:val="20"/>
                <w:lang w:eastAsia="es-ES"/>
              </w:rPr>
              <w:t xml:space="preserve">6.- </w:t>
            </w:r>
            <w:r>
              <w:rPr>
                <w:rFonts w:ascii="Arial" w:eastAsia="Times New Roman" w:hAnsi="Arial" w:cs="Arial"/>
                <w:color w:val="000000"/>
                <w:sz w:val="20"/>
                <w:szCs w:val="20"/>
                <w:lang w:eastAsia="es-ES"/>
              </w:rPr>
              <w:t>Orientación a cadena de valor</w:t>
            </w:r>
          </w:p>
        </w:tc>
        <w:tc>
          <w:tcPr>
            <w:tcW w:w="189" w:type="dxa"/>
            <w:tcBorders>
              <w:top w:val="nil"/>
              <w:bottom w:val="single" w:sz="4" w:space="0" w:color="auto"/>
            </w:tcBorders>
          </w:tcPr>
          <w:p w14:paraId="267B66DC" w14:textId="77777777" w:rsidR="00052E64" w:rsidRPr="00566650" w:rsidRDefault="00052E64" w:rsidP="00705E36">
            <w:pPr>
              <w:spacing w:after="0" w:line="240" w:lineRule="auto"/>
              <w:ind w:right="140"/>
              <w:jc w:val="center"/>
              <w:rPr>
                <w:rFonts w:ascii="Arial" w:eastAsia="Times New Roman" w:hAnsi="Arial" w:cs="Arial"/>
                <w:color w:val="000000"/>
                <w:sz w:val="20"/>
                <w:szCs w:val="20"/>
                <w:lang w:eastAsia="es-ES"/>
              </w:rPr>
            </w:pPr>
          </w:p>
        </w:tc>
        <w:tc>
          <w:tcPr>
            <w:tcW w:w="864" w:type="dxa"/>
            <w:tcBorders>
              <w:top w:val="nil"/>
              <w:bottom w:val="single" w:sz="4" w:space="0" w:color="auto"/>
              <w:right w:val="single" w:sz="4" w:space="0" w:color="auto"/>
            </w:tcBorders>
          </w:tcPr>
          <w:p w14:paraId="6725CDED" w14:textId="77777777" w:rsidR="00052E64" w:rsidRPr="00B701DB" w:rsidRDefault="00052E64" w:rsidP="00705E36">
            <w:pPr>
              <w:spacing w:after="0" w:line="240" w:lineRule="auto"/>
              <w:ind w:right="140"/>
              <w:rPr>
                <w:rFonts w:ascii="Arial" w:eastAsia="Times New Roman" w:hAnsi="Arial" w:cs="Arial"/>
                <w:color w:val="000000"/>
                <w:sz w:val="20"/>
                <w:szCs w:val="20"/>
                <w:lang w:eastAsia="es-ES"/>
              </w:rPr>
            </w:pPr>
            <w:r w:rsidRPr="00B701DB">
              <w:rPr>
                <w:rFonts w:ascii="Arial" w:eastAsia="Times New Roman" w:hAnsi="Arial" w:cs="Arial"/>
                <w:color w:val="000000"/>
                <w:sz w:val="20"/>
                <w:szCs w:val="20"/>
                <w:lang w:eastAsia="es-ES"/>
              </w:rPr>
              <w:t>MPF5</w:t>
            </w:r>
          </w:p>
        </w:tc>
      </w:tr>
    </w:tbl>
    <w:p w14:paraId="3189E5C0" w14:textId="77777777" w:rsidR="00052E64" w:rsidRDefault="00052E64" w:rsidP="00705E36">
      <w:pPr>
        <w:ind w:right="140"/>
        <w:rPr>
          <w:rFonts w:ascii="Arial" w:hAnsi="Arial" w:cs="Arial"/>
          <w:lang w:val="en-GB"/>
        </w:rPr>
      </w:pPr>
    </w:p>
    <w:p w14:paraId="0D7001DC" w14:textId="33CADC6B" w:rsidR="003329F8" w:rsidRPr="00313080" w:rsidRDefault="00313080" w:rsidP="00705E36">
      <w:pPr>
        <w:ind w:right="140"/>
        <w:rPr>
          <w:rFonts w:ascii="Arial" w:hAnsi="Arial" w:cs="Arial"/>
        </w:rPr>
      </w:pPr>
      <w:r w:rsidRPr="00313080">
        <w:rPr>
          <w:rFonts w:ascii="Arial" w:hAnsi="Arial" w:cs="Arial"/>
        </w:rPr>
        <w:t xml:space="preserve">Para esta investigación, se utiliza únicamente el número de tipos de ahorros reconocidos dentro de las empresas, </w:t>
      </w:r>
      <w:r w:rsidR="00191BDF">
        <w:rPr>
          <w:rFonts w:ascii="Arial" w:hAnsi="Arial" w:cs="Arial"/>
        </w:rPr>
        <w:t xml:space="preserve">y no su valoración económica. Así se </w:t>
      </w:r>
      <w:r w:rsidRPr="00313080">
        <w:rPr>
          <w:rFonts w:ascii="Arial" w:hAnsi="Arial" w:cs="Arial"/>
        </w:rPr>
        <w:t xml:space="preserve">evita la </w:t>
      </w:r>
      <w:r w:rsidR="00CB166D">
        <w:rPr>
          <w:rFonts w:ascii="Arial" w:hAnsi="Arial" w:cs="Arial"/>
        </w:rPr>
        <w:t>ambigüedad</w:t>
      </w:r>
      <w:r w:rsidR="004076AB">
        <w:rPr>
          <w:rFonts w:ascii="Arial" w:hAnsi="Arial" w:cs="Arial"/>
        </w:rPr>
        <w:t xml:space="preserve"> de </w:t>
      </w:r>
      <w:r w:rsidR="00CB166D">
        <w:rPr>
          <w:rFonts w:ascii="Arial" w:hAnsi="Arial" w:cs="Arial"/>
        </w:rPr>
        <w:t>cada</w:t>
      </w:r>
      <w:r w:rsidR="004076AB">
        <w:rPr>
          <w:rFonts w:ascii="Arial" w:hAnsi="Arial" w:cs="Arial"/>
        </w:rPr>
        <w:t xml:space="preserve"> </w:t>
      </w:r>
      <w:r w:rsidRPr="00313080">
        <w:rPr>
          <w:rFonts w:ascii="Arial" w:hAnsi="Arial" w:cs="Arial"/>
        </w:rPr>
        <w:t xml:space="preserve">forma de cálculo </w:t>
      </w:r>
      <w:r w:rsidR="004076AB">
        <w:rPr>
          <w:rFonts w:ascii="Arial" w:hAnsi="Arial" w:cs="Arial"/>
        </w:rPr>
        <w:t xml:space="preserve">y se </w:t>
      </w:r>
      <w:r w:rsidRPr="00313080">
        <w:rPr>
          <w:rFonts w:ascii="Arial" w:hAnsi="Arial" w:cs="Arial"/>
        </w:rPr>
        <w:t>simplifica el análisis</w:t>
      </w:r>
      <w:r w:rsidR="00414AAD">
        <w:rPr>
          <w:rFonts w:ascii="Arial" w:hAnsi="Arial" w:cs="Arial"/>
        </w:rPr>
        <w:t>.</w:t>
      </w:r>
      <w:r w:rsidRPr="00313080">
        <w:rPr>
          <w:rFonts w:ascii="Arial" w:hAnsi="Arial" w:cs="Arial"/>
        </w:rPr>
        <w:t xml:space="preserve"> </w:t>
      </w:r>
      <w:r w:rsidR="00414AAD">
        <w:rPr>
          <w:rFonts w:ascii="Arial" w:hAnsi="Arial" w:cs="Arial"/>
        </w:rPr>
        <w:t>Y</w:t>
      </w:r>
      <w:r w:rsidRPr="00313080">
        <w:rPr>
          <w:rFonts w:ascii="Arial" w:hAnsi="Arial" w:cs="Arial"/>
        </w:rPr>
        <w:t xml:space="preserve">a que se considera que dicho cálculo no </w:t>
      </w:r>
      <w:r w:rsidR="009B0E8E">
        <w:rPr>
          <w:rFonts w:ascii="Arial" w:hAnsi="Arial" w:cs="Arial"/>
        </w:rPr>
        <w:t>aporta</w:t>
      </w:r>
      <w:r w:rsidRPr="00313080">
        <w:rPr>
          <w:rFonts w:ascii="Arial" w:hAnsi="Arial" w:cs="Arial"/>
        </w:rPr>
        <w:t xml:space="preserve"> información </w:t>
      </w:r>
      <w:r w:rsidR="00436890">
        <w:rPr>
          <w:rFonts w:ascii="Arial" w:hAnsi="Arial" w:cs="Arial"/>
        </w:rPr>
        <w:t>relevante</w:t>
      </w:r>
      <w:r w:rsidRPr="00313080">
        <w:rPr>
          <w:rFonts w:ascii="Arial" w:hAnsi="Arial" w:cs="Arial"/>
        </w:rPr>
        <w:t xml:space="preserve"> para esta investigación</w:t>
      </w:r>
      <w:r w:rsidR="00414AAD">
        <w:rPr>
          <w:rFonts w:ascii="Arial" w:hAnsi="Arial" w:cs="Arial"/>
        </w:rPr>
        <w:t xml:space="preserve">. No obstante, </w:t>
      </w:r>
      <w:r w:rsidR="00D92495">
        <w:rPr>
          <w:rFonts w:ascii="Arial" w:hAnsi="Arial" w:cs="Arial"/>
        </w:rPr>
        <w:t xml:space="preserve">para </w:t>
      </w:r>
      <w:r w:rsidR="00974B77">
        <w:rPr>
          <w:rFonts w:ascii="Arial" w:hAnsi="Arial" w:cs="Arial"/>
        </w:rPr>
        <w:t>mayor rigor</w:t>
      </w:r>
      <w:r w:rsidR="00CF631D">
        <w:rPr>
          <w:rFonts w:ascii="Arial" w:hAnsi="Arial" w:cs="Arial"/>
        </w:rPr>
        <w:t xml:space="preserve">, </w:t>
      </w:r>
      <w:r w:rsidRPr="00313080">
        <w:rPr>
          <w:rFonts w:ascii="Arial" w:hAnsi="Arial" w:cs="Arial"/>
        </w:rPr>
        <w:t xml:space="preserve">se incluye una pregunta de control </w:t>
      </w:r>
      <w:r w:rsidR="006245CF">
        <w:rPr>
          <w:rFonts w:ascii="Arial" w:hAnsi="Arial" w:cs="Arial"/>
        </w:rPr>
        <w:t>donde se consulta</w:t>
      </w:r>
      <w:r w:rsidRPr="00313080">
        <w:rPr>
          <w:rFonts w:ascii="Arial" w:hAnsi="Arial" w:cs="Arial"/>
        </w:rPr>
        <w:t xml:space="preserve"> </w:t>
      </w:r>
      <w:r w:rsidR="00411CA6">
        <w:rPr>
          <w:rFonts w:ascii="Arial" w:hAnsi="Arial" w:cs="Arial"/>
        </w:rPr>
        <w:t>si</w:t>
      </w:r>
      <w:r w:rsidRPr="00313080">
        <w:rPr>
          <w:rFonts w:ascii="Arial" w:hAnsi="Arial" w:cs="Arial"/>
        </w:rPr>
        <w:t xml:space="preserve"> </w:t>
      </w:r>
      <w:r w:rsidR="002E4965">
        <w:rPr>
          <w:rFonts w:ascii="Arial" w:hAnsi="Arial" w:cs="Arial"/>
        </w:rPr>
        <w:t>dichos</w:t>
      </w:r>
      <w:r w:rsidRPr="00313080">
        <w:rPr>
          <w:rFonts w:ascii="Arial" w:hAnsi="Arial" w:cs="Arial"/>
        </w:rPr>
        <w:t xml:space="preserve"> ahorros </w:t>
      </w:r>
      <w:r w:rsidR="002E4965">
        <w:rPr>
          <w:rFonts w:ascii="Arial" w:hAnsi="Arial" w:cs="Arial"/>
        </w:rPr>
        <w:t>se consideran</w:t>
      </w:r>
      <w:r w:rsidRPr="00313080">
        <w:rPr>
          <w:rFonts w:ascii="Arial" w:hAnsi="Arial" w:cs="Arial"/>
        </w:rPr>
        <w:t xml:space="preserve"> bien calculados.</w:t>
      </w:r>
      <w:r w:rsidR="003329F8" w:rsidRPr="00313080">
        <w:rPr>
          <w:rFonts w:ascii="Arial" w:hAnsi="Arial" w:cs="Arial"/>
        </w:rPr>
        <w:t xml:space="preserve"> </w:t>
      </w:r>
    </w:p>
    <w:p w14:paraId="0F09CDD0" w14:textId="43A3B806" w:rsidR="00970D90" w:rsidRDefault="00715D3C" w:rsidP="00705E36">
      <w:pPr>
        <w:ind w:right="140"/>
        <w:rPr>
          <w:rFonts w:ascii="Arial" w:hAnsi="Arial" w:cs="Arial"/>
        </w:rPr>
      </w:pPr>
      <w:r w:rsidRPr="00715D3C">
        <w:rPr>
          <w:rFonts w:ascii="Arial" w:hAnsi="Arial" w:cs="Arial"/>
        </w:rPr>
        <w:t xml:space="preserve">Se elaboró ​​una lista de tipos de ahorros, en la Tabla 3, que se incluyó en la encuesta para identificar cuáles de ellos son los más reconocidos dentro de las empresas. Al hacerlo, se observó que muchos de estos ahorros </w:t>
      </w:r>
      <w:r w:rsidR="00655BB3">
        <w:rPr>
          <w:rFonts w:ascii="Arial" w:hAnsi="Arial" w:cs="Arial"/>
        </w:rPr>
        <w:t>aceptados</w:t>
      </w:r>
      <w:r w:rsidRPr="00715D3C">
        <w:rPr>
          <w:rFonts w:ascii="Arial" w:hAnsi="Arial" w:cs="Arial"/>
        </w:rPr>
        <w:t xml:space="preserve"> pertenecían a ahorros </w:t>
      </w:r>
      <w:r w:rsidR="009002AE">
        <w:rPr>
          <w:rFonts w:ascii="Arial" w:hAnsi="Arial" w:cs="Arial"/>
        </w:rPr>
        <w:t>indirectos</w:t>
      </w:r>
      <w:r w:rsidRPr="00715D3C">
        <w:rPr>
          <w:rFonts w:ascii="Arial" w:hAnsi="Arial" w:cs="Arial"/>
        </w:rPr>
        <w:t xml:space="preserve">. Algo </w:t>
      </w:r>
      <w:r w:rsidR="00AB1EFF">
        <w:rPr>
          <w:rFonts w:ascii="Arial" w:hAnsi="Arial" w:cs="Arial"/>
        </w:rPr>
        <w:t>que restaba utilidad</w:t>
      </w:r>
      <w:r w:rsidRPr="00715D3C">
        <w:rPr>
          <w:rFonts w:ascii="Arial" w:hAnsi="Arial" w:cs="Arial"/>
        </w:rPr>
        <w:t xml:space="preserve"> </w:t>
      </w:r>
      <w:r w:rsidR="00B85F88">
        <w:rPr>
          <w:rFonts w:ascii="Arial" w:hAnsi="Arial" w:cs="Arial"/>
        </w:rPr>
        <w:t xml:space="preserve">al </w:t>
      </w:r>
      <w:r w:rsidRPr="00715D3C">
        <w:rPr>
          <w:rFonts w:ascii="Arial" w:hAnsi="Arial" w:cs="Arial"/>
        </w:rPr>
        <w:t xml:space="preserve">análisis, </w:t>
      </w:r>
      <w:r w:rsidR="005950BE">
        <w:rPr>
          <w:rFonts w:ascii="Arial" w:hAnsi="Arial" w:cs="Arial"/>
        </w:rPr>
        <w:t xml:space="preserve">por lo </w:t>
      </w:r>
      <w:r w:rsidR="009002AE">
        <w:rPr>
          <w:rFonts w:ascii="Arial" w:hAnsi="Arial" w:cs="Arial"/>
        </w:rPr>
        <w:t xml:space="preserve">que </w:t>
      </w:r>
      <w:r w:rsidR="005577CD">
        <w:rPr>
          <w:rFonts w:ascii="Arial" w:hAnsi="Arial" w:cs="Arial"/>
        </w:rPr>
        <w:t xml:space="preserve">con la base del </w:t>
      </w:r>
      <w:r w:rsidRPr="00715D3C">
        <w:rPr>
          <w:rFonts w:ascii="Arial" w:hAnsi="Arial" w:cs="Arial"/>
        </w:rPr>
        <w:t xml:space="preserve">marco teórico de la </w:t>
      </w:r>
      <w:r w:rsidR="009002AE">
        <w:rPr>
          <w:rFonts w:ascii="Arial" w:hAnsi="Arial" w:cs="Arial"/>
        </w:rPr>
        <w:t>teoría de los grupos de interés (SHT)</w:t>
      </w:r>
      <w:r w:rsidRPr="00715D3C">
        <w:rPr>
          <w:rFonts w:ascii="Arial" w:hAnsi="Arial" w:cs="Arial"/>
        </w:rPr>
        <w:t xml:space="preserve">, </w:t>
      </w:r>
      <w:r w:rsidR="006246EF">
        <w:rPr>
          <w:rFonts w:ascii="Arial" w:hAnsi="Arial" w:cs="Arial"/>
        </w:rPr>
        <w:t xml:space="preserve">se dividieron </w:t>
      </w:r>
      <w:r w:rsidRPr="00715D3C">
        <w:rPr>
          <w:rFonts w:ascii="Arial" w:hAnsi="Arial" w:cs="Arial"/>
        </w:rPr>
        <w:t xml:space="preserve">en dos subcategorías, ahorros </w:t>
      </w:r>
      <w:r w:rsidR="006246EF">
        <w:rPr>
          <w:rFonts w:ascii="Arial" w:hAnsi="Arial" w:cs="Arial"/>
        </w:rPr>
        <w:t>indi</w:t>
      </w:r>
      <w:r w:rsidR="0000446F">
        <w:rPr>
          <w:rFonts w:ascii="Arial" w:hAnsi="Arial" w:cs="Arial"/>
        </w:rPr>
        <w:t>rectos</w:t>
      </w:r>
      <w:r w:rsidRPr="00715D3C">
        <w:rPr>
          <w:rFonts w:ascii="Arial" w:hAnsi="Arial" w:cs="Arial"/>
        </w:rPr>
        <w:t>-</w:t>
      </w:r>
      <w:r w:rsidR="00366ABE">
        <w:rPr>
          <w:rFonts w:ascii="Arial" w:hAnsi="Arial" w:cs="Arial"/>
        </w:rPr>
        <w:t>simples</w:t>
      </w:r>
      <w:r w:rsidRPr="00715D3C">
        <w:rPr>
          <w:rFonts w:ascii="Arial" w:hAnsi="Arial" w:cs="Arial"/>
        </w:rPr>
        <w:t xml:space="preserve"> y ahorros </w:t>
      </w:r>
      <w:r w:rsidR="0000446F">
        <w:rPr>
          <w:rFonts w:ascii="Arial" w:hAnsi="Arial" w:cs="Arial"/>
        </w:rPr>
        <w:t>indirectos</w:t>
      </w:r>
      <w:r w:rsidRPr="00715D3C">
        <w:rPr>
          <w:rFonts w:ascii="Arial" w:hAnsi="Arial" w:cs="Arial"/>
        </w:rPr>
        <w:t>-complejos.</w:t>
      </w:r>
      <w:r w:rsidR="00970D90" w:rsidRPr="00715D3C">
        <w:rPr>
          <w:rFonts w:ascii="Arial" w:hAnsi="Arial" w:cs="Arial"/>
        </w:rPr>
        <w:t xml:space="preserve"> </w:t>
      </w:r>
    </w:p>
    <w:p w14:paraId="53851D9F" w14:textId="5EFF88C7" w:rsidR="009D1C6C" w:rsidRPr="008B7231" w:rsidRDefault="00173392" w:rsidP="00705E36">
      <w:pPr>
        <w:ind w:right="140"/>
        <w:rPr>
          <w:rFonts w:ascii="Arial" w:hAnsi="Arial" w:cs="Arial"/>
        </w:rPr>
      </w:pPr>
      <w:r>
        <w:rPr>
          <w:rFonts w:ascii="Arial" w:hAnsi="Arial" w:cs="Arial"/>
        </w:rPr>
        <w:t xml:space="preserve">La división se hizo </w:t>
      </w:r>
      <w:r w:rsidR="005F243D">
        <w:rPr>
          <w:rFonts w:ascii="Arial" w:hAnsi="Arial" w:cs="Arial"/>
        </w:rPr>
        <w:t>en base a las partes implicadas en</w:t>
      </w:r>
      <w:r w:rsidR="006124A3">
        <w:rPr>
          <w:rFonts w:ascii="Arial" w:hAnsi="Arial" w:cs="Arial"/>
        </w:rPr>
        <w:t xml:space="preserve"> la generación de estos ahorros. </w:t>
      </w:r>
      <w:r w:rsidR="007268F0" w:rsidRPr="007268F0">
        <w:rPr>
          <w:rFonts w:ascii="Arial" w:hAnsi="Arial" w:cs="Arial"/>
        </w:rPr>
        <w:t>Generalmente, en las compras corporativas</w:t>
      </w:r>
      <w:r w:rsidR="00004030">
        <w:rPr>
          <w:rFonts w:ascii="Arial" w:hAnsi="Arial" w:cs="Arial"/>
        </w:rPr>
        <w:t xml:space="preserve"> o de la administración pública</w:t>
      </w:r>
      <w:r w:rsidR="007268F0" w:rsidRPr="007268F0">
        <w:rPr>
          <w:rFonts w:ascii="Arial" w:hAnsi="Arial" w:cs="Arial"/>
        </w:rPr>
        <w:t>, al menos tres partes intervienen en cada transacción</w:t>
      </w:r>
      <w:r w:rsidR="00215127">
        <w:rPr>
          <w:rFonts w:ascii="Arial" w:hAnsi="Arial" w:cs="Arial"/>
        </w:rPr>
        <w:t xml:space="preserve"> de compras</w:t>
      </w:r>
      <w:r w:rsidR="007268F0" w:rsidRPr="007268F0">
        <w:rPr>
          <w:rFonts w:ascii="Arial" w:hAnsi="Arial" w:cs="Arial"/>
        </w:rPr>
        <w:t xml:space="preserve"> y por tanto en </w:t>
      </w:r>
      <w:r w:rsidR="006A17B4">
        <w:rPr>
          <w:rFonts w:ascii="Arial" w:hAnsi="Arial" w:cs="Arial"/>
        </w:rPr>
        <w:t>la</w:t>
      </w:r>
      <w:r w:rsidR="007268F0" w:rsidRPr="007268F0">
        <w:rPr>
          <w:rFonts w:ascii="Arial" w:hAnsi="Arial" w:cs="Arial"/>
        </w:rPr>
        <w:t xml:space="preserve"> potencial generación de ahorros</w:t>
      </w:r>
      <w:r w:rsidR="00215127">
        <w:rPr>
          <w:rFonts w:ascii="Arial" w:hAnsi="Arial" w:cs="Arial"/>
        </w:rPr>
        <w:t>. Estas partes son</w:t>
      </w:r>
      <w:r w:rsidR="007268F0" w:rsidRPr="007268F0">
        <w:rPr>
          <w:rFonts w:ascii="Arial" w:hAnsi="Arial" w:cs="Arial"/>
        </w:rPr>
        <w:t xml:space="preserve"> el proveedor, el responsable del presupuesto </w:t>
      </w:r>
      <w:r w:rsidR="009C4ABE">
        <w:rPr>
          <w:rFonts w:ascii="Arial" w:hAnsi="Arial" w:cs="Arial"/>
        </w:rPr>
        <w:t>o área demandante</w:t>
      </w:r>
      <w:r w:rsidR="007268F0" w:rsidRPr="007268F0">
        <w:rPr>
          <w:rFonts w:ascii="Arial" w:hAnsi="Arial" w:cs="Arial"/>
        </w:rPr>
        <w:t xml:space="preserve"> y la función PSM.</w:t>
      </w:r>
      <w:r w:rsidR="009D1C6C" w:rsidRPr="003D32DB">
        <w:rPr>
          <w:rFonts w:ascii="Arial" w:hAnsi="Arial" w:cs="Arial"/>
        </w:rPr>
        <w:t xml:space="preserve"> </w:t>
      </w:r>
      <w:r w:rsidR="008B7231" w:rsidRPr="008B7231">
        <w:rPr>
          <w:rFonts w:ascii="Arial" w:hAnsi="Arial" w:cs="Arial"/>
        </w:rPr>
        <w:t>Sin embargo, en proyectos más complejos es común necesitar más partes involucradas, como en el desarrollo de nuevos productos (NPD), en proyectos de construcción o en actividades de mantenimiento, reparaciones y operaciones, donde a menudo se necesita un apoyo técnico y legal adicional.</w:t>
      </w:r>
      <w:r w:rsidR="009D1C6C" w:rsidRPr="008B7231">
        <w:rPr>
          <w:rFonts w:ascii="Arial" w:hAnsi="Arial" w:cs="Arial"/>
        </w:rPr>
        <w:t xml:space="preserve"> </w:t>
      </w:r>
    </w:p>
    <w:p w14:paraId="34CE48A9" w14:textId="7F698D43" w:rsidR="009D1C6C" w:rsidRDefault="00461368" w:rsidP="00705E36">
      <w:pPr>
        <w:ind w:right="140"/>
        <w:rPr>
          <w:rFonts w:ascii="Arial" w:hAnsi="Arial" w:cs="Arial"/>
        </w:rPr>
      </w:pPr>
      <w:r>
        <w:rPr>
          <w:rFonts w:ascii="Arial" w:hAnsi="Arial" w:cs="Arial"/>
        </w:rPr>
        <w:t xml:space="preserve">Son </w:t>
      </w:r>
      <w:r w:rsidR="00F212BA" w:rsidRPr="00F212BA">
        <w:rPr>
          <w:rFonts w:ascii="Arial" w:hAnsi="Arial" w:cs="Arial"/>
        </w:rPr>
        <w:t xml:space="preserve">estas tres partes </w:t>
      </w:r>
      <w:r w:rsidR="00F548CD">
        <w:rPr>
          <w:rFonts w:ascii="Arial" w:hAnsi="Arial" w:cs="Arial"/>
        </w:rPr>
        <w:t xml:space="preserve">el </w:t>
      </w:r>
      <w:r w:rsidR="00F212BA" w:rsidRPr="00F212BA">
        <w:rPr>
          <w:rFonts w:ascii="Arial" w:hAnsi="Arial" w:cs="Arial"/>
        </w:rPr>
        <w:t xml:space="preserve">límite </w:t>
      </w:r>
      <w:r w:rsidR="00FA1192">
        <w:rPr>
          <w:rFonts w:ascii="Arial" w:hAnsi="Arial" w:cs="Arial"/>
        </w:rPr>
        <w:t xml:space="preserve">para dividir los </w:t>
      </w:r>
      <w:r w:rsidR="00F212BA" w:rsidRPr="00F212BA">
        <w:rPr>
          <w:rFonts w:ascii="Arial" w:hAnsi="Arial" w:cs="Arial"/>
        </w:rPr>
        <w:t xml:space="preserve">ahorros </w:t>
      </w:r>
      <w:r w:rsidR="00AA52C7">
        <w:rPr>
          <w:rFonts w:ascii="Arial" w:hAnsi="Arial" w:cs="Arial"/>
        </w:rPr>
        <w:t>indirectos</w:t>
      </w:r>
      <w:r w:rsidR="00F212BA" w:rsidRPr="00F212BA">
        <w:rPr>
          <w:rFonts w:ascii="Arial" w:hAnsi="Arial" w:cs="Arial"/>
        </w:rPr>
        <w:t xml:space="preserve">. </w:t>
      </w:r>
      <w:r w:rsidR="00932085">
        <w:rPr>
          <w:rFonts w:ascii="Arial" w:hAnsi="Arial" w:cs="Arial"/>
        </w:rPr>
        <w:t>cuando</w:t>
      </w:r>
      <w:r w:rsidR="00F212BA" w:rsidRPr="00F212BA">
        <w:rPr>
          <w:rFonts w:ascii="Arial" w:hAnsi="Arial" w:cs="Arial"/>
        </w:rPr>
        <w:t xml:space="preserve"> solo </w:t>
      </w:r>
      <w:r w:rsidR="00B302A0">
        <w:rPr>
          <w:rFonts w:ascii="Arial" w:hAnsi="Arial" w:cs="Arial"/>
        </w:rPr>
        <w:t>esas</w:t>
      </w:r>
      <w:r w:rsidR="00F212BA" w:rsidRPr="00F212BA">
        <w:rPr>
          <w:rFonts w:ascii="Arial" w:hAnsi="Arial" w:cs="Arial"/>
        </w:rPr>
        <w:t xml:space="preserve"> tres partes intervienen en el proceso de compra, se trataría de ahorros </w:t>
      </w:r>
      <w:r w:rsidR="00FA1192">
        <w:rPr>
          <w:rFonts w:ascii="Arial" w:hAnsi="Arial" w:cs="Arial"/>
        </w:rPr>
        <w:t>indirectos simples</w:t>
      </w:r>
      <w:r w:rsidR="00F212BA" w:rsidRPr="00F212BA">
        <w:rPr>
          <w:rFonts w:ascii="Arial" w:hAnsi="Arial" w:cs="Arial"/>
        </w:rPr>
        <w:t xml:space="preserve">. Por el contrario, si se necesitan más de </w:t>
      </w:r>
      <w:r w:rsidR="00052C23">
        <w:rPr>
          <w:rFonts w:ascii="Arial" w:hAnsi="Arial" w:cs="Arial"/>
        </w:rPr>
        <w:t>esas</w:t>
      </w:r>
      <w:r w:rsidR="00F212BA" w:rsidRPr="00F212BA">
        <w:rPr>
          <w:rFonts w:ascii="Arial" w:hAnsi="Arial" w:cs="Arial"/>
        </w:rPr>
        <w:t xml:space="preserve"> tres partes,</w:t>
      </w:r>
      <w:r w:rsidR="00052C23">
        <w:rPr>
          <w:rFonts w:ascii="Arial" w:hAnsi="Arial" w:cs="Arial"/>
        </w:rPr>
        <w:t xml:space="preserve"> por necesidad de apoyo técnico o legal,</w:t>
      </w:r>
      <w:r w:rsidR="00F212BA" w:rsidRPr="00F212BA">
        <w:rPr>
          <w:rFonts w:ascii="Arial" w:hAnsi="Arial" w:cs="Arial"/>
        </w:rPr>
        <w:t xml:space="preserve"> se trataría de ahorros </w:t>
      </w:r>
      <w:r w:rsidR="00C71A9B">
        <w:rPr>
          <w:rFonts w:ascii="Arial" w:hAnsi="Arial" w:cs="Arial"/>
        </w:rPr>
        <w:t>indirectos complejos</w:t>
      </w:r>
      <w:r w:rsidR="00F212BA" w:rsidRPr="00F212BA">
        <w:rPr>
          <w:rFonts w:ascii="Arial" w:hAnsi="Arial" w:cs="Arial"/>
        </w:rPr>
        <w:t>.</w:t>
      </w:r>
    </w:p>
    <w:p w14:paraId="6C98556C" w14:textId="36D00AE9" w:rsidR="004E3535" w:rsidRDefault="006724B4" w:rsidP="00705E36">
      <w:pPr>
        <w:ind w:right="140"/>
        <w:rPr>
          <w:rFonts w:ascii="Arial" w:hAnsi="Arial" w:cs="Arial"/>
        </w:rPr>
      </w:pPr>
      <w:r>
        <w:rPr>
          <w:rFonts w:ascii="Arial" w:hAnsi="Arial" w:cs="Arial"/>
        </w:rPr>
        <w:t xml:space="preserve">Como puede verse en la </w:t>
      </w:r>
      <w:r w:rsidR="000A46F6">
        <w:rPr>
          <w:rFonts w:ascii="Arial" w:hAnsi="Arial" w:cs="Arial"/>
        </w:rPr>
        <w:t>siguiente tabla, c</w:t>
      </w:r>
      <w:r w:rsidR="00C025DB" w:rsidRPr="00C025DB">
        <w:rPr>
          <w:rFonts w:ascii="Arial" w:hAnsi="Arial" w:cs="Arial"/>
        </w:rPr>
        <w:t xml:space="preserve">ada TS se clasificó </w:t>
      </w:r>
      <w:r w:rsidR="000A46F6">
        <w:rPr>
          <w:rFonts w:ascii="Arial" w:hAnsi="Arial" w:cs="Arial"/>
        </w:rPr>
        <w:t>dentro</w:t>
      </w:r>
      <w:r w:rsidR="00C025DB" w:rsidRPr="00C025DB">
        <w:rPr>
          <w:rFonts w:ascii="Arial" w:hAnsi="Arial" w:cs="Arial"/>
        </w:rPr>
        <w:t xml:space="preserve"> </w:t>
      </w:r>
      <w:r w:rsidR="000A46F6">
        <w:rPr>
          <w:rFonts w:ascii="Arial" w:hAnsi="Arial" w:cs="Arial"/>
        </w:rPr>
        <w:t xml:space="preserve">de una </w:t>
      </w:r>
      <w:r w:rsidR="00C025DB" w:rsidRPr="00C025DB">
        <w:rPr>
          <w:rFonts w:ascii="Arial" w:hAnsi="Arial" w:cs="Arial"/>
        </w:rPr>
        <w:t xml:space="preserve">subcategoría “ahorro </w:t>
      </w:r>
      <w:r w:rsidR="009526D6">
        <w:rPr>
          <w:rFonts w:ascii="Arial" w:hAnsi="Arial" w:cs="Arial"/>
        </w:rPr>
        <w:t>directo</w:t>
      </w:r>
      <w:r w:rsidR="00C025DB" w:rsidRPr="00C025DB">
        <w:rPr>
          <w:rFonts w:ascii="Arial" w:hAnsi="Arial" w:cs="Arial"/>
        </w:rPr>
        <w:t>”, “</w:t>
      </w:r>
      <w:r w:rsidR="008D7323">
        <w:rPr>
          <w:rFonts w:ascii="Arial" w:hAnsi="Arial" w:cs="Arial"/>
        </w:rPr>
        <w:t>coste evitado</w:t>
      </w:r>
      <w:r w:rsidR="00C025DB" w:rsidRPr="00C025DB">
        <w:rPr>
          <w:rFonts w:ascii="Arial" w:hAnsi="Arial" w:cs="Arial"/>
        </w:rPr>
        <w:t xml:space="preserve">”, “ahorro </w:t>
      </w:r>
      <w:r w:rsidR="00FF60E8">
        <w:rPr>
          <w:rFonts w:ascii="Arial" w:hAnsi="Arial" w:cs="Arial"/>
        </w:rPr>
        <w:t>indirecto simple</w:t>
      </w:r>
      <w:r w:rsidR="00C025DB" w:rsidRPr="00C025DB">
        <w:rPr>
          <w:rFonts w:ascii="Arial" w:hAnsi="Arial" w:cs="Arial"/>
        </w:rPr>
        <w:t>” y “</w:t>
      </w:r>
      <w:r w:rsidR="00FF60E8">
        <w:rPr>
          <w:rFonts w:ascii="Arial" w:hAnsi="Arial" w:cs="Arial"/>
        </w:rPr>
        <w:t xml:space="preserve">ahorro indirecto </w:t>
      </w:r>
      <w:r w:rsidR="00C025DB" w:rsidRPr="00C025DB">
        <w:rPr>
          <w:rFonts w:ascii="Arial" w:hAnsi="Arial" w:cs="Arial"/>
        </w:rPr>
        <w:t xml:space="preserve">complejo”. </w:t>
      </w:r>
      <w:r w:rsidR="00C025DB" w:rsidRPr="009526D6">
        <w:rPr>
          <w:rFonts w:ascii="Arial" w:hAnsi="Arial" w:cs="Arial"/>
        </w:rPr>
        <w:t>Tabla 3.</w:t>
      </w:r>
    </w:p>
    <w:p w14:paraId="125DA0C2" w14:textId="77777777" w:rsidR="00C741DF" w:rsidRPr="009526D6" w:rsidRDefault="00C741DF" w:rsidP="00705E36">
      <w:pPr>
        <w:ind w:right="140"/>
        <w:rPr>
          <w:rFonts w:ascii="Arial" w:hAnsi="Arial" w:cs="Arial"/>
        </w:rPr>
      </w:pPr>
    </w:p>
    <w:p w14:paraId="06296647" w14:textId="2DE8FC76" w:rsidR="00970D90" w:rsidRPr="009526D6" w:rsidRDefault="00970D90" w:rsidP="00705E36">
      <w:pPr>
        <w:ind w:right="140"/>
        <w:jc w:val="center"/>
        <w:rPr>
          <w:rFonts w:ascii="Arial" w:hAnsi="Arial" w:cs="Arial"/>
        </w:rPr>
      </w:pPr>
      <w:r w:rsidRPr="009526D6">
        <w:rPr>
          <w:rFonts w:ascii="Arial" w:hAnsi="Arial" w:cs="Arial"/>
          <w:b/>
          <w:bCs/>
        </w:rPr>
        <w:t>Tabl</w:t>
      </w:r>
      <w:r w:rsidR="0000446F" w:rsidRPr="009526D6">
        <w:rPr>
          <w:rFonts w:ascii="Arial" w:hAnsi="Arial" w:cs="Arial"/>
          <w:b/>
          <w:bCs/>
        </w:rPr>
        <w:t>a</w:t>
      </w:r>
      <w:r w:rsidRPr="009526D6">
        <w:rPr>
          <w:rFonts w:ascii="Arial" w:hAnsi="Arial" w:cs="Arial"/>
          <w:b/>
          <w:bCs/>
        </w:rPr>
        <w:t xml:space="preserve">. </w:t>
      </w:r>
      <w:r w:rsidR="00B8546C" w:rsidRPr="009526D6">
        <w:rPr>
          <w:rFonts w:ascii="Arial" w:hAnsi="Arial" w:cs="Arial"/>
          <w:b/>
          <w:bCs/>
        </w:rPr>
        <w:t>3</w:t>
      </w:r>
      <w:r w:rsidRPr="009526D6">
        <w:rPr>
          <w:rFonts w:ascii="Arial" w:hAnsi="Arial" w:cs="Arial"/>
        </w:rPr>
        <w:t xml:space="preserve"> </w:t>
      </w:r>
      <w:r w:rsidR="0000446F" w:rsidRPr="009526D6">
        <w:rPr>
          <w:rFonts w:ascii="Arial" w:hAnsi="Arial" w:cs="Arial"/>
        </w:rPr>
        <w:t>Tipos de ahorros</w:t>
      </w:r>
    </w:p>
    <w:tbl>
      <w:tblPr>
        <w:tblW w:w="8473" w:type="dxa"/>
        <w:jc w:val="center"/>
        <w:tblLayout w:type="fixed"/>
        <w:tblCellMar>
          <w:left w:w="70" w:type="dxa"/>
          <w:right w:w="70" w:type="dxa"/>
        </w:tblCellMar>
        <w:tblLook w:val="04A0" w:firstRow="1" w:lastRow="0" w:firstColumn="1" w:lastColumn="0" w:noHBand="0" w:noVBand="1"/>
      </w:tblPr>
      <w:tblGrid>
        <w:gridCol w:w="5333"/>
        <w:gridCol w:w="2317"/>
        <w:gridCol w:w="823"/>
      </w:tblGrid>
      <w:tr w:rsidR="00970D90" w:rsidRPr="00040EDE" w14:paraId="6C02A5F3" w14:textId="77777777" w:rsidTr="00DF46C0">
        <w:trPr>
          <w:trHeight w:val="500"/>
          <w:jc w:val="center"/>
        </w:trPr>
        <w:tc>
          <w:tcPr>
            <w:tcW w:w="8473" w:type="dxa"/>
            <w:gridSpan w:val="3"/>
            <w:tcBorders>
              <w:top w:val="single" w:sz="4" w:space="0" w:color="auto"/>
              <w:left w:val="single" w:sz="4" w:space="0" w:color="auto"/>
              <w:bottom w:val="double" w:sz="6" w:space="0" w:color="auto"/>
              <w:right w:val="single" w:sz="4" w:space="0" w:color="000000"/>
            </w:tcBorders>
          </w:tcPr>
          <w:p w14:paraId="7D4570BB" w14:textId="286F44A0" w:rsidR="00970D90" w:rsidRPr="0000446F" w:rsidRDefault="0000446F" w:rsidP="00487A1B">
            <w:pPr>
              <w:spacing w:after="0" w:line="276" w:lineRule="auto"/>
              <w:ind w:right="142"/>
              <w:jc w:val="center"/>
              <w:rPr>
                <w:rFonts w:ascii="Arial" w:eastAsia="Times New Roman" w:hAnsi="Arial" w:cs="Arial"/>
                <w:b/>
                <w:bCs/>
                <w:i/>
                <w:iCs/>
                <w:color w:val="000000"/>
                <w:lang w:val="en-GB" w:eastAsia="es-ES"/>
              </w:rPr>
            </w:pPr>
            <w:r w:rsidRPr="0000446F">
              <w:rPr>
                <w:rFonts w:ascii="Arial" w:eastAsia="Times New Roman" w:hAnsi="Arial" w:cs="Arial"/>
                <w:b/>
                <w:bCs/>
                <w:i/>
                <w:iCs/>
                <w:color w:val="000000"/>
                <w:lang w:val="en-GB" w:eastAsia="es-ES"/>
              </w:rPr>
              <w:t>Tipos de ahorros –</w:t>
            </w:r>
            <w:r w:rsidR="00970D90" w:rsidRPr="0000446F">
              <w:rPr>
                <w:rFonts w:ascii="Arial" w:eastAsia="Times New Roman" w:hAnsi="Arial" w:cs="Arial"/>
                <w:b/>
                <w:bCs/>
                <w:i/>
                <w:iCs/>
                <w:color w:val="000000"/>
                <w:lang w:val="en-GB" w:eastAsia="es-ES"/>
              </w:rPr>
              <w:t xml:space="preserve"> TS</w:t>
            </w:r>
            <w:r w:rsidRPr="0000446F">
              <w:rPr>
                <w:rFonts w:ascii="Arial" w:eastAsia="Times New Roman" w:hAnsi="Arial" w:cs="Arial"/>
                <w:b/>
                <w:bCs/>
                <w:i/>
                <w:iCs/>
                <w:color w:val="000000"/>
                <w:lang w:val="en-GB" w:eastAsia="es-ES"/>
              </w:rPr>
              <w:t xml:space="preserve"> (Types of Savings</w:t>
            </w:r>
            <w:r>
              <w:rPr>
                <w:rFonts w:ascii="Arial" w:eastAsia="Times New Roman" w:hAnsi="Arial" w:cs="Arial"/>
                <w:b/>
                <w:bCs/>
                <w:i/>
                <w:iCs/>
                <w:color w:val="000000"/>
                <w:lang w:val="en-GB" w:eastAsia="es-ES"/>
              </w:rPr>
              <w:t>)</w:t>
            </w:r>
          </w:p>
        </w:tc>
      </w:tr>
      <w:tr w:rsidR="00970D90" w:rsidRPr="00BE2CF3" w14:paraId="5D9018A9" w14:textId="77777777" w:rsidTr="004005DA">
        <w:trPr>
          <w:trHeight w:val="208"/>
          <w:jc w:val="center"/>
        </w:trPr>
        <w:tc>
          <w:tcPr>
            <w:tcW w:w="5333" w:type="dxa"/>
            <w:tcBorders>
              <w:top w:val="nil"/>
              <w:left w:val="single" w:sz="4" w:space="0" w:color="auto"/>
              <w:bottom w:val="nil"/>
              <w:right w:val="nil"/>
            </w:tcBorders>
            <w:shd w:val="clear" w:color="auto" w:fill="auto"/>
            <w:hideMark/>
          </w:tcPr>
          <w:p w14:paraId="3CA54A66" w14:textId="4A39BF79" w:rsidR="00970D90" w:rsidRPr="002018D4" w:rsidRDefault="002018D4" w:rsidP="00705E36">
            <w:pPr>
              <w:spacing w:after="0" w:line="240" w:lineRule="auto"/>
              <w:ind w:right="140"/>
              <w:rPr>
                <w:rFonts w:ascii="Arial" w:eastAsia="Times New Roman" w:hAnsi="Arial" w:cs="Arial"/>
                <w:color w:val="000000"/>
                <w:lang w:eastAsia="es-ES"/>
              </w:rPr>
            </w:pPr>
            <w:r w:rsidRPr="002018D4">
              <w:rPr>
                <w:rFonts w:ascii="Arial" w:eastAsia="Courier New" w:hAnsi="Arial" w:cs="Arial"/>
                <w:color w:val="000000"/>
                <w:lang w:eastAsia="es-ES"/>
              </w:rPr>
              <w:t>Debido a la reducción de precios</w:t>
            </w:r>
            <w:r>
              <w:rPr>
                <w:rFonts w:ascii="Arial" w:eastAsia="Courier New" w:hAnsi="Arial" w:cs="Arial"/>
                <w:color w:val="000000"/>
                <w:lang w:eastAsia="es-ES"/>
              </w:rPr>
              <w:t>.</w:t>
            </w:r>
            <w:r w:rsidRPr="002018D4">
              <w:rPr>
                <w:rFonts w:ascii="Arial" w:eastAsia="Courier New" w:hAnsi="Arial" w:cs="Arial"/>
                <w:color w:val="000000"/>
                <w:lang w:eastAsia="es-ES"/>
              </w:rPr>
              <w:t xml:space="preserve"> </w:t>
            </w:r>
            <w:r>
              <w:rPr>
                <w:rFonts w:ascii="Arial" w:eastAsia="Courier New" w:hAnsi="Arial" w:cs="Arial"/>
                <w:color w:val="000000"/>
                <w:lang w:eastAsia="es-ES"/>
              </w:rPr>
              <w:t>P</w:t>
            </w:r>
            <w:r w:rsidRPr="002018D4">
              <w:rPr>
                <w:rFonts w:ascii="Arial" w:eastAsia="Courier New" w:hAnsi="Arial" w:cs="Arial"/>
                <w:color w:val="000000"/>
                <w:lang w:eastAsia="es-ES"/>
              </w:rPr>
              <w:t>recios de compra más bajos.</w:t>
            </w:r>
          </w:p>
        </w:tc>
        <w:tc>
          <w:tcPr>
            <w:tcW w:w="2317" w:type="dxa"/>
            <w:tcBorders>
              <w:top w:val="nil"/>
              <w:left w:val="nil"/>
              <w:bottom w:val="nil"/>
              <w:right w:val="nil"/>
            </w:tcBorders>
          </w:tcPr>
          <w:p w14:paraId="2C23ECEB" w14:textId="141C50FD" w:rsidR="00970D90" w:rsidRPr="00BE2CF3" w:rsidRDefault="00CC6FFE" w:rsidP="00705E36">
            <w:pPr>
              <w:spacing w:after="0" w:line="240" w:lineRule="auto"/>
              <w:ind w:right="140"/>
              <w:rPr>
                <w:rFonts w:ascii="Arial" w:eastAsia="Times New Roman" w:hAnsi="Arial" w:cs="Arial"/>
                <w:color w:val="000000"/>
                <w:lang w:eastAsia="es-ES"/>
              </w:rPr>
            </w:pPr>
            <w:r>
              <w:rPr>
                <w:rFonts w:ascii="Arial" w:eastAsia="Courier New" w:hAnsi="Arial" w:cs="Arial"/>
                <w:color w:val="000000"/>
                <w:lang w:val="en-GB" w:eastAsia="es-ES"/>
              </w:rPr>
              <w:t xml:space="preserve">Ahorros </w:t>
            </w:r>
            <w:r w:rsidR="000E0DE1">
              <w:rPr>
                <w:rFonts w:ascii="Arial" w:eastAsia="Courier New" w:hAnsi="Arial" w:cs="Arial"/>
                <w:color w:val="000000"/>
                <w:lang w:val="en-GB" w:eastAsia="es-ES"/>
              </w:rPr>
              <w:t>directos</w:t>
            </w:r>
          </w:p>
        </w:tc>
        <w:tc>
          <w:tcPr>
            <w:tcW w:w="823" w:type="dxa"/>
            <w:tcBorders>
              <w:top w:val="nil"/>
              <w:left w:val="nil"/>
              <w:bottom w:val="nil"/>
              <w:right w:val="single" w:sz="4" w:space="0" w:color="auto"/>
            </w:tcBorders>
            <w:shd w:val="clear" w:color="auto" w:fill="auto"/>
            <w:hideMark/>
          </w:tcPr>
          <w:p w14:paraId="7944C03F" w14:textId="77777777" w:rsidR="00970D90" w:rsidRPr="00BE2CF3" w:rsidRDefault="00970D90"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TS1</w:t>
            </w:r>
          </w:p>
        </w:tc>
      </w:tr>
      <w:tr w:rsidR="00970D90" w:rsidRPr="00BE2CF3" w14:paraId="6FA6B162" w14:textId="77777777" w:rsidTr="004005DA">
        <w:trPr>
          <w:trHeight w:val="199"/>
          <w:jc w:val="center"/>
        </w:trPr>
        <w:tc>
          <w:tcPr>
            <w:tcW w:w="5333" w:type="dxa"/>
            <w:tcBorders>
              <w:top w:val="nil"/>
              <w:left w:val="single" w:sz="4" w:space="0" w:color="auto"/>
              <w:bottom w:val="nil"/>
              <w:right w:val="nil"/>
            </w:tcBorders>
            <w:shd w:val="clear" w:color="auto" w:fill="auto"/>
            <w:hideMark/>
          </w:tcPr>
          <w:p w14:paraId="7C0EFB42" w14:textId="74F94F81" w:rsidR="00970D90" w:rsidRPr="00096D43" w:rsidRDefault="00096D43" w:rsidP="00705E36">
            <w:pPr>
              <w:spacing w:after="0" w:line="240" w:lineRule="auto"/>
              <w:ind w:right="140"/>
              <w:rPr>
                <w:rFonts w:ascii="Arial" w:eastAsia="Times New Roman" w:hAnsi="Arial" w:cs="Arial"/>
                <w:color w:val="000000"/>
                <w:lang w:eastAsia="es-ES"/>
              </w:rPr>
            </w:pPr>
            <w:r w:rsidRPr="00096D43">
              <w:rPr>
                <w:rFonts w:ascii="Arial" w:eastAsia="Courier New" w:hAnsi="Arial" w:cs="Arial"/>
                <w:color w:val="000000"/>
                <w:lang w:eastAsia="es-ES"/>
              </w:rPr>
              <w:t>obteniendo mayores cantidades o beneficios adicionales sin cost</w:t>
            </w:r>
            <w:r>
              <w:rPr>
                <w:rFonts w:ascii="Arial" w:eastAsia="Courier New" w:hAnsi="Arial" w:cs="Arial"/>
                <w:color w:val="000000"/>
                <w:lang w:eastAsia="es-ES"/>
              </w:rPr>
              <w:t>e</w:t>
            </w:r>
          </w:p>
        </w:tc>
        <w:tc>
          <w:tcPr>
            <w:tcW w:w="2317" w:type="dxa"/>
            <w:tcBorders>
              <w:top w:val="nil"/>
              <w:left w:val="nil"/>
              <w:bottom w:val="nil"/>
              <w:right w:val="nil"/>
            </w:tcBorders>
          </w:tcPr>
          <w:p w14:paraId="65CA1A72" w14:textId="66D47497" w:rsidR="00970D90" w:rsidRPr="008A39C5" w:rsidRDefault="00A93A80" w:rsidP="00705E36">
            <w:pPr>
              <w:spacing w:after="0" w:line="240" w:lineRule="auto"/>
              <w:ind w:right="140"/>
              <w:rPr>
                <w:rFonts w:ascii="Arial" w:eastAsia="Times New Roman" w:hAnsi="Arial" w:cs="Arial"/>
                <w:color w:val="000000"/>
                <w:lang w:val="en-GB" w:eastAsia="es-ES"/>
              </w:rPr>
            </w:pPr>
            <w:r>
              <w:rPr>
                <w:rFonts w:ascii="Arial" w:eastAsia="Times New Roman" w:hAnsi="Arial" w:cs="Arial"/>
                <w:color w:val="000000"/>
                <w:lang w:val="en-GB" w:eastAsia="es-ES"/>
              </w:rPr>
              <w:t>Ahorros indirectos simples</w:t>
            </w:r>
          </w:p>
        </w:tc>
        <w:tc>
          <w:tcPr>
            <w:tcW w:w="823" w:type="dxa"/>
            <w:tcBorders>
              <w:top w:val="nil"/>
              <w:left w:val="nil"/>
              <w:bottom w:val="nil"/>
              <w:right w:val="single" w:sz="4" w:space="0" w:color="auto"/>
            </w:tcBorders>
            <w:shd w:val="clear" w:color="auto" w:fill="auto"/>
            <w:hideMark/>
          </w:tcPr>
          <w:p w14:paraId="156570D7" w14:textId="77777777" w:rsidR="00970D90" w:rsidRPr="00BE2CF3" w:rsidRDefault="00970D90"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TS2</w:t>
            </w:r>
          </w:p>
        </w:tc>
      </w:tr>
      <w:tr w:rsidR="00970D90" w:rsidRPr="00BE2CF3" w14:paraId="7C2D809B" w14:textId="77777777" w:rsidTr="004005DA">
        <w:trPr>
          <w:trHeight w:val="199"/>
          <w:jc w:val="center"/>
        </w:trPr>
        <w:tc>
          <w:tcPr>
            <w:tcW w:w="5333" w:type="dxa"/>
            <w:tcBorders>
              <w:top w:val="nil"/>
              <w:left w:val="single" w:sz="4" w:space="0" w:color="auto"/>
              <w:bottom w:val="nil"/>
              <w:right w:val="nil"/>
            </w:tcBorders>
            <w:shd w:val="clear" w:color="auto" w:fill="auto"/>
            <w:hideMark/>
          </w:tcPr>
          <w:p w14:paraId="68EFEF2A" w14:textId="2E98F339" w:rsidR="00970D90" w:rsidRPr="00DA165D" w:rsidRDefault="00DA165D" w:rsidP="00705E36">
            <w:pPr>
              <w:spacing w:after="0" w:line="240" w:lineRule="auto"/>
              <w:ind w:right="140"/>
              <w:rPr>
                <w:rFonts w:ascii="Arial" w:eastAsia="Times New Roman" w:hAnsi="Arial" w:cs="Arial"/>
                <w:color w:val="000000"/>
                <w:lang w:eastAsia="es-ES"/>
              </w:rPr>
            </w:pPr>
            <w:r w:rsidRPr="00DA165D">
              <w:rPr>
                <w:rFonts w:ascii="Arial" w:eastAsia="Times New Roman" w:hAnsi="Arial" w:cs="Arial"/>
                <w:color w:val="000000"/>
                <w:lang w:eastAsia="es-ES"/>
              </w:rPr>
              <w:t>Conteniendo los aumentos de precios</w:t>
            </w:r>
          </w:p>
        </w:tc>
        <w:tc>
          <w:tcPr>
            <w:tcW w:w="2317" w:type="dxa"/>
            <w:tcBorders>
              <w:top w:val="nil"/>
              <w:left w:val="nil"/>
              <w:bottom w:val="nil"/>
              <w:right w:val="nil"/>
            </w:tcBorders>
          </w:tcPr>
          <w:p w14:paraId="57B7141E" w14:textId="7B88B9BE" w:rsidR="00970D90" w:rsidRPr="008A39C5" w:rsidRDefault="00933544" w:rsidP="00705E36">
            <w:pPr>
              <w:spacing w:after="0" w:line="240" w:lineRule="auto"/>
              <w:ind w:right="140"/>
              <w:rPr>
                <w:rFonts w:ascii="Arial" w:eastAsia="Times New Roman" w:hAnsi="Arial" w:cs="Arial"/>
                <w:color w:val="000000"/>
                <w:lang w:val="en-GB" w:eastAsia="es-ES"/>
              </w:rPr>
            </w:pPr>
            <w:r>
              <w:rPr>
                <w:rFonts w:ascii="Arial" w:eastAsia="Times New Roman" w:hAnsi="Arial" w:cs="Arial"/>
                <w:color w:val="000000"/>
                <w:lang w:val="en-GB" w:eastAsia="es-ES"/>
              </w:rPr>
              <w:t>Coste evitado</w:t>
            </w:r>
          </w:p>
        </w:tc>
        <w:tc>
          <w:tcPr>
            <w:tcW w:w="823" w:type="dxa"/>
            <w:tcBorders>
              <w:top w:val="nil"/>
              <w:left w:val="nil"/>
              <w:bottom w:val="nil"/>
              <w:right w:val="single" w:sz="4" w:space="0" w:color="auto"/>
            </w:tcBorders>
            <w:shd w:val="clear" w:color="auto" w:fill="auto"/>
            <w:hideMark/>
          </w:tcPr>
          <w:p w14:paraId="258BB863" w14:textId="77777777" w:rsidR="00970D90" w:rsidRPr="00BE2CF3" w:rsidRDefault="00970D90"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TS3</w:t>
            </w:r>
          </w:p>
        </w:tc>
      </w:tr>
      <w:tr w:rsidR="00970D90" w:rsidRPr="00BE2CF3" w14:paraId="6423002E" w14:textId="77777777" w:rsidTr="004005DA">
        <w:trPr>
          <w:trHeight w:val="288"/>
          <w:jc w:val="center"/>
        </w:trPr>
        <w:tc>
          <w:tcPr>
            <w:tcW w:w="5333" w:type="dxa"/>
            <w:tcBorders>
              <w:top w:val="nil"/>
              <w:left w:val="single" w:sz="4" w:space="0" w:color="auto"/>
              <w:bottom w:val="nil"/>
              <w:right w:val="nil"/>
            </w:tcBorders>
            <w:shd w:val="clear" w:color="auto" w:fill="auto"/>
          </w:tcPr>
          <w:p w14:paraId="78ABC7EC" w14:textId="16F6BA1F" w:rsidR="00970D90" w:rsidRPr="00990A5D" w:rsidRDefault="00990A5D" w:rsidP="00705E36">
            <w:pPr>
              <w:spacing w:after="0" w:line="240" w:lineRule="auto"/>
              <w:ind w:right="140"/>
              <w:rPr>
                <w:rFonts w:ascii="Arial" w:eastAsia="Times New Roman" w:hAnsi="Arial" w:cs="Arial"/>
                <w:color w:val="000000"/>
                <w:lang w:eastAsia="es-ES"/>
              </w:rPr>
            </w:pPr>
            <w:r w:rsidRPr="00990A5D">
              <w:rPr>
                <w:rFonts w:ascii="Arial" w:eastAsia="Times New Roman" w:hAnsi="Arial" w:cs="Arial"/>
                <w:color w:val="000000"/>
                <w:lang w:eastAsia="es-ES"/>
              </w:rPr>
              <w:t>debido a la eliminación de lujos en la definición de especificaciones</w:t>
            </w:r>
          </w:p>
        </w:tc>
        <w:tc>
          <w:tcPr>
            <w:tcW w:w="2317" w:type="dxa"/>
            <w:tcBorders>
              <w:top w:val="nil"/>
              <w:left w:val="nil"/>
              <w:bottom w:val="nil"/>
              <w:right w:val="nil"/>
            </w:tcBorders>
          </w:tcPr>
          <w:p w14:paraId="71218E42" w14:textId="000A4256" w:rsidR="00970D90" w:rsidRPr="008A39C5" w:rsidRDefault="00366ABE" w:rsidP="00705E36">
            <w:pPr>
              <w:spacing w:after="0" w:line="240" w:lineRule="auto"/>
              <w:ind w:right="140"/>
              <w:rPr>
                <w:rFonts w:ascii="Arial" w:eastAsia="Times New Roman" w:hAnsi="Arial" w:cs="Arial"/>
                <w:color w:val="000000"/>
                <w:lang w:val="en-GB" w:eastAsia="es-ES"/>
              </w:rPr>
            </w:pPr>
            <w:r>
              <w:rPr>
                <w:rFonts w:ascii="Arial" w:eastAsia="Times New Roman" w:hAnsi="Arial" w:cs="Arial"/>
                <w:color w:val="000000"/>
                <w:lang w:val="en-GB" w:eastAsia="es-ES"/>
              </w:rPr>
              <w:t>Ahorros indirectos simples</w:t>
            </w:r>
          </w:p>
        </w:tc>
        <w:tc>
          <w:tcPr>
            <w:tcW w:w="823" w:type="dxa"/>
            <w:tcBorders>
              <w:top w:val="nil"/>
              <w:left w:val="nil"/>
              <w:bottom w:val="nil"/>
              <w:right w:val="single" w:sz="4" w:space="0" w:color="auto"/>
            </w:tcBorders>
            <w:shd w:val="clear" w:color="auto" w:fill="auto"/>
            <w:hideMark/>
          </w:tcPr>
          <w:p w14:paraId="2F5B7EFA" w14:textId="77777777" w:rsidR="00970D90" w:rsidRPr="00BE2CF3" w:rsidRDefault="00970D90"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TS4</w:t>
            </w:r>
          </w:p>
        </w:tc>
      </w:tr>
      <w:tr w:rsidR="00970D90" w:rsidRPr="00BE2CF3" w14:paraId="3C3B6AF9" w14:textId="77777777" w:rsidTr="004005DA">
        <w:trPr>
          <w:trHeight w:val="124"/>
          <w:jc w:val="center"/>
        </w:trPr>
        <w:tc>
          <w:tcPr>
            <w:tcW w:w="5333" w:type="dxa"/>
            <w:tcBorders>
              <w:top w:val="nil"/>
              <w:left w:val="single" w:sz="4" w:space="0" w:color="auto"/>
              <w:bottom w:val="nil"/>
              <w:right w:val="nil"/>
            </w:tcBorders>
            <w:shd w:val="clear" w:color="auto" w:fill="auto"/>
            <w:hideMark/>
          </w:tcPr>
          <w:p w14:paraId="2DCAC9DE" w14:textId="4CEB4A90" w:rsidR="00970D90" w:rsidRPr="00BE2CF3" w:rsidRDefault="00990A5D" w:rsidP="00705E36">
            <w:pPr>
              <w:spacing w:after="0" w:line="240" w:lineRule="auto"/>
              <w:ind w:right="140"/>
              <w:rPr>
                <w:rFonts w:ascii="Arial" w:eastAsia="Times New Roman" w:hAnsi="Arial" w:cs="Arial"/>
                <w:color w:val="000000"/>
                <w:lang w:val="en-US" w:eastAsia="es-ES"/>
              </w:rPr>
            </w:pPr>
            <w:r w:rsidRPr="00990A5D">
              <w:rPr>
                <w:rFonts w:ascii="Arial" w:eastAsia="Times New Roman" w:hAnsi="Arial" w:cs="Arial"/>
                <w:color w:val="000000"/>
                <w:lang w:eastAsia="es-ES"/>
              </w:rPr>
              <w:t xml:space="preserve">para colaborar en el diseño de productos o servicios. </w:t>
            </w:r>
            <w:r w:rsidRPr="00990A5D">
              <w:rPr>
                <w:rFonts w:ascii="Arial" w:eastAsia="Times New Roman" w:hAnsi="Arial" w:cs="Arial"/>
                <w:color w:val="000000"/>
                <w:lang w:val="en-GB" w:eastAsia="es-ES"/>
              </w:rPr>
              <w:t xml:space="preserve">“Diseño a </w:t>
            </w:r>
            <w:r w:rsidR="00DF78B7" w:rsidRPr="00990A5D">
              <w:rPr>
                <w:rFonts w:ascii="Arial" w:eastAsia="Times New Roman" w:hAnsi="Arial" w:cs="Arial"/>
                <w:color w:val="000000"/>
                <w:lang w:val="en-GB" w:eastAsia="es-ES"/>
              </w:rPr>
              <w:t>Coste</w:t>
            </w:r>
            <w:r w:rsidRPr="00990A5D">
              <w:rPr>
                <w:rFonts w:ascii="Arial" w:eastAsia="Times New Roman" w:hAnsi="Arial" w:cs="Arial"/>
                <w:color w:val="000000"/>
                <w:lang w:val="en-GB" w:eastAsia="es-ES"/>
              </w:rPr>
              <w:t>”</w:t>
            </w:r>
            <w:r w:rsidR="00970D90" w:rsidRPr="00BE2CF3">
              <w:rPr>
                <w:rFonts w:ascii="Arial" w:eastAsia="Times New Roman" w:hAnsi="Arial" w:cs="Arial"/>
                <w:color w:val="000000"/>
                <w:lang w:val="en-GB" w:eastAsia="es-ES"/>
              </w:rPr>
              <w:t xml:space="preserve"> </w:t>
            </w:r>
          </w:p>
        </w:tc>
        <w:tc>
          <w:tcPr>
            <w:tcW w:w="2317" w:type="dxa"/>
            <w:tcBorders>
              <w:top w:val="nil"/>
              <w:left w:val="nil"/>
              <w:bottom w:val="nil"/>
              <w:right w:val="nil"/>
            </w:tcBorders>
          </w:tcPr>
          <w:p w14:paraId="57AF055D" w14:textId="00727CA3" w:rsidR="00970D90" w:rsidRPr="00BE2CF3" w:rsidRDefault="00366ABE" w:rsidP="00705E36">
            <w:pPr>
              <w:spacing w:after="0" w:line="240" w:lineRule="auto"/>
              <w:ind w:right="140"/>
              <w:rPr>
                <w:rFonts w:ascii="Arial" w:eastAsia="Times New Roman" w:hAnsi="Arial" w:cs="Arial"/>
                <w:color w:val="000000"/>
                <w:lang w:eastAsia="es-ES"/>
              </w:rPr>
            </w:pPr>
            <w:r>
              <w:rPr>
                <w:rFonts w:ascii="Arial" w:eastAsia="Times New Roman" w:hAnsi="Arial" w:cs="Arial"/>
                <w:color w:val="000000"/>
                <w:lang w:eastAsia="es-ES"/>
              </w:rPr>
              <w:t>Ahorros indirectos complejos</w:t>
            </w:r>
          </w:p>
        </w:tc>
        <w:tc>
          <w:tcPr>
            <w:tcW w:w="823" w:type="dxa"/>
            <w:tcBorders>
              <w:top w:val="nil"/>
              <w:left w:val="nil"/>
              <w:bottom w:val="nil"/>
              <w:right w:val="single" w:sz="4" w:space="0" w:color="auto"/>
            </w:tcBorders>
            <w:shd w:val="clear" w:color="auto" w:fill="auto"/>
            <w:hideMark/>
          </w:tcPr>
          <w:p w14:paraId="706DB812" w14:textId="77777777" w:rsidR="00970D90" w:rsidRPr="00BE2CF3" w:rsidRDefault="00970D90"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TS5</w:t>
            </w:r>
          </w:p>
        </w:tc>
      </w:tr>
      <w:tr w:rsidR="00970D90" w:rsidRPr="00BE2CF3" w14:paraId="516AA190" w14:textId="77777777" w:rsidTr="004005DA">
        <w:trPr>
          <w:trHeight w:val="100"/>
          <w:jc w:val="center"/>
        </w:trPr>
        <w:tc>
          <w:tcPr>
            <w:tcW w:w="5333" w:type="dxa"/>
            <w:tcBorders>
              <w:top w:val="nil"/>
              <w:left w:val="single" w:sz="4" w:space="0" w:color="auto"/>
              <w:bottom w:val="nil"/>
              <w:right w:val="nil"/>
            </w:tcBorders>
            <w:shd w:val="clear" w:color="auto" w:fill="auto"/>
            <w:hideMark/>
          </w:tcPr>
          <w:p w14:paraId="4E83A39B" w14:textId="498BA9B3" w:rsidR="00970D90" w:rsidRPr="00BE2CF3" w:rsidRDefault="00DF78B7" w:rsidP="00705E36">
            <w:pPr>
              <w:spacing w:after="0" w:line="240" w:lineRule="auto"/>
              <w:ind w:right="140"/>
              <w:rPr>
                <w:rFonts w:ascii="Arial" w:eastAsia="Times New Roman" w:hAnsi="Arial" w:cs="Arial"/>
                <w:color w:val="000000"/>
                <w:lang w:val="en-US" w:eastAsia="es-ES"/>
              </w:rPr>
            </w:pPr>
            <w:r w:rsidRPr="00DF78B7">
              <w:rPr>
                <w:rFonts w:ascii="Arial" w:eastAsia="Times New Roman" w:hAnsi="Arial" w:cs="Arial"/>
                <w:color w:val="000000"/>
                <w:lang w:eastAsia="es-ES"/>
              </w:rPr>
              <w:t xml:space="preserve">por mejora de procesos internos. </w:t>
            </w:r>
            <w:r w:rsidRPr="00DF78B7">
              <w:rPr>
                <w:rFonts w:ascii="Arial" w:eastAsia="Times New Roman" w:hAnsi="Arial" w:cs="Arial"/>
                <w:color w:val="000000"/>
                <w:lang w:val="en-GB" w:eastAsia="es-ES"/>
              </w:rPr>
              <w:t>(Tiempo y personal)</w:t>
            </w:r>
            <w:r w:rsidR="00970D90" w:rsidRPr="00BE2CF3">
              <w:rPr>
                <w:rFonts w:ascii="Arial" w:eastAsia="Times New Roman" w:hAnsi="Arial" w:cs="Arial"/>
                <w:color w:val="000000"/>
                <w:lang w:val="en-GB" w:eastAsia="es-ES"/>
              </w:rPr>
              <w:t xml:space="preserve"> </w:t>
            </w:r>
          </w:p>
        </w:tc>
        <w:tc>
          <w:tcPr>
            <w:tcW w:w="2317" w:type="dxa"/>
            <w:tcBorders>
              <w:top w:val="nil"/>
              <w:left w:val="nil"/>
              <w:bottom w:val="nil"/>
              <w:right w:val="nil"/>
            </w:tcBorders>
          </w:tcPr>
          <w:p w14:paraId="2B284049" w14:textId="2A777BB8" w:rsidR="00970D90" w:rsidRPr="00BE2CF3" w:rsidRDefault="00366ABE" w:rsidP="00705E36">
            <w:pPr>
              <w:spacing w:after="0" w:line="240" w:lineRule="auto"/>
              <w:ind w:right="140"/>
              <w:rPr>
                <w:rFonts w:ascii="Arial" w:eastAsia="Times New Roman" w:hAnsi="Arial" w:cs="Arial"/>
                <w:color w:val="000000"/>
                <w:lang w:eastAsia="es-ES"/>
              </w:rPr>
            </w:pPr>
            <w:r>
              <w:rPr>
                <w:rFonts w:ascii="Arial" w:eastAsia="Times New Roman" w:hAnsi="Arial" w:cs="Arial"/>
                <w:color w:val="000000"/>
                <w:lang w:eastAsia="es-ES"/>
              </w:rPr>
              <w:t>Ahorros indirectos complejos</w:t>
            </w:r>
          </w:p>
        </w:tc>
        <w:tc>
          <w:tcPr>
            <w:tcW w:w="823" w:type="dxa"/>
            <w:tcBorders>
              <w:top w:val="nil"/>
              <w:left w:val="nil"/>
              <w:bottom w:val="nil"/>
              <w:right w:val="single" w:sz="4" w:space="0" w:color="auto"/>
            </w:tcBorders>
            <w:shd w:val="clear" w:color="auto" w:fill="auto"/>
            <w:hideMark/>
          </w:tcPr>
          <w:p w14:paraId="4236F53B" w14:textId="77777777" w:rsidR="00970D90" w:rsidRPr="00BE2CF3" w:rsidRDefault="00970D90"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TS6</w:t>
            </w:r>
          </w:p>
        </w:tc>
      </w:tr>
      <w:tr w:rsidR="00970D90" w:rsidRPr="00BE2CF3" w14:paraId="3BCE7F90" w14:textId="77777777" w:rsidTr="004005DA">
        <w:trPr>
          <w:trHeight w:val="199"/>
          <w:jc w:val="center"/>
        </w:trPr>
        <w:tc>
          <w:tcPr>
            <w:tcW w:w="5333" w:type="dxa"/>
            <w:tcBorders>
              <w:top w:val="nil"/>
              <w:left w:val="single" w:sz="4" w:space="0" w:color="auto"/>
              <w:bottom w:val="nil"/>
              <w:right w:val="nil"/>
            </w:tcBorders>
            <w:shd w:val="clear" w:color="auto" w:fill="auto"/>
          </w:tcPr>
          <w:p w14:paraId="02C4F5F2" w14:textId="4301440F" w:rsidR="00970D90" w:rsidRPr="00F01BC5" w:rsidRDefault="00F01BC5" w:rsidP="00705E36">
            <w:pPr>
              <w:spacing w:after="0" w:line="240" w:lineRule="auto"/>
              <w:ind w:right="140"/>
              <w:rPr>
                <w:rFonts w:ascii="Arial" w:eastAsia="Times New Roman" w:hAnsi="Arial" w:cs="Arial"/>
                <w:color w:val="000000"/>
                <w:lang w:eastAsia="es-ES"/>
              </w:rPr>
            </w:pPr>
            <w:r w:rsidRPr="00F01BC5">
              <w:rPr>
                <w:rFonts w:ascii="Arial" w:eastAsia="Times New Roman" w:hAnsi="Arial" w:cs="Arial"/>
                <w:color w:val="000000"/>
                <w:lang w:eastAsia="es-ES"/>
              </w:rPr>
              <w:t>evitando roturas de stock/retrasos en la entrega</w:t>
            </w:r>
          </w:p>
        </w:tc>
        <w:tc>
          <w:tcPr>
            <w:tcW w:w="2317" w:type="dxa"/>
            <w:tcBorders>
              <w:top w:val="nil"/>
              <w:left w:val="nil"/>
              <w:bottom w:val="nil"/>
              <w:right w:val="nil"/>
            </w:tcBorders>
          </w:tcPr>
          <w:p w14:paraId="591BF637" w14:textId="170A0555" w:rsidR="00970D90" w:rsidRPr="008A39C5" w:rsidRDefault="00366ABE" w:rsidP="00705E36">
            <w:pPr>
              <w:spacing w:after="0" w:line="240" w:lineRule="auto"/>
              <w:ind w:right="140"/>
              <w:rPr>
                <w:rFonts w:ascii="Arial" w:eastAsia="Times New Roman" w:hAnsi="Arial" w:cs="Arial"/>
                <w:color w:val="000000"/>
                <w:lang w:val="en-GB" w:eastAsia="es-ES"/>
              </w:rPr>
            </w:pPr>
            <w:r>
              <w:rPr>
                <w:rFonts w:ascii="Arial" w:eastAsia="Times New Roman" w:hAnsi="Arial" w:cs="Arial"/>
                <w:color w:val="000000"/>
                <w:lang w:val="en-GB" w:eastAsia="es-ES"/>
              </w:rPr>
              <w:t>Ahorros indirectos simples</w:t>
            </w:r>
          </w:p>
        </w:tc>
        <w:tc>
          <w:tcPr>
            <w:tcW w:w="823" w:type="dxa"/>
            <w:tcBorders>
              <w:top w:val="nil"/>
              <w:left w:val="nil"/>
              <w:bottom w:val="nil"/>
              <w:right w:val="single" w:sz="4" w:space="0" w:color="auto"/>
            </w:tcBorders>
            <w:shd w:val="clear" w:color="auto" w:fill="auto"/>
            <w:hideMark/>
          </w:tcPr>
          <w:p w14:paraId="20C189C1" w14:textId="77777777" w:rsidR="00970D90" w:rsidRPr="00BE2CF3" w:rsidRDefault="00970D90"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TS7</w:t>
            </w:r>
          </w:p>
        </w:tc>
      </w:tr>
      <w:tr w:rsidR="00970D90" w:rsidRPr="00BE2CF3" w14:paraId="56DEEBAF" w14:textId="77777777" w:rsidTr="004005DA">
        <w:trPr>
          <w:trHeight w:val="267"/>
          <w:jc w:val="center"/>
        </w:trPr>
        <w:tc>
          <w:tcPr>
            <w:tcW w:w="5333" w:type="dxa"/>
            <w:tcBorders>
              <w:top w:val="nil"/>
              <w:left w:val="single" w:sz="4" w:space="0" w:color="auto"/>
              <w:bottom w:val="nil"/>
              <w:right w:val="nil"/>
            </w:tcBorders>
            <w:shd w:val="clear" w:color="auto" w:fill="auto"/>
          </w:tcPr>
          <w:p w14:paraId="7C0097F7" w14:textId="13C8BE3E" w:rsidR="00970D90" w:rsidRPr="00F01BC5" w:rsidRDefault="00F01BC5" w:rsidP="00705E36">
            <w:pPr>
              <w:spacing w:after="0" w:line="240" w:lineRule="auto"/>
              <w:ind w:right="140"/>
              <w:rPr>
                <w:rFonts w:ascii="Arial" w:eastAsia="Times New Roman" w:hAnsi="Arial" w:cs="Arial"/>
                <w:color w:val="000000"/>
                <w:lang w:eastAsia="es-ES"/>
              </w:rPr>
            </w:pPr>
            <w:r w:rsidRPr="00F01BC5">
              <w:rPr>
                <w:rFonts w:ascii="Arial" w:eastAsia="Times New Roman" w:hAnsi="Arial" w:cs="Arial"/>
                <w:color w:val="000000"/>
                <w:lang w:eastAsia="es-ES"/>
              </w:rPr>
              <w:t>debido a la reducción de la demanda interna</w:t>
            </w:r>
          </w:p>
        </w:tc>
        <w:tc>
          <w:tcPr>
            <w:tcW w:w="2317" w:type="dxa"/>
            <w:tcBorders>
              <w:top w:val="nil"/>
              <w:left w:val="nil"/>
              <w:bottom w:val="nil"/>
              <w:right w:val="nil"/>
            </w:tcBorders>
          </w:tcPr>
          <w:p w14:paraId="3DD2EB12" w14:textId="6FF8CD42" w:rsidR="00970D90" w:rsidRPr="008A39C5" w:rsidRDefault="00366ABE" w:rsidP="00705E36">
            <w:pPr>
              <w:spacing w:after="0" w:line="240" w:lineRule="auto"/>
              <w:ind w:right="140"/>
              <w:rPr>
                <w:rFonts w:ascii="Arial" w:eastAsia="Times New Roman" w:hAnsi="Arial" w:cs="Arial"/>
                <w:color w:val="000000"/>
                <w:lang w:val="en-GB" w:eastAsia="es-ES"/>
              </w:rPr>
            </w:pPr>
            <w:r>
              <w:rPr>
                <w:rFonts w:ascii="Arial" w:eastAsia="Times New Roman" w:hAnsi="Arial" w:cs="Arial"/>
                <w:color w:val="000000"/>
                <w:lang w:eastAsia="es-ES"/>
              </w:rPr>
              <w:t>Ahorros indirectos complejos</w:t>
            </w:r>
          </w:p>
        </w:tc>
        <w:tc>
          <w:tcPr>
            <w:tcW w:w="823" w:type="dxa"/>
            <w:tcBorders>
              <w:top w:val="nil"/>
              <w:left w:val="nil"/>
              <w:bottom w:val="nil"/>
              <w:right w:val="single" w:sz="4" w:space="0" w:color="auto"/>
            </w:tcBorders>
            <w:shd w:val="clear" w:color="auto" w:fill="auto"/>
            <w:hideMark/>
          </w:tcPr>
          <w:p w14:paraId="5F90F39E" w14:textId="77777777" w:rsidR="00970D90" w:rsidRPr="00BE2CF3" w:rsidRDefault="00970D90"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TS8</w:t>
            </w:r>
          </w:p>
        </w:tc>
      </w:tr>
      <w:tr w:rsidR="00970D90" w:rsidRPr="00BE2CF3" w14:paraId="7C3FD983" w14:textId="77777777" w:rsidTr="004005DA">
        <w:trPr>
          <w:trHeight w:val="199"/>
          <w:jc w:val="center"/>
        </w:trPr>
        <w:tc>
          <w:tcPr>
            <w:tcW w:w="5333" w:type="dxa"/>
            <w:tcBorders>
              <w:top w:val="nil"/>
              <w:left w:val="single" w:sz="4" w:space="0" w:color="auto"/>
              <w:bottom w:val="nil"/>
              <w:right w:val="nil"/>
            </w:tcBorders>
            <w:shd w:val="clear" w:color="auto" w:fill="auto"/>
          </w:tcPr>
          <w:p w14:paraId="41047902" w14:textId="694745EB" w:rsidR="00970D90" w:rsidRPr="00F00A75" w:rsidRDefault="00F00A75" w:rsidP="00705E36">
            <w:pPr>
              <w:spacing w:after="0" w:line="240" w:lineRule="auto"/>
              <w:ind w:right="140"/>
              <w:rPr>
                <w:rFonts w:ascii="Arial" w:eastAsia="Times New Roman" w:hAnsi="Arial" w:cs="Arial"/>
                <w:color w:val="000000"/>
                <w:lang w:eastAsia="es-ES"/>
              </w:rPr>
            </w:pPr>
            <w:r w:rsidRPr="00F00A75">
              <w:rPr>
                <w:rFonts w:ascii="Arial" w:eastAsia="Times New Roman" w:hAnsi="Arial" w:cs="Arial"/>
                <w:color w:val="000000"/>
                <w:lang w:eastAsia="es-ES"/>
              </w:rPr>
              <w:t>Debido a la racionalización del panel de proveedores</w:t>
            </w:r>
          </w:p>
        </w:tc>
        <w:tc>
          <w:tcPr>
            <w:tcW w:w="2317" w:type="dxa"/>
            <w:tcBorders>
              <w:top w:val="nil"/>
              <w:left w:val="nil"/>
              <w:bottom w:val="nil"/>
              <w:right w:val="nil"/>
            </w:tcBorders>
          </w:tcPr>
          <w:p w14:paraId="63A312CC" w14:textId="734D3D4B" w:rsidR="00970D90" w:rsidRPr="008A39C5" w:rsidRDefault="00366ABE" w:rsidP="00705E36">
            <w:pPr>
              <w:spacing w:after="0" w:line="240" w:lineRule="auto"/>
              <w:ind w:right="140"/>
              <w:rPr>
                <w:rFonts w:ascii="Arial" w:eastAsia="Times New Roman" w:hAnsi="Arial" w:cs="Arial"/>
                <w:color w:val="000000"/>
                <w:lang w:val="en-GB" w:eastAsia="es-ES"/>
              </w:rPr>
            </w:pPr>
            <w:r>
              <w:rPr>
                <w:rFonts w:ascii="Arial" w:eastAsia="Times New Roman" w:hAnsi="Arial" w:cs="Arial"/>
                <w:color w:val="000000"/>
                <w:lang w:val="en-GB" w:eastAsia="es-ES"/>
              </w:rPr>
              <w:t>Ahorros indirectos simples</w:t>
            </w:r>
          </w:p>
        </w:tc>
        <w:tc>
          <w:tcPr>
            <w:tcW w:w="823" w:type="dxa"/>
            <w:tcBorders>
              <w:top w:val="nil"/>
              <w:left w:val="nil"/>
              <w:bottom w:val="nil"/>
              <w:right w:val="single" w:sz="4" w:space="0" w:color="auto"/>
            </w:tcBorders>
            <w:shd w:val="clear" w:color="auto" w:fill="auto"/>
            <w:hideMark/>
          </w:tcPr>
          <w:p w14:paraId="02150A7C" w14:textId="77777777" w:rsidR="00970D90" w:rsidRPr="00BE2CF3" w:rsidRDefault="00970D90"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TS9</w:t>
            </w:r>
          </w:p>
        </w:tc>
      </w:tr>
      <w:tr w:rsidR="00970D90" w:rsidRPr="00BE2CF3" w14:paraId="4970B3C4" w14:textId="77777777" w:rsidTr="004005DA">
        <w:trPr>
          <w:trHeight w:val="199"/>
          <w:jc w:val="center"/>
        </w:trPr>
        <w:tc>
          <w:tcPr>
            <w:tcW w:w="5333" w:type="dxa"/>
            <w:tcBorders>
              <w:top w:val="nil"/>
              <w:left w:val="single" w:sz="4" w:space="0" w:color="auto"/>
              <w:bottom w:val="nil"/>
              <w:right w:val="nil"/>
            </w:tcBorders>
            <w:shd w:val="clear" w:color="auto" w:fill="auto"/>
          </w:tcPr>
          <w:p w14:paraId="388865B6" w14:textId="4929386A" w:rsidR="00970D90" w:rsidRPr="00F00A75" w:rsidRDefault="00F00A75" w:rsidP="00705E36">
            <w:pPr>
              <w:spacing w:after="0" w:line="240" w:lineRule="auto"/>
              <w:ind w:right="140"/>
              <w:rPr>
                <w:rFonts w:ascii="Arial" w:eastAsia="Courier New" w:hAnsi="Arial" w:cs="Arial"/>
                <w:color w:val="000000"/>
                <w:lang w:eastAsia="es-ES"/>
              </w:rPr>
            </w:pPr>
            <w:r w:rsidRPr="00F00A75">
              <w:rPr>
                <w:rFonts w:ascii="Arial" w:eastAsia="Courier New" w:hAnsi="Arial" w:cs="Arial"/>
                <w:color w:val="000000"/>
                <w:lang w:eastAsia="es-ES"/>
              </w:rPr>
              <w:t>debido a la racionalización de la logística</w:t>
            </w:r>
          </w:p>
        </w:tc>
        <w:tc>
          <w:tcPr>
            <w:tcW w:w="2317" w:type="dxa"/>
            <w:tcBorders>
              <w:top w:val="nil"/>
              <w:left w:val="nil"/>
              <w:bottom w:val="nil"/>
              <w:right w:val="nil"/>
            </w:tcBorders>
          </w:tcPr>
          <w:p w14:paraId="63B2CFE8" w14:textId="64254882" w:rsidR="00970D90" w:rsidRPr="008A39C5" w:rsidRDefault="00366ABE" w:rsidP="00705E36">
            <w:pPr>
              <w:spacing w:after="0" w:line="240" w:lineRule="auto"/>
              <w:ind w:right="140"/>
              <w:rPr>
                <w:rFonts w:ascii="Arial" w:eastAsia="Times New Roman" w:hAnsi="Arial" w:cs="Arial"/>
                <w:color w:val="000000"/>
                <w:lang w:val="en-GB" w:eastAsia="es-ES"/>
              </w:rPr>
            </w:pPr>
            <w:r>
              <w:rPr>
                <w:rFonts w:ascii="Arial" w:eastAsia="Times New Roman" w:hAnsi="Arial" w:cs="Arial"/>
                <w:color w:val="000000"/>
                <w:lang w:eastAsia="es-ES"/>
              </w:rPr>
              <w:t>Ahorros indirectos complejos</w:t>
            </w:r>
          </w:p>
        </w:tc>
        <w:tc>
          <w:tcPr>
            <w:tcW w:w="823" w:type="dxa"/>
            <w:tcBorders>
              <w:top w:val="nil"/>
              <w:left w:val="nil"/>
              <w:bottom w:val="nil"/>
              <w:right w:val="single" w:sz="4" w:space="0" w:color="auto"/>
            </w:tcBorders>
            <w:shd w:val="clear" w:color="auto" w:fill="auto"/>
          </w:tcPr>
          <w:p w14:paraId="5DDEDA7C" w14:textId="77777777" w:rsidR="00970D90" w:rsidRPr="00BE2CF3" w:rsidRDefault="00970D90"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TS10</w:t>
            </w:r>
          </w:p>
        </w:tc>
      </w:tr>
      <w:tr w:rsidR="00970D90" w:rsidRPr="00BE2CF3" w14:paraId="4236FE02" w14:textId="77777777" w:rsidTr="004005DA">
        <w:trPr>
          <w:trHeight w:val="199"/>
          <w:jc w:val="center"/>
        </w:trPr>
        <w:tc>
          <w:tcPr>
            <w:tcW w:w="5333" w:type="dxa"/>
            <w:tcBorders>
              <w:top w:val="nil"/>
              <w:left w:val="single" w:sz="4" w:space="0" w:color="auto"/>
              <w:bottom w:val="nil"/>
              <w:right w:val="nil"/>
            </w:tcBorders>
            <w:shd w:val="clear" w:color="auto" w:fill="auto"/>
          </w:tcPr>
          <w:p w14:paraId="03AD558D" w14:textId="1635CADD" w:rsidR="00970D90" w:rsidRPr="00F00A75" w:rsidRDefault="00F00A75" w:rsidP="00705E36">
            <w:pPr>
              <w:spacing w:after="0" w:line="240" w:lineRule="auto"/>
              <w:ind w:right="140"/>
              <w:rPr>
                <w:rFonts w:ascii="Arial" w:eastAsia="Courier New" w:hAnsi="Arial" w:cs="Arial"/>
                <w:color w:val="000000"/>
                <w:lang w:eastAsia="es-ES"/>
              </w:rPr>
            </w:pPr>
            <w:r w:rsidRPr="00F00A75">
              <w:rPr>
                <w:rFonts w:ascii="Arial" w:eastAsia="Courier New" w:hAnsi="Arial" w:cs="Arial"/>
                <w:color w:val="000000"/>
                <w:lang w:eastAsia="es-ES"/>
              </w:rPr>
              <w:t>debido a la eliminación o reducción de existencias intermedias</w:t>
            </w:r>
          </w:p>
        </w:tc>
        <w:tc>
          <w:tcPr>
            <w:tcW w:w="2317" w:type="dxa"/>
            <w:tcBorders>
              <w:top w:val="nil"/>
              <w:left w:val="nil"/>
              <w:bottom w:val="nil"/>
              <w:right w:val="nil"/>
            </w:tcBorders>
          </w:tcPr>
          <w:p w14:paraId="2BB7B28E" w14:textId="1CBF1A7E" w:rsidR="00970D90" w:rsidRPr="00BE2CF3" w:rsidRDefault="00366ABE" w:rsidP="00705E36">
            <w:pPr>
              <w:spacing w:after="0" w:line="240" w:lineRule="auto"/>
              <w:ind w:right="140"/>
              <w:rPr>
                <w:rFonts w:ascii="Arial" w:eastAsia="Times New Roman" w:hAnsi="Arial" w:cs="Arial"/>
                <w:color w:val="000000"/>
                <w:lang w:val="en-GB" w:eastAsia="es-ES"/>
              </w:rPr>
            </w:pPr>
            <w:r>
              <w:rPr>
                <w:rFonts w:ascii="Arial" w:eastAsia="Times New Roman" w:hAnsi="Arial" w:cs="Arial"/>
                <w:color w:val="000000"/>
                <w:lang w:val="en-GB" w:eastAsia="es-ES"/>
              </w:rPr>
              <w:t>Ahorros indirectos simples</w:t>
            </w:r>
          </w:p>
        </w:tc>
        <w:tc>
          <w:tcPr>
            <w:tcW w:w="823" w:type="dxa"/>
            <w:tcBorders>
              <w:top w:val="nil"/>
              <w:left w:val="nil"/>
              <w:bottom w:val="nil"/>
              <w:right w:val="single" w:sz="4" w:space="0" w:color="auto"/>
            </w:tcBorders>
            <w:shd w:val="clear" w:color="auto" w:fill="auto"/>
          </w:tcPr>
          <w:p w14:paraId="4149AB22" w14:textId="77777777" w:rsidR="00970D90" w:rsidRPr="00BE2CF3" w:rsidRDefault="00970D90" w:rsidP="00705E36">
            <w:pPr>
              <w:spacing w:after="0" w:line="240" w:lineRule="auto"/>
              <w:ind w:right="140"/>
              <w:rPr>
                <w:rFonts w:ascii="Arial" w:eastAsia="Times New Roman" w:hAnsi="Arial" w:cs="Arial"/>
                <w:color w:val="000000"/>
                <w:lang w:val="en-GB" w:eastAsia="es-ES"/>
              </w:rPr>
            </w:pPr>
            <w:r w:rsidRPr="00BE2CF3">
              <w:rPr>
                <w:rFonts w:ascii="Arial" w:eastAsia="Times New Roman" w:hAnsi="Arial" w:cs="Arial"/>
                <w:color w:val="000000"/>
                <w:lang w:val="en-GB" w:eastAsia="es-ES"/>
              </w:rPr>
              <w:t>TS11</w:t>
            </w:r>
          </w:p>
        </w:tc>
      </w:tr>
      <w:tr w:rsidR="00970D90" w:rsidRPr="00BE2CF3" w14:paraId="0CFCB03E" w14:textId="77777777" w:rsidTr="004005DA">
        <w:trPr>
          <w:trHeight w:val="199"/>
          <w:jc w:val="center"/>
        </w:trPr>
        <w:tc>
          <w:tcPr>
            <w:tcW w:w="5333" w:type="dxa"/>
            <w:tcBorders>
              <w:top w:val="nil"/>
              <w:left w:val="single" w:sz="4" w:space="0" w:color="auto"/>
              <w:bottom w:val="nil"/>
              <w:right w:val="nil"/>
            </w:tcBorders>
            <w:shd w:val="clear" w:color="auto" w:fill="auto"/>
          </w:tcPr>
          <w:p w14:paraId="52BB7794" w14:textId="6186D55A" w:rsidR="00970D90" w:rsidRPr="003C210F" w:rsidRDefault="003C210F" w:rsidP="00705E36">
            <w:pPr>
              <w:spacing w:after="0" w:line="240" w:lineRule="auto"/>
              <w:ind w:right="140"/>
              <w:rPr>
                <w:rFonts w:ascii="Arial" w:eastAsia="Courier New" w:hAnsi="Arial" w:cs="Arial"/>
                <w:color w:val="000000"/>
                <w:lang w:eastAsia="es-ES"/>
              </w:rPr>
            </w:pPr>
            <w:r w:rsidRPr="003C210F">
              <w:rPr>
                <w:rFonts w:ascii="Arial" w:eastAsia="Courier New" w:hAnsi="Arial" w:cs="Arial"/>
                <w:color w:val="000000"/>
                <w:lang w:eastAsia="es-ES"/>
              </w:rPr>
              <w:t>Evitando sanciones por infracciones regulatorias en la cadena de suministro</w:t>
            </w:r>
          </w:p>
        </w:tc>
        <w:tc>
          <w:tcPr>
            <w:tcW w:w="2317" w:type="dxa"/>
            <w:tcBorders>
              <w:top w:val="nil"/>
              <w:left w:val="nil"/>
              <w:bottom w:val="nil"/>
              <w:right w:val="nil"/>
            </w:tcBorders>
          </w:tcPr>
          <w:p w14:paraId="7CE75555" w14:textId="25D07933" w:rsidR="00970D90" w:rsidRPr="00BE2CF3" w:rsidRDefault="00366ABE" w:rsidP="00705E36">
            <w:pPr>
              <w:spacing w:after="0" w:line="240" w:lineRule="auto"/>
              <w:ind w:right="140"/>
              <w:rPr>
                <w:rFonts w:ascii="Arial" w:eastAsia="Times New Roman" w:hAnsi="Arial" w:cs="Arial"/>
                <w:color w:val="000000"/>
                <w:lang w:val="en-GB" w:eastAsia="es-ES"/>
              </w:rPr>
            </w:pPr>
            <w:r>
              <w:rPr>
                <w:rFonts w:ascii="Arial" w:eastAsia="Times New Roman" w:hAnsi="Arial" w:cs="Arial"/>
                <w:color w:val="000000"/>
                <w:lang w:eastAsia="es-ES"/>
              </w:rPr>
              <w:t>Ahorros indirectos complejos</w:t>
            </w:r>
          </w:p>
        </w:tc>
        <w:tc>
          <w:tcPr>
            <w:tcW w:w="823" w:type="dxa"/>
            <w:tcBorders>
              <w:top w:val="nil"/>
              <w:left w:val="nil"/>
              <w:bottom w:val="nil"/>
              <w:right w:val="single" w:sz="4" w:space="0" w:color="auto"/>
            </w:tcBorders>
            <w:shd w:val="clear" w:color="auto" w:fill="auto"/>
          </w:tcPr>
          <w:p w14:paraId="51C1A5A6" w14:textId="77777777" w:rsidR="00970D90" w:rsidRPr="00BE2CF3" w:rsidRDefault="00970D90" w:rsidP="00705E36">
            <w:pPr>
              <w:spacing w:after="0" w:line="240" w:lineRule="auto"/>
              <w:ind w:right="140"/>
              <w:rPr>
                <w:rFonts w:ascii="Arial" w:eastAsia="Times New Roman" w:hAnsi="Arial" w:cs="Arial"/>
                <w:color w:val="000000"/>
                <w:lang w:val="en-GB" w:eastAsia="es-ES"/>
              </w:rPr>
            </w:pPr>
            <w:r w:rsidRPr="00BE2CF3">
              <w:rPr>
                <w:rFonts w:ascii="Arial" w:eastAsia="Times New Roman" w:hAnsi="Arial" w:cs="Arial"/>
                <w:color w:val="000000"/>
                <w:lang w:val="en-GB" w:eastAsia="es-ES"/>
              </w:rPr>
              <w:t>TS12</w:t>
            </w:r>
          </w:p>
        </w:tc>
      </w:tr>
      <w:tr w:rsidR="00970D90" w:rsidRPr="00BE2CF3" w14:paraId="15512000" w14:textId="77777777" w:rsidTr="004005DA">
        <w:trPr>
          <w:trHeight w:val="199"/>
          <w:jc w:val="center"/>
        </w:trPr>
        <w:tc>
          <w:tcPr>
            <w:tcW w:w="5333" w:type="dxa"/>
            <w:tcBorders>
              <w:top w:val="nil"/>
              <w:left w:val="single" w:sz="4" w:space="0" w:color="auto"/>
              <w:bottom w:val="nil"/>
              <w:right w:val="nil"/>
            </w:tcBorders>
            <w:shd w:val="clear" w:color="auto" w:fill="auto"/>
          </w:tcPr>
          <w:p w14:paraId="5501F351" w14:textId="41020419" w:rsidR="00970D90" w:rsidRPr="008B7A27" w:rsidRDefault="008B7A27" w:rsidP="00705E36">
            <w:pPr>
              <w:spacing w:after="0" w:line="240" w:lineRule="auto"/>
              <w:ind w:right="140"/>
              <w:rPr>
                <w:rFonts w:ascii="Arial" w:eastAsia="Courier New" w:hAnsi="Arial" w:cs="Arial"/>
                <w:color w:val="000000"/>
                <w:lang w:eastAsia="es-ES"/>
              </w:rPr>
            </w:pPr>
            <w:r w:rsidRPr="008B7A27">
              <w:rPr>
                <w:rFonts w:ascii="Arial" w:eastAsia="Courier New" w:hAnsi="Arial" w:cs="Arial"/>
                <w:color w:val="000000"/>
                <w:lang w:eastAsia="es-ES"/>
              </w:rPr>
              <w:t>de la eliminación y gestión de residuos</w:t>
            </w:r>
          </w:p>
        </w:tc>
        <w:tc>
          <w:tcPr>
            <w:tcW w:w="2317" w:type="dxa"/>
            <w:tcBorders>
              <w:top w:val="nil"/>
              <w:left w:val="nil"/>
              <w:bottom w:val="nil"/>
              <w:right w:val="nil"/>
            </w:tcBorders>
          </w:tcPr>
          <w:p w14:paraId="46E05E7D" w14:textId="57E98C82" w:rsidR="00970D90" w:rsidRPr="00BE2CF3" w:rsidRDefault="00366ABE" w:rsidP="00705E36">
            <w:pPr>
              <w:spacing w:after="0" w:line="240" w:lineRule="auto"/>
              <w:ind w:right="140"/>
              <w:rPr>
                <w:rFonts w:ascii="Arial" w:eastAsia="Times New Roman" w:hAnsi="Arial" w:cs="Arial"/>
                <w:color w:val="000000"/>
                <w:lang w:val="en-GB" w:eastAsia="es-ES"/>
              </w:rPr>
            </w:pPr>
            <w:r>
              <w:rPr>
                <w:rFonts w:ascii="Arial" w:eastAsia="Times New Roman" w:hAnsi="Arial" w:cs="Arial"/>
                <w:color w:val="000000"/>
                <w:lang w:eastAsia="es-ES"/>
              </w:rPr>
              <w:t>Ahorros indirectos complejos</w:t>
            </w:r>
          </w:p>
        </w:tc>
        <w:tc>
          <w:tcPr>
            <w:tcW w:w="823" w:type="dxa"/>
            <w:tcBorders>
              <w:top w:val="nil"/>
              <w:left w:val="nil"/>
              <w:bottom w:val="nil"/>
              <w:right w:val="single" w:sz="4" w:space="0" w:color="auto"/>
            </w:tcBorders>
            <w:shd w:val="clear" w:color="auto" w:fill="auto"/>
          </w:tcPr>
          <w:p w14:paraId="2895C91D" w14:textId="77777777" w:rsidR="00970D90" w:rsidRPr="00BE2CF3" w:rsidRDefault="00970D90" w:rsidP="00705E36">
            <w:pPr>
              <w:spacing w:after="0" w:line="240" w:lineRule="auto"/>
              <w:ind w:right="140"/>
              <w:rPr>
                <w:rFonts w:ascii="Arial" w:eastAsia="Times New Roman" w:hAnsi="Arial" w:cs="Arial"/>
                <w:color w:val="000000"/>
                <w:lang w:val="en-GB" w:eastAsia="es-ES"/>
              </w:rPr>
            </w:pPr>
            <w:r w:rsidRPr="00BE2CF3">
              <w:rPr>
                <w:rFonts w:ascii="Arial" w:eastAsia="Times New Roman" w:hAnsi="Arial" w:cs="Arial"/>
                <w:color w:val="000000"/>
                <w:lang w:val="en-GB" w:eastAsia="es-ES"/>
              </w:rPr>
              <w:t>TS13</w:t>
            </w:r>
          </w:p>
        </w:tc>
      </w:tr>
      <w:tr w:rsidR="00970D90" w:rsidRPr="00BE2CF3" w14:paraId="3CE3A8F2" w14:textId="77777777" w:rsidTr="004005DA">
        <w:trPr>
          <w:trHeight w:val="199"/>
          <w:jc w:val="center"/>
        </w:trPr>
        <w:tc>
          <w:tcPr>
            <w:tcW w:w="5333" w:type="dxa"/>
            <w:tcBorders>
              <w:top w:val="nil"/>
              <w:left w:val="single" w:sz="4" w:space="0" w:color="auto"/>
              <w:bottom w:val="single" w:sz="4" w:space="0" w:color="auto"/>
              <w:right w:val="nil"/>
            </w:tcBorders>
            <w:shd w:val="clear" w:color="auto" w:fill="auto"/>
            <w:hideMark/>
          </w:tcPr>
          <w:p w14:paraId="644557E5" w14:textId="78734DDC" w:rsidR="00970D90" w:rsidRPr="005D1A0B" w:rsidRDefault="005D1A0B" w:rsidP="00705E36">
            <w:pPr>
              <w:spacing w:after="0" w:line="240" w:lineRule="auto"/>
              <w:ind w:right="140"/>
              <w:rPr>
                <w:rFonts w:ascii="Arial" w:eastAsia="Times New Roman" w:hAnsi="Arial" w:cs="Arial"/>
                <w:color w:val="000000"/>
                <w:lang w:eastAsia="es-ES"/>
              </w:rPr>
            </w:pPr>
            <w:r w:rsidRPr="005D1A0B">
              <w:rPr>
                <w:rFonts w:ascii="Arial" w:eastAsia="Times New Roman" w:hAnsi="Arial" w:cs="Arial"/>
                <w:color w:val="000000"/>
                <w:lang w:eastAsia="es-ES"/>
              </w:rPr>
              <w:t>debido a la optimización de las condiciones de pago</w:t>
            </w:r>
          </w:p>
        </w:tc>
        <w:tc>
          <w:tcPr>
            <w:tcW w:w="2317" w:type="dxa"/>
            <w:tcBorders>
              <w:top w:val="nil"/>
              <w:left w:val="nil"/>
              <w:bottom w:val="single" w:sz="4" w:space="0" w:color="auto"/>
              <w:right w:val="nil"/>
            </w:tcBorders>
          </w:tcPr>
          <w:p w14:paraId="5349D95C" w14:textId="35B6DF3B" w:rsidR="00970D90" w:rsidRPr="008A39C5" w:rsidRDefault="00366ABE" w:rsidP="00705E36">
            <w:pPr>
              <w:spacing w:after="0" w:line="240" w:lineRule="auto"/>
              <w:ind w:right="140"/>
              <w:rPr>
                <w:rFonts w:ascii="Arial" w:eastAsia="Times New Roman" w:hAnsi="Arial" w:cs="Arial"/>
                <w:color w:val="000000"/>
                <w:lang w:val="en-GB" w:eastAsia="es-ES"/>
              </w:rPr>
            </w:pPr>
            <w:r>
              <w:rPr>
                <w:rFonts w:ascii="Arial" w:eastAsia="Times New Roman" w:hAnsi="Arial" w:cs="Arial"/>
                <w:color w:val="000000"/>
                <w:lang w:val="en-GB" w:eastAsia="es-ES"/>
              </w:rPr>
              <w:t>Ahorros indirectos simples</w:t>
            </w:r>
          </w:p>
        </w:tc>
        <w:tc>
          <w:tcPr>
            <w:tcW w:w="823" w:type="dxa"/>
            <w:tcBorders>
              <w:top w:val="nil"/>
              <w:left w:val="nil"/>
              <w:bottom w:val="single" w:sz="4" w:space="0" w:color="auto"/>
              <w:right w:val="single" w:sz="4" w:space="0" w:color="auto"/>
            </w:tcBorders>
            <w:shd w:val="clear" w:color="auto" w:fill="auto"/>
            <w:hideMark/>
          </w:tcPr>
          <w:p w14:paraId="53249136" w14:textId="77777777" w:rsidR="00970D90" w:rsidRPr="00BE2CF3" w:rsidRDefault="00970D90"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TS14</w:t>
            </w:r>
          </w:p>
        </w:tc>
      </w:tr>
    </w:tbl>
    <w:p w14:paraId="2380D1D4" w14:textId="77777777" w:rsidR="0086008B" w:rsidRDefault="0086008B" w:rsidP="00705E36">
      <w:pPr>
        <w:ind w:right="140"/>
        <w:rPr>
          <w:rFonts w:ascii="Arial" w:hAnsi="Arial" w:cs="Arial"/>
          <w:lang w:val="en-GB"/>
        </w:rPr>
      </w:pPr>
    </w:p>
    <w:p w14:paraId="50F52F10" w14:textId="2C20ADDE" w:rsidR="003247D1" w:rsidRPr="00176C05" w:rsidRDefault="00204487" w:rsidP="00705E36">
      <w:pPr>
        <w:ind w:right="140"/>
        <w:rPr>
          <w:rFonts w:ascii="Arial" w:hAnsi="Arial" w:cs="Arial"/>
        </w:rPr>
      </w:pPr>
      <w:r>
        <w:rPr>
          <w:rFonts w:ascii="Arial" w:hAnsi="Arial" w:cs="Arial"/>
        </w:rPr>
        <w:t>Como se mencionó anteriormente</w:t>
      </w:r>
      <w:r w:rsidR="00245E5C">
        <w:rPr>
          <w:rFonts w:ascii="Arial" w:hAnsi="Arial" w:cs="Arial"/>
        </w:rPr>
        <w:t>, los</w:t>
      </w:r>
      <w:r w:rsidR="00176C05" w:rsidRPr="00176C05">
        <w:rPr>
          <w:rFonts w:ascii="Arial" w:hAnsi="Arial" w:cs="Arial"/>
        </w:rPr>
        <w:t xml:space="preserve"> recursos </w:t>
      </w:r>
      <w:r w:rsidR="00A403D7">
        <w:rPr>
          <w:rFonts w:ascii="Arial" w:hAnsi="Arial" w:cs="Arial"/>
        </w:rPr>
        <w:t xml:space="preserve">o </w:t>
      </w:r>
      <w:r w:rsidR="00176C05" w:rsidRPr="00176C05">
        <w:rPr>
          <w:rFonts w:ascii="Arial" w:hAnsi="Arial" w:cs="Arial"/>
        </w:rPr>
        <w:t xml:space="preserve">insumos necesarios para la actividad de la </w:t>
      </w:r>
      <w:r w:rsidR="00BF47F4" w:rsidRPr="00176C05">
        <w:rPr>
          <w:rFonts w:ascii="Arial" w:hAnsi="Arial" w:cs="Arial"/>
        </w:rPr>
        <w:t>empresa</w:t>
      </w:r>
      <w:r w:rsidR="00176C05" w:rsidRPr="00176C05">
        <w:rPr>
          <w:rFonts w:ascii="Arial" w:hAnsi="Arial" w:cs="Arial"/>
        </w:rPr>
        <w:t xml:space="preserve"> se clasifican en categorías de compras (P</w:t>
      </w:r>
      <w:r w:rsidR="00BF47F4">
        <w:rPr>
          <w:rFonts w:ascii="Arial" w:hAnsi="Arial" w:cs="Arial"/>
        </w:rPr>
        <w:t>C</w:t>
      </w:r>
      <w:r w:rsidR="00176C05" w:rsidRPr="00176C05">
        <w:rPr>
          <w:rFonts w:ascii="Arial" w:hAnsi="Arial" w:cs="Arial"/>
        </w:rPr>
        <w:t>)</w:t>
      </w:r>
      <w:r w:rsidR="00FF57FA">
        <w:rPr>
          <w:rFonts w:ascii="Arial" w:hAnsi="Arial" w:cs="Arial"/>
        </w:rPr>
        <w:t>,</w:t>
      </w:r>
      <w:r w:rsidR="00176C05" w:rsidRPr="00176C05">
        <w:rPr>
          <w:rFonts w:ascii="Arial" w:hAnsi="Arial" w:cs="Arial"/>
        </w:rPr>
        <w:t xml:space="preserve"> y son </w:t>
      </w:r>
      <w:r w:rsidR="002A26CF">
        <w:rPr>
          <w:rFonts w:ascii="Arial" w:hAnsi="Arial" w:cs="Arial"/>
        </w:rPr>
        <w:t>cada vez más</w:t>
      </w:r>
      <w:r w:rsidR="00FF57FA">
        <w:rPr>
          <w:rFonts w:ascii="Arial" w:hAnsi="Arial" w:cs="Arial"/>
        </w:rPr>
        <w:t>,</w:t>
      </w:r>
      <w:r w:rsidR="00176C05" w:rsidRPr="00176C05">
        <w:rPr>
          <w:rFonts w:ascii="Arial" w:hAnsi="Arial" w:cs="Arial"/>
        </w:rPr>
        <w:t xml:space="preserve"> </w:t>
      </w:r>
      <w:r w:rsidR="006A487B">
        <w:rPr>
          <w:rFonts w:ascii="Arial" w:hAnsi="Arial" w:cs="Arial"/>
        </w:rPr>
        <w:t xml:space="preserve">incluidos dentro del alcance de </w:t>
      </w:r>
      <w:r w:rsidR="00176C05" w:rsidRPr="00176C05">
        <w:rPr>
          <w:rFonts w:ascii="Arial" w:hAnsi="Arial" w:cs="Arial"/>
        </w:rPr>
        <w:t>gesti</w:t>
      </w:r>
      <w:r w:rsidR="006A487B">
        <w:rPr>
          <w:rFonts w:ascii="Arial" w:hAnsi="Arial" w:cs="Arial"/>
        </w:rPr>
        <w:t>ón</w:t>
      </w:r>
      <w:r w:rsidR="00176C05" w:rsidRPr="00176C05">
        <w:rPr>
          <w:rFonts w:ascii="Arial" w:hAnsi="Arial" w:cs="Arial"/>
        </w:rPr>
        <w:t xml:space="preserve"> </w:t>
      </w:r>
      <w:r w:rsidR="006A487B">
        <w:rPr>
          <w:rFonts w:ascii="Arial" w:hAnsi="Arial" w:cs="Arial"/>
        </w:rPr>
        <w:t>de</w:t>
      </w:r>
      <w:r w:rsidR="00176C05" w:rsidRPr="00176C05">
        <w:rPr>
          <w:rFonts w:ascii="Arial" w:hAnsi="Arial" w:cs="Arial"/>
        </w:rPr>
        <w:t xml:space="preserve"> la función PSM. </w:t>
      </w:r>
      <w:r w:rsidR="00EF0E8E">
        <w:rPr>
          <w:rFonts w:ascii="Arial" w:hAnsi="Arial" w:cs="Arial"/>
        </w:rPr>
        <w:t xml:space="preserve">Para este </w:t>
      </w:r>
      <w:r w:rsidR="008C33D6">
        <w:rPr>
          <w:rFonts w:ascii="Arial" w:hAnsi="Arial" w:cs="Arial"/>
        </w:rPr>
        <w:t>estudio,</w:t>
      </w:r>
      <w:r w:rsidR="00176C05" w:rsidRPr="00176C05">
        <w:rPr>
          <w:rFonts w:ascii="Arial" w:hAnsi="Arial" w:cs="Arial"/>
        </w:rPr>
        <w:t xml:space="preserve"> se desarrolla una lista de diferentes tipos de ahorros generados (TS), que podrían generarse en cada P</w:t>
      </w:r>
      <w:r w:rsidR="001116F6">
        <w:rPr>
          <w:rFonts w:ascii="Arial" w:hAnsi="Arial" w:cs="Arial"/>
        </w:rPr>
        <w:t>C</w:t>
      </w:r>
      <w:r w:rsidR="00176C05" w:rsidRPr="00176C05">
        <w:rPr>
          <w:rFonts w:ascii="Arial" w:hAnsi="Arial" w:cs="Arial"/>
        </w:rPr>
        <w:t>.</w:t>
      </w:r>
    </w:p>
    <w:p w14:paraId="691B5113" w14:textId="571750EF" w:rsidR="003247D1" w:rsidRPr="00C4313D" w:rsidRDefault="0063795C" w:rsidP="00705E36">
      <w:pPr>
        <w:ind w:right="140"/>
        <w:rPr>
          <w:rFonts w:ascii="Arial" w:hAnsi="Arial" w:cs="Arial"/>
        </w:rPr>
      </w:pPr>
      <w:r w:rsidRPr="0063795C">
        <w:rPr>
          <w:rFonts w:ascii="Arial" w:hAnsi="Arial" w:cs="Arial"/>
        </w:rPr>
        <w:t>La clasificación de Categorías de Compra (P</w:t>
      </w:r>
      <w:r w:rsidR="00BF4913">
        <w:rPr>
          <w:rFonts w:ascii="Arial" w:hAnsi="Arial" w:cs="Arial"/>
        </w:rPr>
        <w:t>C</w:t>
      </w:r>
      <w:r w:rsidRPr="0063795C">
        <w:rPr>
          <w:rFonts w:ascii="Arial" w:hAnsi="Arial" w:cs="Arial"/>
        </w:rPr>
        <w:t>) y Tipos de Ahorro (T</w:t>
      </w:r>
      <w:r w:rsidR="00BF4913">
        <w:rPr>
          <w:rFonts w:ascii="Arial" w:hAnsi="Arial" w:cs="Arial"/>
        </w:rPr>
        <w:t>S</w:t>
      </w:r>
      <w:r w:rsidRPr="0063795C">
        <w:rPr>
          <w:rFonts w:ascii="Arial" w:hAnsi="Arial" w:cs="Arial"/>
        </w:rPr>
        <w:t xml:space="preserve">) se definió </w:t>
      </w:r>
      <w:r w:rsidR="007F5D2C">
        <w:rPr>
          <w:rFonts w:ascii="Arial" w:hAnsi="Arial" w:cs="Arial"/>
        </w:rPr>
        <w:t>en</w:t>
      </w:r>
      <w:r w:rsidRPr="0063795C">
        <w:rPr>
          <w:rFonts w:ascii="Arial" w:hAnsi="Arial" w:cs="Arial"/>
        </w:rPr>
        <w:t xml:space="preserve"> base en la experiencia de los investigadores y se evaluó con </w:t>
      </w:r>
      <w:r w:rsidR="00B02A6D">
        <w:rPr>
          <w:rFonts w:ascii="Arial" w:hAnsi="Arial" w:cs="Arial"/>
        </w:rPr>
        <w:t>un</w:t>
      </w:r>
      <w:r w:rsidRPr="0063795C">
        <w:rPr>
          <w:rFonts w:ascii="Arial" w:hAnsi="Arial" w:cs="Arial"/>
        </w:rPr>
        <w:t xml:space="preserve">a prueba piloto con </w:t>
      </w:r>
      <w:r w:rsidR="007F5D2C">
        <w:rPr>
          <w:rFonts w:ascii="Arial" w:hAnsi="Arial" w:cs="Arial"/>
        </w:rPr>
        <w:t xml:space="preserve">un grupo </w:t>
      </w:r>
      <w:r w:rsidR="00CA344A">
        <w:rPr>
          <w:rFonts w:ascii="Arial" w:hAnsi="Arial" w:cs="Arial"/>
        </w:rPr>
        <w:t xml:space="preserve">de </w:t>
      </w:r>
      <w:r w:rsidRPr="0063795C">
        <w:rPr>
          <w:rFonts w:ascii="Arial" w:hAnsi="Arial" w:cs="Arial"/>
        </w:rPr>
        <w:t>encuestados expertos</w:t>
      </w:r>
      <w:r w:rsidR="00CA344A">
        <w:rPr>
          <w:rFonts w:ascii="Arial" w:hAnsi="Arial" w:cs="Arial"/>
        </w:rPr>
        <w:t xml:space="preserve">, para </w:t>
      </w:r>
      <w:r w:rsidR="00D06F26">
        <w:rPr>
          <w:rFonts w:ascii="Arial" w:hAnsi="Arial" w:cs="Arial"/>
        </w:rPr>
        <w:t xml:space="preserve">confirmar la validez </w:t>
      </w:r>
      <w:r w:rsidR="0087271A">
        <w:rPr>
          <w:rFonts w:ascii="Arial" w:hAnsi="Arial" w:cs="Arial"/>
        </w:rPr>
        <w:t>antes de la encuesta definitiva.</w:t>
      </w:r>
      <w:r w:rsidRPr="0063795C">
        <w:rPr>
          <w:rFonts w:ascii="Arial" w:hAnsi="Arial" w:cs="Arial"/>
        </w:rPr>
        <w:t xml:space="preserve"> Aunque </w:t>
      </w:r>
      <w:r w:rsidR="0087271A">
        <w:rPr>
          <w:rFonts w:ascii="Arial" w:hAnsi="Arial" w:cs="Arial"/>
        </w:rPr>
        <w:t>tamb</w:t>
      </w:r>
      <w:r w:rsidR="002E047B">
        <w:rPr>
          <w:rFonts w:ascii="Arial" w:hAnsi="Arial" w:cs="Arial"/>
        </w:rPr>
        <w:t xml:space="preserve">ién </w:t>
      </w:r>
      <w:r w:rsidRPr="0063795C">
        <w:rPr>
          <w:rFonts w:ascii="Arial" w:hAnsi="Arial" w:cs="Arial"/>
        </w:rPr>
        <w:t>se consultaron algunos estándares internacionales, como el</w:t>
      </w:r>
      <w:r w:rsidR="003247D1" w:rsidRPr="0063795C">
        <w:rPr>
          <w:rFonts w:ascii="Arial" w:hAnsi="Arial" w:cs="Arial"/>
        </w:rPr>
        <w:t xml:space="preserve"> UNSPSC, (The United Nations Standard Products and Services Code), </w:t>
      </w:r>
      <w:r w:rsidRPr="0063795C">
        <w:rPr>
          <w:rFonts w:ascii="Arial" w:hAnsi="Arial" w:cs="Arial"/>
        </w:rPr>
        <w:t>y</w:t>
      </w:r>
      <w:r w:rsidR="003247D1" w:rsidRPr="0063795C">
        <w:rPr>
          <w:rFonts w:ascii="Arial" w:hAnsi="Arial" w:cs="Arial"/>
        </w:rPr>
        <w:t xml:space="preserve"> </w:t>
      </w:r>
      <w:r w:rsidRPr="0063795C">
        <w:rPr>
          <w:rFonts w:ascii="Arial" w:hAnsi="Arial" w:cs="Arial"/>
        </w:rPr>
        <w:t>la base</w:t>
      </w:r>
      <w:r>
        <w:rPr>
          <w:rFonts w:ascii="Arial" w:hAnsi="Arial" w:cs="Arial"/>
        </w:rPr>
        <w:t xml:space="preserve"> de datos </w:t>
      </w:r>
      <w:r w:rsidR="003247D1" w:rsidRPr="0063795C">
        <w:rPr>
          <w:rFonts w:ascii="Arial" w:hAnsi="Arial" w:cs="Arial"/>
        </w:rPr>
        <w:t xml:space="preserve">TARIC </w:t>
      </w:r>
      <w:r>
        <w:rPr>
          <w:rFonts w:ascii="Arial" w:hAnsi="Arial" w:cs="Arial"/>
        </w:rPr>
        <w:t xml:space="preserve">de las </w:t>
      </w:r>
      <w:r w:rsidR="00E27B84">
        <w:rPr>
          <w:rFonts w:ascii="Arial" w:hAnsi="Arial" w:cs="Arial"/>
        </w:rPr>
        <w:t>m</w:t>
      </w:r>
      <w:r w:rsidR="00E27B84" w:rsidRPr="00E27B84">
        <w:rPr>
          <w:rFonts w:ascii="Arial" w:hAnsi="Arial" w:cs="Arial"/>
        </w:rPr>
        <w:t xml:space="preserve">edidas aduaneras y comerciales de la UE, que </w:t>
      </w:r>
      <w:r w:rsidR="002E047B">
        <w:rPr>
          <w:rFonts w:ascii="Arial" w:hAnsi="Arial" w:cs="Arial"/>
        </w:rPr>
        <w:t>tienen</w:t>
      </w:r>
      <w:r w:rsidR="00E27B84" w:rsidRPr="00E27B84">
        <w:rPr>
          <w:rFonts w:ascii="Arial" w:hAnsi="Arial" w:cs="Arial"/>
        </w:rPr>
        <w:t xml:space="preserve"> una nomenclatura </w:t>
      </w:r>
      <w:r w:rsidR="002E047B">
        <w:rPr>
          <w:rFonts w:ascii="Arial" w:hAnsi="Arial" w:cs="Arial"/>
        </w:rPr>
        <w:t>para las</w:t>
      </w:r>
      <w:r w:rsidR="00E27B84" w:rsidRPr="00E27B84">
        <w:rPr>
          <w:rFonts w:ascii="Arial" w:hAnsi="Arial" w:cs="Arial"/>
        </w:rPr>
        <w:t xml:space="preserve"> mercancías</w:t>
      </w:r>
      <w:r w:rsidR="003247D1" w:rsidRPr="0063795C">
        <w:rPr>
          <w:rFonts w:ascii="Arial" w:hAnsi="Arial" w:cs="Arial"/>
        </w:rPr>
        <w:t xml:space="preserve">. </w:t>
      </w:r>
      <w:r w:rsidR="00EE3A76" w:rsidRPr="00EE3A76">
        <w:rPr>
          <w:rFonts w:ascii="Arial" w:hAnsi="Arial" w:cs="Arial"/>
        </w:rPr>
        <w:t xml:space="preserve">Sin embargo, </w:t>
      </w:r>
      <w:r w:rsidR="00C06E90">
        <w:rPr>
          <w:rFonts w:ascii="Arial" w:hAnsi="Arial" w:cs="Arial"/>
        </w:rPr>
        <w:t xml:space="preserve">se confirmó que </w:t>
      </w:r>
      <w:r w:rsidR="00EE3A76" w:rsidRPr="00EE3A76">
        <w:rPr>
          <w:rFonts w:ascii="Arial" w:hAnsi="Arial" w:cs="Arial"/>
        </w:rPr>
        <w:t>los profesionales de PSM basa</w:t>
      </w:r>
      <w:r w:rsidR="00F079FE">
        <w:rPr>
          <w:rFonts w:ascii="Arial" w:hAnsi="Arial" w:cs="Arial"/>
        </w:rPr>
        <w:t>n</w:t>
      </w:r>
      <w:r w:rsidR="00EE3A76" w:rsidRPr="00EE3A76">
        <w:rPr>
          <w:rFonts w:ascii="Arial" w:hAnsi="Arial" w:cs="Arial"/>
        </w:rPr>
        <w:t xml:space="preserve"> su categorización en </w:t>
      </w:r>
      <w:r w:rsidR="00EE3A76">
        <w:rPr>
          <w:rFonts w:ascii="Arial" w:hAnsi="Arial" w:cs="Arial"/>
        </w:rPr>
        <w:t>est</w:t>
      </w:r>
      <w:r w:rsidR="00C06E90">
        <w:rPr>
          <w:rFonts w:ascii="Arial" w:hAnsi="Arial" w:cs="Arial"/>
        </w:rPr>
        <w:t>os estándares internacionales</w:t>
      </w:r>
      <w:r w:rsidR="00B859F3">
        <w:rPr>
          <w:rFonts w:ascii="Arial" w:hAnsi="Arial" w:cs="Arial"/>
        </w:rPr>
        <w:t>,</w:t>
      </w:r>
      <w:r w:rsidR="00EE3A76" w:rsidRPr="00EE3A76">
        <w:rPr>
          <w:rFonts w:ascii="Arial" w:hAnsi="Arial" w:cs="Arial"/>
        </w:rPr>
        <w:t xml:space="preserve"> </w:t>
      </w:r>
      <w:r w:rsidR="00B53316">
        <w:rPr>
          <w:rFonts w:ascii="Arial" w:hAnsi="Arial" w:cs="Arial"/>
        </w:rPr>
        <w:t xml:space="preserve">por estar </w:t>
      </w:r>
      <w:r w:rsidR="00EE3A76" w:rsidRPr="00EE3A76">
        <w:rPr>
          <w:rFonts w:ascii="Arial" w:hAnsi="Arial" w:cs="Arial"/>
        </w:rPr>
        <w:t>centrada</w:t>
      </w:r>
      <w:r w:rsidR="00B53316">
        <w:rPr>
          <w:rFonts w:ascii="Arial" w:hAnsi="Arial" w:cs="Arial"/>
        </w:rPr>
        <w:t>s</w:t>
      </w:r>
      <w:r w:rsidR="00EE3A76" w:rsidRPr="00EE3A76">
        <w:rPr>
          <w:rFonts w:ascii="Arial" w:hAnsi="Arial" w:cs="Arial"/>
        </w:rPr>
        <w:t xml:space="preserve"> principalmente en el producto, y </w:t>
      </w:r>
      <w:r w:rsidR="008559E6">
        <w:rPr>
          <w:rFonts w:ascii="Arial" w:hAnsi="Arial" w:cs="Arial"/>
        </w:rPr>
        <w:t xml:space="preserve">porque son necesarios </w:t>
      </w:r>
      <w:r w:rsidR="00B859F3">
        <w:rPr>
          <w:rFonts w:ascii="Arial" w:hAnsi="Arial" w:cs="Arial"/>
        </w:rPr>
        <w:t xml:space="preserve">para su categorización </w:t>
      </w:r>
      <w:r w:rsidR="00BD41AA">
        <w:rPr>
          <w:rFonts w:ascii="Arial" w:hAnsi="Arial" w:cs="Arial"/>
        </w:rPr>
        <w:t xml:space="preserve">y análisis, </w:t>
      </w:r>
      <w:r w:rsidR="00EE3A76" w:rsidRPr="00EE3A76">
        <w:rPr>
          <w:rFonts w:ascii="Arial" w:hAnsi="Arial" w:cs="Arial"/>
        </w:rPr>
        <w:t>otras características como procesos de producción, tecnología y mercados de proveedores.</w:t>
      </w:r>
      <w:r w:rsidR="003247D1" w:rsidRPr="00EE3A76">
        <w:rPr>
          <w:rFonts w:ascii="Arial" w:hAnsi="Arial" w:cs="Arial"/>
        </w:rPr>
        <w:t xml:space="preserve"> </w:t>
      </w:r>
      <w:r w:rsidR="002B0B92" w:rsidRPr="002B0B92">
        <w:rPr>
          <w:rFonts w:ascii="Arial" w:hAnsi="Arial" w:cs="Arial"/>
        </w:rPr>
        <w:t xml:space="preserve">Por lo tanto, se </w:t>
      </w:r>
      <w:r w:rsidR="00B14236">
        <w:rPr>
          <w:rFonts w:ascii="Arial" w:hAnsi="Arial" w:cs="Arial"/>
        </w:rPr>
        <w:t>consultaron</w:t>
      </w:r>
      <w:r w:rsidR="002B0B92" w:rsidRPr="002B0B92">
        <w:rPr>
          <w:rFonts w:ascii="Arial" w:hAnsi="Arial" w:cs="Arial"/>
        </w:rPr>
        <w:t xml:space="preserve"> otras fuentes </w:t>
      </w:r>
      <w:r w:rsidR="00B14236">
        <w:rPr>
          <w:rFonts w:ascii="Arial" w:hAnsi="Arial" w:cs="Arial"/>
        </w:rPr>
        <w:t xml:space="preserve">en la literatura, </w:t>
      </w:r>
      <w:r w:rsidR="002B0B92" w:rsidRPr="002B0B92">
        <w:rPr>
          <w:rFonts w:ascii="Arial" w:hAnsi="Arial" w:cs="Arial"/>
        </w:rPr>
        <w:t>como el árbol de categorías desarrollado por Weele, A. J. van., 2018, quien consideró una categoría de gasto como un grupo de productos o servicios coherentes, comprados en el mercado de suministro que se utilizan en la empresa para satisfacer demandas de clientes internos o externos.</w:t>
      </w:r>
      <w:r w:rsidR="003247D1" w:rsidRPr="002B0B92">
        <w:t xml:space="preserve"> </w:t>
      </w:r>
      <w:r w:rsidR="003247D1" w:rsidRPr="00C4313D">
        <w:t>(</w:t>
      </w:r>
      <w:r w:rsidR="003247D1" w:rsidRPr="00C4313D">
        <w:rPr>
          <w:rFonts w:ascii="Arial" w:hAnsi="Arial" w:cs="Arial"/>
        </w:rPr>
        <w:t>Weele, A. J. van. 2018).</w:t>
      </w:r>
    </w:p>
    <w:p w14:paraId="0D828107" w14:textId="77777777" w:rsidR="00C741DF" w:rsidRDefault="001B4677" w:rsidP="00705E36">
      <w:pPr>
        <w:ind w:right="140"/>
        <w:rPr>
          <w:rFonts w:ascii="Arial" w:hAnsi="Arial" w:cs="Arial"/>
        </w:rPr>
      </w:pPr>
      <w:r w:rsidRPr="001B4677">
        <w:rPr>
          <w:rFonts w:ascii="Arial" w:hAnsi="Arial" w:cs="Arial"/>
        </w:rPr>
        <w:t xml:space="preserve">Finalmente, </w:t>
      </w:r>
      <w:r w:rsidR="00357A23">
        <w:rPr>
          <w:rFonts w:ascii="Arial" w:hAnsi="Arial" w:cs="Arial"/>
        </w:rPr>
        <w:t xml:space="preserve">para tener </w:t>
      </w:r>
      <w:r w:rsidR="00881F72">
        <w:rPr>
          <w:rFonts w:ascii="Arial" w:hAnsi="Arial" w:cs="Arial"/>
        </w:rPr>
        <w:t>l</w:t>
      </w:r>
      <w:r w:rsidR="00357A23">
        <w:rPr>
          <w:rFonts w:ascii="Arial" w:hAnsi="Arial" w:cs="Arial"/>
        </w:rPr>
        <w:t>a relación con</w:t>
      </w:r>
      <w:r w:rsidRPr="001B4677">
        <w:rPr>
          <w:rFonts w:ascii="Arial" w:hAnsi="Arial" w:cs="Arial"/>
        </w:rPr>
        <w:t xml:space="preserve"> los efectos positivos </w:t>
      </w:r>
      <w:r w:rsidR="00411F54">
        <w:rPr>
          <w:rFonts w:ascii="Arial" w:hAnsi="Arial" w:cs="Arial"/>
        </w:rPr>
        <w:t>en el</w:t>
      </w:r>
      <w:r w:rsidR="00956300">
        <w:rPr>
          <w:rFonts w:ascii="Arial" w:hAnsi="Arial" w:cs="Arial"/>
        </w:rPr>
        <w:t xml:space="preserve"> </w:t>
      </w:r>
      <w:r w:rsidR="00411F54">
        <w:rPr>
          <w:rFonts w:ascii="Arial" w:hAnsi="Arial" w:cs="Arial"/>
        </w:rPr>
        <w:t>medioambiente</w:t>
      </w:r>
      <w:r w:rsidRPr="001B4677">
        <w:rPr>
          <w:rFonts w:ascii="Arial" w:hAnsi="Arial" w:cs="Arial"/>
        </w:rPr>
        <w:t>, cada categoría (P</w:t>
      </w:r>
      <w:r w:rsidR="00777464">
        <w:rPr>
          <w:rFonts w:ascii="Arial" w:hAnsi="Arial" w:cs="Arial"/>
        </w:rPr>
        <w:t>C</w:t>
      </w:r>
      <w:r w:rsidRPr="001B4677">
        <w:rPr>
          <w:rFonts w:ascii="Arial" w:hAnsi="Arial" w:cs="Arial"/>
        </w:rPr>
        <w:t>)</w:t>
      </w:r>
      <w:r w:rsidR="00E171FA">
        <w:rPr>
          <w:rFonts w:ascii="Arial" w:hAnsi="Arial" w:cs="Arial"/>
        </w:rPr>
        <w:t xml:space="preserve"> es</w:t>
      </w:r>
      <w:r w:rsidRPr="001B4677">
        <w:rPr>
          <w:rFonts w:ascii="Arial" w:hAnsi="Arial" w:cs="Arial"/>
        </w:rPr>
        <w:t xml:space="preserve"> considerada como un insumo necesario para la producción de la empresa</w:t>
      </w:r>
      <w:r w:rsidR="00F85283">
        <w:rPr>
          <w:rFonts w:ascii="Arial" w:hAnsi="Arial" w:cs="Arial"/>
        </w:rPr>
        <w:t xml:space="preserve">, </w:t>
      </w:r>
      <w:r w:rsidR="00E171FA">
        <w:rPr>
          <w:rFonts w:ascii="Arial" w:hAnsi="Arial" w:cs="Arial"/>
        </w:rPr>
        <w:t xml:space="preserve">y se </w:t>
      </w:r>
      <w:r w:rsidRPr="001B4677">
        <w:rPr>
          <w:rFonts w:ascii="Arial" w:hAnsi="Arial" w:cs="Arial"/>
        </w:rPr>
        <w:t xml:space="preserve">clasifica dentro de un factor productivo </w:t>
      </w:r>
      <w:r w:rsidR="0042772F" w:rsidRPr="00611622">
        <w:rPr>
          <w:rFonts w:ascii="Arial" w:hAnsi="Arial" w:cs="Arial"/>
        </w:rPr>
        <w:t>K (capital</w:t>
      </w:r>
      <w:r w:rsidR="0042772F">
        <w:rPr>
          <w:rFonts w:ascii="Arial" w:hAnsi="Arial" w:cs="Arial"/>
        </w:rPr>
        <w:t>, hecho por el hombre</w:t>
      </w:r>
      <w:r w:rsidR="0042772F" w:rsidRPr="00611622">
        <w:rPr>
          <w:rFonts w:ascii="Arial" w:hAnsi="Arial" w:cs="Arial"/>
        </w:rPr>
        <w:t>), L (mano de obra) y R (flujo del Stock de Capital Natural N)</w:t>
      </w:r>
      <w:r w:rsidR="0042772F" w:rsidRPr="000F1310">
        <w:rPr>
          <w:rFonts w:ascii="Arial" w:hAnsi="Arial" w:cs="Arial"/>
        </w:rPr>
        <w:t>, atendiendo a la parte más representativa de cada uno de ellos, ya que todas</w:t>
      </w:r>
      <w:r w:rsidR="0042772F">
        <w:rPr>
          <w:rFonts w:ascii="Arial" w:hAnsi="Arial" w:cs="Arial"/>
        </w:rPr>
        <w:t xml:space="preserve"> la PC</w:t>
      </w:r>
      <w:r w:rsidR="0042772F" w:rsidRPr="000F1310">
        <w:rPr>
          <w:rFonts w:ascii="Arial" w:hAnsi="Arial" w:cs="Arial"/>
        </w:rPr>
        <w:t xml:space="preserve"> son </w:t>
      </w:r>
      <w:r w:rsidR="0042772F">
        <w:rPr>
          <w:rFonts w:ascii="Arial" w:hAnsi="Arial" w:cs="Arial"/>
        </w:rPr>
        <w:t xml:space="preserve">de alguna manera </w:t>
      </w:r>
      <w:r w:rsidR="0042772F" w:rsidRPr="000F1310">
        <w:rPr>
          <w:rFonts w:ascii="Arial" w:hAnsi="Arial" w:cs="Arial"/>
        </w:rPr>
        <w:t xml:space="preserve">una combinación de los tres </w:t>
      </w:r>
      <w:r w:rsidR="0042772F">
        <w:rPr>
          <w:rFonts w:ascii="Arial" w:hAnsi="Arial" w:cs="Arial"/>
        </w:rPr>
        <w:t>factores</w:t>
      </w:r>
      <w:r w:rsidRPr="001B4677">
        <w:rPr>
          <w:rFonts w:ascii="Arial" w:hAnsi="Arial" w:cs="Arial"/>
        </w:rPr>
        <w:t xml:space="preserve">. </w:t>
      </w:r>
    </w:p>
    <w:p w14:paraId="7C1CDD10" w14:textId="51FCA48B" w:rsidR="001D6D6B" w:rsidRDefault="009C5450" w:rsidP="00705E36">
      <w:pPr>
        <w:ind w:right="140"/>
        <w:rPr>
          <w:rFonts w:ascii="Arial" w:hAnsi="Arial" w:cs="Arial"/>
        </w:rPr>
      </w:pPr>
      <w:r>
        <w:rPr>
          <w:rFonts w:ascii="Arial" w:hAnsi="Arial" w:cs="Arial"/>
        </w:rPr>
        <w:t xml:space="preserve">Y </w:t>
      </w:r>
      <w:r w:rsidR="00C741DF">
        <w:rPr>
          <w:rFonts w:ascii="Arial" w:hAnsi="Arial" w:cs="Arial"/>
        </w:rPr>
        <w:t>por tanto</w:t>
      </w:r>
      <w:r>
        <w:rPr>
          <w:rFonts w:ascii="Arial" w:hAnsi="Arial" w:cs="Arial"/>
        </w:rPr>
        <w:t xml:space="preserve"> </w:t>
      </w:r>
      <w:r w:rsidR="001B4677" w:rsidRPr="001B4677">
        <w:rPr>
          <w:rFonts w:ascii="Arial" w:hAnsi="Arial" w:cs="Arial"/>
        </w:rPr>
        <w:t>cuanto mayor sea el número de ahorros generados</w:t>
      </w:r>
      <w:r w:rsidR="00D329E6">
        <w:rPr>
          <w:rFonts w:ascii="Arial" w:hAnsi="Arial" w:cs="Arial"/>
        </w:rPr>
        <w:t xml:space="preserve"> </w:t>
      </w:r>
      <w:r w:rsidR="00D329E6" w:rsidRPr="001B4677">
        <w:rPr>
          <w:rFonts w:ascii="Arial" w:hAnsi="Arial" w:cs="Arial"/>
        </w:rPr>
        <w:t>reconocidos en las categorías de compra (P</w:t>
      </w:r>
      <w:r w:rsidR="00D329E6">
        <w:rPr>
          <w:rFonts w:ascii="Arial" w:hAnsi="Arial" w:cs="Arial"/>
        </w:rPr>
        <w:t>C</w:t>
      </w:r>
      <w:r w:rsidR="00D329E6" w:rsidRPr="001B4677">
        <w:rPr>
          <w:rFonts w:ascii="Arial" w:hAnsi="Arial" w:cs="Arial"/>
        </w:rPr>
        <w:t xml:space="preserve">) </w:t>
      </w:r>
      <w:r w:rsidR="00D329E6">
        <w:rPr>
          <w:rFonts w:ascii="Arial" w:hAnsi="Arial" w:cs="Arial"/>
        </w:rPr>
        <w:t>consideradas</w:t>
      </w:r>
      <w:r w:rsidR="00D329E6" w:rsidRPr="001B4677">
        <w:rPr>
          <w:rFonts w:ascii="Arial" w:hAnsi="Arial" w:cs="Arial"/>
        </w:rPr>
        <w:t xml:space="preserve"> R</w:t>
      </w:r>
      <w:r w:rsidR="00D329E6">
        <w:rPr>
          <w:rFonts w:ascii="Arial" w:hAnsi="Arial" w:cs="Arial"/>
        </w:rPr>
        <w:t xml:space="preserve">, </w:t>
      </w:r>
      <w:r w:rsidR="001B4677" w:rsidRPr="001B4677">
        <w:rPr>
          <w:rFonts w:ascii="Arial" w:hAnsi="Arial" w:cs="Arial"/>
        </w:rPr>
        <w:t xml:space="preserve">más efectos positivos en el medio ambiente, </w:t>
      </w:r>
      <w:r w:rsidR="00754F73">
        <w:rPr>
          <w:rFonts w:ascii="Arial" w:hAnsi="Arial" w:cs="Arial"/>
        </w:rPr>
        <w:t>ya que</w:t>
      </w:r>
      <w:r w:rsidR="001B4677" w:rsidRPr="001B4677">
        <w:rPr>
          <w:rFonts w:ascii="Arial" w:hAnsi="Arial" w:cs="Arial"/>
        </w:rPr>
        <w:t xml:space="preserve"> significa</w:t>
      </w:r>
      <w:r w:rsidR="00AF596E">
        <w:rPr>
          <w:rFonts w:ascii="Arial" w:hAnsi="Arial" w:cs="Arial"/>
        </w:rPr>
        <w:t>n</w:t>
      </w:r>
      <w:r w:rsidR="001B4677" w:rsidRPr="001B4677">
        <w:rPr>
          <w:rFonts w:ascii="Arial" w:hAnsi="Arial" w:cs="Arial"/>
        </w:rPr>
        <w:t xml:space="preserve"> un menor consumo de recursos naturales. </w:t>
      </w:r>
    </w:p>
    <w:p w14:paraId="373BA7AC" w14:textId="77777777" w:rsidR="00C741DF" w:rsidRDefault="00C741DF" w:rsidP="00705E36">
      <w:pPr>
        <w:ind w:right="140"/>
        <w:rPr>
          <w:rFonts w:ascii="Arial" w:hAnsi="Arial" w:cs="Arial"/>
        </w:rPr>
      </w:pPr>
    </w:p>
    <w:p w14:paraId="55CC1A7C" w14:textId="4DF02A58" w:rsidR="00314F3C" w:rsidRPr="00BC7A03" w:rsidRDefault="00314F3C" w:rsidP="00705E36">
      <w:pPr>
        <w:ind w:right="140"/>
        <w:jc w:val="center"/>
        <w:rPr>
          <w:rFonts w:ascii="Arial" w:hAnsi="Arial" w:cs="Arial"/>
        </w:rPr>
      </w:pPr>
      <w:r w:rsidRPr="0041212B">
        <w:rPr>
          <w:rFonts w:ascii="Arial" w:hAnsi="Arial" w:cs="Arial"/>
          <w:b/>
          <w:bCs/>
        </w:rPr>
        <w:t>Tabl</w:t>
      </w:r>
      <w:r w:rsidR="00D93663" w:rsidRPr="0041212B">
        <w:rPr>
          <w:rFonts w:ascii="Arial" w:hAnsi="Arial" w:cs="Arial"/>
          <w:b/>
          <w:bCs/>
        </w:rPr>
        <w:t>a</w:t>
      </w:r>
      <w:r w:rsidRPr="0041212B">
        <w:rPr>
          <w:rFonts w:ascii="Arial" w:hAnsi="Arial" w:cs="Arial"/>
          <w:b/>
          <w:bCs/>
        </w:rPr>
        <w:t xml:space="preserve">. </w:t>
      </w:r>
      <w:r w:rsidR="00E71449" w:rsidRPr="00E71449">
        <w:rPr>
          <w:rFonts w:ascii="Arial" w:hAnsi="Arial" w:cs="Arial"/>
          <w:b/>
          <w:bCs/>
        </w:rPr>
        <w:t>4</w:t>
      </w:r>
      <w:r w:rsidRPr="00BC7A03">
        <w:rPr>
          <w:rFonts w:ascii="Arial" w:hAnsi="Arial" w:cs="Arial"/>
        </w:rPr>
        <w:t xml:space="preserve"> </w:t>
      </w:r>
      <w:r w:rsidR="00D93663" w:rsidRPr="00BC7A03">
        <w:rPr>
          <w:rFonts w:ascii="Arial" w:hAnsi="Arial" w:cs="Arial"/>
        </w:rPr>
        <w:t>Clasificación de los gastos</w:t>
      </w:r>
      <w:r w:rsidRPr="00BC7A03">
        <w:rPr>
          <w:rFonts w:ascii="Arial" w:hAnsi="Arial" w:cs="Arial"/>
        </w:rPr>
        <w:t xml:space="preserve"> – </w:t>
      </w:r>
      <w:r w:rsidR="00BC7A03">
        <w:rPr>
          <w:rFonts w:ascii="Arial" w:hAnsi="Arial" w:cs="Arial"/>
        </w:rPr>
        <w:t>Categorías de compras (PC)</w:t>
      </w:r>
    </w:p>
    <w:tbl>
      <w:tblPr>
        <w:tblW w:w="8456" w:type="dxa"/>
        <w:jc w:val="center"/>
        <w:tblLayout w:type="fixed"/>
        <w:tblCellMar>
          <w:left w:w="70" w:type="dxa"/>
          <w:right w:w="70" w:type="dxa"/>
        </w:tblCellMar>
        <w:tblLook w:val="04A0" w:firstRow="1" w:lastRow="0" w:firstColumn="1" w:lastColumn="0" w:noHBand="0" w:noVBand="1"/>
      </w:tblPr>
      <w:tblGrid>
        <w:gridCol w:w="5524"/>
        <w:gridCol w:w="1842"/>
        <w:gridCol w:w="1090"/>
      </w:tblGrid>
      <w:tr w:rsidR="00314F3C" w:rsidRPr="00264B84" w14:paraId="16768711" w14:textId="77777777" w:rsidTr="00B77DEF">
        <w:trPr>
          <w:trHeight w:val="416"/>
          <w:jc w:val="center"/>
        </w:trPr>
        <w:tc>
          <w:tcPr>
            <w:tcW w:w="8456" w:type="dxa"/>
            <w:gridSpan w:val="3"/>
            <w:tcBorders>
              <w:top w:val="single" w:sz="4" w:space="0" w:color="auto"/>
              <w:left w:val="single" w:sz="4" w:space="0" w:color="auto"/>
              <w:bottom w:val="double" w:sz="6" w:space="0" w:color="auto"/>
              <w:right w:val="single" w:sz="4" w:space="0" w:color="000000"/>
            </w:tcBorders>
          </w:tcPr>
          <w:p w14:paraId="1220FC2A" w14:textId="6DC07258" w:rsidR="00314F3C" w:rsidRPr="00264B84" w:rsidRDefault="00BC7A03" w:rsidP="00705E36">
            <w:pPr>
              <w:spacing w:after="0" w:line="276" w:lineRule="auto"/>
              <w:ind w:right="140"/>
              <w:jc w:val="center"/>
              <w:rPr>
                <w:rFonts w:ascii="Arial" w:eastAsia="Times New Roman" w:hAnsi="Arial" w:cs="Arial"/>
                <w:b/>
                <w:bCs/>
                <w:i/>
                <w:iCs/>
                <w:color w:val="000000"/>
                <w:lang w:eastAsia="es-ES"/>
              </w:rPr>
            </w:pPr>
            <w:r>
              <w:rPr>
                <w:rFonts w:ascii="Arial" w:eastAsia="Times New Roman" w:hAnsi="Arial" w:cs="Arial"/>
                <w:b/>
                <w:bCs/>
                <w:i/>
                <w:iCs/>
                <w:color w:val="000000"/>
                <w:lang w:eastAsia="es-ES"/>
              </w:rPr>
              <w:t xml:space="preserve">Categorías de Compras / </w:t>
            </w:r>
            <w:r w:rsidR="00314F3C" w:rsidRPr="00264B84">
              <w:rPr>
                <w:rFonts w:ascii="Arial" w:eastAsia="Times New Roman" w:hAnsi="Arial" w:cs="Arial"/>
                <w:b/>
                <w:bCs/>
                <w:i/>
                <w:iCs/>
                <w:color w:val="000000"/>
                <w:lang w:eastAsia="es-ES"/>
              </w:rPr>
              <w:t>Purchasing Categories – PC</w:t>
            </w:r>
          </w:p>
        </w:tc>
      </w:tr>
      <w:tr w:rsidR="00314F3C" w:rsidRPr="00264B84" w14:paraId="39A3FD1A" w14:textId="77777777" w:rsidTr="00040EDE">
        <w:trPr>
          <w:trHeight w:val="285"/>
          <w:jc w:val="center"/>
        </w:trPr>
        <w:tc>
          <w:tcPr>
            <w:tcW w:w="5524" w:type="dxa"/>
            <w:tcBorders>
              <w:top w:val="nil"/>
              <w:left w:val="single" w:sz="4" w:space="0" w:color="auto"/>
              <w:bottom w:val="nil"/>
              <w:right w:val="nil"/>
            </w:tcBorders>
            <w:shd w:val="clear" w:color="auto" w:fill="auto"/>
            <w:hideMark/>
          </w:tcPr>
          <w:p w14:paraId="5C28464E" w14:textId="16AC2F5C" w:rsidR="00314F3C" w:rsidRPr="00872811" w:rsidRDefault="00FA1ABE" w:rsidP="00705E36">
            <w:pPr>
              <w:spacing w:after="0" w:line="240" w:lineRule="auto"/>
              <w:ind w:right="140"/>
              <w:rPr>
                <w:rFonts w:ascii="Arial" w:eastAsia="Times New Roman" w:hAnsi="Arial" w:cs="Arial"/>
                <w:color w:val="000000"/>
                <w:lang w:eastAsia="es-ES"/>
              </w:rPr>
            </w:pPr>
            <w:r w:rsidRPr="00264B84">
              <w:rPr>
                <w:rFonts w:ascii="Arial" w:eastAsia="Times New Roman" w:hAnsi="Arial" w:cs="Arial"/>
                <w:color w:val="000000"/>
                <w:lang w:eastAsia="es-ES"/>
              </w:rPr>
              <w:t xml:space="preserve">Materias primas, productos químicos y materias primas </w:t>
            </w:r>
          </w:p>
        </w:tc>
        <w:tc>
          <w:tcPr>
            <w:tcW w:w="1842" w:type="dxa"/>
            <w:tcBorders>
              <w:top w:val="nil"/>
              <w:left w:val="nil"/>
              <w:bottom w:val="nil"/>
              <w:right w:val="nil"/>
            </w:tcBorders>
          </w:tcPr>
          <w:p w14:paraId="101E01D8" w14:textId="57718EF4" w:rsidR="00314F3C" w:rsidRPr="00B701DB" w:rsidRDefault="00314F3C" w:rsidP="00705E36">
            <w:pPr>
              <w:spacing w:after="0" w:line="240" w:lineRule="auto"/>
              <w:ind w:right="140"/>
              <w:rPr>
                <w:rFonts w:ascii="Arial" w:eastAsia="Times New Roman" w:hAnsi="Arial" w:cs="Arial"/>
                <w:color w:val="000000"/>
                <w:lang w:val="en-GB" w:eastAsia="es-ES"/>
              </w:rPr>
            </w:pPr>
            <w:r w:rsidRPr="00264B84">
              <w:rPr>
                <w:rFonts w:ascii="Arial" w:eastAsia="Times New Roman" w:hAnsi="Arial" w:cs="Arial"/>
                <w:color w:val="000000"/>
                <w:lang w:val="en-GB" w:eastAsia="es-ES"/>
              </w:rPr>
              <w:t xml:space="preserve">R </w:t>
            </w:r>
            <w:r w:rsidR="008A2582">
              <w:rPr>
                <w:rFonts w:ascii="Arial" w:eastAsia="Times New Roman" w:hAnsi="Arial" w:cs="Arial"/>
                <w:color w:val="000000"/>
                <w:lang w:eastAsia="es-ES"/>
              </w:rPr>
              <w:t xml:space="preserve">recursos </w:t>
            </w:r>
            <w:r w:rsidR="002E7000">
              <w:rPr>
                <w:rFonts w:ascii="Arial" w:eastAsia="Times New Roman" w:hAnsi="Arial" w:cs="Arial"/>
                <w:color w:val="000000"/>
                <w:lang w:eastAsia="es-ES"/>
              </w:rPr>
              <w:t>n</w:t>
            </w:r>
            <w:r w:rsidR="00F631FC" w:rsidRPr="00264B84">
              <w:rPr>
                <w:rFonts w:ascii="Arial" w:eastAsia="Times New Roman" w:hAnsi="Arial" w:cs="Arial"/>
                <w:color w:val="000000"/>
                <w:lang w:eastAsia="es-ES"/>
              </w:rPr>
              <w:t>aturales</w:t>
            </w:r>
          </w:p>
        </w:tc>
        <w:tc>
          <w:tcPr>
            <w:tcW w:w="1090" w:type="dxa"/>
            <w:tcBorders>
              <w:top w:val="nil"/>
              <w:left w:val="nil"/>
              <w:bottom w:val="nil"/>
              <w:right w:val="single" w:sz="4" w:space="0" w:color="auto"/>
            </w:tcBorders>
            <w:shd w:val="clear" w:color="auto" w:fill="auto"/>
            <w:hideMark/>
          </w:tcPr>
          <w:p w14:paraId="6A397756" w14:textId="77777777" w:rsidR="00314F3C" w:rsidRPr="00264B84" w:rsidRDefault="00314F3C" w:rsidP="00705E36">
            <w:pPr>
              <w:spacing w:after="0" w:line="240" w:lineRule="auto"/>
              <w:ind w:right="140"/>
              <w:rPr>
                <w:rFonts w:ascii="Arial" w:eastAsia="Times New Roman" w:hAnsi="Arial" w:cs="Arial"/>
                <w:color w:val="000000"/>
                <w:lang w:eastAsia="es-ES"/>
              </w:rPr>
            </w:pPr>
            <w:r w:rsidRPr="00264B84">
              <w:rPr>
                <w:rFonts w:ascii="Arial" w:eastAsia="Times New Roman" w:hAnsi="Arial" w:cs="Arial"/>
                <w:color w:val="000000"/>
                <w:lang w:eastAsia="es-ES"/>
              </w:rPr>
              <w:t>PC1</w:t>
            </w:r>
          </w:p>
        </w:tc>
      </w:tr>
      <w:tr w:rsidR="00314F3C" w:rsidRPr="00264B84" w14:paraId="693AA891" w14:textId="77777777" w:rsidTr="00040EDE">
        <w:trPr>
          <w:trHeight w:val="269"/>
          <w:jc w:val="center"/>
        </w:trPr>
        <w:tc>
          <w:tcPr>
            <w:tcW w:w="5524" w:type="dxa"/>
            <w:tcBorders>
              <w:top w:val="nil"/>
              <w:left w:val="single" w:sz="4" w:space="0" w:color="auto"/>
              <w:bottom w:val="nil"/>
              <w:right w:val="nil"/>
            </w:tcBorders>
            <w:shd w:val="clear" w:color="auto" w:fill="auto"/>
            <w:noWrap/>
            <w:hideMark/>
          </w:tcPr>
          <w:p w14:paraId="6331A6A2" w14:textId="556E1227" w:rsidR="00314F3C" w:rsidRPr="00264B84" w:rsidRDefault="00872811" w:rsidP="00705E36">
            <w:pPr>
              <w:spacing w:after="0" w:line="240" w:lineRule="auto"/>
              <w:ind w:right="140"/>
              <w:rPr>
                <w:rFonts w:ascii="Arial" w:eastAsia="Times New Roman" w:hAnsi="Arial" w:cs="Arial"/>
                <w:color w:val="000000"/>
                <w:lang w:val="en-GB" w:eastAsia="es-ES"/>
              </w:rPr>
            </w:pPr>
            <w:r w:rsidRPr="00264B84">
              <w:rPr>
                <w:rFonts w:ascii="Arial" w:hAnsi="Arial" w:cs="Arial"/>
                <w:color w:val="000000"/>
                <w:shd w:val="clear" w:color="auto" w:fill="FFFFFF"/>
              </w:rPr>
              <w:t xml:space="preserve">Piezas fabricadas </w:t>
            </w:r>
          </w:p>
        </w:tc>
        <w:tc>
          <w:tcPr>
            <w:tcW w:w="1842" w:type="dxa"/>
            <w:tcBorders>
              <w:top w:val="nil"/>
              <w:left w:val="nil"/>
              <w:bottom w:val="nil"/>
              <w:right w:val="nil"/>
            </w:tcBorders>
          </w:tcPr>
          <w:p w14:paraId="02D28D0A" w14:textId="0EA26AAA" w:rsidR="00314F3C" w:rsidRPr="008A2582" w:rsidRDefault="00314F3C" w:rsidP="00705E36">
            <w:pPr>
              <w:spacing w:after="0" w:line="240" w:lineRule="auto"/>
              <w:ind w:right="140"/>
              <w:rPr>
                <w:rFonts w:ascii="Arial" w:eastAsia="Times New Roman" w:hAnsi="Arial" w:cs="Arial"/>
                <w:color w:val="000000"/>
                <w:lang w:eastAsia="es-ES"/>
              </w:rPr>
            </w:pPr>
            <w:r w:rsidRPr="008A2582">
              <w:rPr>
                <w:rFonts w:ascii="Arial" w:hAnsi="Arial" w:cs="Arial"/>
                <w:color w:val="000000"/>
                <w:shd w:val="clear" w:color="auto" w:fill="FFFFFF"/>
              </w:rPr>
              <w:t xml:space="preserve">K </w:t>
            </w:r>
            <w:r w:rsidR="00B973E4">
              <w:rPr>
                <w:rFonts w:ascii="Arial" w:hAnsi="Arial" w:cs="Arial"/>
                <w:color w:val="000000"/>
                <w:shd w:val="clear" w:color="auto" w:fill="FFFFFF"/>
              </w:rPr>
              <w:t>c</w:t>
            </w:r>
            <w:r w:rsidR="008A2582" w:rsidRPr="00264B84">
              <w:rPr>
                <w:rFonts w:ascii="Arial" w:hAnsi="Arial" w:cs="Arial"/>
                <w:color w:val="000000"/>
                <w:shd w:val="clear" w:color="auto" w:fill="FFFFFF"/>
              </w:rPr>
              <w:t xml:space="preserve">apital </w:t>
            </w:r>
            <w:r w:rsidR="00642305">
              <w:rPr>
                <w:rFonts w:ascii="Arial" w:hAnsi="Arial" w:cs="Arial"/>
                <w:color w:val="000000"/>
                <w:shd w:val="clear" w:color="auto" w:fill="FFFFFF"/>
              </w:rPr>
              <w:t xml:space="preserve">– R </w:t>
            </w:r>
            <w:r w:rsidR="00F328C9">
              <w:rPr>
                <w:rFonts w:ascii="Arial" w:hAnsi="Arial" w:cs="Arial"/>
                <w:color w:val="000000"/>
                <w:shd w:val="clear" w:color="auto" w:fill="FFFFFF"/>
              </w:rPr>
              <w:t>Nat.</w:t>
            </w:r>
          </w:p>
        </w:tc>
        <w:tc>
          <w:tcPr>
            <w:tcW w:w="1090" w:type="dxa"/>
            <w:tcBorders>
              <w:top w:val="nil"/>
              <w:left w:val="nil"/>
              <w:bottom w:val="nil"/>
              <w:right w:val="single" w:sz="4" w:space="0" w:color="auto"/>
            </w:tcBorders>
            <w:shd w:val="clear" w:color="auto" w:fill="auto"/>
            <w:hideMark/>
          </w:tcPr>
          <w:p w14:paraId="62797998" w14:textId="77777777" w:rsidR="00314F3C" w:rsidRPr="00264B84" w:rsidRDefault="00314F3C" w:rsidP="00705E36">
            <w:pPr>
              <w:spacing w:after="0" w:line="240" w:lineRule="auto"/>
              <w:ind w:right="140"/>
              <w:rPr>
                <w:rFonts w:ascii="Arial" w:eastAsia="Times New Roman" w:hAnsi="Arial" w:cs="Arial"/>
                <w:color w:val="000000"/>
                <w:lang w:eastAsia="es-ES"/>
              </w:rPr>
            </w:pPr>
            <w:r w:rsidRPr="00264B84">
              <w:rPr>
                <w:rFonts w:ascii="Arial" w:eastAsia="Times New Roman" w:hAnsi="Arial" w:cs="Arial"/>
                <w:color w:val="000000"/>
                <w:lang w:eastAsia="es-ES"/>
              </w:rPr>
              <w:t>PC2</w:t>
            </w:r>
          </w:p>
        </w:tc>
      </w:tr>
      <w:tr w:rsidR="00314F3C" w:rsidRPr="00264B84" w14:paraId="269CD456" w14:textId="77777777" w:rsidTr="00040EDE">
        <w:trPr>
          <w:trHeight w:val="269"/>
          <w:jc w:val="center"/>
        </w:trPr>
        <w:tc>
          <w:tcPr>
            <w:tcW w:w="5524" w:type="dxa"/>
            <w:tcBorders>
              <w:top w:val="nil"/>
              <w:left w:val="single" w:sz="4" w:space="0" w:color="auto"/>
              <w:bottom w:val="nil"/>
              <w:right w:val="nil"/>
            </w:tcBorders>
            <w:shd w:val="clear" w:color="auto" w:fill="auto"/>
            <w:noWrap/>
            <w:hideMark/>
          </w:tcPr>
          <w:p w14:paraId="0A61A62F" w14:textId="4508EC3D" w:rsidR="00314F3C" w:rsidRPr="00D01735" w:rsidRDefault="00D01735" w:rsidP="00705E36">
            <w:pPr>
              <w:spacing w:after="0" w:line="240" w:lineRule="auto"/>
              <w:ind w:right="140"/>
              <w:rPr>
                <w:rFonts w:ascii="Arial" w:eastAsia="Times New Roman" w:hAnsi="Arial" w:cs="Arial"/>
                <w:color w:val="000000"/>
                <w:lang w:eastAsia="es-ES"/>
              </w:rPr>
            </w:pPr>
            <w:r w:rsidRPr="00264B84">
              <w:rPr>
                <w:rFonts w:ascii="Arial" w:hAnsi="Arial" w:cs="Arial"/>
                <w:color w:val="000000"/>
                <w:shd w:val="clear" w:color="auto" w:fill="FFFFFF"/>
              </w:rPr>
              <w:t xml:space="preserve">Bienes y productos terminados para el comercio </w:t>
            </w:r>
          </w:p>
        </w:tc>
        <w:tc>
          <w:tcPr>
            <w:tcW w:w="1842" w:type="dxa"/>
            <w:tcBorders>
              <w:top w:val="nil"/>
              <w:left w:val="nil"/>
              <w:bottom w:val="nil"/>
              <w:right w:val="nil"/>
            </w:tcBorders>
          </w:tcPr>
          <w:p w14:paraId="5F3114F1" w14:textId="76F56BCB" w:rsidR="00314F3C" w:rsidRPr="00B701DB" w:rsidRDefault="00F328C9" w:rsidP="00705E36">
            <w:pPr>
              <w:spacing w:after="0" w:line="240" w:lineRule="auto"/>
              <w:ind w:right="140"/>
              <w:rPr>
                <w:rFonts w:ascii="Arial" w:eastAsia="Times New Roman" w:hAnsi="Arial" w:cs="Arial"/>
                <w:color w:val="000000"/>
                <w:lang w:val="en-GB" w:eastAsia="es-ES"/>
              </w:rPr>
            </w:pPr>
            <w:r w:rsidRPr="008A2582">
              <w:rPr>
                <w:rFonts w:ascii="Arial" w:hAnsi="Arial" w:cs="Arial"/>
                <w:color w:val="000000"/>
                <w:shd w:val="clear" w:color="auto" w:fill="FFFFFF"/>
              </w:rPr>
              <w:t xml:space="preserve">K </w:t>
            </w:r>
            <w:r>
              <w:rPr>
                <w:rFonts w:ascii="Arial" w:hAnsi="Arial" w:cs="Arial"/>
                <w:color w:val="000000"/>
                <w:shd w:val="clear" w:color="auto" w:fill="FFFFFF"/>
              </w:rPr>
              <w:t>c</w:t>
            </w:r>
            <w:r w:rsidRPr="00264B84">
              <w:rPr>
                <w:rFonts w:ascii="Arial" w:hAnsi="Arial" w:cs="Arial"/>
                <w:color w:val="000000"/>
                <w:shd w:val="clear" w:color="auto" w:fill="FFFFFF"/>
              </w:rPr>
              <w:t xml:space="preserve">apital </w:t>
            </w:r>
            <w:r>
              <w:rPr>
                <w:rFonts w:ascii="Arial" w:hAnsi="Arial" w:cs="Arial"/>
                <w:color w:val="000000"/>
                <w:shd w:val="clear" w:color="auto" w:fill="FFFFFF"/>
              </w:rPr>
              <w:t>– R Nat.</w:t>
            </w:r>
          </w:p>
        </w:tc>
        <w:tc>
          <w:tcPr>
            <w:tcW w:w="1090" w:type="dxa"/>
            <w:tcBorders>
              <w:top w:val="nil"/>
              <w:left w:val="nil"/>
              <w:bottom w:val="nil"/>
              <w:right w:val="single" w:sz="4" w:space="0" w:color="auto"/>
            </w:tcBorders>
            <w:shd w:val="clear" w:color="auto" w:fill="auto"/>
            <w:noWrap/>
            <w:hideMark/>
          </w:tcPr>
          <w:p w14:paraId="78FD4068" w14:textId="77777777" w:rsidR="00314F3C" w:rsidRPr="00264B84" w:rsidRDefault="00314F3C" w:rsidP="00705E36">
            <w:pPr>
              <w:spacing w:after="0" w:line="240" w:lineRule="auto"/>
              <w:ind w:right="140"/>
              <w:rPr>
                <w:rFonts w:ascii="Arial" w:eastAsia="Times New Roman" w:hAnsi="Arial" w:cs="Arial"/>
                <w:color w:val="000000"/>
                <w:lang w:eastAsia="es-ES"/>
              </w:rPr>
            </w:pPr>
            <w:r w:rsidRPr="00264B84">
              <w:rPr>
                <w:rFonts w:ascii="Arial" w:eastAsia="Times New Roman" w:hAnsi="Arial" w:cs="Arial"/>
                <w:color w:val="000000"/>
                <w:lang w:eastAsia="es-ES"/>
              </w:rPr>
              <w:t>PC3</w:t>
            </w:r>
          </w:p>
        </w:tc>
      </w:tr>
      <w:tr w:rsidR="00314F3C" w:rsidRPr="00264B84" w14:paraId="0F713385" w14:textId="77777777" w:rsidTr="00040EDE">
        <w:trPr>
          <w:trHeight w:val="269"/>
          <w:jc w:val="center"/>
        </w:trPr>
        <w:tc>
          <w:tcPr>
            <w:tcW w:w="5524" w:type="dxa"/>
            <w:tcBorders>
              <w:top w:val="nil"/>
              <w:left w:val="single" w:sz="4" w:space="0" w:color="auto"/>
              <w:bottom w:val="nil"/>
              <w:right w:val="nil"/>
            </w:tcBorders>
            <w:shd w:val="clear" w:color="auto" w:fill="auto"/>
            <w:noWrap/>
            <w:hideMark/>
          </w:tcPr>
          <w:p w14:paraId="698AB923" w14:textId="3D2E7317" w:rsidR="00314F3C" w:rsidRPr="00264B84" w:rsidRDefault="00D01735" w:rsidP="00705E36">
            <w:pPr>
              <w:spacing w:after="0" w:line="240" w:lineRule="auto"/>
              <w:ind w:right="140"/>
              <w:rPr>
                <w:rFonts w:ascii="Arial" w:eastAsia="Times New Roman" w:hAnsi="Arial" w:cs="Arial"/>
                <w:color w:val="000000"/>
                <w:lang w:val="en-GB" w:eastAsia="es-ES"/>
              </w:rPr>
            </w:pPr>
            <w:r w:rsidRPr="00264B84">
              <w:rPr>
                <w:rFonts w:ascii="Arial" w:hAnsi="Arial" w:cs="Arial"/>
                <w:color w:val="000000"/>
                <w:shd w:val="clear" w:color="auto" w:fill="FFFFFF"/>
              </w:rPr>
              <w:t xml:space="preserve">Restaurante, cantina, vending </w:t>
            </w:r>
          </w:p>
        </w:tc>
        <w:tc>
          <w:tcPr>
            <w:tcW w:w="1842" w:type="dxa"/>
            <w:tcBorders>
              <w:top w:val="nil"/>
              <w:left w:val="nil"/>
              <w:bottom w:val="nil"/>
              <w:right w:val="nil"/>
            </w:tcBorders>
          </w:tcPr>
          <w:p w14:paraId="0CEEFB30" w14:textId="77777777" w:rsidR="00314F3C" w:rsidRDefault="00314F3C" w:rsidP="00705E36">
            <w:pPr>
              <w:spacing w:after="0" w:line="240" w:lineRule="auto"/>
              <w:ind w:right="140"/>
              <w:rPr>
                <w:rFonts w:ascii="Arial" w:hAnsi="Arial" w:cs="Arial"/>
                <w:color w:val="000000"/>
                <w:shd w:val="clear" w:color="auto" w:fill="FFFFFF"/>
              </w:rPr>
            </w:pPr>
            <w:r w:rsidRPr="00264B84">
              <w:rPr>
                <w:rFonts w:ascii="Arial" w:hAnsi="Arial" w:cs="Arial"/>
                <w:color w:val="000000"/>
                <w:shd w:val="clear" w:color="auto" w:fill="FFFFFF"/>
                <w:lang w:val="en-GB"/>
              </w:rPr>
              <w:t xml:space="preserve">L </w:t>
            </w:r>
            <w:r w:rsidR="00896B80" w:rsidRPr="00264B84">
              <w:rPr>
                <w:rFonts w:ascii="Arial" w:hAnsi="Arial" w:cs="Arial"/>
                <w:color w:val="000000"/>
                <w:shd w:val="clear" w:color="auto" w:fill="FFFFFF"/>
              </w:rPr>
              <w:t>trabajo</w:t>
            </w:r>
          </w:p>
          <w:p w14:paraId="09ED6203" w14:textId="7D8E65DB" w:rsidR="00302BB4" w:rsidRPr="00B701DB" w:rsidRDefault="00302BB4" w:rsidP="00705E36">
            <w:pPr>
              <w:spacing w:after="0" w:line="240" w:lineRule="auto"/>
              <w:ind w:right="140"/>
              <w:rPr>
                <w:rFonts w:ascii="Arial" w:eastAsia="Times New Roman" w:hAnsi="Arial" w:cs="Arial"/>
                <w:color w:val="000000"/>
                <w:lang w:val="en-GB" w:eastAsia="es-ES"/>
              </w:rPr>
            </w:pPr>
          </w:p>
        </w:tc>
        <w:tc>
          <w:tcPr>
            <w:tcW w:w="1090" w:type="dxa"/>
            <w:tcBorders>
              <w:top w:val="nil"/>
              <w:left w:val="nil"/>
              <w:bottom w:val="nil"/>
              <w:right w:val="single" w:sz="4" w:space="0" w:color="auto"/>
            </w:tcBorders>
            <w:shd w:val="clear" w:color="auto" w:fill="auto"/>
            <w:hideMark/>
          </w:tcPr>
          <w:p w14:paraId="72D5CEF3" w14:textId="77777777" w:rsidR="00314F3C" w:rsidRPr="00264B84" w:rsidRDefault="00314F3C" w:rsidP="00705E36">
            <w:pPr>
              <w:spacing w:after="0" w:line="240" w:lineRule="auto"/>
              <w:ind w:right="140"/>
              <w:rPr>
                <w:rFonts w:ascii="Arial" w:eastAsia="Times New Roman" w:hAnsi="Arial" w:cs="Arial"/>
                <w:color w:val="000000"/>
                <w:lang w:eastAsia="es-ES"/>
              </w:rPr>
            </w:pPr>
            <w:r w:rsidRPr="00264B84">
              <w:rPr>
                <w:rFonts w:ascii="Arial" w:eastAsia="Times New Roman" w:hAnsi="Arial" w:cs="Arial"/>
                <w:color w:val="000000"/>
                <w:lang w:eastAsia="es-ES"/>
              </w:rPr>
              <w:t>PC4</w:t>
            </w:r>
          </w:p>
        </w:tc>
      </w:tr>
      <w:tr w:rsidR="00314F3C" w:rsidRPr="00264B84" w14:paraId="2D8285B0" w14:textId="77777777" w:rsidTr="00040EDE">
        <w:trPr>
          <w:trHeight w:val="269"/>
          <w:jc w:val="center"/>
        </w:trPr>
        <w:tc>
          <w:tcPr>
            <w:tcW w:w="5524" w:type="dxa"/>
            <w:tcBorders>
              <w:top w:val="nil"/>
              <w:left w:val="single" w:sz="4" w:space="0" w:color="auto"/>
              <w:bottom w:val="nil"/>
              <w:right w:val="nil"/>
            </w:tcBorders>
            <w:shd w:val="clear" w:color="auto" w:fill="auto"/>
            <w:noWrap/>
            <w:hideMark/>
          </w:tcPr>
          <w:p w14:paraId="04D236E2" w14:textId="62B58AB6" w:rsidR="00314F3C" w:rsidRPr="00264B84" w:rsidRDefault="00D01735" w:rsidP="00705E36">
            <w:pPr>
              <w:spacing w:after="0" w:line="240" w:lineRule="auto"/>
              <w:ind w:right="140"/>
              <w:rPr>
                <w:rFonts w:ascii="Arial" w:eastAsia="Times New Roman" w:hAnsi="Arial" w:cs="Arial"/>
                <w:color w:val="000000"/>
                <w:lang w:val="en-GB" w:eastAsia="es-ES"/>
              </w:rPr>
            </w:pPr>
            <w:r w:rsidRPr="00264B84">
              <w:rPr>
                <w:rFonts w:ascii="Arial" w:hAnsi="Arial" w:cs="Arial"/>
                <w:color w:val="000000"/>
                <w:shd w:val="clear" w:color="auto" w:fill="FFFFFF"/>
              </w:rPr>
              <w:t xml:space="preserve">Embalaje </w:t>
            </w:r>
          </w:p>
        </w:tc>
        <w:tc>
          <w:tcPr>
            <w:tcW w:w="1842" w:type="dxa"/>
            <w:tcBorders>
              <w:top w:val="nil"/>
              <w:left w:val="nil"/>
              <w:bottom w:val="nil"/>
              <w:right w:val="nil"/>
            </w:tcBorders>
          </w:tcPr>
          <w:p w14:paraId="0F902D1C" w14:textId="4B05C043" w:rsidR="00314F3C" w:rsidRPr="00B701DB" w:rsidRDefault="00F328C9" w:rsidP="00705E36">
            <w:pPr>
              <w:spacing w:after="0" w:line="240" w:lineRule="auto"/>
              <w:ind w:right="140"/>
              <w:rPr>
                <w:rFonts w:ascii="Arial" w:eastAsia="Times New Roman" w:hAnsi="Arial" w:cs="Arial"/>
                <w:color w:val="000000"/>
                <w:lang w:val="en-GB" w:eastAsia="es-ES"/>
              </w:rPr>
            </w:pPr>
            <w:r w:rsidRPr="008A2582">
              <w:rPr>
                <w:rFonts w:ascii="Arial" w:hAnsi="Arial" w:cs="Arial"/>
                <w:color w:val="000000"/>
                <w:shd w:val="clear" w:color="auto" w:fill="FFFFFF"/>
              </w:rPr>
              <w:t xml:space="preserve">K </w:t>
            </w:r>
            <w:r>
              <w:rPr>
                <w:rFonts w:ascii="Arial" w:hAnsi="Arial" w:cs="Arial"/>
                <w:color w:val="000000"/>
                <w:shd w:val="clear" w:color="auto" w:fill="FFFFFF"/>
              </w:rPr>
              <w:t>c</w:t>
            </w:r>
            <w:r w:rsidRPr="00264B84">
              <w:rPr>
                <w:rFonts w:ascii="Arial" w:hAnsi="Arial" w:cs="Arial"/>
                <w:color w:val="000000"/>
                <w:shd w:val="clear" w:color="auto" w:fill="FFFFFF"/>
              </w:rPr>
              <w:t xml:space="preserve">apital </w:t>
            </w:r>
            <w:r>
              <w:rPr>
                <w:rFonts w:ascii="Arial" w:hAnsi="Arial" w:cs="Arial"/>
                <w:color w:val="000000"/>
                <w:shd w:val="clear" w:color="auto" w:fill="FFFFFF"/>
              </w:rPr>
              <w:t>– R Nat.</w:t>
            </w:r>
          </w:p>
        </w:tc>
        <w:tc>
          <w:tcPr>
            <w:tcW w:w="1090" w:type="dxa"/>
            <w:tcBorders>
              <w:top w:val="nil"/>
              <w:left w:val="nil"/>
              <w:bottom w:val="nil"/>
              <w:right w:val="single" w:sz="4" w:space="0" w:color="auto"/>
            </w:tcBorders>
            <w:shd w:val="clear" w:color="auto" w:fill="auto"/>
            <w:noWrap/>
            <w:hideMark/>
          </w:tcPr>
          <w:p w14:paraId="291F36B5" w14:textId="77777777" w:rsidR="00314F3C" w:rsidRPr="00264B84" w:rsidRDefault="00314F3C" w:rsidP="00705E36">
            <w:pPr>
              <w:spacing w:after="0" w:line="240" w:lineRule="auto"/>
              <w:ind w:right="140"/>
              <w:rPr>
                <w:rFonts w:ascii="Arial" w:eastAsia="Times New Roman" w:hAnsi="Arial" w:cs="Arial"/>
                <w:color w:val="000000"/>
                <w:lang w:eastAsia="es-ES"/>
              </w:rPr>
            </w:pPr>
            <w:r w:rsidRPr="00264B84">
              <w:rPr>
                <w:rFonts w:ascii="Arial" w:eastAsia="Times New Roman" w:hAnsi="Arial" w:cs="Arial"/>
                <w:color w:val="000000"/>
                <w:lang w:eastAsia="es-ES"/>
              </w:rPr>
              <w:t>PC5</w:t>
            </w:r>
          </w:p>
        </w:tc>
      </w:tr>
      <w:tr w:rsidR="00314F3C" w:rsidRPr="00264B84" w14:paraId="21C73F9B" w14:textId="77777777" w:rsidTr="00040EDE">
        <w:trPr>
          <w:trHeight w:val="269"/>
          <w:jc w:val="center"/>
        </w:trPr>
        <w:tc>
          <w:tcPr>
            <w:tcW w:w="5524" w:type="dxa"/>
            <w:tcBorders>
              <w:top w:val="nil"/>
              <w:left w:val="single" w:sz="4" w:space="0" w:color="auto"/>
              <w:bottom w:val="nil"/>
              <w:right w:val="nil"/>
            </w:tcBorders>
            <w:shd w:val="clear" w:color="auto" w:fill="auto"/>
            <w:noWrap/>
            <w:hideMark/>
          </w:tcPr>
          <w:p w14:paraId="034F72CE" w14:textId="0A141B35" w:rsidR="00314F3C" w:rsidRPr="00264B84" w:rsidRDefault="000D5881" w:rsidP="00705E36">
            <w:pPr>
              <w:spacing w:after="0" w:line="240" w:lineRule="auto"/>
              <w:ind w:right="140"/>
              <w:rPr>
                <w:rFonts w:ascii="Arial" w:eastAsia="Times New Roman" w:hAnsi="Arial" w:cs="Arial"/>
                <w:color w:val="000000"/>
                <w:lang w:val="en-GB" w:eastAsia="es-ES"/>
              </w:rPr>
            </w:pPr>
            <w:r w:rsidRPr="00264B84">
              <w:rPr>
                <w:rFonts w:ascii="Arial" w:hAnsi="Arial" w:cs="Arial"/>
                <w:color w:val="000000"/>
                <w:shd w:val="clear" w:color="auto" w:fill="FFFFFF"/>
              </w:rPr>
              <w:t>Energía / Suministros</w:t>
            </w:r>
          </w:p>
        </w:tc>
        <w:tc>
          <w:tcPr>
            <w:tcW w:w="1842" w:type="dxa"/>
            <w:tcBorders>
              <w:top w:val="nil"/>
              <w:left w:val="nil"/>
              <w:bottom w:val="nil"/>
              <w:right w:val="nil"/>
            </w:tcBorders>
          </w:tcPr>
          <w:p w14:paraId="19F3EF5A" w14:textId="15ADFE1B" w:rsidR="00314F3C" w:rsidRPr="00B701DB" w:rsidRDefault="00314F3C" w:rsidP="00705E36">
            <w:pPr>
              <w:spacing w:after="0" w:line="240" w:lineRule="auto"/>
              <w:ind w:right="140"/>
              <w:rPr>
                <w:rFonts w:ascii="Arial" w:eastAsia="Times New Roman" w:hAnsi="Arial" w:cs="Arial"/>
                <w:color w:val="000000"/>
                <w:lang w:val="en-GB" w:eastAsia="es-ES"/>
              </w:rPr>
            </w:pPr>
            <w:r w:rsidRPr="00264B84">
              <w:rPr>
                <w:rFonts w:ascii="Arial" w:hAnsi="Arial" w:cs="Arial"/>
                <w:color w:val="000000"/>
                <w:shd w:val="clear" w:color="auto" w:fill="FFFFFF"/>
                <w:lang w:val="en-GB"/>
              </w:rPr>
              <w:t xml:space="preserve">R </w:t>
            </w:r>
            <w:r w:rsidR="00B973E4">
              <w:rPr>
                <w:rFonts w:ascii="Arial" w:hAnsi="Arial" w:cs="Arial"/>
                <w:color w:val="000000"/>
                <w:shd w:val="clear" w:color="auto" w:fill="FFFFFF"/>
              </w:rPr>
              <w:t>r</w:t>
            </w:r>
            <w:r w:rsidR="00B973E4" w:rsidRPr="00264B84">
              <w:rPr>
                <w:rFonts w:ascii="Arial" w:hAnsi="Arial" w:cs="Arial"/>
                <w:color w:val="000000"/>
                <w:shd w:val="clear" w:color="auto" w:fill="FFFFFF"/>
              </w:rPr>
              <w:t>ecursos naturales</w:t>
            </w:r>
          </w:p>
        </w:tc>
        <w:tc>
          <w:tcPr>
            <w:tcW w:w="1090" w:type="dxa"/>
            <w:tcBorders>
              <w:top w:val="nil"/>
              <w:left w:val="nil"/>
              <w:bottom w:val="nil"/>
              <w:right w:val="single" w:sz="4" w:space="0" w:color="auto"/>
            </w:tcBorders>
            <w:shd w:val="clear" w:color="auto" w:fill="auto"/>
            <w:hideMark/>
          </w:tcPr>
          <w:p w14:paraId="3E32111C" w14:textId="77777777" w:rsidR="00314F3C" w:rsidRPr="00264B84" w:rsidRDefault="00314F3C" w:rsidP="00705E36">
            <w:pPr>
              <w:spacing w:after="0" w:line="240" w:lineRule="auto"/>
              <w:ind w:right="140"/>
              <w:rPr>
                <w:rFonts w:ascii="Arial" w:eastAsia="Times New Roman" w:hAnsi="Arial" w:cs="Arial"/>
                <w:color w:val="000000"/>
                <w:lang w:eastAsia="es-ES"/>
              </w:rPr>
            </w:pPr>
            <w:r w:rsidRPr="00264B84">
              <w:rPr>
                <w:rFonts w:ascii="Arial" w:eastAsia="Times New Roman" w:hAnsi="Arial" w:cs="Arial"/>
                <w:color w:val="000000"/>
                <w:lang w:eastAsia="es-ES"/>
              </w:rPr>
              <w:t>PC6</w:t>
            </w:r>
          </w:p>
        </w:tc>
      </w:tr>
      <w:tr w:rsidR="00314F3C" w:rsidRPr="00264B84" w14:paraId="0D16F791" w14:textId="77777777" w:rsidTr="00040EDE">
        <w:trPr>
          <w:trHeight w:val="269"/>
          <w:jc w:val="center"/>
        </w:trPr>
        <w:tc>
          <w:tcPr>
            <w:tcW w:w="5524" w:type="dxa"/>
            <w:tcBorders>
              <w:top w:val="nil"/>
              <w:left w:val="single" w:sz="4" w:space="0" w:color="auto"/>
              <w:bottom w:val="nil"/>
              <w:right w:val="nil"/>
            </w:tcBorders>
            <w:shd w:val="clear" w:color="auto" w:fill="auto"/>
            <w:noWrap/>
            <w:hideMark/>
          </w:tcPr>
          <w:p w14:paraId="73DFEE61" w14:textId="3697E89F" w:rsidR="00314F3C" w:rsidRPr="000D5881" w:rsidRDefault="000D5881" w:rsidP="00705E36">
            <w:pPr>
              <w:spacing w:after="0" w:line="240" w:lineRule="auto"/>
              <w:ind w:right="140"/>
              <w:rPr>
                <w:rFonts w:ascii="Arial" w:hAnsi="Arial" w:cs="Arial"/>
                <w:color w:val="000000"/>
                <w:shd w:val="clear" w:color="auto" w:fill="FFFFFF"/>
              </w:rPr>
            </w:pPr>
            <w:r w:rsidRPr="00264B84">
              <w:rPr>
                <w:rFonts w:ascii="Arial" w:hAnsi="Arial" w:cs="Arial"/>
                <w:color w:val="000000"/>
                <w:shd w:val="clear" w:color="auto" w:fill="FFFFFF"/>
              </w:rPr>
              <w:t xml:space="preserve">Bienes de equipo, maquinaria de producción </w:t>
            </w:r>
          </w:p>
        </w:tc>
        <w:tc>
          <w:tcPr>
            <w:tcW w:w="1842" w:type="dxa"/>
            <w:tcBorders>
              <w:top w:val="nil"/>
              <w:left w:val="nil"/>
              <w:bottom w:val="nil"/>
              <w:right w:val="nil"/>
            </w:tcBorders>
          </w:tcPr>
          <w:p w14:paraId="70C8ED9B" w14:textId="01E90244" w:rsidR="00314F3C" w:rsidRPr="00264B84" w:rsidRDefault="00F328C9" w:rsidP="00705E36">
            <w:pPr>
              <w:spacing w:after="0" w:line="240" w:lineRule="auto"/>
              <w:ind w:right="140"/>
              <w:rPr>
                <w:rFonts w:ascii="Arial" w:hAnsi="Arial" w:cs="Arial"/>
                <w:color w:val="000000"/>
                <w:shd w:val="clear" w:color="auto" w:fill="FFFFFF"/>
                <w:lang w:val="en-GB"/>
              </w:rPr>
            </w:pPr>
            <w:r w:rsidRPr="008A2582">
              <w:rPr>
                <w:rFonts w:ascii="Arial" w:hAnsi="Arial" w:cs="Arial"/>
                <w:color w:val="000000"/>
                <w:shd w:val="clear" w:color="auto" w:fill="FFFFFF"/>
              </w:rPr>
              <w:t xml:space="preserve">K </w:t>
            </w:r>
            <w:r>
              <w:rPr>
                <w:rFonts w:ascii="Arial" w:hAnsi="Arial" w:cs="Arial"/>
                <w:color w:val="000000"/>
                <w:shd w:val="clear" w:color="auto" w:fill="FFFFFF"/>
              </w:rPr>
              <w:t>c</w:t>
            </w:r>
            <w:r w:rsidRPr="00264B84">
              <w:rPr>
                <w:rFonts w:ascii="Arial" w:hAnsi="Arial" w:cs="Arial"/>
                <w:color w:val="000000"/>
                <w:shd w:val="clear" w:color="auto" w:fill="FFFFFF"/>
              </w:rPr>
              <w:t xml:space="preserve">apital </w:t>
            </w:r>
            <w:r>
              <w:rPr>
                <w:rFonts w:ascii="Arial" w:hAnsi="Arial" w:cs="Arial"/>
                <w:color w:val="000000"/>
                <w:shd w:val="clear" w:color="auto" w:fill="FFFFFF"/>
              </w:rPr>
              <w:t>– R Nat.</w:t>
            </w:r>
          </w:p>
        </w:tc>
        <w:tc>
          <w:tcPr>
            <w:tcW w:w="1090" w:type="dxa"/>
            <w:tcBorders>
              <w:top w:val="nil"/>
              <w:left w:val="nil"/>
              <w:bottom w:val="nil"/>
              <w:right w:val="single" w:sz="4" w:space="0" w:color="auto"/>
            </w:tcBorders>
            <w:shd w:val="clear" w:color="auto" w:fill="auto"/>
            <w:noWrap/>
            <w:hideMark/>
          </w:tcPr>
          <w:p w14:paraId="67504293" w14:textId="77777777" w:rsidR="00314F3C" w:rsidRPr="00264B84" w:rsidRDefault="00314F3C"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lang w:val="en-GB"/>
              </w:rPr>
              <w:t>PC7</w:t>
            </w:r>
          </w:p>
        </w:tc>
      </w:tr>
      <w:tr w:rsidR="00314F3C" w:rsidRPr="00264B84" w14:paraId="22713FCC" w14:textId="77777777" w:rsidTr="00040EDE">
        <w:trPr>
          <w:trHeight w:val="269"/>
          <w:jc w:val="center"/>
        </w:trPr>
        <w:tc>
          <w:tcPr>
            <w:tcW w:w="5524" w:type="dxa"/>
            <w:tcBorders>
              <w:top w:val="nil"/>
              <w:left w:val="single" w:sz="4" w:space="0" w:color="auto"/>
              <w:bottom w:val="nil"/>
              <w:right w:val="nil"/>
            </w:tcBorders>
            <w:shd w:val="clear" w:color="auto" w:fill="auto"/>
            <w:hideMark/>
          </w:tcPr>
          <w:p w14:paraId="45243A4F" w14:textId="5EE97460" w:rsidR="00314F3C" w:rsidRPr="000D5881" w:rsidRDefault="000D5881" w:rsidP="00705E36">
            <w:pPr>
              <w:spacing w:after="0" w:line="240" w:lineRule="auto"/>
              <w:ind w:right="140"/>
              <w:rPr>
                <w:rFonts w:ascii="Arial" w:hAnsi="Arial" w:cs="Arial"/>
                <w:color w:val="000000"/>
                <w:sz w:val="18"/>
                <w:szCs w:val="18"/>
                <w:shd w:val="clear" w:color="auto" w:fill="FFFFFF"/>
              </w:rPr>
            </w:pPr>
            <w:r w:rsidRPr="00B701DB">
              <w:rPr>
                <w:rFonts w:ascii="Arial" w:hAnsi="Arial" w:cs="Arial"/>
                <w:color w:val="000000"/>
                <w:sz w:val="18"/>
                <w:szCs w:val="18"/>
                <w:shd w:val="clear" w:color="auto" w:fill="FFFFFF"/>
              </w:rPr>
              <w:t>Propiedades / Instalaciones - Bienes Raíces - Mantenimiento Rep.</w:t>
            </w:r>
          </w:p>
        </w:tc>
        <w:tc>
          <w:tcPr>
            <w:tcW w:w="1842" w:type="dxa"/>
            <w:tcBorders>
              <w:top w:val="nil"/>
              <w:left w:val="nil"/>
              <w:bottom w:val="nil"/>
              <w:right w:val="nil"/>
            </w:tcBorders>
          </w:tcPr>
          <w:p w14:paraId="19DDD13A" w14:textId="6A8B6FC5" w:rsidR="00314F3C" w:rsidRPr="00264B84" w:rsidRDefault="00314F3C"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lang w:val="en-GB"/>
              </w:rPr>
              <w:t xml:space="preserve">L </w:t>
            </w:r>
            <w:r w:rsidR="00B973E4">
              <w:rPr>
                <w:rFonts w:ascii="Arial" w:hAnsi="Arial" w:cs="Arial"/>
                <w:color w:val="000000"/>
                <w:shd w:val="clear" w:color="auto" w:fill="FFFFFF"/>
                <w:lang w:val="en-GB"/>
              </w:rPr>
              <w:t>tr</w:t>
            </w:r>
            <w:r w:rsidR="00B973E4" w:rsidRPr="00264B84">
              <w:rPr>
                <w:rFonts w:ascii="Arial" w:hAnsi="Arial" w:cs="Arial"/>
                <w:color w:val="000000"/>
                <w:shd w:val="clear" w:color="auto" w:fill="FFFFFF"/>
              </w:rPr>
              <w:t>abajo</w:t>
            </w:r>
          </w:p>
        </w:tc>
        <w:tc>
          <w:tcPr>
            <w:tcW w:w="1090" w:type="dxa"/>
            <w:tcBorders>
              <w:top w:val="nil"/>
              <w:left w:val="nil"/>
              <w:bottom w:val="nil"/>
              <w:right w:val="single" w:sz="4" w:space="0" w:color="auto"/>
            </w:tcBorders>
            <w:shd w:val="clear" w:color="auto" w:fill="auto"/>
            <w:hideMark/>
          </w:tcPr>
          <w:p w14:paraId="6DB06074" w14:textId="77777777" w:rsidR="00314F3C" w:rsidRPr="00264B84" w:rsidRDefault="00314F3C"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lang w:val="en-GB"/>
              </w:rPr>
              <w:t>PC8</w:t>
            </w:r>
          </w:p>
        </w:tc>
      </w:tr>
      <w:tr w:rsidR="00314F3C" w:rsidRPr="00264B84" w14:paraId="296C9633" w14:textId="77777777" w:rsidTr="00040EDE">
        <w:trPr>
          <w:trHeight w:val="269"/>
          <w:jc w:val="center"/>
        </w:trPr>
        <w:tc>
          <w:tcPr>
            <w:tcW w:w="5524" w:type="dxa"/>
            <w:tcBorders>
              <w:top w:val="nil"/>
              <w:left w:val="single" w:sz="4" w:space="0" w:color="auto"/>
              <w:bottom w:val="nil"/>
              <w:right w:val="nil"/>
            </w:tcBorders>
            <w:shd w:val="clear" w:color="auto" w:fill="auto"/>
            <w:hideMark/>
          </w:tcPr>
          <w:p w14:paraId="6DA9401C" w14:textId="69923818" w:rsidR="00314F3C" w:rsidRPr="00264B84" w:rsidRDefault="000D5881"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rPr>
              <w:t>Seguro</w:t>
            </w:r>
            <w:r>
              <w:rPr>
                <w:rFonts w:ascii="Arial" w:hAnsi="Arial" w:cs="Arial"/>
                <w:color w:val="000000"/>
                <w:shd w:val="clear" w:color="auto" w:fill="FFFFFF"/>
              </w:rPr>
              <w:t>s</w:t>
            </w:r>
          </w:p>
        </w:tc>
        <w:tc>
          <w:tcPr>
            <w:tcW w:w="1842" w:type="dxa"/>
            <w:tcBorders>
              <w:top w:val="nil"/>
              <w:left w:val="nil"/>
              <w:bottom w:val="nil"/>
              <w:right w:val="nil"/>
            </w:tcBorders>
          </w:tcPr>
          <w:p w14:paraId="40C68E98" w14:textId="77777777" w:rsidR="00314F3C" w:rsidRDefault="00314F3C" w:rsidP="00705E36">
            <w:pPr>
              <w:spacing w:after="0" w:line="240" w:lineRule="auto"/>
              <w:ind w:right="140"/>
              <w:rPr>
                <w:rFonts w:ascii="Arial" w:hAnsi="Arial" w:cs="Arial"/>
                <w:color w:val="000000"/>
                <w:shd w:val="clear" w:color="auto" w:fill="FFFFFF"/>
              </w:rPr>
            </w:pPr>
            <w:r w:rsidRPr="00264B84">
              <w:rPr>
                <w:rFonts w:ascii="Arial" w:hAnsi="Arial" w:cs="Arial"/>
                <w:color w:val="000000"/>
                <w:shd w:val="clear" w:color="auto" w:fill="FFFFFF"/>
                <w:lang w:val="en-GB"/>
              </w:rPr>
              <w:t xml:space="preserve">L </w:t>
            </w:r>
            <w:r w:rsidR="00B973E4">
              <w:rPr>
                <w:rFonts w:ascii="Arial" w:hAnsi="Arial" w:cs="Arial"/>
                <w:color w:val="000000"/>
                <w:shd w:val="clear" w:color="auto" w:fill="FFFFFF"/>
                <w:lang w:val="en-GB"/>
              </w:rPr>
              <w:t>tr</w:t>
            </w:r>
            <w:r w:rsidR="00B973E4" w:rsidRPr="00264B84">
              <w:rPr>
                <w:rFonts w:ascii="Arial" w:hAnsi="Arial" w:cs="Arial"/>
                <w:color w:val="000000"/>
                <w:shd w:val="clear" w:color="auto" w:fill="FFFFFF"/>
              </w:rPr>
              <w:t>abajo</w:t>
            </w:r>
          </w:p>
          <w:p w14:paraId="110D6B8F" w14:textId="2D5F221A" w:rsidR="00302BB4" w:rsidRPr="00264B84" w:rsidRDefault="00302BB4" w:rsidP="00705E36">
            <w:pPr>
              <w:spacing w:after="0" w:line="240" w:lineRule="auto"/>
              <w:ind w:right="140"/>
              <w:rPr>
                <w:rFonts w:ascii="Arial" w:hAnsi="Arial" w:cs="Arial"/>
                <w:color w:val="000000"/>
                <w:shd w:val="clear" w:color="auto" w:fill="FFFFFF"/>
                <w:lang w:val="en-GB"/>
              </w:rPr>
            </w:pPr>
          </w:p>
        </w:tc>
        <w:tc>
          <w:tcPr>
            <w:tcW w:w="1090" w:type="dxa"/>
            <w:tcBorders>
              <w:top w:val="nil"/>
              <w:left w:val="nil"/>
              <w:bottom w:val="nil"/>
              <w:right w:val="single" w:sz="4" w:space="0" w:color="auto"/>
            </w:tcBorders>
            <w:shd w:val="clear" w:color="auto" w:fill="auto"/>
            <w:noWrap/>
            <w:hideMark/>
          </w:tcPr>
          <w:p w14:paraId="4AE40A51" w14:textId="77777777" w:rsidR="00314F3C" w:rsidRPr="00264B84" w:rsidRDefault="00314F3C"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lang w:val="en-GB"/>
              </w:rPr>
              <w:t>PC9</w:t>
            </w:r>
          </w:p>
        </w:tc>
      </w:tr>
      <w:tr w:rsidR="00314F3C" w:rsidRPr="00264B84" w14:paraId="6E90E590" w14:textId="77777777" w:rsidTr="00040EDE">
        <w:trPr>
          <w:trHeight w:val="269"/>
          <w:jc w:val="center"/>
        </w:trPr>
        <w:tc>
          <w:tcPr>
            <w:tcW w:w="5524" w:type="dxa"/>
            <w:tcBorders>
              <w:top w:val="nil"/>
              <w:left w:val="single" w:sz="4" w:space="0" w:color="auto"/>
              <w:bottom w:val="nil"/>
              <w:right w:val="nil"/>
            </w:tcBorders>
            <w:shd w:val="clear" w:color="auto" w:fill="auto"/>
            <w:noWrap/>
            <w:hideMark/>
          </w:tcPr>
          <w:p w14:paraId="45CAF506" w14:textId="77777777" w:rsidR="00314F3C" w:rsidRPr="00B701DB" w:rsidRDefault="00314F3C" w:rsidP="00705E36">
            <w:pPr>
              <w:spacing w:after="0" w:line="240" w:lineRule="auto"/>
              <w:ind w:right="140"/>
              <w:rPr>
                <w:rFonts w:ascii="Arial" w:hAnsi="Arial" w:cs="Arial"/>
                <w:color w:val="000000"/>
                <w:sz w:val="18"/>
                <w:szCs w:val="18"/>
                <w:shd w:val="clear" w:color="auto" w:fill="FFFFFF"/>
                <w:lang w:val="en-GB"/>
              </w:rPr>
            </w:pPr>
            <w:r w:rsidRPr="00B701DB">
              <w:rPr>
                <w:rFonts w:ascii="Arial" w:hAnsi="Arial" w:cs="Arial"/>
                <w:color w:val="000000"/>
                <w:sz w:val="18"/>
                <w:szCs w:val="18"/>
                <w:shd w:val="clear" w:color="auto" w:fill="FFFFFF"/>
                <w:lang w:val="en-GB"/>
              </w:rPr>
              <w:t>Outsourcing of services / cleaning, security, archive, reception</w:t>
            </w:r>
          </w:p>
        </w:tc>
        <w:tc>
          <w:tcPr>
            <w:tcW w:w="1842" w:type="dxa"/>
            <w:tcBorders>
              <w:top w:val="nil"/>
              <w:left w:val="nil"/>
              <w:bottom w:val="nil"/>
              <w:right w:val="nil"/>
            </w:tcBorders>
          </w:tcPr>
          <w:p w14:paraId="26098778" w14:textId="77777777" w:rsidR="00314F3C" w:rsidRDefault="00314F3C" w:rsidP="00705E36">
            <w:pPr>
              <w:spacing w:after="0" w:line="240" w:lineRule="auto"/>
              <w:ind w:right="140"/>
              <w:rPr>
                <w:rFonts w:ascii="Arial" w:hAnsi="Arial" w:cs="Arial"/>
                <w:color w:val="000000"/>
                <w:shd w:val="clear" w:color="auto" w:fill="FFFFFF"/>
              </w:rPr>
            </w:pPr>
            <w:r w:rsidRPr="00264B84">
              <w:rPr>
                <w:rFonts w:ascii="Arial" w:hAnsi="Arial" w:cs="Arial"/>
                <w:color w:val="000000"/>
                <w:shd w:val="clear" w:color="auto" w:fill="FFFFFF"/>
                <w:lang w:val="en-GB"/>
              </w:rPr>
              <w:t xml:space="preserve">L </w:t>
            </w:r>
            <w:r w:rsidR="00B973E4">
              <w:rPr>
                <w:rFonts w:ascii="Arial" w:hAnsi="Arial" w:cs="Arial"/>
                <w:color w:val="000000"/>
                <w:shd w:val="clear" w:color="auto" w:fill="FFFFFF"/>
                <w:lang w:val="en-GB"/>
              </w:rPr>
              <w:t>tr</w:t>
            </w:r>
            <w:r w:rsidR="00B973E4" w:rsidRPr="00264B84">
              <w:rPr>
                <w:rFonts w:ascii="Arial" w:hAnsi="Arial" w:cs="Arial"/>
                <w:color w:val="000000"/>
                <w:shd w:val="clear" w:color="auto" w:fill="FFFFFF"/>
              </w:rPr>
              <w:t>abajo</w:t>
            </w:r>
          </w:p>
          <w:p w14:paraId="1626C07F" w14:textId="23EE92BD" w:rsidR="00302BB4" w:rsidRPr="00264B84" w:rsidRDefault="00302BB4" w:rsidP="00705E36">
            <w:pPr>
              <w:spacing w:after="0" w:line="240" w:lineRule="auto"/>
              <w:ind w:right="140"/>
              <w:rPr>
                <w:rFonts w:ascii="Arial" w:hAnsi="Arial" w:cs="Arial"/>
                <w:color w:val="000000"/>
                <w:shd w:val="clear" w:color="auto" w:fill="FFFFFF"/>
                <w:lang w:val="en-GB"/>
              </w:rPr>
            </w:pPr>
          </w:p>
        </w:tc>
        <w:tc>
          <w:tcPr>
            <w:tcW w:w="1090" w:type="dxa"/>
            <w:tcBorders>
              <w:top w:val="nil"/>
              <w:left w:val="nil"/>
              <w:bottom w:val="nil"/>
              <w:right w:val="single" w:sz="4" w:space="0" w:color="auto"/>
            </w:tcBorders>
            <w:shd w:val="clear" w:color="auto" w:fill="auto"/>
            <w:hideMark/>
          </w:tcPr>
          <w:p w14:paraId="67B38F64" w14:textId="77777777" w:rsidR="00314F3C" w:rsidRPr="00264B84" w:rsidRDefault="00314F3C"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lang w:val="en-GB"/>
              </w:rPr>
              <w:t>PC10</w:t>
            </w:r>
          </w:p>
        </w:tc>
      </w:tr>
      <w:tr w:rsidR="00314F3C" w:rsidRPr="00264B84" w14:paraId="26BE1A8C" w14:textId="77777777" w:rsidTr="00040EDE">
        <w:trPr>
          <w:trHeight w:val="269"/>
          <w:jc w:val="center"/>
        </w:trPr>
        <w:tc>
          <w:tcPr>
            <w:tcW w:w="5524" w:type="dxa"/>
            <w:tcBorders>
              <w:top w:val="nil"/>
              <w:left w:val="single" w:sz="4" w:space="0" w:color="auto"/>
              <w:bottom w:val="nil"/>
              <w:right w:val="nil"/>
            </w:tcBorders>
            <w:shd w:val="clear" w:color="auto" w:fill="auto"/>
            <w:noWrap/>
            <w:hideMark/>
          </w:tcPr>
          <w:p w14:paraId="47C3B747" w14:textId="1A55B58A" w:rsidR="00314F3C" w:rsidRPr="0078063C" w:rsidRDefault="0078063C" w:rsidP="00705E36">
            <w:pPr>
              <w:spacing w:after="0" w:line="240" w:lineRule="auto"/>
              <w:ind w:right="140"/>
              <w:rPr>
                <w:rFonts w:ascii="Arial" w:hAnsi="Arial" w:cs="Arial"/>
                <w:color w:val="000000"/>
                <w:shd w:val="clear" w:color="auto" w:fill="FFFFFF"/>
              </w:rPr>
            </w:pPr>
            <w:r w:rsidRPr="00264B84">
              <w:rPr>
                <w:rFonts w:ascii="Arial" w:hAnsi="Arial" w:cs="Arial"/>
                <w:color w:val="000000"/>
                <w:shd w:val="clear" w:color="auto" w:fill="FFFFFF"/>
              </w:rPr>
              <w:t xml:space="preserve">Flota de vehículos y combustible </w:t>
            </w:r>
          </w:p>
        </w:tc>
        <w:tc>
          <w:tcPr>
            <w:tcW w:w="1842" w:type="dxa"/>
            <w:tcBorders>
              <w:top w:val="nil"/>
              <w:left w:val="nil"/>
              <w:bottom w:val="nil"/>
              <w:right w:val="nil"/>
            </w:tcBorders>
          </w:tcPr>
          <w:p w14:paraId="3A5B0346" w14:textId="5BCEB1C4" w:rsidR="00314F3C" w:rsidRPr="00264B84" w:rsidRDefault="00F328C9" w:rsidP="00705E36">
            <w:pPr>
              <w:spacing w:after="0" w:line="240" w:lineRule="auto"/>
              <w:ind w:right="140"/>
              <w:rPr>
                <w:rFonts w:ascii="Arial" w:hAnsi="Arial" w:cs="Arial"/>
                <w:color w:val="000000"/>
                <w:shd w:val="clear" w:color="auto" w:fill="FFFFFF"/>
                <w:lang w:val="en-GB"/>
              </w:rPr>
            </w:pPr>
            <w:r w:rsidRPr="008A2582">
              <w:rPr>
                <w:rFonts w:ascii="Arial" w:hAnsi="Arial" w:cs="Arial"/>
                <w:color w:val="000000"/>
                <w:shd w:val="clear" w:color="auto" w:fill="FFFFFF"/>
              </w:rPr>
              <w:t xml:space="preserve">K </w:t>
            </w:r>
            <w:r>
              <w:rPr>
                <w:rFonts w:ascii="Arial" w:hAnsi="Arial" w:cs="Arial"/>
                <w:color w:val="000000"/>
                <w:shd w:val="clear" w:color="auto" w:fill="FFFFFF"/>
              </w:rPr>
              <w:t>c</w:t>
            </w:r>
            <w:r w:rsidRPr="00264B84">
              <w:rPr>
                <w:rFonts w:ascii="Arial" w:hAnsi="Arial" w:cs="Arial"/>
                <w:color w:val="000000"/>
                <w:shd w:val="clear" w:color="auto" w:fill="FFFFFF"/>
              </w:rPr>
              <w:t xml:space="preserve">apital </w:t>
            </w:r>
            <w:r>
              <w:rPr>
                <w:rFonts w:ascii="Arial" w:hAnsi="Arial" w:cs="Arial"/>
                <w:color w:val="000000"/>
                <w:shd w:val="clear" w:color="auto" w:fill="FFFFFF"/>
              </w:rPr>
              <w:t>– R Nat.</w:t>
            </w:r>
          </w:p>
        </w:tc>
        <w:tc>
          <w:tcPr>
            <w:tcW w:w="1090" w:type="dxa"/>
            <w:tcBorders>
              <w:top w:val="nil"/>
              <w:left w:val="nil"/>
              <w:bottom w:val="nil"/>
              <w:right w:val="single" w:sz="4" w:space="0" w:color="auto"/>
            </w:tcBorders>
            <w:shd w:val="clear" w:color="auto" w:fill="auto"/>
            <w:noWrap/>
            <w:hideMark/>
          </w:tcPr>
          <w:p w14:paraId="50995E29" w14:textId="77777777" w:rsidR="00314F3C" w:rsidRPr="00264B84" w:rsidRDefault="00314F3C"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lang w:val="en-GB"/>
              </w:rPr>
              <w:t>PC11</w:t>
            </w:r>
          </w:p>
        </w:tc>
      </w:tr>
      <w:tr w:rsidR="00314F3C" w:rsidRPr="00264B84" w14:paraId="526585FF" w14:textId="77777777" w:rsidTr="00040EDE">
        <w:trPr>
          <w:trHeight w:val="238"/>
          <w:jc w:val="center"/>
        </w:trPr>
        <w:tc>
          <w:tcPr>
            <w:tcW w:w="5524" w:type="dxa"/>
            <w:tcBorders>
              <w:top w:val="nil"/>
              <w:left w:val="single" w:sz="4" w:space="0" w:color="auto"/>
              <w:bottom w:val="nil"/>
              <w:right w:val="nil"/>
            </w:tcBorders>
            <w:shd w:val="clear" w:color="auto" w:fill="auto"/>
            <w:hideMark/>
          </w:tcPr>
          <w:p w14:paraId="660D238E" w14:textId="2709D358" w:rsidR="00314F3C" w:rsidRPr="00264B84" w:rsidRDefault="0078063C"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rPr>
              <w:t xml:space="preserve">Logística, Mensajería, Correo postal </w:t>
            </w:r>
          </w:p>
        </w:tc>
        <w:tc>
          <w:tcPr>
            <w:tcW w:w="1842" w:type="dxa"/>
            <w:tcBorders>
              <w:top w:val="nil"/>
              <w:left w:val="nil"/>
              <w:bottom w:val="nil"/>
              <w:right w:val="nil"/>
            </w:tcBorders>
          </w:tcPr>
          <w:p w14:paraId="23074E32" w14:textId="77777777" w:rsidR="00314F3C" w:rsidRDefault="00314F3C" w:rsidP="00705E36">
            <w:pPr>
              <w:spacing w:after="0" w:line="240" w:lineRule="auto"/>
              <w:ind w:right="140"/>
              <w:rPr>
                <w:rFonts w:ascii="Arial" w:hAnsi="Arial" w:cs="Arial"/>
                <w:color w:val="000000"/>
                <w:shd w:val="clear" w:color="auto" w:fill="FFFFFF"/>
              </w:rPr>
            </w:pPr>
            <w:r w:rsidRPr="00264B84">
              <w:rPr>
                <w:rFonts w:ascii="Arial" w:hAnsi="Arial" w:cs="Arial"/>
                <w:color w:val="000000"/>
                <w:shd w:val="clear" w:color="auto" w:fill="FFFFFF"/>
                <w:lang w:val="en-GB"/>
              </w:rPr>
              <w:t xml:space="preserve">L </w:t>
            </w:r>
            <w:r w:rsidR="00B973E4">
              <w:rPr>
                <w:rFonts w:ascii="Arial" w:hAnsi="Arial" w:cs="Arial"/>
                <w:color w:val="000000"/>
                <w:shd w:val="clear" w:color="auto" w:fill="FFFFFF"/>
                <w:lang w:val="en-GB"/>
              </w:rPr>
              <w:t>tr</w:t>
            </w:r>
            <w:r w:rsidR="00B973E4" w:rsidRPr="00264B84">
              <w:rPr>
                <w:rFonts w:ascii="Arial" w:hAnsi="Arial" w:cs="Arial"/>
                <w:color w:val="000000"/>
                <w:shd w:val="clear" w:color="auto" w:fill="FFFFFF"/>
              </w:rPr>
              <w:t>abajo</w:t>
            </w:r>
          </w:p>
          <w:p w14:paraId="2119EF5B" w14:textId="5AF706D6" w:rsidR="00302BB4" w:rsidRPr="00264B84" w:rsidRDefault="00302BB4" w:rsidP="00705E36">
            <w:pPr>
              <w:spacing w:after="0" w:line="240" w:lineRule="auto"/>
              <w:ind w:right="140"/>
              <w:rPr>
                <w:rFonts w:ascii="Arial" w:hAnsi="Arial" w:cs="Arial"/>
                <w:color w:val="000000"/>
                <w:shd w:val="clear" w:color="auto" w:fill="FFFFFF"/>
                <w:lang w:val="en-GB"/>
              </w:rPr>
            </w:pPr>
          </w:p>
        </w:tc>
        <w:tc>
          <w:tcPr>
            <w:tcW w:w="1090" w:type="dxa"/>
            <w:tcBorders>
              <w:top w:val="nil"/>
              <w:left w:val="nil"/>
              <w:bottom w:val="nil"/>
              <w:right w:val="single" w:sz="4" w:space="0" w:color="auto"/>
            </w:tcBorders>
            <w:shd w:val="clear" w:color="auto" w:fill="auto"/>
            <w:hideMark/>
          </w:tcPr>
          <w:p w14:paraId="7B0037B1" w14:textId="77777777" w:rsidR="00314F3C" w:rsidRPr="00264B84" w:rsidRDefault="00314F3C"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lang w:val="en-GB"/>
              </w:rPr>
              <w:t>PC12</w:t>
            </w:r>
          </w:p>
        </w:tc>
      </w:tr>
      <w:tr w:rsidR="00314F3C" w:rsidRPr="00264B84" w14:paraId="55ECBA6E" w14:textId="77777777" w:rsidTr="00040EDE">
        <w:trPr>
          <w:trHeight w:val="269"/>
          <w:jc w:val="center"/>
        </w:trPr>
        <w:tc>
          <w:tcPr>
            <w:tcW w:w="5524" w:type="dxa"/>
            <w:tcBorders>
              <w:top w:val="nil"/>
              <w:left w:val="single" w:sz="4" w:space="0" w:color="auto"/>
              <w:bottom w:val="nil"/>
              <w:right w:val="nil"/>
            </w:tcBorders>
            <w:shd w:val="clear" w:color="auto" w:fill="auto"/>
            <w:hideMark/>
          </w:tcPr>
          <w:p w14:paraId="1BD27BDA" w14:textId="44A4C745" w:rsidR="00314F3C" w:rsidRPr="0078063C" w:rsidRDefault="0078063C" w:rsidP="00705E36">
            <w:pPr>
              <w:spacing w:after="0" w:line="240" w:lineRule="auto"/>
              <w:ind w:right="140"/>
              <w:rPr>
                <w:rFonts w:ascii="Arial" w:hAnsi="Arial" w:cs="Arial"/>
                <w:color w:val="000000"/>
                <w:shd w:val="clear" w:color="auto" w:fill="FFFFFF"/>
              </w:rPr>
            </w:pPr>
            <w:r w:rsidRPr="00264B84">
              <w:rPr>
                <w:rFonts w:ascii="Arial" w:hAnsi="Arial" w:cs="Arial"/>
                <w:color w:val="000000"/>
                <w:shd w:val="clear" w:color="auto" w:fill="FFFFFF"/>
              </w:rPr>
              <w:t>Equipos informáticos y de comunicaciones</w:t>
            </w:r>
            <w:r w:rsidR="00314F3C" w:rsidRPr="0078063C">
              <w:rPr>
                <w:rFonts w:ascii="Arial" w:hAnsi="Arial" w:cs="Arial"/>
                <w:color w:val="000000"/>
                <w:shd w:val="clear" w:color="auto" w:fill="FFFFFF"/>
              </w:rPr>
              <w:t xml:space="preserve"> </w:t>
            </w:r>
          </w:p>
        </w:tc>
        <w:tc>
          <w:tcPr>
            <w:tcW w:w="1842" w:type="dxa"/>
            <w:tcBorders>
              <w:top w:val="nil"/>
              <w:left w:val="nil"/>
              <w:bottom w:val="nil"/>
              <w:right w:val="nil"/>
            </w:tcBorders>
          </w:tcPr>
          <w:p w14:paraId="74E62977" w14:textId="69679386" w:rsidR="00314F3C" w:rsidRPr="00264B84" w:rsidRDefault="00F328C9" w:rsidP="00705E36">
            <w:pPr>
              <w:spacing w:after="0" w:line="240" w:lineRule="auto"/>
              <w:ind w:right="140"/>
              <w:rPr>
                <w:rFonts w:ascii="Arial" w:hAnsi="Arial" w:cs="Arial"/>
                <w:color w:val="000000"/>
                <w:shd w:val="clear" w:color="auto" w:fill="FFFFFF"/>
                <w:lang w:val="en-GB"/>
              </w:rPr>
            </w:pPr>
            <w:r w:rsidRPr="008A2582">
              <w:rPr>
                <w:rFonts w:ascii="Arial" w:hAnsi="Arial" w:cs="Arial"/>
                <w:color w:val="000000"/>
                <w:shd w:val="clear" w:color="auto" w:fill="FFFFFF"/>
              </w:rPr>
              <w:t xml:space="preserve">K </w:t>
            </w:r>
            <w:r>
              <w:rPr>
                <w:rFonts w:ascii="Arial" w:hAnsi="Arial" w:cs="Arial"/>
                <w:color w:val="000000"/>
                <w:shd w:val="clear" w:color="auto" w:fill="FFFFFF"/>
              </w:rPr>
              <w:t>c</w:t>
            </w:r>
            <w:r w:rsidRPr="00264B84">
              <w:rPr>
                <w:rFonts w:ascii="Arial" w:hAnsi="Arial" w:cs="Arial"/>
                <w:color w:val="000000"/>
                <w:shd w:val="clear" w:color="auto" w:fill="FFFFFF"/>
              </w:rPr>
              <w:t xml:space="preserve">apital </w:t>
            </w:r>
            <w:r>
              <w:rPr>
                <w:rFonts w:ascii="Arial" w:hAnsi="Arial" w:cs="Arial"/>
                <w:color w:val="000000"/>
                <w:shd w:val="clear" w:color="auto" w:fill="FFFFFF"/>
              </w:rPr>
              <w:t>– R Nat.</w:t>
            </w:r>
          </w:p>
        </w:tc>
        <w:tc>
          <w:tcPr>
            <w:tcW w:w="1090" w:type="dxa"/>
            <w:tcBorders>
              <w:top w:val="nil"/>
              <w:left w:val="nil"/>
              <w:bottom w:val="nil"/>
              <w:right w:val="single" w:sz="4" w:space="0" w:color="auto"/>
            </w:tcBorders>
            <w:shd w:val="clear" w:color="auto" w:fill="auto"/>
            <w:noWrap/>
            <w:hideMark/>
          </w:tcPr>
          <w:p w14:paraId="3CD1C12D" w14:textId="77777777" w:rsidR="00314F3C" w:rsidRPr="00264B84" w:rsidRDefault="00314F3C"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lang w:val="en-GB"/>
              </w:rPr>
              <w:t>PC13</w:t>
            </w:r>
          </w:p>
        </w:tc>
      </w:tr>
      <w:tr w:rsidR="00314F3C" w:rsidRPr="00264B84" w14:paraId="11784E97" w14:textId="77777777" w:rsidTr="00040EDE">
        <w:trPr>
          <w:trHeight w:val="269"/>
          <w:jc w:val="center"/>
        </w:trPr>
        <w:tc>
          <w:tcPr>
            <w:tcW w:w="5524" w:type="dxa"/>
            <w:tcBorders>
              <w:top w:val="nil"/>
              <w:left w:val="single" w:sz="4" w:space="0" w:color="auto"/>
              <w:bottom w:val="nil"/>
              <w:right w:val="nil"/>
            </w:tcBorders>
            <w:shd w:val="clear" w:color="auto" w:fill="auto"/>
            <w:hideMark/>
          </w:tcPr>
          <w:p w14:paraId="75B8FB0E" w14:textId="6EAAC62F" w:rsidR="00314F3C" w:rsidRPr="0078063C" w:rsidRDefault="0078063C" w:rsidP="00705E36">
            <w:pPr>
              <w:spacing w:after="0" w:line="240" w:lineRule="auto"/>
              <w:ind w:right="140"/>
              <w:rPr>
                <w:rFonts w:ascii="Arial" w:hAnsi="Arial" w:cs="Arial"/>
                <w:color w:val="000000"/>
                <w:shd w:val="clear" w:color="auto" w:fill="FFFFFF"/>
              </w:rPr>
            </w:pPr>
            <w:r w:rsidRPr="00264B84">
              <w:rPr>
                <w:rFonts w:ascii="Arial" w:hAnsi="Arial" w:cs="Arial"/>
                <w:color w:val="000000"/>
                <w:shd w:val="clear" w:color="auto" w:fill="FFFFFF"/>
              </w:rPr>
              <w:t xml:space="preserve">Agencias de marketing y medios </w:t>
            </w:r>
          </w:p>
        </w:tc>
        <w:tc>
          <w:tcPr>
            <w:tcW w:w="1842" w:type="dxa"/>
            <w:tcBorders>
              <w:top w:val="nil"/>
              <w:left w:val="nil"/>
              <w:bottom w:val="nil"/>
              <w:right w:val="nil"/>
            </w:tcBorders>
          </w:tcPr>
          <w:p w14:paraId="09F65A87" w14:textId="77777777" w:rsidR="00314F3C" w:rsidRDefault="00314F3C" w:rsidP="00705E36">
            <w:pPr>
              <w:spacing w:after="0" w:line="240" w:lineRule="auto"/>
              <w:ind w:right="140"/>
              <w:rPr>
                <w:rFonts w:ascii="Arial" w:hAnsi="Arial" w:cs="Arial"/>
                <w:color w:val="000000"/>
                <w:shd w:val="clear" w:color="auto" w:fill="FFFFFF"/>
              </w:rPr>
            </w:pPr>
            <w:r w:rsidRPr="00264B84">
              <w:rPr>
                <w:rFonts w:ascii="Arial" w:hAnsi="Arial" w:cs="Arial"/>
                <w:color w:val="000000"/>
                <w:shd w:val="clear" w:color="auto" w:fill="FFFFFF"/>
                <w:lang w:val="en-GB"/>
              </w:rPr>
              <w:t xml:space="preserve">L </w:t>
            </w:r>
            <w:r w:rsidR="00B973E4">
              <w:rPr>
                <w:rFonts w:ascii="Arial" w:hAnsi="Arial" w:cs="Arial"/>
                <w:color w:val="000000"/>
                <w:shd w:val="clear" w:color="auto" w:fill="FFFFFF"/>
                <w:lang w:val="en-GB"/>
              </w:rPr>
              <w:t>tr</w:t>
            </w:r>
            <w:r w:rsidR="00B973E4" w:rsidRPr="00264B84">
              <w:rPr>
                <w:rFonts w:ascii="Arial" w:hAnsi="Arial" w:cs="Arial"/>
                <w:color w:val="000000"/>
                <w:shd w:val="clear" w:color="auto" w:fill="FFFFFF"/>
              </w:rPr>
              <w:t>abajo</w:t>
            </w:r>
          </w:p>
          <w:p w14:paraId="548433E8" w14:textId="6BC94E83" w:rsidR="00302BB4" w:rsidRPr="00264B84" w:rsidRDefault="00302BB4" w:rsidP="00705E36">
            <w:pPr>
              <w:spacing w:after="0" w:line="240" w:lineRule="auto"/>
              <w:ind w:right="140"/>
              <w:rPr>
                <w:rFonts w:ascii="Arial" w:hAnsi="Arial" w:cs="Arial"/>
                <w:color w:val="000000"/>
                <w:shd w:val="clear" w:color="auto" w:fill="FFFFFF"/>
                <w:lang w:val="en-GB"/>
              </w:rPr>
            </w:pPr>
          </w:p>
        </w:tc>
        <w:tc>
          <w:tcPr>
            <w:tcW w:w="1090" w:type="dxa"/>
            <w:tcBorders>
              <w:top w:val="nil"/>
              <w:left w:val="nil"/>
              <w:bottom w:val="nil"/>
              <w:right w:val="single" w:sz="4" w:space="0" w:color="auto"/>
            </w:tcBorders>
            <w:shd w:val="clear" w:color="auto" w:fill="auto"/>
            <w:hideMark/>
          </w:tcPr>
          <w:p w14:paraId="6EC833CE" w14:textId="77777777" w:rsidR="00314F3C" w:rsidRPr="00264B84" w:rsidRDefault="00314F3C"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lang w:val="en-GB"/>
              </w:rPr>
              <w:t>PC14</w:t>
            </w:r>
          </w:p>
        </w:tc>
      </w:tr>
      <w:tr w:rsidR="00314F3C" w:rsidRPr="00264B84" w14:paraId="76DEF0D8" w14:textId="77777777" w:rsidTr="00040EDE">
        <w:trPr>
          <w:trHeight w:val="269"/>
          <w:jc w:val="center"/>
        </w:trPr>
        <w:tc>
          <w:tcPr>
            <w:tcW w:w="5524" w:type="dxa"/>
            <w:tcBorders>
              <w:top w:val="nil"/>
              <w:left w:val="single" w:sz="4" w:space="0" w:color="auto"/>
              <w:bottom w:val="nil"/>
              <w:right w:val="nil"/>
            </w:tcBorders>
            <w:shd w:val="clear" w:color="auto" w:fill="auto"/>
            <w:hideMark/>
          </w:tcPr>
          <w:p w14:paraId="4F6BA7EF" w14:textId="3FF5EF82" w:rsidR="00314F3C" w:rsidRPr="00264B84" w:rsidRDefault="00AC49D9"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rPr>
              <w:t xml:space="preserve">Trabajo temporal, subcontratación </w:t>
            </w:r>
          </w:p>
        </w:tc>
        <w:tc>
          <w:tcPr>
            <w:tcW w:w="1842" w:type="dxa"/>
            <w:tcBorders>
              <w:top w:val="nil"/>
              <w:left w:val="nil"/>
              <w:bottom w:val="nil"/>
              <w:right w:val="nil"/>
            </w:tcBorders>
          </w:tcPr>
          <w:p w14:paraId="31F3A3DF" w14:textId="77777777" w:rsidR="00314F3C" w:rsidRDefault="00314F3C" w:rsidP="00705E36">
            <w:pPr>
              <w:spacing w:after="0" w:line="240" w:lineRule="auto"/>
              <w:ind w:right="140"/>
              <w:rPr>
                <w:rFonts w:ascii="Arial" w:hAnsi="Arial" w:cs="Arial"/>
                <w:color w:val="000000"/>
                <w:shd w:val="clear" w:color="auto" w:fill="FFFFFF"/>
              </w:rPr>
            </w:pPr>
            <w:r w:rsidRPr="00264B84">
              <w:rPr>
                <w:rFonts w:ascii="Arial" w:hAnsi="Arial" w:cs="Arial"/>
                <w:color w:val="000000"/>
                <w:shd w:val="clear" w:color="auto" w:fill="FFFFFF"/>
                <w:lang w:val="en-GB"/>
              </w:rPr>
              <w:t xml:space="preserve">L </w:t>
            </w:r>
            <w:r w:rsidR="00B973E4">
              <w:rPr>
                <w:rFonts w:ascii="Arial" w:hAnsi="Arial" w:cs="Arial"/>
                <w:color w:val="000000"/>
                <w:shd w:val="clear" w:color="auto" w:fill="FFFFFF"/>
                <w:lang w:val="en-GB"/>
              </w:rPr>
              <w:t>tr</w:t>
            </w:r>
            <w:r w:rsidR="00B973E4" w:rsidRPr="00264B84">
              <w:rPr>
                <w:rFonts w:ascii="Arial" w:hAnsi="Arial" w:cs="Arial"/>
                <w:color w:val="000000"/>
                <w:shd w:val="clear" w:color="auto" w:fill="FFFFFF"/>
              </w:rPr>
              <w:t>abajo</w:t>
            </w:r>
          </w:p>
          <w:p w14:paraId="701654B0" w14:textId="3E50E6C6" w:rsidR="00302BB4" w:rsidRPr="00264B84" w:rsidRDefault="00302BB4" w:rsidP="00705E36">
            <w:pPr>
              <w:spacing w:after="0" w:line="240" w:lineRule="auto"/>
              <w:ind w:right="140"/>
              <w:rPr>
                <w:rFonts w:ascii="Arial" w:hAnsi="Arial" w:cs="Arial"/>
                <w:color w:val="000000"/>
                <w:shd w:val="clear" w:color="auto" w:fill="FFFFFF"/>
                <w:lang w:val="en-GB"/>
              </w:rPr>
            </w:pPr>
          </w:p>
        </w:tc>
        <w:tc>
          <w:tcPr>
            <w:tcW w:w="1090" w:type="dxa"/>
            <w:tcBorders>
              <w:top w:val="nil"/>
              <w:left w:val="nil"/>
              <w:bottom w:val="nil"/>
              <w:right w:val="single" w:sz="4" w:space="0" w:color="auto"/>
            </w:tcBorders>
            <w:shd w:val="clear" w:color="auto" w:fill="auto"/>
            <w:noWrap/>
            <w:hideMark/>
          </w:tcPr>
          <w:p w14:paraId="23BBCE1D" w14:textId="77777777" w:rsidR="00314F3C" w:rsidRPr="00264B84" w:rsidRDefault="00314F3C"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lang w:val="en-GB"/>
              </w:rPr>
              <w:t>PC15</w:t>
            </w:r>
          </w:p>
        </w:tc>
      </w:tr>
      <w:tr w:rsidR="00314F3C" w:rsidRPr="00264B84" w14:paraId="03809B36" w14:textId="77777777" w:rsidTr="00040EDE">
        <w:trPr>
          <w:trHeight w:val="269"/>
          <w:jc w:val="center"/>
        </w:trPr>
        <w:tc>
          <w:tcPr>
            <w:tcW w:w="5524" w:type="dxa"/>
            <w:tcBorders>
              <w:top w:val="nil"/>
              <w:left w:val="single" w:sz="4" w:space="0" w:color="auto"/>
              <w:bottom w:val="nil"/>
              <w:right w:val="nil"/>
            </w:tcBorders>
            <w:shd w:val="clear" w:color="auto" w:fill="auto"/>
            <w:hideMark/>
          </w:tcPr>
          <w:p w14:paraId="61CA8527" w14:textId="79141141" w:rsidR="00314F3C" w:rsidRPr="002D1C8E" w:rsidRDefault="00314F3C" w:rsidP="00705E36">
            <w:pPr>
              <w:spacing w:after="0" w:line="240" w:lineRule="auto"/>
              <w:ind w:right="140"/>
              <w:rPr>
                <w:rFonts w:ascii="Arial" w:hAnsi="Arial" w:cs="Arial"/>
                <w:color w:val="000000"/>
                <w:sz w:val="18"/>
                <w:szCs w:val="18"/>
                <w:shd w:val="clear" w:color="auto" w:fill="FFFFFF"/>
              </w:rPr>
            </w:pPr>
            <w:r w:rsidRPr="002D1C8E">
              <w:rPr>
                <w:rFonts w:ascii="Arial" w:hAnsi="Arial" w:cs="Arial"/>
                <w:color w:val="000000"/>
                <w:sz w:val="18"/>
                <w:szCs w:val="18"/>
                <w:shd w:val="clear" w:color="auto" w:fill="FFFFFF"/>
              </w:rPr>
              <w:t>Profess. serv.,</w:t>
            </w:r>
            <w:r w:rsidR="002D1C8E">
              <w:rPr>
                <w:rFonts w:ascii="Arial" w:hAnsi="Arial" w:cs="Arial"/>
                <w:color w:val="000000"/>
                <w:sz w:val="18"/>
                <w:szCs w:val="18"/>
                <w:shd w:val="clear" w:color="auto" w:fill="FFFFFF"/>
              </w:rPr>
              <w:t xml:space="preserve"> </w:t>
            </w:r>
            <w:r w:rsidR="002D1C8E" w:rsidRPr="00B701DB">
              <w:rPr>
                <w:rFonts w:ascii="Arial" w:hAnsi="Arial" w:cs="Arial"/>
                <w:color w:val="000000"/>
                <w:sz w:val="18"/>
                <w:szCs w:val="18"/>
                <w:shd w:val="clear" w:color="auto" w:fill="FFFFFF"/>
              </w:rPr>
              <w:t>Consult</w:t>
            </w:r>
            <w:r w:rsidR="007F20FD">
              <w:rPr>
                <w:rFonts w:ascii="Arial" w:hAnsi="Arial" w:cs="Arial"/>
                <w:color w:val="000000"/>
                <w:sz w:val="18"/>
                <w:szCs w:val="18"/>
                <w:shd w:val="clear" w:color="auto" w:fill="FFFFFF"/>
              </w:rPr>
              <w:t>.</w:t>
            </w:r>
            <w:r w:rsidR="002D1C8E" w:rsidRPr="00B701DB">
              <w:rPr>
                <w:rFonts w:ascii="Arial" w:hAnsi="Arial" w:cs="Arial"/>
                <w:color w:val="000000"/>
                <w:sz w:val="18"/>
                <w:szCs w:val="18"/>
                <w:shd w:val="clear" w:color="auto" w:fill="FFFFFF"/>
              </w:rPr>
              <w:t>, Abogados, Auditorías, Traducc</w:t>
            </w:r>
            <w:r w:rsidR="007F20FD">
              <w:rPr>
                <w:rFonts w:ascii="Arial" w:hAnsi="Arial" w:cs="Arial"/>
                <w:color w:val="000000"/>
                <w:sz w:val="18"/>
                <w:szCs w:val="18"/>
                <w:shd w:val="clear" w:color="auto" w:fill="FFFFFF"/>
              </w:rPr>
              <w:t>.</w:t>
            </w:r>
            <w:r w:rsidR="002D1C8E" w:rsidRPr="00B701DB">
              <w:rPr>
                <w:rFonts w:ascii="Arial" w:hAnsi="Arial" w:cs="Arial"/>
                <w:color w:val="000000"/>
                <w:sz w:val="18"/>
                <w:szCs w:val="18"/>
                <w:shd w:val="clear" w:color="auto" w:fill="FFFFFF"/>
              </w:rPr>
              <w:t>, Formac</w:t>
            </w:r>
            <w:r w:rsidR="007F20FD">
              <w:rPr>
                <w:rFonts w:ascii="Arial" w:hAnsi="Arial" w:cs="Arial"/>
                <w:color w:val="000000"/>
                <w:sz w:val="18"/>
                <w:szCs w:val="18"/>
                <w:shd w:val="clear" w:color="auto" w:fill="FFFFFF"/>
              </w:rPr>
              <w:t>.</w:t>
            </w:r>
          </w:p>
        </w:tc>
        <w:tc>
          <w:tcPr>
            <w:tcW w:w="1842" w:type="dxa"/>
            <w:tcBorders>
              <w:top w:val="nil"/>
              <w:left w:val="nil"/>
              <w:bottom w:val="nil"/>
              <w:right w:val="nil"/>
            </w:tcBorders>
          </w:tcPr>
          <w:p w14:paraId="092CE01E" w14:textId="77777777" w:rsidR="00314F3C" w:rsidRDefault="00314F3C" w:rsidP="00705E36">
            <w:pPr>
              <w:spacing w:after="0" w:line="240" w:lineRule="auto"/>
              <w:ind w:right="140"/>
              <w:rPr>
                <w:rFonts w:ascii="Arial" w:hAnsi="Arial" w:cs="Arial"/>
                <w:color w:val="000000"/>
                <w:shd w:val="clear" w:color="auto" w:fill="FFFFFF"/>
              </w:rPr>
            </w:pPr>
            <w:r w:rsidRPr="00264B84">
              <w:rPr>
                <w:rFonts w:ascii="Arial" w:hAnsi="Arial" w:cs="Arial"/>
                <w:color w:val="000000"/>
                <w:shd w:val="clear" w:color="auto" w:fill="FFFFFF"/>
                <w:lang w:val="en-GB"/>
              </w:rPr>
              <w:t xml:space="preserve">L </w:t>
            </w:r>
            <w:r w:rsidR="00B973E4">
              <w:rPr>
                <w:rFonts w:ascii="Arial" w:hAnsi="Arial" w:cs="Arial"/>
                <w:color w:val="000000"/>
                <w:shd w:val="clear" w:color="auto" w:fill="FFFFFF"/>
                <w:lang w:val="en-GB"/>
              </w:rPr>
              <w:t>tr</w:t>
            </w:r>
            <w:r w:rsidR="00B973E4" w:rsidRPr="00264B84">
              <w:rPr>
                <w:rFonts w:ascii="Arial" w:hAnsi="Arial" w:cs="Arial"/>
                <w:color w:val="000000"/>
                <w:shd w:val="clear" w:color="auto" w:fill="FFFFFF"/>
              </w:rPr>
              <w:t>abajo</w:t>
            </w:r>
          </w:p>
          <w:p w14:paraId="31631E95" w14:textId="0A2BE410" w:rsidR="00302BB4" w:rsidRPr="00264B84" w:rsidRDefault="00302BB4" w:rsidP="00705E36">
            <w:pPr>
              <w:spacing w:after="0" w:line="240" w:lineRule="auto"/>
              <w:ind w:right="140"/>
              <w:rPr>
                <w:rFonts w:ascii="Arial" w:hAnsi="Arial" w:cs="Arial"/>
                <w:color w:val="000000"/>
                <w:shd w:val="clear" w:color="auto" w:fill="FFFFFF"/>
                <w:lang w:val="en-GB"/>
              </w:rPr>
            </w:pPr>
          </w:p>
        </w:tc>
        <w:tc>
          <w:tcPr>
            <w:tcW w:w="1090" w:type="dxa"/>
            <w:tcBorders>
              <w:top w:val="nil"/>
              <w:left w:val="nil"/>
              <w:bottom w:val="nil"/>
              <w:right w:val="single" w:sz="4" w:space="0" w:color="auto"/>
            </w:tcBorders>
            <w:shd w:val="clear" w:color="auto" w:fill="auto"/>
            <w:hideMark/>
          </w:tcPr>
          <w:p w14:paraId="429905CF" w14:textId="77777777" w:rsidR="00314F3C" w:rsidRPr="00264B84" w:rsidRDefault="00314F3C"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lang w:val="en-GB"/>
              </w:rPr>
              <w:t>PC16</w:t>
            </w:r>
          </w:p>
        </w:tc>
      </w:tr>
      <w:tr w:rsidR="00314F3C" w:rsidRPr="00264B84" w14:paraId="06D10C28" w14:textId="77777777" w:rsidTr="00040EDE">
        <w:trPr>
          <w:trHeight w:val="269"/>
          <w:jc w:val="center"/>
        </w:trPr>
        <w:tc>
          <w:tcPr>
            <w:tcW w:w="5524" w:type="dxa"/>
            <w:tcBorders>
              <w:top w:val="nil"/>
              <w:left w:val="single" w:sz="4" w:space="0" w:color="auto"/>
              <w:bottom w:val="nil"/>
              <w:right w:val="nil"/>
            </w:tcBorders>
            <w:shd w:val="clear" w:color="auto" w:fill="auto"/>
            <w:hideMark/>
          </w:tcPr>
          <w:p w14:paraId="77CF2541" w14:textId="217F95FB" w:rsidR="00314F3C" w:rsidRPr="00264B84" w:rsidRDefault="002D1C8E"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rPr>
              <w:t xml:space="preserve">Viajes y eventos </w:t>
            </w:r>
          </w:p>
        </w:tc>
        <w:tc>
          <w:tcPr>
            <w:tcW w:w="1842" w:type="dxa"/>
            <w:tcBorders>
              <w:top w:val="nil"/>
              <w:left w:val="nil"/>
              <w:bottom w:val="nil"/>
              <w:right w:val="nil"/>
            </w:tcBorders>
          </w:tcPr>
          <w:p w14:paraId="75A124AE" w14:textId="77777777" w:rsidR="00314F3C" w:rsidRDefault="00314F3C" w:rsidP="00705E36">
            <w:pPr>
              <w:spacing w:after="0" w:line="240" w:lineRule="auto"/>
              <w:ind w:right="140"/>
              <w:rPr>
                <w:rFonts w:ascii="Arial" w:hAnsi="Arial" w:cs="Arial"/>
                <w:color w:val="000000"/>
                <w:shd w:val="clear" w:color="auto" w:fill="FFFFFF"/>
              </w:rPr>
            </w:pPr>
            <w:r w:rsidRPr="00264B84">
              <w:rPr>
                <w:rFonts w:ascii="Arial" w:hAnsi="Arial" w:cs="Arial"/>
                <w:color w:val="000000"/>
                <w:shd w:val="clear" w:color="auto" w:fill="FFFFFF"/>
                <w:lang w:val="en-GB"/>
              </w:rPr>
              <w:t xml:space="preserve">L </w:t>
            </w:r>
            <w:r w:rsidR="006707D6">
              <w:rPr>
                <w:rFonts w:ascii="Arial" w:hAnsi="Arial" w:cs="Arial"/>
                <w:color w:val="000000"/>
                <w:shd w:val="clear" w:color="auto" w:fill="FFFFFF"/>
                <w:lang w:val="en-GB"/>
              </w:rPr>
              <w:t>tr</w:t>
            </w:r>
            <w:r w:rsidR="006707D6" w:rsidRPr="00264B84">
              <w:rPr>
                <w:rFonts w:ascii="Arial" w:hAnsi="Arial" w:cs="Arial"/>
                <w:color w:val="000000"/>
                <w:shd w:val="clear" w:color="auto" w:fill="FFFFFF"/>
              </w:rPr>
              <w:t>abajo</w:t>
            </w:r>
          </w:p>
          <w:p w14:paraId="60D5291F" w14:textId="38EC7168" w:rsidR="00302BB4" w:rsidRPr="00264B84" w:rsidRDefault="00302BB4" w:rsidP="00705E36">
            <w:pPr>
              <w:spacing w:after="0" w:line="240" w:lineRule="auto"/>
              <w:ind w:right="140"/>
              <w:rPr>
                <w:rFonts w:ascii="Arial" w:hAnsi="Arial" w:cs="Arial"/>
                <w:color w:val="000000"/>
                <w:shd w:val="clear" w:color="auto" w:fill="FFFFFF"/>
                <w:lang w:val="en-GB"/>
              </w:rPr>
            </w:pPr>
          </w:p>
        </w:tc>
        <w:tc>
          <w:tcPr>
            <w:tcW w:w="1090" w:type="dxa"/>
            <w:tcBorders>
              <w:top w:val="nil"/>
              <w:left w:val="nil"/>
              <w:bottom w:val="nil"/>
              <w:right w:val="single" w:sz="4" w:space="0" w:color="auto"/>
            </w:tcBorders>
            <w:shd w:val="clear" w:color="auto" w:fill="auto"/>
            <w:noWrap/>
            <w:hideMark/>
          </w:tcPr>
          <w:p w14:paraId="6C976380" w14:textId="77777777" w:rsidR="00314F3C" w:rsidRPr="00264B84" w:rsidRDefault="00314F3C"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lang w:val="en-GB"/>
              </w:rPr>
              <w:t>PC17</w:t>
            </w:r>
          </w:p>
        </w:tc>
      </w:tr>
      <w:tr w:rsidR="00314F3C" w:rsidRPr="00264B84" w14:paraId="7A19423A" w14:textId="77777777" w:rsidTr="00040EDE">
        <w:trPr>
          <w:trHeight w:val="269"/>
          <w:jc w:val="center"/>
        </w:trPr>
        <w:tc>
          <w:tcPr>
            <w:tcW w:w="5524" w:type="dxa"/>
            <w:tcBorders>
              <w:top w:val="nil"/>
              <w:left w:val="single" w:sz="4" w:space="0" w:color="auto"/>
              <w:bottom w:val="nil"/>
              <w:right w:val="nil"/>
            </w:tcBorders>
            <w:shd w:val="clear" w:color="auto" w:fill="auto"/>
            <w:hideMark/>
          </w:tcPr>
          <w:p w14:paraId="1CCC0851" w14:textId="628A919D" w:rsidR="00314F3C" w:rsidRPr="00264B84" w:rsidRDefault="002D1C8E"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rPr>
              <w:t xml:space="preserve">Material de oficina </w:t>
            </w:r>
          </w:p>
        </w:tc>
        <w:tc>
          <w:tcPr>
            <w:tcW w:w="1842" w:type="dxa"/>
            <w:tcBorders>
              <w:top w:val="nil"/>
              <w:left w:val="nil"/>
              <w:bottom w:val="nil"/>
              <w:right w:val="nil"/>
            </w:tcBorders>
          </w:tcPr>
          <w:p w14:paraId="5A67BE3A" w14:textId="0382AF69" w:rsidR="00314F3C" w:rsidRPr="00264B84" w:rsidRDefault="00F328C9" w:rsidP="00705E36">
            <w:pPr>
              <w:spacing w:after="0" w:line="240" w:lineRule="auto"/>
              <w:ind w:right="140"/>
              <w:rPr>
                <w:rFonts w:ascii="Arial" w:hAnsi="Arial" w:cs="Arial"/>
                <w:color w:val="000000"/>
                <w:shd w:val="clear" w:color="auto" w:fill="FFFFFF"/>
                <w:lang w:val="en-GB"/>
              </w:rPr>
            </w:pPr>
            <w:r w:rsidRPr="008A2582">
              <w:rPr>
                <w:rFonts w:ascii="Arial" w:hAnsi="Arial" w:cs="Arial"/>
                <w:color w:val="000000"/>
                <w:shd w:val="clear" w:color="auto" w:fill="FFFFFF"/>
              </w:rPr>
              <w:t xml:space="preserve">K </w:t>
            </w:r>
            <w:r>
              <w:rPr>
                <w:rFonts w:ascii="Arial" w:hAnsi="Arial" w:cs="Arial"/>
                <w:color w:val="000000"/>
                <w:shd w:val="clear" w:color="auto" w:fill="FFFFFF"/>
              </w:rPr>
              <w:t>c</w:t>
            </w:r>
            <w:r w:rsidRPr="00264B84">
              <w:rPr>
                <w:rFonts w:ascii="Arial" w:hAnsi="Arial" w:cs="Arial"/>
                <w:color w:val="000000"/>
                <w:shd w:val="clear" w:color="auto" w:fill="FFFFFF"/>
              </w:rPr>
              <w:t xml:space="preserve">apital </w:t>
            </w:r>
            <w:r>
              <w:rPr>
                <w:rFonts w:ascii="Arial" w:hAnsi="Arial" w:cs="Arial"/>
                <w:color w:val="000000"/>
                <w:shd w:val="clear" w:color="auto" w:fill="FFFFFF"/>
              </w:rPr>
              <w:t>– R Nat.</w:t>
            </w:r>
          </w:p>
        </w:tc>
        <w:tc>
          <w:tcPr>
            <w:tcW w:w="1090" w:type="dxa"/>
            <w:tcBorders>
              <w:top w:val="nil"/>
              <w:left w:val="nil"/>
              <w:bottom w:val="nil"/>
              <w:right w:val="single" w:sz="4" w:space="0" w:color="auto"/>
            </w:tcBorders>
            <w:shd w:val="clear" w:color="auto" w:fill="auto"/>
            <w:hideMark/>
          </w:tcPr>
          <w:p w14:paraId="58F996C1" w14:textId="77777777" w:rsidR="00314F3C" w:rsidRPr="00264B84" w:rsidRDefault="00314F3C"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lang w:val="en-GB"/>
              </w:rPr>
              <w:t>PC18</w:t>
            </w:r>
          </w:p>
        </w:tc>
      </w:tr>
      <w:tr w:rsidR="00314F3C" w:rsidRPr="00264B84" w14:paraId="279F054E" w14:textId="77777777" w:rsidTr="00040EDE">
        <w:trPr>
          <w:trHeight w:val="269"/>
          <w:jc w:val="center"/>
        </w:trPr>
        <w:tc>
          <w:tcPr>
            <w:tcW w:w="5524" w:type="dxa"/>
            <w:tcBorders>
              <w:top w:val="nil"/>
              <w:left w:val="single" w:sz="4" w:space="0" w:color="auto"/>
              <w:bottom w:val="single" w:sz="4" w:space="0" w:color="auto"/>
              <w:right w:val="nil"/>
            </w:tcBorders>
            <w:shd w:val="clear" w:color="auto" w:fill="auto"/>
            <w:hideMark/>
          </w:tcPr>
          <w:p w14:paraId="360E9C4A" w14:textId="66D0F286" w:rsidR="00314F3C" w:rsidRPr="002D1C8E" w:rsidRDefault="002D1C8E" w:rsidP="00705E36">
            <w:pPr>
              <w:spacing w:after="0" w:line="240" w:lineRule="auto"/>
              <w:ind w:right="140"/>
              <w:rPr>
                <w:rFonts w:ascii="Arial" w:hAnsi="Arial" w:cs="Arial"/>
                <w:color w:val="000000"/>
                <w:shd w:val="clear" w:color="auto" w:fill="FFFFFF"/>
              </w:rPr>
            </w:pPr>
            <w:r w:rsidRPr="00264B84">
              <w:rPr>
                <w:rFonts w:ascii="Arial" w:hAnsi="Arial" w:cs="Arial"/>
                <w:color w:val="000000"/>
                <w:shd w:val="clear" w:color="auto" w:fill="FFFFFF"/>
              </w:rPr>
              <w:t xml:space="preserve">Equipos de protección personal y uniformes </w:t>
            </w:r>
          </w:p>
        </w:tc>
        <w:tc>
          <w:tcPr>
            <w:tcW w:w="1842" w:type="dxa"/>
            <w:tcBorders>
              <w:top w:val="nil"/>
              <w:left w:val="nil"/>
              <w:bottom w:val="single" w:sz="4" w:space="0" w:color="auto"/>
              <w:right w:val="nil"/>
            </w:tcBorders>
          </w:tcPr>
          <w:p w14:paraId="698E880A" w14:textId="70EA9EAC" w:rsidR="00314F3C" w:rsidRPr="00264B84" w:rsidRDefault="00F328C9" w:rsidP="00705E36">
            <w:pPr>
              <w:spacing w:after="0" w:line="240" w:lineRule="auto"/>
              <w:ind w:right="140"/>
              <w:rPr>
                <w:rFonts w:ascii="Arial" w:hAnsi="Arial" w:cs="Arial"/>
                <w:color w:val="000000"/>
                <w:shd w:val="clear" w:color="auto" w:fill="FFFFFF"/>
                <w:lang w:val="en-GB"/>
              </w:rPr>
            </w:pPr>
            <w:r w:rsidRPr="008A2582">
              <w:rPr>
                <w:rFonts w:ascii="Arial" w:hAnsi="Arial" w:cs="Arial"/>
                <w:color w:val="000000"/>
                <w:shd w:val="clear" w:color="auto" w:fill="FFFFFF"/>
              </w:rPr>
              <w:t xml:space="preserve">K </w:t>
            </w:r>
            <w:r>
              <w:rPr>
                <w:rFonts w:ascii="Arial" w:hAnsi="Arial" w:cs="Arial"/>
                <w:color w:val="000000"/>
                <w:shd w:val="clear" w:color="auto" w:fill="FFFFFF"/>
              </w:rPr>
              <w:t>c</w:t>
            </w:r>
            <w:r w:rsidRPr="00264B84">
              <w:rPr>
                <w:rFonts w:ascii="Arial" w:hAnsi="Arial" w:cs="Arial"/>
                <w:color w:val="000000"/>
                <w:shd w:val="clear" w:color="auto" w:fill="FFFFFF"/>
              </w:rPr>
              <w:t xml:space="preserve">apital </w:t>
            </w:r>
            <w:r>
              <w:rPr>
                <w:rFonts w:ascii="Arial" w:hAnsi="Arial" w:cs="Arial"/>
                <w:color w:val="000000"/>
                <w:shd w:val="clear" w:color="auto" w:fill="FFFFFF"/>
              </w:rPr>
              <w:t>– R Nat.</w:t>
            </w:r>
          </w:p>
        </w:tc>
        <w:tc>
          <w:tcPr>
            <w:tcW w:w="1090" w:type="dxa"/>
            <w:tcBorders>
              <w:top w:val="nil"/>
              <w:left w:val="nil"/>
              <w:bottom w:val="single" w:sz="4" w:space="0" w:color="auto"/>
              <w:right w:val="single" w:sz="4" w:space="0" w:color="auto"/>
            </w:tcBorders>
            <w:shd w:val="clear" w:color="auto" w:fill="auto"/>
            <w:noWrap/>
            <w:hideMark/>
          </w:tcPr>
          <w:p w14:paraId="1C05DA93" w14:textId="77777777" w:rsidR="00314F3C" w:rsidRPr="00264B84" w:rsidRDefault="00314F3C" w:rsidP="00705E36">
            <w:pPr>
              <w:spacing w:after="0" w:line="240" w:lineRule="auto"/>
              <w:ind w:right="140"/>
              <w:rPr>
                <w:rFonts w:ascii="Arial" w:hAnsi="Arial" w:cs="Arial"/>
                <w:color w:val="000000"/>
                <w:shd w:val="clear" w:color="auto" w:fill="FFFFFF"/>
                <w:lang w:val="en-GB"/>
              </w:rPr>
            </w:pPr>
            <w:r w:rsidRPr="00264B84">
              <w:rPr>
                <w:rFonts w:ascii="Arial" w:hAnsi="Arial" w:cs="Arial"/>
                <w:color w:val="000000"/>
                <w:shd w:val="clear" w:color="auto" w:fill="FFFFFF"/>
                <w:lang w:val="en-GB"/>
              </w:rPr>
              <w:t>PC19</w:t>
            </w:r>
          </w:p>
        </w:tc>
      </w:tr>
    </w:tbl>
    <w:p w14:paraId="031A7949" w14:textId="77777777" w:rsidR="00ED62EE" w:rsidRDefault="00ED62EE" w:rsidP="00705E36">
      <w:pPr>
        <w:ind w:right="140"/>
        <w:rPr>
          <w:rFonts w:ascii="Arial" w:hAnsi="Arial" w:cs="Arial"/>
          <w:lang w:val="en-GB"/>
        </w:rPr>
      </w:pPr>
    </w:p>
    <w:p w14:paraId="40AF5C20" w14:textId="592B398E" w:rsidR="00A5453B" w:rsidRPr="00E72C51" w:rsidRDefault="006D6A01" w:rsidP="00705E36">
      <w:pPr>
        <w:ind w:right="140"/>
        <w:rPr>
          <w:rFonts w:ascii="Arial" w:hAnsi="Arial" w:cs="Arial"/>
        </w:rPr>
      </w:pPr>
      <w:r w:rsidRPr="009D1711">
        <w:rPr>
          <w:rFonts w:ascii="Arial" w:hAnsi="Arial" w:cs="Arial"/>
        </w:rPr>
        <w:t>A partir de la primera pregunta de investigación, que busc</w:t>
      </w:r>
      <w:r w:rsidR="00E72C51">
        <w:rPr>
          <w:rFonts w:ascii="Arial" w:hAnsi="Arial" w:cs="Arial"/>
        </w:rPr>
        <w:t>a</w:t>
      </w:r>
      <w:r w:rsidRPr="009D1711">
        <w:rPr>
          <w:rFonts w:ascii="Arial" w:hAnsi="Arial" w:cs="Arial"/>
        </w:rPr>
        <w:t xml:space="preserve"> conocer </w:t>
      </w:r>
      <w:r w:rsidR="00B16549">
        <w:rPr>
          <w:rFonts w:ascii="Arial" w:hAnsi="Arial" w:cs="Arial"/>
        </w:rPr>
        <w:t xml:space="preserve">como influencia la </w:t>
      </w:r>
      <w:r w:rsidRPr="009D1711">
        <w:rPr>
          <w:rFonts w:ascii="Arial" w:hAnsi="Arial" w:cs="Arial"/>
        </w:rPr>
        <w:t xml:space="preserve">madurez de la función </w:t>
      </w:r>
      <w:r w:rsidR="007C63DB">
        <w:rPr>
          <w:rFonts w:ascii="Arial" w:hAnsi="Arial" w:cs="Arial"/>
        </w:rPr>
        <w:t xml:space="preserve">de compras </w:t>
      </w:r>
      <w:r w:rsidRPr="009D1711">
        <w:rPr>
          <w:rFonts w:ascii="Arial" w:hAnsi="Arial" w:cs="Arial"/>
        </w:rPr>
        <w:t>en la generación de ahorro</w:t>
      </w:r>
      <w:r w:rsidR="00E72C51">
        <w:rPr>
          <w:rFonts w:ascii="Arial" w:hAnsi="Arial" w:cs="Arial"/>
        </w:rPr>
        <w:t>s</w:t>
      </w:r>
      <w:r w:rsidRPr="009D1711">
        <w:rPr>
          <w:rFonts w:ascii="Arial" w:hAnsi="Arial" w:cs="Arial"/>
        </w:rPr>
        <w:t xml:space="preserve">, </w:t>
      </w:r>
      <w:r w:rsidR="0080114B">
        <w:rPr>
          <w:rFonts w:ascii="Arial" w:hAnsi="Arial" w:cs="Arial"/>
        </w:rPr>
        <w:t xml:space="preserve">se desarrolla </w:t>
      </w:r>
      <w:r w:rsidR="000A28A7">
        <w:rPr>
          <w:rFonts w:ascii="Arial" w:hAnsi="Arial" w:cs="Arial"/>
        </w:rPr>
        <w:t>la primera hipótesis</w:t>
      </w:r>
      <w:r w:rsidR="0080114B">
        <w:rPr>
          <w:rFonts w:ascii="Arial" w:hAnsi="Arial" w:cs="Arial"/>
        </w:rPr>
        <w:t>,</w:t>
      </w:r>
      <w:r w:rsidR="007C63DB">
        <w:rPr>
          <w:rFonts w:ascii="Arial" w:hAnsi="Arial" w:cs="Arial"/>
        </w:rPr>
        <w:t xml:space="preserve"> </w:t>
      </w:r>
      <w:r w:rsidR="00973446">
        <w:rPr>
          <w:rFonts w:ascii="Arial" w:hAnsi="Arial" w:cs="Arial"/>
        </w:rPr>
        <w:t xml:space="preserve">donde </w:t>
      </w:r>
      <w:r w:rsidR="00592DC2">
        <w:rPr>
          <w:rFonts w:ascii="Arial" w:hAnsi="Arial" w:cs="Arial"/>
        </w:rPr>
        <w:t xml:space="preserve">la </w:t>
      </w:r>
      <w:r w:rsidRPr="009D1711">
        <w:rPr>
          <w:rFonts w:ascii="Arial" w:hAnsi="Arial" w:cs="Arial"/>
        </w:rPr>
        <w:t xml:space="preserve">madurez es la variable independiente del modelo, para </w:t>
      </w:r>
      <w:r w:rsidR="00DB2AFF">
        <w:rPr>
          <w:rFonts w:ascii="Arial" w:hAnsi="Arial" w:cs="Arial"/>
        </w:rPr>
        <w:t xml:space="preserve">así poder </w:t>
      </w:r>
      <w:r w:rsidR="008C310A">
        <w:rPr>
          <w:rFonts w:ascii="Arial" w:hAnsi="Arial" w:cs="Arial"/>
        </w:rPr>
        <w:t xml:space="preserve">comprobar </w:t>
      </w:r>
      <w:r w:rsidR="00CD66B4">
        <w:rPr>
          <w:rFonts w:ascii="Arial" w:hAnsi="Arial" w:cs="Arial"/>
        </w:rPr>
        <w:t>cómo</w:t>
      </w:r>
      <w:r w:rsidR="00741725">
        <w:rPr>
          <w:rFonts w:ascii="Arial" w:hAnsi="Arial" w:cs="Arial"/>
        </w:rPr>
        <w:t xml:space="preserve"> al </w:t>
      </w:r>
      <w:r w:rsidRPr="009D1711">
        <w:rPr>
          <w:rFonts w:ascii="Arial" w:hAnsi="Arial" w:cs="Arial"/>
        </w:rPr>
        <w:t xml:space="preserve">modificarla </w:t>
      </w:r>
      <w:r w:rsidR="00741725">
        <w:rPr>
          <w:rFonts w:ascii="Arial" w:hAnsi="Arial" w:cs="Arial"/>
        </w:rPr>
        <w:t xml:space="preserve">se </w:t>
      </w:r>
      <w:r w:rsidRPr="009D1711">
        <w:rPr>
          <w:rFonts w:ascii="Arial" w:hAnsi="Arial" w:cs="Arial"/>
        </w:rPr>
        <w:t xml:space="preserve">afecta </w:t>
      </w:r>
      <w:r w:rsidR="00741725">
        <w:rPr>
          <w:rFonts w:ascii="Arial" w:hAnsi="Arial" w:cs="Arial"/>
        </w:rPr>
        <w:t xml:space="preserve">a </w:t>
      </w:r>
      <w:r w:rsidRPr="009D1711">
        <w:rPr>
          <w:rFonts w:ascii="Arial" w:hAnsi="Arial" w:cs="Arial"/>
        </w:rPr>
        <w:t>los tipos de ahorro</w:t>
      </w:r>
      <w:r w:rsidR="00CF7049">
        <w:rPr>
          <w:rFonts w:ascii="Arial" w:hAnsi="Arial" w:cs="Arial"/>
        </w:rPr>
        <w:t xml:space="preserve">, como </w:t>
      </w:r>
      <w:r w:rsidR="0080309B">
        <w:rPr>
          <w:rFonts w:ascii="Arial" w:hAnsi="Arial" w:cs="Arial"/>
        </w:rPr>
        <w:t>variable</w:t>
      </w:r>
      <w:r w:rsidR="00CF7049">
        <w:rPr>
          <w:rFonts w:ascii="Arial" w:hAnsi="Arial" w:cs="Arial"/>
        </w:rPr>
        <w:t xml:space="preserve"> dependiente</w:t>
      </w:r>
      <w:r w:rsidR="00A5453B" w:rsidRPr="00E72C51">
        <w:rPr>
          <w:rFonts w:ascii="Arial" w:hAnsi="Arial" w:cs="Arial"/>
        </w:rPr>
        <w:t>.</w:t>
      </w:r>
    </w:p>
    <w:p w14:paraId="2AB7DA76" w14:textId="3B415666" w:rsidR="00B91D71" w:rsidRPr="004611DF" w:rsidRDefault="00813300" w:rsidP="00705E36">
      <w:pPr>
        <w:ind w:right="140"/>
        <w:rPr>
          <w:rFonts w:ascii="Arial" w:hAnsi="Arial" w:cs="Arial"/>
        </w:rPr>
      </w:pPr>
      <w:r w:rsidRPr="00B91D71">
        <w:rPr>
          <w:rFonts w:ascii="Arial" w:hAnsi="Arial" w:cs="Arial"/>
        </w:rPr>
        <w:t xml:space="preserve">El método utilizado </w:t>
      </w:r>
      <w:r w:rsidR="005E786C">
        <w:rPr>
          <w:rFonts w:ascii="Arial" w:hAnsi="Arial" w:cs="Arial"/>
        </w:rPr>
        <w:t xml:space="preserve">para </w:t>
      </w:r>
      <w:r w:rsidR="005F0FBB">
        <w:rPr>
          <w:rFonts w:ascii="Arial" w:hAnsi="Arial" w:cs="Arial"/>
        </w:rPr>
        <w:t>valorar la madurez de</w:t>
      </w:r>
      <w:r w:rsidR="003A1BA1">
        <w:rPr>
          <w:rFonts w:ascii="Arial" w:hAnsi="Arial" w:cs="Arial"/>
        </w:rPr>
        <w:t xml:space="preserve"> PSM en </w:t>
      </w:r>
      <w:r w:rsidR="005F0FBB">
        <w:rPr>
          <w:rFonts w:ascii="Arial" w:hAnsi="Arial" w:cs="Arial"/>
        </w:rPr>
        <w:t xml:space="preserve">cada empresa, </w:t>
      </w:r>
      <w:r w:rsidRPr="00B91D71">
        <w:rPr>
          <w:rFonts w:ascii="Arial" w:hAnsi="Arial" w:cs="Arial"/>
        </w:rPr>
        <w:t xml:space="preserve">fue </w:t>
      </w:r>
      <w:r w:rsidR="00B76018">
        <w:rPr>
          <w:rFonts w:ascii="Arial" w:hAnsi="Arial" w:cs="Arial"/>
        </w:rPr>
        <w:t>un</w:t>
      </w:r>
      <w:r w:rsidRPr="00B91D71">
        <w:rPr>
          <w:rFonts w:ascii="Arial" w:hAnsi="Arial" w:cs="Arial"/>
        </w:rPr>
        <w:t xml:space="preserve">a pregunta directa en la encuesta, donde </w:t>
      </w:r>
      <w:r w:rsidR="00B76018">
        <w:rPr>
          <w:rFonts w:ascii="Arial" w:hAnsi="Arial" w:cs="Arial"/>
        </w:rPr>
        <w:t>cada</w:t>
      </w:r>
      <w:r w:rsidRPr="00B91D71">
        <w:rPr>
          <w:rFonts w:ascii="Arial" w:hAnsi="Arial" w:cs="Arial"/>
        </w:rPr>
        <w:t xml:space="preserve"> encuestado </w:t>
      </w:r>
      <w:r w:rsidR="00793C26">
        <w:rPr>
          <w:rFonts w:ascii="Arial" w:hAnsi="Arial" w:cs="Arial"/>
        </w:rPr>
        <w:t xml:space="preserve">se </w:t>
      </w:r>
      <w:r w:rsidRPr="00B91D71">
        <w:rPr>
          <w:rFonts w:ascii="Arial" w:hAnsi="Arial" w:cs="Arial"/>
        </w:rPr>
        <w:t>posiciona de acuerdo con la descripción de cada etapa del modelo de madurez</w:t>
      </w:r>
      <w:r w:rsidR="00B91D71" w:rsidRPr="00813300">
        <w:rPr>
          <w:rFonts w:ascii="Arial" w:hAnsi="Arial" w:cs="Arial"/>
        </w:rPr>
        <w:t xml:space="preserve">. </w:t>
      </w:r>
      <w:r w:rsidR="001B617E" w:rsidRPr="00B91D71">
        <w:rPr>
          <w:rFonts w:ascii="Arial" w:hAnsi="Arial" w:cs="Arial"/>
        </w:rPr>
        <w:t xml:space="preserve">Se trataba de una pregunta </w:t>
      </w:r>
      <w:r w:rsidR="00CB6A96">
        <w:rPr>
          <w:rFonts w:ascii="Arial" w:hAnsi="Arial" w:cs="Arial"/>
        </w:rPr>
        <w:t xml:space="preserve">de opción </w:t>
      </w:r>
      <w:r w:rsidR="006833DC">
        <w:rPr>
          <w:rFonts w:ascii="Arial" w:hAnsi="Arial" w:cs="Arial"/>
        </w:rPr>
        <w:t>múltiple</w:t>
      </w:r>
      <w:r w:rsidR="005D13FA">
        <w:rPr>
          <w:rFonts w:ascii="Arial" w:hAnsi="Arial" w:cs="Arial"/>
        </w:rPr>
        <w:t xml:space="preserve">, </w:t>
      </w:r>
      <w:r w:rsidR="001B617E" w:rsidRPr="00B91D71">
        <w:rPr>
          <w:rFonts w:ascii="Arial" w:hAnsi="Arial" w:cs="Arial"/>
        </w:rPr>
        <w:t xml:space="preserve">en la que </w:t>
      </w:r>
      <w:r w:rsidR="006833DC">
        <w:rPr>
          <w:rFonts w:ascii="Arial" w:hAnsi="Arial" w:cs="Arial"/>
        </w:rPr>
        <w:t xml:space="preserve">se </w:t>
      </w:r>
      <w:r w:rsidR="001B617E" w:rsidRPr="00B91D71">
        <w:rPr>
          <w:rFonts w:ascii="Arial" w:hAnsi="Arial" w:cs="Arial"/>
        </w:rPr>
        <w:t>debía seleccionar entre las fases de madurez</w:t>
      </w:r>
      <w:r w:rsidR="00B91D71" w:rsidRPr="001B617E">
        <w:rPr>
          <w:rFonts w:ascii="Arial" w:hAnsi="Arial" w:cs="Arial"/>
        </w:rPr>
        <w:t xml:space="preserve">. </w:t>
      </w:r>
      <w:r w:rsidR="004611DF">
        <w:rPr>
          <w:rFonts w:ascii="Arial" w:hAnsi="Arial" w:cs="Arial"/>
        </w:rPr>
        <w:t xml:space="preserve">Lo mismo se hizo con los tipos de ahorro (TS), donde los encuestados debían seleccionar </w:t>
      </w:r>
      <w:r w:rsidR="000B5F63">
        <w:rPr>
          <w:rFonts w:ascii="Arial" w:hAnsi="Arial" w:cs="Arial"/>
        </w:rPr>
        <w:t>que</w:t>
      </w:r>
      <w:r w:rsidR="004611DF">
        <w:rPr>
          <w:rFonts w:ascii="Arial" w:hAnsi="Arial" w:cs="Arial"/>
        </w:rPr>
        <w:t xml:space="preserve"> ahorros se reconocen dentro de sus empresas</w:t>
      </w:r>
      <w:r w:rsidR="00B91D71" w:rsidRPr="004611DF">
        <w:rPr>
          <w:rFonts w:ascii="Arial" w:hAnsi="Arial" w:cs="Arial"/>
        </w:rPr>
        <w:t xml:space="preserve">. </w:t>
      </w:r>
    </w:p>
    <w:p w14:paraId="687A1412" w14:textId="56E0D5DE" w:rsidR="0098111E" w:rsidRPr="00E0610E" w:rsidRDefault="009442DD" w:rsidP="00705E36">
      <w:pPr>
        <w:ind w:right="140"/>
        <w:rPr>
          <w:rFonts w:ascii="Arial" w:hAnsi="Arial" w:cs="Arial"/>
        </w:rPr>
      </w:pPr>
      <w:r>
        <w:rPr>
          <w:rFonts w:ascii="Arial" w:hAnsi="Arial" w:cs="Arial"/>
        </w:rPr>
        <w:t xml:space="preserve">Esa fue la forma de identificar el número de ahorros </w:t>
      </w:r>
      <w:r w:rsidR="00E0610E">
        <w:rPr>
          <w:rFonts w:ascii="Arial" w:hAnsi="Arial" w:cs="Arial"/>
        </w:rPr>
        <w:t>indirectos</w:t>
      </w:r>
      <w:r>
        <w:rPr>
          <w:rFonts w:ascii="Arial" w:hAnsi="Arial" w:cs="Arial"/>
        </w:rPr>
        <w:t xml:space="preserve"> complejos, que es la variable dependiente de la primera hipótesis, y que también actúa como variable independiente en la segunda, relacionada con los efectos positivos en el medio ambiente</w:t>
      </w:r>
      <w:r w:rsidR="00B91D71" w:rsidRPr="00E0610E">
        <w:rPr>
          <w:rFonts w:ascii="Arial" w:hAnsi="Arial" w:cs="Arial"/>
        </w:rPr>
        <w:t>.</w:t>
      </w:r>
      <w:r w:rsidR="00C835F7" w:rsidRPr="00E0610E">
        <w:rPr>
          <w:rFonts w:ascii="Arial" w:hAnsi="Arial" w:cs="Arial"/>
        </w:rPr>
        <w:t xml:space="preserve"> </w:t>
      </w:r>
    </w:p>
    <w:p w14:paraId="4CD62F2A" w14:textId="4295F422" w:rsidR="001D4605" w:rsidRPr="00941A4D" w:rsidRDefault="00941A4D" w:rsidP="00705E36">
      <w:pPr>
        <w:ind w:right="140"/>
        <w:rPr>
          <w:rFonts w:ascii="Arial" w:hAnsi="Arial" w:cs="Arial"/>
        </w:rPr>
      </w:pPr>
      <w:r>
        <w:rPr>
          <w:rFonts w:ascii="Arial" w:hAnsi="Arial" w:cs="Arial"/>
        </w:rPr>
        <w:t>Por lo tanto</w:t>
      </w:r>
      <w:r w:rsidRPr="00AD1CEC">
        <w:rPr>
          <w:rFonts w:ascii="Arial" w:hAnsi="Arial" w:cs="Arial"/>
        </w:rPr>
        <w:t xml:space="preserve">, hay un total de dos variables independientes y dos dependientes, las independientes son la madurez (MPF) y el número de ahorros </w:t>
      </w:r>
      <w:r w:rsidR="004805C9">
        <w:rPr>
          <w:rFonts w:ascii="Arial" w:hAnsi="Arial" w:cs="Arial"/>
        </w:rPr>
        <w:t>indirectos</w:t>
      </w:r>
      <w:r w:rsidRPr="00AD1CEC">
        <w:rPr>
          <w:rFonts w:ascii="Arial" w:hAnsi="Arial" w:cs="Arial"/>
        </w:rPr>
        <w:t xml:space="preserve"> complejos (CSS) y las dependientes son el número de ahorros </w:t>
      </w:r>
      <w:r w:rsidR="004805C9">
        <w:rPr>
          <w:rFonts w:ascii="Arial" w:hAnsi="Arial" w:cs="Arial"/>
        </w:rPr>
        <w:t>indirectos</w:t>
      </w:r>
      <w:r w:rsidRPr="00AD1CEC">
        <w:rPr>
          <w:rFonts w:ascii="Arial" w:hAnsi="Arial" w:cs="Arial"/>
        </w:rPr>
        <w:t xml:space="preserve"> complejos (CSS) y los efectos positivos</w:t>
      </w:r>
      <w:r w:rsidR="002A56F2">
        <w:rPr>
          <w:rFonts w:ascii="Arial" w:hAnsi="Arial" w:cs="Arial"/>
        </w:rPr>
        <w:t xml:space="preserve"> en el medio ambiente</w:t>
      </w:r>
      <w:r w:rsidR="00F8108A">
        <w:rPr>
          <w:rFonts w:ascii="Arial" w:hAnsi="Arial" w:cs="Arial"/>
        </w:rPr>
        <w:t>,</w:t>
      </w:r>
      <w:r w:rsidR="004A5037">
        <w:rPr>
          <w:rFonts w:ascii="Arial" w:hAnsi="Arial" w:cs="Arial"/>
        </w:rPr>
        <w:t xml:space="preserve"> (TS</w:t>
      </w:r>
      <w:r w:rsidR="007C1876">
        <w:rPr>
          <w:rFonts w:ascii="Arial" w:hAnsi="Arial" w:cs="Arial"/>
        </w:rPr>
        <w:t>) dentro de categorías intensivas en recursos naturales.</w:t>
      </w:r>
    </w:p>
    <w:p w14:paraId="6C348DA1" w14:textId="0BB60DB3" w:rsidR="00844CF2" w:rsidRPr="00707E7B" w:rsidRDefault="00332EB0" w:rsidP="00705E36">
      <w:pPr>
        <w:ind w:right="140"/>
        <w:rPr>
          <w:rFonts w:ascii="Arial" w:hAnsi="Arial" w:cs="Arial"/>
        </w:rPr>
      </w:pPr>
      <w:r w:rsidRPr="002B1A9E">
        <w:rPr>
          <w:rFonts w:ascii="Arial" w:hAnsi="Arial" w:cs="Arial"/>
        </w:rPr>
        <w:t>Para</w:t>
      </w:r>
      <w:r w:rsidRPr="0066396F">
        <w:rPr>
          <w:rFonts w:ascii="Arial" w:hAnsi="Arial" w:cs="Arial"/>
        </w:rPr>
        <w:t xml:space="preserve"> dar mayor validez </w:t>
      </w:r>
      <w:r w:rsidR="006E41C2">
        <w:rPr>
          <w:rFonts w:ascii="Arial" w:hAnsi="Arial" w:cs="Arial"/>
        </w:rPr>
        <w:t xml:space="preserve">al estudio </w:t>
      </w:r>
      <w:r w:rsidRPr="0066396F">
        <w:rPr>
          <w:rFonts w:ascii="Arial" w:hAnsi="Arial" w:cs="Arial"/>
        </w:rPr>
        <w:t xml:space="preserve">y evitar posibles limitaciones en la relación entre las variables dependientes e independientes, se </w:t>
      </w:r>
      <w:r w:rsidR="003102ED">
        <w:rPr>
          <w:rFonts w:ascii="Arial" w:hAnsi="Arial" w:cs="Arial"/>
        </w:rPr>
        <w:t>valoraron diferentes opcione</w:t>
      </w:r>
      <w:r w:rsidR="003F3092">
        <w:rPr>
          <w:rFonts w:ascii="Arial" w:hAnsi="Arial" w:cs="Arial"/>
        </w:rPr>
        <w:t xml:space="preserve">s como </w:t>
      </w:r>
      <w:r w:rsidR="003F3092" w:rsidRPr="00F272C8">
        <w:rPr>
          <w:rFonts w:ascii="Arial" w:hAnsi="Arial" w:cs="Arial"/>
          <w:highlight w:val="cyan"/>
        </w:rPr>
        <w:t xml:space="preserve">variables de control, </w:t>
      </w:r>
      <w:r w:rsidR="00EB3CBD" w:rsidRPr="00F272C8">
        <w:rPr>
          <w:rFonts w:ascii="Arial" w:hAnsi="Arial" w:cs="Arial"/>
          <w:highlight w:val="cyan"/>
        </w:rPr>
        <w:t xml:space="preserve">el tamaño, el sector de actividad, la antigüedad de la empresa y </w:t>
      </w:r>
      <w:r w:rsidR="00CA4F9E" w:rsidRPr="00F272C8">
        <w:rPr>
          <w:rFonts w:ascii="Arial" w:hAnsi="Arial" w:cs="Arial"/>
          <w:highlight w:val="cyan"/>
        </w:rPr>
        <w:t>la centralización del departamento</w:t>
      </w:r>
      <w:r w:rsidR="00CA4F9E">
        <w:rPr>
          <w:rFonts w:ascii="Arial" w:hAnsi="Arial" w:cs="Arial"/>
        </w:rPr>
        <w:t xml:space="preserve">. Y finalmente se </w:t>
      </w:r>
      <w:r w:rsidRPr="0066396F">
        <w:rPr>
          <w:rFonts w:ascii="Arial" w:hAnsi="Arial" w:cs="Arial"/>
        </w:rPr>
        <w:t xml:space="preserve">consideró que el nivel de centralización de la función PSM (CPF) </w:t>
      </w:r>
      <w:r>
        <w:rPr>
          <w:rFonts w:ascii="Arial" w:hAnsi="Arial" w:cs="Arial"/>
        </w:rPr>
        <w:t xml:space="preserve">era </w:t>
      </w:r>
      <w:r w:rsidRPr="0066396F">
        <w:rPr>
          <w:rFonts w:ascii="Arial" w:hAnsi="Arial" w:cs="Arial"/>
        </w:rPr>
        <w:t xml:space="preserve">la mejor variable de control </w:t>
      </w:r>
      <w:r>
        <w:rPr>
          <w:rFonts w:ascii="Arial" w:hAnsi="Arial" w:cs="Arial"/>
        </w:rPr>
        <w:t>pues agr</w:t>
      </w:r>
      <w:r w:rsidR="00650621">
        <w:rPr>
          <w:rFonts w:ascii="Arial" w:hAnsi="Arial" w:cs="Arial"/>
        </w:rPr>
        <w:t>upa</w:t>
      </w:r>
      <w:r w:rsidRPr="0066396F">
        <w:rPr>
          <w:rFonts w:ascii="Arial" w:hAnsi="Arial" w:cs="Arial"/>
        </w:rPr>
        <w:t xml:space="preserve"> varias afecciones generadas por la </w:t>
      </w:r>
      <w:r w:rsidR="00650621">
        <w:rPr>
          <w:rFonts w:ascii="Arial" w:hAnsi="Arial" w:cs="Arial"/>
        </w:rPr>
        <w:t>antigüedad</w:t>
      </w:r>
      <w:r w:rsidRPr="0066396F">
        <w:rPr>
          <w:rFonts w:ascii="Arial" w:hAnsi="Arial" w:cs="Arial"/>
        </w:rPr>
        <w:t>, el tamaño, el sector</w:t>
      </w:r>
      <w:r w:rsidR="00C41B04" w:rsidRPr="00332EB0">
        <w:rPr>
          <w:rFonts w:ascii="Arial" w:hAnsi="Arial" w:cs="Arial"/>
        </w:rPr>
        <w:t>.</w:t>
      </w:r>
      <w:r w:rsidR="00386BC9" w:rsidRPr="00332EB0">
        <w:rPr>
          <w:rFonts w:ascii="Arial" w:hAnsi="Arial" w:cs="Arial"/>
        </w:rPr>
        <w:t xml:space="preserve"> </w:t>
      </w:r>
      <w:r w:rsidR="00707E7B" w:rsidRPr="00F92D8D">
        <w:rPr>
          <w:rFonts w:ascii="Arial" w:hAnsi="Arial" w:cs="Arial"/>
        </w:rPr>
        <w:t xml:space="preserve">La tabla </w:t>
      </w:r>
      <w:r w:rsidR="00E71449">
        <w:rPr>
          <w:rFonts w:ascii="Arial" w:hAnsi="Arial" w:cs="Arial"/>
        </w:rPr>
        <w:t>5</w:t>
      </w:r>
      <w:r w:rsidR="00707E7B" w:rsidRPr="00F92D8D">
        <w:rPr>
          <w:rFonts w:ascii="Arial" w:hAnsi="Arial" w:cs="Arial"/>
        </w:rPr>
        <w:t xml:space="preserve"> a continuación muestra las diferentes </w:t>
      </w:r>
      <w:r w:rsidR="00707E7B">
        <w:rPr>
          <w:rFonts w:ascii="Arial" w:hAnsi="Arial" w:cs="Arial"/>
        </w:rPr>
        <w:t>descr</w:t>
      </w:r>
      <w:r w:rsidR="00474B7F">
        <w:rPr>
          <w:rFonts w:ascii="Arial" w:hAnsi="Arial" w:cs="Arial"/>
        </w:rPr>
        <w:t>i</w:t>
      </w:r>
      <w:r w:rsidR="00707E7B">
        <w:rPr>
          <w:rFonts w:ascii="Arial" w:hAnsi="Arial" w:cs="Arial"/>
        </w:rPr>
        <w:t>pciones</w:t>
      </w:r>
      <w:r w:rsidR="00707E7B" w:rsidRPr="00F92D8D">
        <w:rPr>
          <w:rFonts w:ascii="Arial" w:hAnsi="Arial" w:cs="Arial"/>
        </w:rPr>
        <w:t xml:space="preserve"> utilizadas en la encuesta, donde los encuestados se </w:t>
      </w:r>
      <w:r w:rsidR="00474B7F">
        <w:rPr>
          <w:rFonts w:ascii="Arial" w:hAnsi="Arial" w:cs="Arial"/>
        </w:rPr>
        <w:t>clasificaban</w:t>
      </w:r>
      <w:r w:rsidR="00707E7B" w:rsidRPr="00F92D8D">
        <w:rPr>
          <w:rFonts w:ascii="Arial" w:hAnsi="Arial" w:cs="Arial"/>
        </w:rPr>
        <w:t>.</w:t>
      </w:r>
    </w:p>
    <w:p w14:paraId="3F2FAF19" w14:textId="5290D184" w:rsidR="00035251" w:rsidRPr="004C52BD" w:rsidRDefault="00AC7187" w:rsidP="00705E36">
      <w:pPr>
        <w:ind w:right="140"/>
        <w:jc w:val="center"/>
        <w:rPr>
          <w:rFonts w:ascii="Arial" w:hAnsi="Arial" w:cs="Arial"/>
        </w:rPr>
      </w:pPr>
      <w:r w:rsidRPr="004C52BD">
        <w:rPr>
          <w:rFonts w:ascii="Arial" w:hAnsi="Arial" w:cs="Arial"/>
          <w:b/>
          <w:bCs/>
        </w:rPr>
        <w:t>Ta</w:t>
      </w:r>
      <w:r w:rsidR="00D22824" w:rsidRPr="004C52BD">
        <w:rPr>
          <w:rFonts w:ascii="Arial" w:hAnsi="Arial" w:cs="Arial"/>
          <w:b/>
          <w:bCs/>
        </w:rPr>
        <w:t>ble</w:t>
      </w:r>
      <w:r w:rsidR="001B4764" w:rsidRPr="004C52BD">
        <w:rPr>
          <w:rFonts w:ascii="Arial" w:hAnsi="Arial" w:cs="Arial"/>
          <w:b/>
          <w:bCs/>
        </w:rPr>
        <w:t>.</w:t>
      </w:r>
      <w:r w:rsidR="004D323F" w:rsidRPr="004C52BD">
        <w:rPr>
          <w:rFonts w:ascii="Arial" w:hAnsi="Arial" w:cs="Arial"/>
          <w:b/>
          <w:bCs/>
        </w:rPr>
        <w:t>5</w:t>
      </w:r>
      <w:r w:rsidR="001B4764" w:rsidRPr="004C52BD">
        <w:rPr>
          <w:rFonts w:ascii="Arial" w:hAnsi="Arial" w:cs="Arial"/>
        </w:rPr>
        <w:t xml:space="preserve"> </w:t>
      </w:r>
      <w:r w:rsidR="004C52BD">
        <w:rPr>
          <w:rFonts w:ascii="Arial" w:hAnsi="Arial" w:cs="Arial"/>
        </w:rPr>
        <w:t>Centralización de la función de compras</w:t>
      </w:r>
    </w:p>
    <w:tbl>
      <w:tblPr>
        <w:tblW w:w="8440" w:type="dxa"/>
        <w:jc w:val="center"/>
        <w:tblLayout w:type="fixed"/>
        <w:tblCellMar>
          <w:left w:w="70" w:type="dxa"/>
          <w:right w:w="70" w:type="dxa"/>
        </w:tblCellMar>
        <w:tblLook w:val="04A0" w:firstRow="1" w:lastRow="0" w:firstColumn="1" w:lastColumn="0" w:noHBand="0" w:noVBand="1"/>
      </w:tblPr>
      <w:tblGrid>
        <w:gridCol w:w="7371"/>
        <w:gridCol w:w="225"/>
        <w:gridCol w:w="837"/>
        <w:gridCol w:w="7"/>
      </w:tblGrid>
      <w:tr w:rsidR="00CD4DA4" w:rsidRPr="00AB513E" w14:paraId="6D26B386" w14:textId="77777777" w:rsidTr="00C11F26">
        <w:trPr>
          <w:gridAfter w:val="1"/>
          <w:wAfter w:w="7" w:type="dxa"/>
          <w:trHeight w:val="196"/>
          <w:jc w:val="center"/>
        </w:trPr>
        <w:tc>
          <w:tcPr>
            <w:tcW w:w="7596" w:type="dxa"/>
            <w:gridSpan w:val="2"/>
            <w:tcBorders>
              <w:top w:val="nil"/>
              <w:left w:val="nil"/>
              <w:bottom w:val="nil"/>
              <w:right w:val="nil"/>
            </w:tcBorders>
            <w:shd w:val="clear" w:color="auto" w:fill="auto"/>
            <w:noWrap/>
            <w:vAlign w:val="bottom"/>
            <w:hideMark/>
          </w:tcPr>
          <w:p w14:paraId="7D5512B3" w14:textId="77777777" w:rsidR="00CD4DA4" w:rsidRPr="004C52BD" w:rsidRDefault="00CD4DA4" w:rsidP="00705E36">
            <w:pPr>
              <w:spacing w:after="0" w:line="240" w:lineRule="auto"/>
              <w:ind w:right="140"/>
              <w:rPr>
                <w:rFonts w:ascii="Arial" w:eastAsia="Times New Roman" w:hAnsi="Arial" w:cs="Arial"/>
                <w:color w:val="000000"/>
                <w:lang w:eastAsia="es-ES"/>
              </w:rPr>
            </w:pPr>
          </w:p>
          <w:p w14:paraId="06F9E5EB" w14:textId="17A3ADF3" w:rsidR="008A5326" w:rsidRPr="004C52BD" w:rsidRDefault="008A5326" w:rsidP="00705E36">
            <w:pPr>
              <w:spacing w:after="0" w:line="240" w:lineRule="auto"/>
              <w:ind w:right="140"/>
              <w:rPr>
                <w:rFonts w:ascii="Arial" w:eastAsia="Times New Roman" w:hAnsi="Arial" w:cs="Arial"/>
                <w:color w:val="000000"/>
                <w:lang w:eastAsia="es-ES"/>
              </w:rPr>
            </w:pPr>
          </w:p>
        </w:tc>
        <w:tc>
          <w:tcPr>
            <w:tcW w:w="837" w:type="dxa"/>
            <w:tcBorders>
              <w:top w:val="nil"/>
              <w:left w:val="nil"/>
              <w:bottom w:val="nil"/>
              <w:right w:val="nil"/>
            </w:tcBorders>
            <w:shd w:val="clear" w:color="auto" w:fill="auto"/>
            <w:noWrap/>
            <w:vAlign w:val="bottom"/>
            <w:hideMark/>
          </w:tcPr>
          <w:p w14:paraId="3BF62643" w14:textId="77777777" w:rsidR="00CD4DA4" w:rsidRPr="004C52BD" w:rsidRDefault="00CD4DA4" w:rsidP="00705E36">
            <w:pPr>
              <w:spacing w:after="0" w:line="240" w:lineRule="auto"/>
              <w:ind w:right="140"/>
              <w:rPr>
                <w:rFonts w:ascii="Arial" w:eastAsia="Times New Roman" w:hAnsi="Arial" w:cs="Arial"/>
                <w:sz w:val="20"/>
                <w:szCs w:val="20"/>
                <w:lang w:eastAsia="es-ES"/>
              </w:rPr>
            </w:pPr>
          </w:p>
        </w:tc>
      </w:tr>
      <w:tr w:rsidR="003143B3" w:rsidRPr="004C52BD" w14:paraId="2A0DF1E7" w14:textId="77777777" w:rsidTr="00C11F26">
        <w:trPr>
          <w:trHeight w:val="491"/>
          <w:jc w:val="center"/>
        </w:trPr>
        <w:tc>
          <w:tcPr>
            <w:tcW w:w="8440" w:type="dxa"/>
            <w:gridSpan w:val="4"/>
            <w:tcBorders>
              <w:top w:val="single" w:sz="4" w:space="0" w:color="auto"/>
              <w:left w:val="single" w:sz="4" w:space="0" w:color="auto"/>
              <w:bottom w:val="double" w:sz="6" w:space="0" w:color="auto"/>
              <w:right w:val="single" w:sz="4" w:space="0" w:color="000000"/>
            </w:tcBorders>
            <w:shd w:val="clear" w:color="auto" w:fill="auto"/>
            <w:noWrap/>
            <w:vAlign w:val="center"/>
            <w:hideMark/>
          </w:tcPr>
          <w:p w14:paraId="741022A4" w14:textId="655F274E" w:rsidR="003143B3" w:rsidRPr="004C52BD" w:rsidRDefault="004C52BD" w:rsidP="00705E36">
            <w:pPr>
              <w:spacing w:after="0" w:line="240" w:lineRule="auto"/>
              <w:ind w:right="140"/>
              <w:jc w:val="center"/>
              <w:rPr>
                <w:rFonts w:ascii="Arial" w:eastAsia="Times New Roman" w:hAnsi="Arial" w:cs="Arial"/>
                <w:b/>
                <w:bCs/>
                <w:i/>
                <w:iCs/>
                <w:color w:val="000000"/>
                <w:lang w:eastAsia="es-ES"/>
              </w:rPr>
            </w:pPr>
            <w:r w:rsidRPr="00BE2CF3">
              <w:rPr>
                <w:rFonts w:ascii="Arial" w:eastAsia="Times New Roman" w:hAnsi="Arial" w:cs="Arial"/>
                <w:b/>
                <w:bCs/>
                <w:i/>
                <w:iCs/>
                <w:color w:val="000000"/>
                <w:lang w:eastAsia="es-ES"/>
              </w:rPr>
              <w:t xml:space="preserve">Centralización de la función de compras </w:t>
            </w:r>
            <w:r w:rsidR="003143B3" w:rsidRPr="004C52BD">
              <w:rPr>
                <w:rFonts w:ascii="Arial" w:eastAsia="Times New Roman" w:hAnsi="Arial" w:cs="Arial"/>
                <w:b/>
                <w:bCs/>
                <w:i/>
                <w:iCs/>
                <w:color w:val="000000"/>
                <w:lang w:eastAsia="es-ES"/>
              </w:rPr>
              <w:t>– C</w:t>
            </w:r>
            <w:r w:rsidR="00866735" w:rsidRPr="004C52BD">
              <w:rPr>
                <w:rFonts w:ascii="Arial" w:eastAsia="Times New Roman" w:hAnsi="Arial" w:cs="Arial"/>
                <w:b/>
                <w:bCs/>
                <w:i/>
                <w:iCs/>
                <w:color w:val="000000"/>
                <w:lang w:eastAsia="es-ES"/>
              </w:rPr>
              <w:t>PF</w:t>
            </w:r>
          </w:p>
        </w:tc>
      </w:tr>
      <w:tr w:rsidR="003143B3" w:rsidRPr="00BE2CF3" w14:paraId="78012F96" w14:textId="77777777" w:rsidTr="00C11F26">
        <w:trPr>
          <w:trHeight w:val="205"/>
          <w:jc w:val="center"/>
        </w:trPr>
        <w:tc>
          <w:tcPr>
            <w:tcW w:w="7371" w:type="dxa"/>
            <w:tcBorders>
              <w:top w:val="nil"/>
              <w:left w:val="single" w:sz="4" w:space="0" w:color="auto"/>
              <w:bottom w:val="nil"/>
              <w:right w:val="nil"/>
            </w:tcBorders>
            <w:shd w:val="clear" w:color="auto" w:fill="auto"/>
            <w:hideMark/>
          </w:tcPr>
          <w:p w14:paraId="7405FC5D" w14:textId="734AFB1B" w:rsidR="003143B3" w:rsidRPr="004C52BD" w:rsidRDefault="004C52BD"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Descentralizado sin políticas de compra</w:t>
            </w:r>
          </w:p>
        </w:tc>
        <w:tc>
          <w:tcPr>
            <w:tcW w:w="1069" w:type="dxa"/>
            <w:gridSpan w:val="3"/>
            <w:tcBorders>
              <w:top w:val="nil"/>
              <w:left w:val="nil"/>
              <w:bottom w:val="nil"/>
              <w:right w:val="single" w:sz="4" w:space="0" w:color="auto"/>
            </w:tcBorders>
            <w:shd w:val="clear" w:color="auto" w:fill="auto"/>
            <w:hideMark/>
          </w:tcPr>
          <w:p w14:paraId="24AF66A3" w14:textId="49799883" w:rsidR="003143B3" w:rsidRPr="00BE2CF3" w:rsidRDefault="00272234"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CPF</w:t>
            </w:r>
            <w:r w:rsidR="003143B3" w:rsidRPr="00BE2CF3">
              <w:rPr>
                <w:rFonts w:ascii="Arial" w:eastAsia="Times New Roman" w:hAnsi="Arial" w:cs="Arial"/>
                <w:color w:val="000000"/>
                <w:lang w:eastAsia="es-ES"/>
              </w:rPr>
              <w:t>1</w:t>
            </w:r>
          </w:p>
        </w:tc>
      </w:tr>
      <w:tr w:rsidR="003143B3" w:rsidRPr="00BE2CF3" w14:paraId="0A29EF3C" w14:textId="77777777" w:rsidTr="00C11F26">
        <w:trPr>
          <w:trHeight w:val="206"/>
          <w:jc w:val="center"/>
        </w:trPr>
        <w:tc>
          <w:tcPr>
            <w:tcW w:w="7371" w:type="dxa"/>
            <w:tcBorders>
              <w:top w:val="nil"/>
              <w:left w:val="single" w:sz="4" w:space="0" w:color="auto"/>
              <w:bottom w:val="nil"/>
              <w:right w:val="nil"/>
            </w:tcBorders>
            <w:shd w:val="clear" w:color="auto" w:fill="auto"/>
            <w:hideMark/>
          </w:tcPr>
          <w:p w14:paraId="608B8C6B" w14:textId="68A1DBA5" w:rsidR="003143B3" w:rsidRPr="004C52BD" w:rsidRDefault="004C52BD"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 xml:space="preserve">Parcialmente centralizado y sin políticas de compra </w:t>
            </w:r>
          </w:p>
        </w:tc>
        <w:tc>
          <w:tcPr>
            <w:tcW w:w="1069" w:type="dxa"/>
            <w:gridSpan w:val="3"/>
            <w:tcBorders>
              <w:top w:val="nil"/>
              <w:left w:val="nil"/>
              <w:bottom w:val="nil"/>
              <w:right w:val="single" w:sz="4" w:space="0" w:color="auto"/>
            </w:tcBorders>
            <w:shd w:val="clear" w:color="auto" w:fill="auto"/>
            <w:hideMark/>
          </w:tcPr>
          <w:p w14:paraId="6496D9AF" w14:textId="5FA34F24" w:rsidR="003143B3" w:rsidRPr="00BE2CF3" w:rsidRDefault="004E59EB"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CPF</w:t>
            </w:r>
            <w:r w:rsidR="003143B3" w:rsidRPr="00BE2CF3">
              <w:rPr>
                <w:rFonts w:ascii="Arial" w:eastAsia="Times New Roman" w:hAnsi="Arial" w:cs="Arial"/>
                <w:color w:val="000000"/>
                <w:lang w:eastAsia="es-ES"/>
              </w:rPr>
              <w:t>2</w:t>
            </w:r>
          </w:p>
        </w:tc>
      </w:tr>
      <w:tr w:rsidR="003143B3" w:rsidRPr="00BE2CF3" w14:paraId="7A10181E" w14:textId="77777777" w:rsidTr="00C11F26">
        <w:trPr>
          <w:trHeight w:val="281"/>
          <w:jc w:val="center"/>
        </w:trPr>
        <w:tc>
          <w:tcPr>
            <w:tcW w:w="7371" w:type="dxa"/>
            <w:tcBorders>
              <w:top w:val="nil"/>
              <w:left w:val="single" w:sz="4" w:space="0" w:color="auto"/>
              <w:bottom w:val="nil"/>
              <w:right w:val="nil"/>
            </w:tcBorders>
            <w:shd w:val="clear" w:color="auto" w:fill="auto"/>
            <w:hideMark/>
          </w:tcPr>
          <w:p w14:paraId="05CB906A" w14:textId="765A639B" w:rsidR="003143B3" w:rsidRPr="004C52BD" w:rsidRDefault="004C52BD"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Totalmente centralizado con políticas de compras</w:t>
            </w:r>
          </w:p>
        </w:tc>
        <w:tc>
          <w:tcPr>
            <w:tcW w:w="1069" w:type="dxa"/>
            <w:gridSpan w:val="3"/>
            <w:tcBorders>
              <w:top w:val="nil"/>
              <w:left w:val="nil"/>
              <w:bottom w:val="nil"/>
              <w:right w:val="single" w:sz="4" w:space="0" w:color="auto"/>
            </w:tcBorders>
            <w:shd w:val="clear" w:color="auto" w:fill="auto"/>
            <w:hideMark/>
          </w:tcPr>
          <w:p w14:paraId="6D6FEE26" w14:textId="77365EA7" w:rsidR="003143B3" w:rsidRPr="00BE2CF3" w:rsidRDefault="0070696E"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CPF</w:t>
            </w:r>
            <w:r w:rsidR="003143B3" w:rsidRPr="00BE2CF3">
              <w:rPr>
                <w:rFonts w:ascii="Arial" w:eastAsia="Times New Roman" w:hAnsi="Arial" w:cs="Arial"/>
                <w:color w:val="000000"/>
                <w:lang w:eastAsia="es-ES"/>
              </w:rPr>
              <w:t>3</w:t>
            </w:r>
          </w:p>
        </w:tc>
      </w:tr>
      <w:tr w:rsidR="003143B3" w:rsidRPr="00BE2CF3" w14:paraId="1C7C726B" w14:textId="77777777" w:rsidTr="00C11F26">
        <w:trPr>
          <w:trHeight w:val="196"/>
          <w:jc w:val="center"/>
        </w:trPr>
        <w:tc>
          <w:tcPr>
            <w:tcW w:w="7371" w:type="dxa"/>
            <w:tcBorders>
              <w:top w:val="nil"/>
              <w:left w:val="single" w:sz="4" w:space="0" w:color="auto"/>
              <w:bottom w:val="single" w:sz="4" w:space="0" w:color="auto"/>
              <w:right w:val="nil"/>
            </w:tcBorders>
            <w:shd w:val="clear" w:color="auto" w:fill="auto"/>
            <w:hideMark/>
          </w:tcPr>
          <w:p w14:paraId="567A41E4" w14:textId="5FEED798" w:rsidR="003143B3" w:rsidRPr="00BE2CF3" w:rsidRDefault="00967227"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Descentralizado con políticas de compras</w:t>
            </w:r>
          </w:p>
        </w:tc>
        <w:tc>
          <w:tcPr>
            <w:tcW w:w="1069" w:type="dxa"/>
            <w:gridSpan w:val="3"/>
            <w:tcBorders>
              <w:top w:val="nil"/>
              <w:left w:val="nil"/>
              <w:bottom w:val="single" w:sz="4" w:space="0" w:color="auto"/>
              <w:right w:val="single" w:sz="4" w:space="0" w:color="auto"/>
            </w:tcBorders>
            <w:shd w:val="clear" w:color="auto" w:fill="auto"/>
            <w:hideMark/>
          </w:tcPr>
          <w:p w14:paraId="2B3E9F92" w14:textId="196F3787" w:rsidR="003143B3" w:rsidRPr="00BE2CF3" w:rsidRDefault="00CE3C8B" w:rsidP="00705E36">
            <w:pPr>
              <w:spacing w:after="0" w:line="240" w:lineRule="auto"/>
              <w:ind w:right="140"/>
              <w:rPr>
                <w:rFonts w:ascii="Arial" w:eastAsia="Times New Roman" w:hAnsi="Arial" w:cs="Arial"/>
                <w:color w:val="000000"/>
                <w:lang w:eastAsia="es-ES"/>
              </w:rPr>
            </w:pPr>
            <w:r w:rsidRPr="00BE2CF3">
              <w:rPr>
                <w:rFonts w:ascii="Arial" w:eastAsia="Times New Roman" w:hAnsi="Arial" w:cs="Arial"/>
                <w:color w:val="000000"/>
                <w:lang w:eastAsia="es-ES"/>
              </w:rPr>
              <w:t>CPF4</w:t>
            </w:r>
          </w:p>
        </w:tc>
      </w:tr>
    </w:tbl>
    <w:p w14:paraId="72C0D770" w14:textId="77777777" w:rsidR="00A25618" w:rsidRDefault="00A25618" w:rsidP="00705E36">
      <w:pPr>
        <w:ind w:right="140"/>
        <w:rPr>
          <w:rFonts w:ascii="Arial" w:hAnsi="Arial" w:cs="Arial"/>
          <w:lang w:val="en-GB"/>
        </w:rPr>
      </w:pPr>
    </w:p>
    <w:p w14:paraId="677DFAB9" w14:textId="43EC1044" w:rsidR="00F85919" w:rsidRPr="00967227" w:rsidRDefault="00967227" w:rsidP="00705E36">
      <w:pPr>
        <w:ind w:right="140"/>
        <w:rPr>
          <w:rFonts w:ascii="Arial" w:hAnsi="Arial" w:cs="Arial"/>
        </w:rPr>
      </w:pPr>
      <w:r>
        <w:rPr>
          <w:rFonts w:ascii="Arial" w:hAnsi="Arial" w:cs="Arial"/>
        </w:rPr>
        <w:t>El cuestionario se encuentra en el siguiente enlace</w:t>
      </w:r>
      <w:r w:rsidR="00A51CA9" w:rsidRPr="00967227">
        <w:rPr>
          <w:rFonts w:ascii="Arial" w:hAnsi="Arial" w:cs="Arial"/>
        </w:rPr>
        <w:t xml:space="preserve">. </w:t>
      </w:r>
      <w:r w:rsidR="00170CC4" w:rsidRPr="00967227">
        <w:rPr>
          <w:rFonts w:ascii="Arial" w:hAnsi="Arial" w:cs="Arial"/>
          <w:i/>
          <w:iCs/>
        </w:rPr>
        <w:t>https://forms.office.com/Pages/ResponsePage.aspx?id=DQSIkWdsW0yxEjajBLZtrQAAAAAAAAAAAAO__QEvxoZUQzNEUzlZNllHRUw2VUtOT1laRTEwVkRSNy4u</w:t>
      </w:r>
    </w:p>
    <w:p w14:paraId="2D907B55" w14:textId="632CE002" w:rsidR="001A6E89" w:rsidRPr="00040EDE" w:rsidRDefault="00FB337B" w:rsidP="00705E36">
      <w:pPr>
        <w:ind w:right="140"/>
        <w:rPr>
          <w:rFonts w:ascii="Arial" w:hAnsi="Arial" w:cs="Arial"/>
          <w:lang w:val="en-GB"/>
        </w:rPr>
      </w:pPr>
      <w:r w:rsidRPr="00BE2CF3">
        <w:rPr>
          <w:rFonts w:ascii="Arial" w:hAnsi="Arial" w:cs="Arial"/>
        </w:rPr>
        <w:t>El análisis estadístico se realizó mediante la aplicación informática</w:t>
      </w:r>
      <w:r w:rsidR="001A6E89" w:rsidRPr="00FB337B">
        <w:rPr>
          <w:rFonts w:ascii="Arial" w:hAnsi="Arial" w:cs="Arial"/>
        </w:rPr>
        <w:t>: IBM-SPSS Statistics version 25 (</w:t>
      </w:r>
      <w:r w:rsidRPr="00FB337B">
        <w:rPr>
          <w:rFonts w:ascii="Arial" w:hAnsi="Arial" w:cs="Arial"/>
        </w:rPr>
        <w:t>referencia</w:t>
      </w:r>
      <w:r w:rsidR="001A6E89" w:rsidRPr="00FB337B">
        <w:rPr>
          <w:rFonts w:ascii="Arial" w:hAnsi="Arial" w:cs="Arial"/>
        </w:rPr>
        <w:t xml:space="preserve">: IBM Corp. </w:t>
      </w:r>
      <w:r w:rsidR="001A6E89" w:rsidRPr="00BE2CF3">
        <w:rPr>
          <w:rFonts w:ascii="Arial" w:hAnsi="Arial" w:cs="Arial"/>
          <w:lang w:val="en-GB"/>
        </w:rPr>
        <w:t xml:space="preserve">Released 2017. </w:t>
      </w:r>
      <w:r w:rsidR="001A6E89" w:rsidRPr="00040EDE">
        <w:rPr>
          <w:rFonts w:ascii="Arial" w:hAnsi="Arial" w:cs="Arial"/>
          <w:lang w:val="en-GB"/>
        </w:rPr>
        <w:t>IBM SPSS Statistics v 25.0 for Windows; Armonk. NY. USA).</w:t>
      </w:r>
    </w:p>
    <w:p w14:paraId="1AD82F9E" w14:textId="135D8088" w:rsidR="001A6E89" w:rsidRPr="0041212B" w:rsidRDefault="00FB337B" w:rsidP="00705E36">
      <w:pPr>
        <w:ind w:right="140"/>
        <w:rPr>
          <w:rFonts w:ascii="Arial" w:hAnsi="Arial" w:cs="Arial"/>
        </w:rPr>
      </w:pPr>
      <w:r w:rsidRPr="00BE2CF3">
        <w:rPr>
          <w:rFonts w:ascii="Arial" w:hAnsi="Arial" w:cs="Arial"/>
        </w:rPr>
        <w:t>Algunas figuras se han obtenido utilizando el lenguaje de programación Python, utilizando la librería seaborn</w:t>
      </w:r>
      <w:r w:rsidR="001A6E89" w:rsidRPr="00FB337B">
        <w:rPr>
          <w:rFonts w:ascii="Arial" w:hAnsi="Arial" w:cs="Arial"/>
        </w:rPr>
        <w:t xml:space="preserve"> (</w:t>
      </w:r>
      <w:r w:rsidRPr="00FB337B">
        <w:rPr>
          <w:rFonts w:ascii="Arial" w:hAnsi="Arial" w:cs="Arial"/>
        </w:rPr>
        <w:t>referencia</w:t>
      </w:r>
      <w:r w:rsidR="001A6E89" w:rsidRPr="00FB337B">
        <w:rPr>
          <w:rFonts w:ascii="Arial" w:hAnsi="Arial" w:cs="Arial"/>
        </w:rPr>
        <w:t xml:space="preserve">: Waskom, M. L., (2021). seaborn: statistical data visualization. </w:t>
      </w:r>
      <w:r w:rsidR="001A6E89" w:rsidRPr="0041212B">
        <w:rPr>
          <w:rFonts w:ascii="Arial" w:hAnsi="Arial" w:cs="Arial"/>
        </w:rPr>
        <w:t>Journal of Open-Source Software, 6(60), 3021, https:/ /doi.org/10.21105/joss.03021).</w:t>
      </w:r>
    </w:p>
    <w:p w14:paraId="6187070E" w14:textId="11858AA7" w:rsidR="00A25618" w:rsidRDefault="007B089E" w:rsidP="00705E36">
      <w:pPr>
        <w:ind w:right="140"/>
        <w:rPr>
          <w:rFonts w:ascii="Arial" w:hAnsi="Arial" w:cs="Arial"/>
        </w:rPr>
      </w:pPr>
      <w:r w:rsidRPr="00BE2CF3">
        <w:rPr>
          <w:rFonts w:ascii="Arial" w:hAnsi="Arial" w:cs="Arial"/>
        </w:rPr>
        <w:t xml:space="preserve">La tabulación, organización y limpieza de la base de datos se realizó con el programa Microsoft Excel </w:t>
      </w:r>
      <w:r w:rsidR="001A6E89" w:rsidRPr="007B089E">
        <w:rPr>
          <w:rFonts w:ascii="Arial" w:hAnsi="Arial" w:cs="Arial"/>
        </w:rPr>
        <w:t>(</w:t>
      </w:r>
      <w:r w:rsidRPr="007B089E">
        <w:rPr>
          <w:rFonts w:ascii="Arial" w:hAnsi="Arial" w:cs="Arial"/>
        </w:rPr>
        <w:t>referencia</w:t>
      </w:r>
      <w:r w:rsidR="001A6E89" w:rsidRPr="007B089E">
        <w:rPr>
          <w:rFonts w:ascii="Arial" w:hAnsi="Arial" w:cs="Arial"/>
        </w:rPr>
        <w:t>: Microsoft Excel. (2023). Windows. Microsoft.).</w:t>
      </w:r>
      <w:r w:rsidR="00151C23" w:rsidRPr="007B089E">
        <w:rPr>
          <w:rFonts w:ascii="Arial" w:hAnsi="Arial" w:cs="Arial"/>
        </w:rPr>
        <w:t xml:space="preserve"> </w:t>
      </w:r>
    </w:p>
    <w:p w14:paraId="4DCD5373" w14:textId="77777777" w:rsidR="00C20C0F" w:rsidRPr="007B089E" w:rsidRDefault="00C20C0F" w:rsidP="00705E36">
      <w:pPr>
        <w:ind w:right="140"/>
        <w:rPr>
          <w:rFonts w:ascii="Arial" w:hAnsi="Arial" w:cs="Arial"/>
        </w:rPr>
      </w:pPr>
    </w:p>
    <w:p w14:paraId="2A2FF383" w14:textId="477AA087" w:rsidR="004A07E4" w:rsidRPr="00BE2CF3" w:rsidRDefault="007B089E" w:rsidP="00705E36">
      <w:pPr>
        <w:pStyle w:val="Heading1"/>
        <w:numPr>
          <w:ilvl w:val="0"/>
          <w:numId w:val="1"/>
        </w:numPr>
        <w:ind w:right="140"/>
        <w:rPr>
          <w:rFonts w:ascii="Arial" w:hAnsi="Arial" w:cs="Arial"/>
        </w:rPr>
      </w:pPr>
      <w:bookmarkStart w:id="14" w:name="_Toc183376722"/>
      <w:r w:rsidRPr="00BE2CF3">
        <w:rPr>
          <w:rFonts w:ascii="Arial" w:hAnsi="Arial" w:cs="Arial"/>
        </w:rPr>
        <w:t xml:space="preserve">Resultados </w:t>
      </w:r>
      <w:r w:rsidR="00F074BA" w:rsidRPr="00BE2CF3">
        <w:rPr>
          <w:rFonts w:ascii="Arial" w:hAnsi="Arial" w:cs="Arial"/>
        </w:rPr>
        <w:t xml:space="preserve">– </w:t>
      </w:r>
      <w:r w:rsidRPr="00BE2CF3">
        <w:rPr>
          <w:rFonts w:ascii="Arial" w:hAnsi="Arial" w:cs="Arial"/>
        </w:rPr>
        <w:t>Análisis de datos</w:t>
      </w:r>
      <w:bookmarkEnd w:id="14"/>
    </w:p>
    <w:p w14:paraId="72175CA4" w14:textId="77777777" w:rsidR="00F65D71" w:rsidRPr="00BE2CF3" w:rsidRDefault="00F65D71" w:rsidP="00705E36">
      <w:pPr>
        <w:ind w:right="140"/>
        <w:rPr>
          <w:rFonts w:ascii="Arial" w:hAnsi="Arial" w:cs="Arial"/>
        </w:rPr>
      </w:pPr>
    </w:p>
    <w:p w14:paraId="39902DC7" w14:textId="15ECEC4C" w:rsidR="009264F3" w:rsidRPr="00873EF5" w:rsidRDefault="00873EF5" w:rsidP="00705E36">
      <w:pPr>
        <w:ind w:right="140"/>
        <w:rPr>
          <w:rFonts w:ascii="Arial" w:hAnsi="Arial" w:cs="Arial"/>
        </w:rPr>
      </w:pPr>
      <w:r>
        <w:rPr>
          <w:rFonts w:ascii="Arial" w:hAnsi="Arial" w:cs="Arial"/>
        </w:rPr>
        <w:t xml:space="preserve">Para iniciar el análisis con mayor validez, es </w:t>
      </w:r>
      <w:r w:rsidR="0067020F">
        <w:rPr>
          <w:rFonts w:ascii="Arial" w:hAnsi="Arial" w:cs="Arial"/>
        </w:rPr>
        <w:t>relevante</w:t>
      </w:r>
      <w:r>
        <w:rPr>
          <w:rFonts w:ascii="Arial" w:hAnsi="Arial" w:cs="Arial"/>
        </w:rPr>
        <w:t xml:space="preserve"> confirmar que los encuestados aceptaron que los ahorros están bien calculados</w:t>
      </w:r>
      <w:r w:rsidR="007963D1">
        <w:rPr>
          <w:rFonts w:ascii="Arial" w:hAnsi="Arial" w:cs="Arial"/>
        </w:rPr>
        <w:t xml:space="preserve"> en sus empresas</w:t>
      </w:r>
      <w:r>
        <w:rPr>
          <w:rFonts w:ascii="Arial" w:hAnsi="Arial" w:cs="Arial"/>
        </w:rPr>
        <w:t xml:space="preserve">, con una puntuación media de 7,2 sobre 10 entre todos los encuestados. Por lo </w:t>
      </w:r>
      <w:r w:rsidR="00B97DBD">
        <w:rPr>
          <w:rFonts w:ascii="Arial" w:hAnsi="Arial" w:cs="Arial"/>
        </w:rPr>
        <w:t>que</w:t>
      </w:r>
      <w:r>
        <w:rPr>
          <w:rFonts w:ascii="Arial" w:hAnsi="Arial" w:cs="Arial"/>
        </w:rPr>
        <w:t xml:space="preserve">, utilizar el número de tipos de ahorro reconocidos dentro de las empresas </w:t>
      </w:r>
      <w:r w:rsidR="0081223A">
        <w:rPr>
          <w:rFonts w:ascii="Arial" w:hAnsi="Arial" w:cs="Arial"/>
        </w:rPr>
        <w:t xml:space="preserve">se puede considerar </w:t>
      </w:r>
      <w:r>
        <w:rPr>
          <w:rFonts w:ascii="Arial" w:hAnsi="Arial" w:cs="Arial"/>
        </w:rPr>
        <w:t>un indicador suficientemente representativo</w:t>
      </w:r>
      <w:r w:rsidR="00B936B3">
        <w:rPr>
          <w:rFonts w:ascii="Arial" w:hAnsi="Arial" w:cs="Arial"/>
        </w:rPr>
        <w:t xml:space="preserve"> de los ahorros</w:t>
      </w:r>
      <w:r w:rsidR="009F7F4E">
        <w:rPr>
          <w:rFonts w:ascii="Arial" w:hAnsi="Arial" w:cs="Arial"/>
        </w:rPr>
        <w:t xml:space="preserve">, </w:t>
      </w:r>
      <w:r w:rsidR="00475D4F">
        <w:rPr>
          <w:rFonts w:ascii="Arial" w:hAnsi="Arial" w:cs="Arial"/>
        </w:rPr>
        <w:t xml:space="preserve">ya que </w:t>
      </w:r>
      <w:r w:rsidR="009F7F4E">
        <w:rPr>
          <w:rFonts w:ascii="Arial" w:hAnsi="Arial" w:cs="Arial"/>
        </w:rPr>
        <w:t xml:space="preserve">el </w:t>
      </w:r>
      <w:r w:rsidR="001740DF">
        <w:rPr>
          <w:rFonts w:ascii="Arial" w:hAnsi="Arial" w:cs="Arial"/>
        </w:rPr>
        <w:t xml:space="preserve">cálculo </w:t>
      </w:r>
      <w:r w:rsidR="001740DF" w:rsidRPr="00866248">
        <w:rPr>
          <w:rFonts w:ascii="Arial" w:hAnsi="Arial" w:cs="Arial"/>
        </w:rPr>
        <w:t>particular</w:t>
      </w:r>
      <w:r w:rsidR="001740DF">
        <w:rPr>
          <w:rFonts w:ascii="Arial" w:hAnsi="Arial" w:cs="Arial"/>
        </w:rPr>
        <w:t xml:space="preserve"> de cada tipo </w:t>
      </w:r>
      <w:r w:rsidR="00475D4F">
        <w:rPr>
          <w:rFonts w:ascii="Arial" w:hAnsi="Arial" w:cs="Arial"/>
        </w:rPr>
        <w:t xml:space="preserve">añadiría </w:t>
      </w:r>
      <w:r w:rsidR="00406997">
        <w:rPr>
          <w:rFonts w:ascii="Arial" w:hAnsi="Arial" w:cs="Arial"/>
        </w:rPr>
        <w:t>complejidad al estudio</w:t>
      </w:r>
      <w:r w:rsidR="009264F3" w:rsidRPr="00873EF5">
        <w:rPr>
          <w:rFonts w:ascii="Arial" w:hAnsi="Arial" w:cs="Arial"/>
        </w:rPr>
        <w:t>.</w:t>
      </w:r>
    </w:p>
    <w:p w14:paraId="5F7C1096" w14:textId="7BB0032F" w:rsidR="005167D9" w:rsidRDefault="00AE52EA" w:rsidP="00705E36">
      <w:pPr>
        <w:ind w:right="140"/>
        <w:rPr>
          <w:rFonts w:ascii="Arial" w:hAnsi="Arial" w:cs="Arial"/>
        </w:rPr>
      </w:pPr>
      <w:r>
        <w:rPr>
          <w:rFonts w:ascii="Arial" w:hAnsi="Arial" w:cs="Arial"/>
        </w:rPr>
        <w:t>Igualmente,</w:t>
      </w:r>
      <w:r w:rsidR="00741038">
        <w:rPr>
          <w:rFonts w:ascii="Arial" w:hAnsi="Arial" w:cs="Arial"/>
        </w:rPr>
        <w:t xml:space="preserve"> con una media de 7,05 sobre 10, los encuestados consideran que </w:t>
      </w:r>
      <w:r w:rsidR="00652BBD">
        <w:rPr>
          <w:rFonts w:ascii="Arial" w:hAnsi="Arial" w:cs="Arial"/>
        </w:rPr>
        <w:t xml:space="preserve">cada vez cuesta más conseguir ahorros, lo que </w:t>
      </w:r>
      <w:r w:rsidR="006D2526">
        <w:rPr>
          <w:rFonts w:ascii="Arial" w:hAnsi="Arial" w:cs="Arial"/>
        </w:rPr>
        <w:t>soporta</w:t>
      </w:r>
      <w:r w:rsidR="00652BBD">
        <w:rPr>
          <w:rFonts w:ascii="Arial" w:hAnsi="Arial" w:cs="Arial"/>
        </w:rPr>
        <w:t xml:space="preserve"> la idea de un rendimiento marginal decreciente</w:t>
      </w:r>
      <w:r w:rsidR="006D2526">
        <w:rPr>
          <w:rFonts w:ascii="Arial" w:hAnsi="Arial" w:cs="Arial"/>
        </w:rPr>
        <w:t>, en los esfuerzos necesarios para conseguir ahorros.</w:t>
      </w:r>
    </w:p>
    <w:p w14:paraId="2A43E1A0" w14:textId="77777777" w:rsidR="00AE52EA" w:rsidRPr="00873EF5" w:rsidRDefault="00AE52EA" w:rsidP="00705E36">
      <w:pPr>
        <w:ind w:right="140"/>
        <w:rPr>
          <w:rFonts w:ascii="Arial" w:hAnsi="Arial" w:cs="Arial"/>
        </w:rPr>
      </w:pPr>
    </w:p>
    <w:p w14:paraId="28D3AEEB" w14:textId="156C683B" w:rsidR="00D14190" w:rsidRPr="00AA1083" w:rsidRDefault="00DD5978" w:rsidP="00705E36">
      <w:pPr>
        <w:pStyle w:val="Heading2"/>
        <w:ind w:left="708" w:right="140" w:hanging="282"/>
        <w:rPr>
          <w:rFonts w:ascii="Arial" w:hAnsi="Arial" w:cs="Arial"/>
        </w:rPr>
      </w:pPr>
      <w:bookmarkStart w:id="15" w:name="_Toc183376723"/>
      <w:r w:rsidRPr="00AA1083">
        <w:rPr>
          <w:rFonts w:ascii="Arial" w:hAnsi="Arial" w:cs="Arial"/>
        </w:rPr>
        <w:t>5.</w:t>
      </w:r>
      <w:r w:rsidR="00FC2DF1" w:rsidRPr="00AA1083">
        <w:rPr>
          <w:rFonts w:ascii="Arial" w:hAnsi="Arial" w:cs="Arial"/>
        </w:rPr>
        <w:t>1</w:t>
      </w:r>
      <w:r w:rsidRPr="00AA1083">
        <w:rPr>
          <w:rFonts w:ascii="Arial" w:hAnsi="Arial" w:cs="Arial"/>
        </w:rPr>
        <w:t xml:space="preserve"> </w:t>
      </w:r>
      <w:r w:rsidR="00C11F26" w:rsidRPr="00BE2CF3">
        <w:rPr>
          <w:rFonts w:ascii="Arial" w:hAnsi="Arial" w:cs="Arial"/>
        </w:rPr>
        <w:t>Prueba de hipótesis</w:t>
      </w:r>
      <w:bookmarkEnd w:id="15"/>
    </w:p>
    <w:p w14:paraId="3CE10A4A" w14:textId="77777777" w:rsidR="005169E3" w:rsidRPr="00AA1083" w:rsidRDefault="005169E3" w:rsidP="00705E36">
      <w:pPr>
        <w:ind w:right="140"/>
        <w:rPr>
          <w:rFonts w:ascii="Arial" w:hAnsi="Arial" w:cs="Arial"/>
        </w:rPr>
      </w:pPr>
    </w:p>
    <w:p w14:paraId="63FF2FA4" w14:textId="2812A532" w:rsidR="00A0256F" w:rsidRPr="00B82712" w:rsidRDefault="0036008E" w:rsidP="00705E36">
      <w:pPr>
        <w:pStyle w:val="Heading3"/>
        <w:ind w:right="140"/>
        <w:rPr>
          <w:rFonts w:ascii="Arial" w:hAnsi="Arial" w:cs="Arial"/>
        </w:rPr>
      </w:pPr>
      <w:bookmarkStart w:id="16" w:name="_Toc183376724"/>
      <w:r w:rsidRPr="00B82712">
        <w:rPr>
          <w:rFonts w:ascii="Arial" w:hAnsi="Arial" w:cs="Arial"/>
        </w:rPr>
        <w:t>5.</w:t>
      </w:r>
      <w:r w:rsidR="00FC2DF1" w:rsidRPr="00B82712">
        <w:rPr>
          <w:rFonts w:ascii="Arial" w:hAnsi="Arial" w:cs="Arial"/>
        </w:rPr>
        <w:t>1</w:t>
      </w:r>
      <w:r w:rsidR="004F7FCB" w:rsidRPr="00B82712">
        <w:rPr>
          <w:rFonts w:ascii="Arial" w:hAnsi="Arial" w:cs="Arial"/>
        </w:rPr>
        <w:t xml:space="preserve">.1 </w:t>
      </w:r>
      <w:r w:rsidR="00E9332E" w:rsidRPr="00B82712">
        <w:rPr>
          <w:rFonts w:ascii="Arial" w:hAnsi="Arial" w:cs="Arial"/>
        </w:rPr>
        <w:tab/>
      </w:r>
      <w:r w:rsidR="005418F3" w:rsidRPr="00B82712">
        <w:rPr>
          <w:rFonts w:ascii="Arial" w:hAnsi="Arial" w:cs="Arial"/>
        </w:rPr>
        <w:t xml:space="preserve">H1 – </w:t>
      </w:r>
      <w:r w:rsidR="00B82712" w:rsidRPr="00B82712">
        <w:rPr>
          <w:rFonts w:ascii="Arial" w:hAnsi="Arial" w:cs="Arial"/>
        </w:rPr>
        <w:t xml:space="preserve">Una función de compras más madura reconoce </w:t>
      </w:r>
      <w:r w:rsidR="00384DA2">
        <w:rPr>
          <w:rFonts w:ascii="Arial" w:hAnsi="Arial" w:cs="Arial"/>
        </w:rPr>
        <w:t xml:space="preserve">más </w:t>
      </w:r>
      <w:r w:rsidR="00B82712" w:rsidRPr="00B82712">
        <w:rPr>
          <w:rFonts w:ascii="Arial" w:hAnsi="Arial" w:cs="Arial"/>
        </w:rPr>
        <w:t xml:space="preserve">ahorros </w:t>
      </w:r>
      <w:r w:rsidR="00384DA2">
        <w:rPr>
          <w:rFonts w:ascii="Arial" w:hAnsi="Arial" w:cs="Arial"/>
        </w:rPr>
        <w:t xml:space="preserve">indirectos </w:t>
      </w:r>
      <w:r w:rsidR="00B82712" w:rsidRPr="00B82712">
        <w:rPr>
          <w:rFonts w:ascii="Arial" w:hAnsi="Arial" w:cs="Arial"/>
        </w:rPr>
        <w:t>complejos.</w:t>
      </w:r>
      <w:bookmarkEnd w:id="16"/>
    </w:p>
    <w:p w14:paraId="555045AD" w14:textId="77777777" w:rsidR="004F7FCB" w:rsidRPr="00B82712" w:rsidRDefault="004F7FCB" w:rsidP="00705E36">
      <w:pPr>
        <w:ind w:right="140"/>
        <w:rPr>
          <w:rFonts w:ascii="Arial" w:hAnsi="Arial" w:cs="Arial"/>
        </w:rPr>
      </w:pPr>
    </w:p>
    <w:p w14:paraId="2E3736E6" w14:textId="3FA53866" w:rsidR="00851EBD" w:rsidRPr="00266B5A" w:rsidRDefault="00851EBD" w:rsidP="00705E36">
      <w:pPr>
        <w:ind w:right="140"/>
        <w:rPr>
          <w:rFonts w:ascii="Arial" w:hAnsi="Arial" w:cs="Arial"/>
        </w:rPr>
      </w:pPr>
      <w:r w:rsidRPr="00F11503">
        <w:rPr>
          <w:rFonts w:ascii="Arial" w:hAnsi="Arial" w:cs="Arial"/>
        </w:rPr>
        <w:t>En la Tabla 6</w:t>
      </w:r>
      <w:r w:rsidRPr="0079349E">
        <w:rPr>
          <w:rFonts w:ascii="Arial" w:hAnsi="Arial" w:cs="Arial"/>
        </w:rPr>
        <w:t xml:space="preserve"> se muestra el análisis exploratorio y descriptivo de las puntuaciones de las variables sobre el tipo de ahorro</w:t>
      </w:r>
      <w:r w:rsidR="00266B5A">
        <w:rPr>
          <w:rFonts w:ascii="Arial" w:hAnsi="Arial" w:cs="Arial"/>
        </w:rPr>
        <w:t xml:space="preserve"> indirecto complejo</w:t>
      </w:r>
      <w:r w:rsidRPr="0079349E">
        <w:rPr>
          <w:rFonts w:ascii="Arial" w:hAnsi="Arial" w:cs="Arial"/>
        </w:rPr>
        <w:t xml:space="preserve"> CSS para cada tipo de </w:t>
      </w:r>
      <w:r w:rsidR="00266B5A">
        <w:rPr>
          <w:rFonts w:ascii="Arial" w:hAnsi="Arial" w:cs="Arial"/>
        </w:rPr>
        <w:t>madurez en la empresa</w:t>
      </w:r>
      <w:r w:rsidRPr="0079349E">
        <w:rPr>
          <w:rFonts w:ascii="Arial" w:hAnsi="Arial" w:cs="Arial"/>
        </w:rPr>
        <w:t xml:space="preserve"> (MPF).</w:t>
      </w:r>
    </w:p>
    <w:p w14:paraId="3278106A" w14:textId="0D85D1BE" w:rsidR="00C45DE5" w:rsidRDefault="00C45DE5" w:rsidP="00705E36">
      <w:pPr>
        <w:ind w:right="140"/>
        <w:rPr>
          <w:rFonts w:ascii="Arial" w:hAnsi="Arial" w:cs="Arial"/>
        </w:rPr>
      </w:pPr>
      <w:r>
        <w:rPr>
          <w:rFonts w:ascii="Arial" w:hAnsi="Arial" w:cs="Arial"/>
        </w:rPr>
        <w:t xml:space="preserve">Se </w:t>
      </w:r>
      <w:r w:rsidR="00262E40">
        <w:rPr>
          <w:rFonts w:ascii="Arial" w:hAnsi="Arial" w:cs="Arial"/>
        </w:rPr>
        <w:t>puede observar a la vista de los resultados que a medida que aumenta la madurez de l</w:t>
      </w:r>
      <w:r w:rsidR="00E87A6C">
        <w:rPr>
          <w:rFonts w:ascii="Arial" w:hAnsi="Arial" w:cs="Arial"/>
        </w:rPr>
        <w:t xml:space="preserve">a función de compras se reconocen más </w:t>
      </w:r>
      <w:r w:rsidR="0092152F">
        <w:rPr>
          <w:rFonts w:ascii="Arial" w:hAnsi="Arial" w:cs="Arial"/>
        </w:rPr>
        <w:t>tipos de ahorros indirectos y complejos.</w:t>
      </w:r>
    </w:p>
    <w:p w14:paraId="3B9B1521" w14:textId="09C96AA7" w:rsidR="00AB250A" w:rsidRPr="00AB250A" w:rsidRDefault="00220FFE" w:rsidP="00705E36">
      <w:pPr>
        <w:ind w:right="140"/>
        <w:rPr>
          <w:rFonts w:ascii="Arial" w:hAnsi="Arial" w:cs="Arial"/>
        </w:rPr>
      </w:pPr>
      <w:r>
        <w:rPr>
          <w:rFonts w:ascii="Arial" w:hAnsi="Arial" w:cs="Arial"/>
        </w:rPr>
        <w:t>En</w:t>
      </w:r>
      <w:r w:rsidR="00AB250A">
        <w:rPr>
          <w:rFonts w:ascii="Arial" w:hAnsi="Arial" w:cs="Arial"/>
        </w:rPr>
        <w:t xml:space="preserve"> </w:t>
      </w:r>
      <w:r w:rsidR="00C248D2">
        <w:rPr>
          <w:rFonts w:ascii="Arial" w:hAnsi="Arial" w:cs="Arial"/>
        </w:rPr>
        <w:t xml:space="preserve">las primeras fases </w:t>
      </w:r>
      <w:r w:rsidR="00AB1BB6">
        <w:rPr>
          <w:rFonts w:ascii="Arial" w:hAnsi="Arial" w:cs="Arial"/>
        </w:rPr>
        <w:t xml:space="preserve">de madurez </w:t>
      </w:r>
      <w:r w:rsidR="00C248D2">
        <w:rPr>
          <w:rFonts w:ascii="Arial" w:hAnsi="Arial" w:cs="Arial"/>
        </w:rPr>
        <w:t xml:space="preserve">MPF1 y </w:t>
      </w:r>
      <w:r w:rsidR="00AB250A">
        <w:rPr>
          <w:rFonts w:ascii="Arial" w:hAnsi="Arial" w:cs="Arial"/>
        </w:rPr>
        <w:t xml:space="preserve">MPF2 apenas hay diversidad en los datos, los valores solo oscilan entre 5 y 6 (desviación estándar 0,41 y rango IQR 0,25). </w:t>
      </w:r>
      <w:r w:rsidR="00F8733D">
        <w:rPr>
          <w:rFonts w:ascii="Arial" w:hAnsi="Arial" w:cs="Arial"/>
        </w:rPr>
        <w:t>Y</w:t>
      </w:r>
      <w:r w:rsidR="00AB250A">
        <w:rPr>
          <w:rFonts w:ascii="Arial" w:hAnsi="Arial" w:cs="Arial"/>
        </w:rPr>
        <w:t xml:space="preserve"> donde hay más diversidad de respuesta es en </w:t>
      </w:r>
      <w:r w:rsidR="00B619B5">
        <w:rPr>
          <w:rFonts w:ascii="Arial" w:hAnsi="Arial" w:cs="Arial"/>
        </w:rPr>
        <w:t>la fase de mayor madurez</w:t>
      </w:r>
      <w:r w:rsidR="00AB250A">
        <w:rPr>
          <w:rFonts w:ascii="Arial" w:hAnsi="Arial" w:cs="Arial"/>
        </w:rPr>
        <w:t xml:space="preserve"> MPF5 (Desviación estándar 2,56 y rango de IQR 4,75), donde las puntuaciones oscilan entre 6 y 13.</w:t>
      </w:r>
    </w:p>
    <w:p w14:paraId="2387A8A3" w14:textId="690F944D" w:rsidR="00A4023A" w:rsidRDefault="00B331BD" w:rsidP="00705E36">
      <w:pPr>
        <w:ind w:right="140"/>
        <w:rPr>
          <w:rFonts w:ascii="Arial" w:hAnsi="Arial" w:cs="Arial"/>
        </w:rPr>
      </w:pPr>
      <w:r w:rsidRPr="001B5ED0">
        <w:rPr>
          <w:rFonts w:ascii="Arial" w:hAnsi="Arial" w:cs="Arial"/>
        </w:rPr>
        <w:t xml:space="preserve">Para MPF1 solo hay respuestas en 2 tipos de CSS, por esta razón no </w:t>
      </w:r>
      <w:r w:rsidR="00FE4AFB">
        <w:rPr>
          <w:rFonts w:ascii="Arial" w:hAnsi="Arial" w:cs="Arial"/>
        </w:rPr>
        <w:t xml:space="preserve">se </w:t>
      </w:r>
      <w:r w:rsidR="00AB1BB6">
        <w:rPr>
          <w:rFonts w:ascii="Arial" w:hAnsi="Arial" w:cs="Arial"/>
        </w:rPr>
        <w:t>incluye</w:t>
      </w:r>
      <w:r w:rsidRPr="001B5ED0">
        <w:rPr>
          <w:rFonts w:ascii="Arial" w:hAnsi="Arial" w:cs="Arial"/>
        </w:rPr>
        <w:t xml:space="preserve"> en la Tabla 6.</w:t>
      </w:r>
    </w:p>
    <w:p w14:paraId="0B44980C" w14:textId="77777777" w:rsidR="00AB1BB6" w:rsidRPr="00B331BD" w:rsidRDefault="00AB1BB6" w:rsidP="00705E36">
      <w:pPr>
        <w:ind w:right="140"/>
        <w:rPr>
          <w:rFonts w:ascii="Arial" w:hAnsi="Arial" w:cs="Arial"/>
        </w:rPr>
      </w:pPr>
    </w:p>
    <w:p w14:paraId="583FE5F7" w14:textId="297F8275" w:rsidR="0081745C" w:rsidRPr="00CD6E01" w:rsidRDefault="00CD6E01" w:rsidP="00705E36">
      <w:pPr>
        <w:keepNext/>
        <w:spacing w:after="60" w:line="240" w:lineRule="auto"/>
        <w:ind w:left="-170" w:right="140"/>
        <w:rPr>
          <w:rFonts w:ascii="Calibri" w:eastAsia="Calibri" w:hAnsi="Calibri" w:cs="Times New Roman"/>
          <w:i/>
          <w:iCs/>
          <w:kern w:val="0"/>
          <w:sz w:val="18"/>
          <w:szCs w:val="18"/>
          <w14:ligatures w14:val="none"/>
        </w:rPr>
      </w:pPr>
      <w:r w:rsidRPr="0081745C">
        <w:rPr>
          <w:rFonts w:ascii="Calibri" w:eastAsia="Calibri" w:hAnsi="Calibri" w:cs="Times New Roman"/>
          <w:b/>
          <w:bCs/>
          <w:kern w:val="0"/>
          <w:sz w:val="18"/>
          <w:szCs w:val="18"/>
          <w14:ligatures w14:val="none"/>
        </w:rPr>
        <w:t xml:space="preserve">Tabla 6: </w:t>
      </w:r>
      <w:r w:rsidRPr="009C4653">
        <w:rPr>
          <w:rFonts w:ascii="Calibri" w:eastAsia="Calibri" w:hAnsi="Calibri" w:cs="Times New Roman"/>
          <w:i/>
          <w:iCs/>
          <w:kern w:val="0"/>
          <w:sz w:val="18"/>
          <w:szCs w:val="18"/>
          <w14:ligatures w14:val="none"/>
        </w:rPr>
        <w:t>Análisis exploratorio y descriptivo. Puntuaciones medias de la función de ahorro sobre CSS para cada MPF.</w:t>
      </w:r>
    </w:p>
    <w:tbl>
      <w:tblPr>
        <w:tblStyle w:val="TableGrid"/>
        <w:tblW w:w="930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
        <w:gridCol w:w="1069"/>
        <w:gridCol w:w="975"/>
        <w:gridCol w:w="930"/>
        <w:gridCol w:w="251"/>
        <w:gridCol w:w="831"/>
        <w:gridCol w:w="1003"/>
        <w:gridCol w:w="251"/>
        <w:gridCol w:w="1221"/>
        <w:gridCol w:w="1018"/>
        <w:gridCol w:w="831"/>
        <w:gridCol w:w="14"/>
      </w:tblGrid>
      <w:tr w:rsidR="001E1F9E" w:rsidRPr="00197F5B" w14:paraId="6D80685E" w14:textId="77777777" w:rsidTr="00197F5B">
        <w:trPr>
          <w:trHeight w:val="785"/>
          <w:jc w:val="center"/>
        </w:trPr>
        <w:tc>
          <w:tcPr>
            <w:tcW w:w="907" w:type="dxa"/>
            <w:vMerge w:val="restart"/>
            <w:tcBorders>
              <w:top w:val="single" w:sz="4" w:space="0" w:color="auto"/>
            </w:tcBorders>
            <w:shd w:val="clear" w:color="auto" w:fill="D8D8D8"/>
            <w:noWrap/>
            <w:vAlign w:val="center"/>
          </w:tcPr>
          <w:p w14:paraId="6F38989A" w14:textId="799D71CB" w:rsidR="001E1F9E" w:rsidRPr="00197F5B" w:rsidRDefault="00FF3163" w:rsidP="00705E36">
            <w:pPr>
              <w:spacing w:before="20" w:after="20"/>
              <w:ind w:left="57" w:right="140"/>
              <w:jc w:val="center"/>
              <w:rPr>
                <w:rFonts w:asciiTheme="majorHAnsi" w:hAnsiTheme="majorHAnsi" w:cstheme="majorHAnsi"/>
                <w:b/>
                <w:bCs/>
                <w:i/>
                <w:iCs/>
                <w:sz w:val="16"/>
                <w:szCs w:val="16"/>
              </w:rPr>
            </w:pPr>
            <w:r w:rsidRPr="00197F5B">
              <w:rPr>
                <w:rFonts w:asciiTheme="majorHAnsi" w:hAnsiTheme="majorHAnsi" w:cstheme="majorHAnsi"/>
                <w:b/>
                <w:bCs/>
                <w:i/>
                <w:iCs/>
                <w:sz w:val="16"/>
                <w:szCs w:val="16"/>
              </w:rPr>
              <w:t>Ítems</w:t>
            </w:r>
          </w:p>
        </w:tc>
        <w:tc>
          <w:tcPr>
            <w:tcW w:w="2974" w:type="dxa"/>
            <w:gridSpan w:val="3"/>
            <w:tcBorders>
              <w:top w:val="single" w:sz="4" w:space="0" w:color="auto"/>
              <w:bottom w:val="single" w:sz="4" w:space="0" w:color="auto"/>
            </w:tcBorders>
            <w:shd w:val="clear" w:color="auto" w:fill="D8D8D8"/>
            <w:noWrap/>
            <w:vAlign w:val="center"/>
          </w:tcPr>
          <w:p w14:paraId="6943439B" w14:textId="555B05FF" w:rsidR="001E1F9E" w:rsidRPr="00197F5B" w:rsidRDefault="00FF3163" w:rsidP="00705E36">
            <w:pPr>
              <w:spacing w:before="20" w:after="20"/>
              <w:ind w:left="57" w:right="140"/>
              <w:jc w:val="center"/>
              <w:rPr>
                <w:rFonts w:asciiTheme="majorHAnsi" w:hAnsiTheme="majorHAnsi" w:cstheme="majorHAnsi"/>
                <w:b/>
                <w:bCs/>
                <w:color w:val="000000"/>
                <w:sz w:val="16"/>
                <w:szCs w:val="16"/>
              </w:rPr>
            </w:pPr>
            <w:r w:rsidRPr="00197F5B">
              <w:rPr>
                <w:rFonts w:asciiTheme="majorHAnsi" w:hAnsiTheme="majorHAnsi" w:cstheme="majorHAnsi"/>
                <w:b/>
                <w:bCs/>
                <w:color w:val="000000"/>
                <w:sz w:val="16"/>
                <w:szCs w:val="16"/>
              </w:rPr>
              <w:t>Exploración: Forma</w:t>
            </w:r>
          </w:p>
        </w:tc>
        <w:tc>
          <w:tcPr>
            <w:tcW w:w="251" w:type="dxa"/>
            <w:tcBorders>
              <w:top w:val="single" w:sz="4" w:space="0" w:color="auto"/>
            </w:tcBorders>
            <w:shd w:val="clear" w:color="auto" w:fill="D8D8D8"/>
            <w:vAlign w:val="center"/>
          </w:tcPr>
          <w:p w14:paraId="54856E4B" w14:textId="77777777" w:rsidR="001E1F9E" w:rsidRPr="00197F5B" w:rsidRDefault="001E1F9E" w:rsidP="00705E36">
            <w:pPr>
              <w:spacing w:before="20" w:after="20"/>
              <w:ind w:left="57" w:right="140"/>
              <w:jc w:val="center"/>
              <w:rPr>
                <w:rFonts w:asciiTheme="majorHAnsi" w:hAnsiTheme="majorHAnsi" w:cstheme="majorHAnsi"/>
                <w:b/>
                <w:bCs/>
                <w:color w:val="000000"/>
                <w:sz w:val="16"/>
                <w:szCs w:val="16"/>
              </w:rPr>
            </w:pPr>
          </w:p>
        </w:tc>
        <w:tc>
          <w:tcPr>
            <w:tcW w:w="1834" w:type="dxa"/>
            <w:gridSpan w:val="2"/>
            <w:tcBorders>
              <w:top w:val="single" w:sz="4" w:space="0" w:color="auto"/>
              <w:bottom w:val="single" w:sz="4" w:space="0" w:color="auto"/>
            </w:tcBorders>
            <w:shd w:val="clear" w:color="auto" w:fill="D8D8D8"/>
            <w:vAlign w:val="center"/>
          </w:tcPr>
          <w:p w14:paraId="1DE51D0C" w14:textId="7B04A1ED" w:rsidR="001E1F9E" w:rsidRPr="00197F5B" w:rsidRDefault="00FF3163" w:rsidP="00705E36">
            <w:pPr>
              <w:spacing w:before="20" w:after="20"/>
              <w:ind w:left="57" w:right="140"/>
              <w:jc w:val="center"/>
              <w:rPr>
                <w:rFonts w:asciiTheme="majorHAnsi" w:hAnsiTheme="majorHAnsi" w:cstheme="majorHAnsi"/>
                <w:b/>
                <w:bCs/>
                <w:color w:val="000000"/>
                <w:sz w:val="16"/>
                <w:szCs w:val="16"/>
              </w:rPr>
            </w:pPr>
            <w:r w:rsidRPr="00197F5B">
              <w:rPr>
                <w:rFonts w:asciiTheme="majorHAnsi" w:hAnsiTheme="majorHAnsi" w:cstheme="majorHAnsi"/>
                <w:b/>
                <w:bCs/>
                <w:color w:val="000000"/>
                <w:sz w:val="16"/>
                <w:szCs w:val="16"/>
              </w:rPr>
              <w:t>Centralidad</w:t>
            </w:r>
          </w:p>
        </w:tc>
        <w:tc>
          <w:tcPr>
            <w:tcW w:w="251" w:type="dxa"/>
            <w:tcBorders>
              <w:top w:val="single" w:sz="4" w:space="0" w:color="auto"/>
            </w:tcBorders>
            <w:shd w:val="clear" w:color="auto" w:fill="D8D8D8"/>
            <w:vAlign w:val="center"/>
          </w:tcPr>
          <w:p w14:paraId="79981B1D" w14:textId="77777777" w:rsidR="001E1F9E" w:rsidRPr="00197F5B" w:rsidRDefault="001E1F9E" w:rsidP="00705E36">
            <w:pPr>
              <w:spacing w:before="20" w:after="20"/>
              <w:ind w:left="57" w:right="140"/>
              <w:jc w:val="center"/>
              <w:rPr>
                <w:rFonts w:asciiTheme="majorHAnsi" w:hAnsiTheme="majorHAnsi" w:cstheme="majorHAnsi"/>
                <w:b/>
                <w:bCs/>
                <w:sz w:val="16"/>
                <w:szCs w:val="16"/>
              </w:rPr>
            </w:pPr>
          </w:p>
        </w:tc>
        <w:tc>
          <w:tcPr>
            <w:tcW w:w="3084" w:type="dxa"/>
            <w:gridSpan w:val="4"/>
            <w:tcBorders>
              <w:top w:val="single" w:sz="4" w:space="0" w:color="auto"/>
              <w:bottom w:val="single" w:sz="4" w:space="0" w:color="auto"/>
            </w:tcBorders>
            <w:shd w:val="clear" w:color="auto" w:fill="D8D8D8"/>
            <w:vAlign w:val="center"/>
          </w:tcPr>
          <w:p w14:paraId="5B552BDB" w14:textId="62DE60E8" w:rsidR="001E1F9E" w:rsidRPr="00197F5B" w:rsidRDefault="00FF3163" w:rsidP="00705E36">
            <w:pPr>
              <w:spacing w:before="20" w:after="20"/>
              <w:ind w:left="57" w:right="140"/>
              <w:jc w:val="center"/>
              <w:rPr>
                <w:rFonts w:asciiTheme="majorHAnsi" w:hAnsiTheme="majorHAnsi" w:cstheme="majorHAnsi"/>
                <w:b/>
                <w:bCs/>
                <w:sz w:val="16"/>
                <w:szCs w:val="16"/>
              </w:rPr>
            </w:pPr>
            <w:r w:rsidRPr="00197F5B">
              <w:rPr>
                <w:rFonts w:asciiTheme="majorHAnsi" w:hAnsiTheme="majorHAnsi" w:cstheme="majorHAnsi"/>
                <w:b/>
                <w:bCs/>
                <w:sz w:val="16"/>
                <w:szCs w:val="16"/>
              </w:rPr>
              <w:t>Variabilidad</w:t>
            </w:r>
          </w:p>
        </w:tc>
      </w:tr>
      <w:tr w:rsidR="00197F5B" w:rsidRPr="00197F5B" w14:paraId="1ABEB093" w14:textId="77777777" w:rsidTr="00197F5B">
        <w:trPr>
          <w:trHeight w:val="381"/>
          <w:jc w:val="center"/>
        </w:trPr>
        <w:tc>
          <w:tcPr>
            <w:tcW w:w="907" w:type="dxa"/>
            <w:vMerge/>
            <w:tcBorders>
              <w:bottom w:val="single" w:sz="4" w:space="0" w:color="auto"/>
            </w:tcBorders>
            <w:shd w:val="clear" w:color="auto" w:fill="D8D8D8"/>
            <w:noWrap/>
            <w:vAlign w:val="center"/>
          </w:tcPr>
          <w:p w14:paraId="7230C8FE" w14:textId="77777777" w:rsidR="001E1F9E" w:rsidRPr="00197F5B" w:rsidRDefault="001E1F9E" w:rsidP="00705E36">
            <w:pPr>
              <w:spacing w:before="20" w:after="20"/>
              <w:ind w:left="57" w:right="140"/>
              <w:jc w:val="center"/>
              <w:rPr>
                <w:rFonts w:asciiTheme="majorHAnsi" w:hAnsiTheme="majorHAnsi" w:cstheme="majorHAnsi"/>
                <w:b/>
                <w:bCs/>
                <w:i/>
                <w:iCs/>
                <w:sz w:val="16"/>
                <w:szCs w:val="16"/>
              </w:rPr>
            </w:pPr>
          </w:p>
        </w:tc>
        <w:tc>
          <w:tcPr>
            <w:tcW w:w="1069" w:type="dxa"/>
            <w:tcBorders>
              <w:top w:val="single" w:sz="4" w:space="0" w:color="auto"/>
              <w:bottom w:val="single" w:sz="4" w:space="0" w:color="auto"/>
            </w:tcBorders>
            <w:shd w:val="clear" w:color="auto" w:fill="F2F2F2" w:themeFill="background1" w:themeFillShade="F2"/>
            <w:noWrap/>
            <w:vAlign w:val="center"/>
          </w:tcPr>
          <w:p w14:paraId="549BB960" w14:textId="0408C75E" w:rsidR="001E1F9E" w:rsidRPr="00197F5B" w:rsidRDefault="00FF3163" w:rsidP="00705E36">
            <w:pPr>
              <w:spacing w:before="20" w:after="20"/>
              <w:ind w:left="57" w:right="140"/>
              <w:jc w:val="center"/>
              <w:rPr>
                <w:rFonts w:asciiTheme="majorHAnsi" w:hAnsiTheme="majorHAnsi" w:cstheme="majorHAnsi"/>
                <w:b/>
                <w:bCs/>
                <w:sz w:val="16"/>
                <w:szCs w:val="16"/>
              </w:rPr>
            </w:pPr>
            <w:r w:rsidRPr="00197F5B">
              <w:rPr>
                <w:rFonts w:asciiTheme="majorHAnsi" w:hAnsiTheme="majorHAnsi" w:cstheme="majorHAnsi"/>
                <w:b/>
                <w:bCs/>
                <w:sz w:val="16"/>
                <w:szCs w:val="16"/>
              </w:rPr>
              <w:t>Asimetría</w:t>
            </w:r>
          </w:p>
        </w:tc>
        <w:tc>
          <w:tcPr>
            <w:tcW w:w="975" w:type="dxa"/>
            <w:tcBorders>
              <w:top w:val="single" w:sz="4" w:space="0" w:color="auto"/>
              <w:bottom w:val="single" w:sz="4" w:space="0" w:color="auto"/>
            </w:tcBorders>
            <w:shd w:val="clear" w:color="auto" w:fill="F2F2F2" w:themeFill="background1" w:themeFillShade="F2"/>
            <w:noWrap/>
            <w:vAlign w:val="center"/>
          </w:tcPr>
          <w:p w14:paraId="75237083" w14:textId="77777777" w:rsidR="001E1F9E" w:rsidRPr="00197F5B" w:rsidRDefault="001E1F9E" w:rsidP="00705E36">
            <w:pPr>
              <w:spacing w:before="20" w:after="20"/>
              <w:ind w:left="57" w:right="140"/>
              <w:jc w:val="center"/>
              <w:rPr>
                <w:rFonts w:asciiTheme="majorHAnsi" w:hAnsiTheme="majorHAnsi" w:cstheme="majorHAnsi"/>
                <w:b/>
                <w:bCs/>
                <w:sz w:val="16"/>
                <w:szCs w:val="16"/>
              </w:rPr>
            </w:pPr>
            <w:r w:rsidRPr="00197F5B">
              <w:rPr>
                <w:rFonts w:asciiTheme="majorHAnsi" w:hAnsiTheme="majorHAnsi" w:cstheme="majorHAnsi"/>
                <w:b/>
                <w:bCs/>
                <w:sz w:val="16"/>
                <w:szCs w:val="16"/>
              </w:rPr>
              <w:t>Curtosis</w:t>
            </w:r>
          </w:p>
        </w:tc>
        <w:tc>
          <w:tcPr>
            <w:tcW w:w="929" w:type="dxa"/>
            <w:tcBorders>
              <w:top w:val="single" w:sz="4" w:space="0" w:color="auto"/>
              <w:bottom w:val="single" w:sz="4" w:space="0" w:color="auto"/>
            </w:tcBorders>
            <w:shd w:val="clear" w:color="auto" w:fill="F2F2F2" w:themeFill="background1" w:themeFillShade="F2"/>
            <w:vAlign w:val="center"/>
          </w:tcPr>
          <w:p w14:paraId="6BA04D38" w14:textId="77777777" w:rsidR="001E1F9E" w:rsidRPr="00197F5B" w:rsidRDefault="001E1F9E" w:rsidP="00705E36">
            <w:pPr>
              <w:spacing w:before="20" w:after="20"/>
              <w:ind w:left="57" w:right="140"/>
              <w:jc w:val="center"/>
              <w:rPr>
                <w:rFonts w:asciiTheme="majorHAnsi" w:hAnsiTheme="majorHAnsi" w:cstheme="majorHAnsi"/>
                <w:b/>
                <w:bCs/>
                <w:color w:val="000000"/>
                <w:sz w:val="16"/>
                <w:szCs w:val="16"/>
              </w:rPr>
            </w:pPr>
            <w:r w:rsidRPr="00197F5B">
              <w:rPr>
                <w:rFonts w:asciiTheme="majorHAnsi" w:hAnsiTheme="majorHAnsi" w:cstheme="majorHAnsi"/>
                <w:b/>
                <w:bCs/>
                <w:color w:val="000000"/>
                <w:sz w:val="16"/>
                <w:szCs w:val="16"/>
              </w:rPr>
              <w:t>Normal</w:t>
            </w:r>
          </w:p>
          <w:p w14:paraId="7FBF5274" w14:textId="30101230" w:rsidR="001E1F9E" w:rsidRPr="00197F5B" w:rsidRDefault="001E1F9E" w:rsidP="00705E36">
            <w:pPr>
              <w:spacing w:before="20" w:after="20"/>
              <w:ind w:left="57" w:right="140"/>
              <w:jc w:val="center"/>
              <w:rPr>
                <w:rFonts w:asciiTheme="majorHAnsi" w:hAnsiTheme="majorHAnsi" w:cstheme="majorHAnsi"/>
                <w:b/>
                <w:bCs/>
                <w:i/>
                <w:iCs/>
                <w:color w:val="000000"/>
                <w:sz w:val="16"/>
                <w:szCs w:val="16"/>
              </w:rPr>
            </w:pPr>
            <w:r w:rsidRPr="00197F5B">
              <w:rPr>
                <w:rFonts w:asciiTheme="majorHAnsi" w:hAnsiTheme="majorHAnsi" w:cstheme="majorHAnsi"/>
                <w:b/>
                <w:bCs/>
                <w:i/>
                <w:iCs/>
                <w:color w:val="000000"/>
                <w:sz w:val="16"/>
                <w:szCs w:val="16"/>
              </w:rPr>
              <w:t>p-</w:t>
            </w:r>
            <w:r w:rsidR="00FF3163" w:rsidRPr="00197F5B">
              <w:rPr>
                <w:rFonts w:asciiTheme="majorHAnsi" w:hAnsiTheme="majorHAnsi" w:cstheme="majorHAnsi"/>
                <w:b/>
                <w:bCs/>
                <w:i/>
                <w:iCs/>
                <w:color w:val="000000"/>
                <w:sz w:val="16"/>
                <w:szCs w:val="16"/>
              </w:rPr>
              <w:t>valor</w:t>
            </w:r>
          </w:p>
        </w:tc>
        <w:tc>
          <w:tcPr>
            <w:tcW w:w="251" w:type="dxa"/>
            <w:tcBorders>
              <w:bottom w:val="single" w:sz="4" w:space="0" w:color="auto"/>
            </w:tcBorders>
            <w:shd w:val="clear" w:color="auto" w:fill="F2F2F2" w:themeFill="background1" w:themeFillShade="F2"/>
            <w:vAlign w:val="center"/>
          </w:tcPr>
          <w:p w14:paraId="69CB28BF" w14:textId="77777777" w:rsidR="001E1F9E" w:rsidRPr="00197F5B" w:rsidRDefault="001E1F9E" w:rsidP="00705E36">
            <w:pPr>
              <w:spacing w:before="20" w:after="20"/>
              <w:ind w:left="57" w:right="140"/>
              <w:jc w:val="center"/>
              <w:rPr>
                <w:rFonts w:asciiTheme="majorHAnsi" w:hAnsiTheme="majorHAnsi" w:cstheme="majorHAnsi"/>
                <w:b/>
                <w:bCs/>
                <w:sz w:val="16"/>
                <w:szCs w:val="16"/>
              </w:rPr>
            </w:pPr>
          </w:p>
        </w:tc>
        <w:tc>
          <w:tcPr>
            <w:tcW w:w="831" w:type="dxa"/>
            <w:tcBorders>
              <w:top w:val="single" w:sz="4" w:space="0" w:color="auto"/>
              <w:bottom w:val="single" w:sz="4" w:space="0" w:color="auto"/>
            </w:tcBorders>
            <w:shd w:val="clear" w:color="auto" w:fill="F2F2F2" w:themeFill="background1" w:themeFillShade="F2"/>
            <w:vAlign w:val="center"/>
          </w:tcPr>
          <w:p w14:paraId="31E703ED" w14:textId="0600D441" w:rsidR="001E1F9E" w:rsidRPr="00197F5B" w:rsidRDefault="00FF3163" w:rsidP="00705E36">
            <w:pPr>
              <w:spacing w:before="20" w:after="20"/>
              <w:ind w:left="57" w:right="140"/>
              <w:jc w:val="center"/>
              <w:rPr>
                <w:rFonts w:asciiTheme="majorHAnsi" w:hAnsiTheme="majorHAnsi" w:cstheme="majorHAnsi"/>
                <w:b/>
                <w:bCs/>
                <w:sz w:val="16"/>
                <w:szCs w:val="16"/>
              </w:rPr>
            </w:pPr>
            <w:r w:rsidRPr="00197F5B">
              <w:rPr>
                <w:rFonts w:asciiTheme="majorHAnsi" w:hAnsiTheme="majorHAnsi" w:cstheme="majorHAnsi"/>
                <w:b/>
                <w:bCs/>
                <w:sz w:val="16"/>
                <w:szCs w:val="16"/>
              </w:rPr>
              <w:t>Media</w:t>
            </w:r>
          </w:p>
        </w:tc>
        <w:tc>
          <w:tcPr>
            <w:tcW w:w="1002" w:type="dxa"/>
            <w:tcBorders>
              <w:top w:val="single" w:sz="4" w:space="0" w:color="auto"/>
              <w:bottom w:val="single" w:sz="4" w:space="0" w:color="auto"/>
            </w:tcBorders>
            <w:shd w:val="clear" w:color="auto" w:fill="F2F2F2" w:themeFill="background1" w:themeFillShade="F2"/>
            <w:vAlign w:val="center"/>
          </w:tcPr>
          <w:p w14:paraId="068E5B17" w14:textId="76C825E2" w:rsidR="001E1F9E" w:rsidRPr="00197F5B" w:rsidRDefault="00FF3163" w:rsidP="00705E36">
            <w:pPr>
              <w:spacing w:before="20" w:after="20"/>
              <w:ind w:left="57" w:right="140"/>
              <w:jc w:val="center"/>
              <w:rPr>
                <w:rFonts w:asciiTheme="majorHAnsi" w:hAnsiTheme="majorHAnsi" w:cstheme="majorHAnsi"/>
                <w:b/>
                <w:bCs/>
                <w:color w:val="000000"/>
                <w:sz w:val="16"/>
                <w:szCs w:val="16"/>
              </w:rPr>
            </w:pPr>
            <w:r w:rsidRPr="00197F5B">
              <w:rPr>
                <w:rFonts w:asciiTheme="majorHAnsi" w:hAnsiTheme="majorHAnsi" w:cstheme="majorHAnsi"/>
                <w:b/>
                <w:bCs/>
                <w:color w:val="000000"/>
                <w:sz w:val="16"/>
                <w:szCs w:val="16"/>
              </w:rPr>
              <w:t>Mediana</w:t>
            </w:r>
          </w:p>
        </w:tc>
        <w:tc>
          <w:tcPr>
            <w:tcW w:w="251" w:type="dxa"/>
            <w:tcBorders>
              <w:bottom w:val="single" w:sz="4" w:space="0" w:color="auto"/>
            </w:tcBorders>
            <w:shd w:val="clear" w:color="auto" w:fill="F2F2F2" w:themeFill="background1" w:themeFillShade="F2"/>
            <w:vAlign w:val="center"/>
          </w:tcPr>
          <w:p w14:paraId="1E49397B" w14:textId="77777777" w:rsidR="001E1F9E" w:rsidRPr="00197F5B" w:rsidRDefault="001E1F9E" w:rsidP="00705E36">
            <w:pPr>
              <w:spacing w:before="20" w:after="20"/>
              <w:ind w:left="57" w:right="140"/>
              <w:jc w:val="center"/>
              <w:rPr>
                <w:rFonts w:asciiTheme="majorHAnsi" w:hAnsiTheme="majorHAnsi" w:cstheme="majorHAnsi"/>
                <w:b/>
                <w:bCs/>
                <w:sz w:val="16"/>
                <w:szCs w:val="16"/>
              </w:rPr>
            </w:pPr>
          </w:p>
        </w:tc>
        <w:tc>
          <w:tcPr>
            <w:tcW w:w="1221" w:type="dxa"/>
            <w:tcBorders>
              <w:top w:val="single" w:sz="4" w:space="0" w:color="auto"/>
              <w:bottom w:val="single" w:sz="4" w:space="0" w:color="auto"/>
            </w:tcBorders>
            <w:shd w:val="clear" w:color="auto" w:fill="F2F2F2" w:themeFill="background1" w:themeFillShade="F2"/>
            <w:vAlign w:val="center"/>
          </w:tcPr>
          <w:p w14:paraId="7A2ED908" w14:textId="0F390FBA" w:rsidR="001E1F9E" w:rsidRPr="00197F5B" w:rsidRDefault="001E1F9E" w:rsidP="00705E36">
            <w:pPr>
              <w:spacing w:before="20" w:after="20"/>
              <w:ind w:left="57" w:right="140"/>
              <w:jc w:val="center"/>
              <w:rPr>
                <w:rFonts w:asciiTheme="majorHAnsi" w:hAnsiTheme="majorHAnsi" w:cstheme="majorHAnsi"/>
                <w:b/>
                <w:bCs/>
                <w:sz w:val="16"/>
                <w:szCs w:val="16"/>
              </w:rPr>
            </w:pPr>
            <w:r w:rsidRPr="00197F5B">
              <w:rPr>
                <w:rFonts w:asciiTheme="majorHAnsi" w:hAnsiTheme="majorHAnsi" w:cstheme="majorHAnsi"/>
                <w:b/>
                <w:bCs/>
                <w:sz w:val="16"/>
                <w:szCs w:val="16"/>
              </w:rPr>
              <w:t>Rang</w:t>
            </w:r>
            <w:r w:rsidR="00FF3163" w:rsidRPr="00197F5B">
              <w:rPr>
                <w:rFonts w:asciiTheme="majorHAnsi" w:hAnsiTheme="majorHAnsi" w:cstheme="majorHAnsi"/>
                <w:b/>
                <w:bCs/>
                <w:sz w:val="16"/>
                <w:szCs w:val="16"/>
              </w:rPr>
              <w:t>o</w:t>
            </w:r>
          </w:p>
          <w:p w14:paraId="7248EE55" w14:textId="77777777" w:rsidR="001E1F9E" w:rsidRPr="00197F5B" w:rsidRDefault="001E1F9E" w:rsidP="00705E36">
            <w:pPr>
              <w:spacing w:before="20" w:after="20"/>
              <w:ind w:left="57" w:right="140"/>
              <w:jc w:val="center"/>
              <w:rPr>
                <w:rFonts w:asciiTheme="majorHAnsi" w:hAnsiTheme="majorHAnsi" w:cstheme="majorHAnsi"/>
                <w:b/>
                <w:bCs/>
                <w:sz w:val="16"/>
                <w:szCs w:val="16"/>
              </w:rPr>
            </w:pPr>
            <w:r w:rsidRPr="00197F5B">
              <w:rPr>
                <w:rFonts w:asciiTheme="majorHAnsi" w:hAnsiTheme="majorHAnsi" w:cstheme="majorHAnsi"/>
                <w:b/>
                <w:bCs/>
                <w:sz w:val="16"/>
                <w:szCs w:val="16"/>
              </w:rPr>
              <w:t>(Mín./Máx.)</w:t>
            </w:r>
          </w:p>
        </w:tc>
        <w:tc>
          <w:tcPr>
            <w:tcW w:w="1018" w:type="dxa"/>
            <w:tcBorders>
              <w:top w:val="single" w:sz="4" w:space="0" w:color="auto"/>
              <w:bottom w:val="single" w:sz="4" w:space="0" w:color="auto"/>
            </w:tcBorders>
            <w:shd w:val="clear" w:color="auto" w:fill="F2F2F2" w:themeFill="background1" w:themeFillShade="F2"/>
            <w:vAlign w:val="center"/>
          </w:tcPr>
          <w:p w14:paraId="66712C6A" w14:textId="6090207F" w:rsidR="001E1F9E" w:rsidRPr="00197F5B" w:rsidRDefault="00757303" w:rsidP="00705E36">
            <w:pPr>
              <w:spacing w:before="20" w:after="20"/>
              <w:ind w:left="57" w:right="140"/>
              <w:jc w:val="center"/>
              <w:rPr>
                <w:rFonts w:asciiTheme="majorHAnsi" w:hAnsiTheme="majorHAnsi" w:cstheme="majorHAnsi"/>
                <w:b/>
                <w:bCs/>
                <w:sz w:val="16"/>
                <w:szCs w:val="16"/>
              </w:rPr>
            </w:pPr>
            <w:r w:rsidRPr="00197F5B">
              <w:rPr>
                <w:rFonts w:asciiTheme="majorHAnsi" w:hAnsiTheme="majorHAnsi" w:cstheme="majorHAnsi"/>
                <w:b/>
                <w:bCs/>
                <w:sz w:val="16"/>
                <w:szCs w:val="16"/>
              </w:rPr>
              <w:t xml:space="preserve">Standard </w:t>
            </w:r>
            <w:r w:rsidR="001E1F9E" w:rsidRPr="00197F5B">
              <w:rPr>
                <w:rFonts w:asciiTheme="majorHAnsi" w:hAnsiTheme="majorHAnsi" w:cstheme="majorHAnsi"/>
                <w:b/>
                <w:bCs/>
                <w:sz w:val="16"/>
                <w:szCs w:val="16"/>
              </w:rPr>
              <w:t>Desv.</w:t>
            </w:r>
          </w:p>
        </w:tc>
        <w:tc>
          <w:tcPr>
            <w:tcW w:w="844" w:type="dxa"/>
            <w:gridSpan w:val="2"/>
            <w:tcBorders>
              <w:top w:val="single" w:sz="4" w:space="0" w:color="auto"/>
              <w:bottom w:val="single" w:sz="4" w:space="0" w:color="auto"/>
            </w:tcBorders>
            <w:shd w:val="clear" w:color="auto" w:fill="F2F2F2" w:themeFill="background1" w:themeFillShade="F2"/>
            <w:vAlign w:val="center"/>
          </w:tcPr>
          <w:p w14:paraId="1EC1C83C" w14:textId="721CACDC" w:rsidR="001E1F9E" w:rsidRPr="00197F5B" w:rsidRDefault="00FF3163" w:rsidP="00705E36">
            <w:pPr>
              <w:spacing w:before="20" w:after="20"/>
              <w:ind w:left="57" w:right="140"/>
              <w:jc w:val="center"/>
              <w:rPr>
                <w:rFonts w:asciiTheme="majorHAnsi" w:hAnsiTheme="majorHAnsi" w:cstheme="majorHAnsi"/>
                <w:b/>
                <w:bCs/>
                <w:sz w:val="16"/>
                <w:szCs w:val="16"/>
              </w:rPr>
            </w:pPr>
            <w:r w:rsidRPr="00197F5B">
              <w:rPr>
                <w:rFonts w:asciiTheme="majorHAnsi" w:hAnsiTheme="majorHAnsi" w:cstheme="majorHAnsi"/>
                <w:b/>
                <w:bCs/>
                <w:sz w:val="16"/>
                <w:szCs w:val="16"/>
              </w:rPr>
              <w:t>Rango</w:t>
            </w:r>
          </w:p>
          <w:p w14:paraId="0B2B6497" w14:textId="77777777" w:rsidR="001E1F9E" w:rsidRPr="00197F5B" w:rsidRDefault="001E1F9E" w:rsidP="00705E36">
            <w:pPr>
              <w:spacing w:before="20" w:after="20"/>
              <w:ind w:left="57" w:right="140"/>
              <w:jc w:val="center"/>
              <w:rPr>
                <w:rFonts w:asciiTheme="majorHAnsi" w:hAnsiTheme="majorHAnsi" w:cstheme="majorHAnsi"/>
                <w:b/>
                <w:bCs/>
                <w:sz w:val="16"/>
                <w:szCs w:val="16"/>
              </w:rPr>
            </w:pPr>
            <w:r w:rsidRPr="00197F5B">
              <w:rPr>
                <w:rFonts w:asciiTheme="majorHAnsi" w:hAnsiTheme="majorHAnsi" w:cstheme="majorHAnsi"/>
                <w:b/>
                <w:bCs/>
                <w:sz w:val="16"/>
                <w:szCs w:val="16"/>
              </w:rPr>
              <w:t>IQR</w:t>
            </w:r>
          </w:p>
        </w:tc>
      </w:tr>
      <w:tr w:rsidR="001E1F9E" w:rsidRPr="00197F5B" w14:paraId="1EE1EB7B" w14:textId="77777777" w:rsidTr="00197F5B">
        <w:trPr>
          <w:trHeight w:val="381"/>
          <w:jc w:val="center"/>
        </w:trPr>
        <w:tc>
          <w:tcPr>
            <w:tcW w:w="907" w:type="dxa"/>
            <w:tcBorders>
              <w:top w:val="single" w:sz="4" w:space="0" w:color="auto"/>
              <w:left w:val="nil"/>
            </w:tcBorders>
            <w:shd w:val="clear" w:color="auto" w:fill="F2F2F2" w:themeFill="background1" w:themeFillShade="F2"/>
            <w:noWrap/>
            <w:vAlign w:val="center"/>
          </w:tcPr>
          <w:p w14:paraId="2088C854" w14:textId="77777777" w:rsidR="001E1F9E" w:rsidRPr="00197F5B" w:rsidRDefault="001E1F9E" w:rsidP="00705E36">
            <w:pPr>
              <w:spacing w:before="20" w:after="20"/>
              <w:ind w:left="57" w:right="140"/>
              <w:jc w:val="center"/>
              <w:rPr>
                <w:i/>
                <w:iCs/>
                <w:sz w:val="16"/>
                <w:szCs w:val="16"/>
              </w:rPr>
            </w:pPr>
            <w:r w:rsidRPr="00197F5B">
              <w:rPr>
                <w:i/>
                <w:iCs/>
                <w:sz w:val="16"/>
                <w:szCs w:val="16"/>
              </w:rPr>
              <w:t>MPF2</w:t>
            </w:r>
          </w:p>
        </w:tc>
        <w:tc>
          <w:tcPr>
            <w:tcW w:w="1069" w:type="dxa"/>
            <w:tcBorders>
              <w:top w:val="single" w:sz="4" w:space="0" w:color="auto"/>
            </w:tcBorders>
            <w:noWrap/>
            <w:vAlign w:val="center"/>
          </w:tcPr>
          <w:p w14:paraId="3A79F896"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-2.45</w:t>
            </w:r>
          </w:p>
        </w:tc>
        <w:tc>
          <w:tcPr>
            <w:tcW w:w="975" w:type="dxa"/>
            <w:tcBorders>
              <w:top w:val="single" w:sz="4" w:space="0" w:color="auto"/>
            </w:tcBorders>
            <w:noWrap/>
            <w:vAlign w:val="center"/>
          </w:tcPr>
          <w:p w14:paraId="74426390"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6.00</w:t>
            </w:r>
          </w:p>
        </w:tc>
        <w:tc>
          <w:tcPr>
            <w:tcW w:w="929" w:type="dxa"/>
            <w:tcBorders>
              <w:top w:val="single" w:sz="4" w:space="0" w:color="auto"/>
            </w:tcBorders>
            <w:shd w:val="clear" w:color="auto" w:fill="auto"/>
            <w:vAlign w:val="center"/>
          </w:tcPr>
          <w:p w14:paraId="31F279AF" w14:textId="77777777" w:rsidR="001E1F9E" w:rsidRPr="00197F5B" w:rsidRDefault="001E1F9E" w:rsidP="00705E36">
            <w:pPr>
              <w:spacing w:before="20" w:after="20"/>
              <w:ind w:left="57" w:right="140"/>
              <w:jc w:val="center"/>
              <w:rPr>
                <w:rFonts w:ascii="Cambria" w:hAnsi="Cambria" w:cs="Calibri"/>
                <w:b/>
                <w:bCs/>
                <w:color w:val="000000"/>
                <w:sz w:val="16"/>
                <w:szCs w:val="16"/>
              </w:rPr>
            </w:pPr>
            <w:r w:rsidRPr="00197F5B">
              <w:rPr>
                <w:rFonts w:ascii="Cambria" w:hAnsi="Cambria" w:cs="Calibri"/>
                <w:b/>
                <w:bCs/>
                <w:color w:val="000000"/>
                <w:sz w:val="16"/>
                <w:szCs w:val="16"/>
              </w:rPr>
              <w:t>&lt;.001</w:t>
            </w:r>
            <w:r w:rsidRPr="00197F5B">
              <w:rPr>
                <w:rFonts w:ascii="Calibri Light" w:hAnsi="Calibri Light" w:cs="Calibri Light"/>
                <w:b/>
                <w:bCs/>
                <w:sz w:val="16"/>
                <w:szCs w:val="16"/>
              </w:rPr>
              <w:t>*</w:t>
            </w:r>
          </w:p>
        </w:tc>
        <w:tc>
          <w:tcPr>
            <w:tcW w:w="251" w:type="dxa"/>
            <w:tcBorders>
              <w:top w:val="single" w:sz="4" w:space="0" w:color="auto"/>
            </w:tcBorders>
            <w:vAlign w:val="center"/>
          </w:tcPr>
          <w:p w14:paraId="3E32F77B" w14:textId="77777777" w:rsidR="001E1F9E" w:rsidRPr="00197F5B" w:rsidRDefault="001E1F9E" w:rsidP="00705E36">
            <w:pPr>
              <w:spacing w:before="20" w:after="20"/>
              <w:ind w:left="57" w:right="140"/>
              <w:jc w:val="center"/>
              <w:rPr>
                <w:rFonts w:ascii="Cambria" w:hAnsi="Cambria" w:cs="Calibri"/>
                <w:color w:val="000000"/>
                <w:sz w:val="16"/>
                <w:szCs w:val="16"/>
              </w:rPr>
            </w:pPr>
          </w:p>
        </w:tc>
        <w:tc>
          <w:tcPr>
            <w:tcW w:w="831" w:type="dxa"/>
            <w:tcBorders>
              <w:top w:val="single" w:sz="4" w:space="0" w:color="auto"/>
            </w:tcBorders>
            <w:vAlign w:val="center"/>
          </w:tcPr>
          <w:p w14:paraId="444CF968"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5.83</w:t>
            </w:r>
          </w:p>
        </w:tc>
        <w:tc>
          <w:tcPr>
            <w:tcW w:w="1002" w:type="dxa"/>
            <w:tcBorders>
              <w:top w:val="single" w:sz="4" w:space="0" w:color="auto"/>
            </w:tcBorders>
            <w:vAlign w:val="center"/>
          </w:tcPr>
          <w:p w14:paraId="5808EECF"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6.00</w:t>
            </w:r>
          </w:p>
        </w:tc>
        <w:tc>
          <w:tcPr>
            <w:tcW w:w="251" w:type="dxa"/>
            <w:tcBorders>
              <w:top w:val="single" w:sz="4" w:space="0" w:color="auto"/>
            </w:tcBorders>
            <w:vAlign w:val="center"/>
          </w:tcPr>
          <w:p w14:paraId="69BE67D8" w14:textId="77777777" w:rsidR="001E1F9E" w:rsidRPr="00197F5B" w:rsidRDefault="001E1F9E" w:rsidP="00705E36">
            <w:pPr>
              <w:spacing w:before="20" w:after="20"/>
              <w:ind w:left="57" w:right="140"/>
              <w:jc w:val="center"/>
              <w:rPr>
                <w:sz w:val="16"/>
                <w:szCs w:val="16"/>
              </w:rPr>
            </w:pPr>
          </w:p>
        </w:tc>
        <w:tc>
          <w:tcPr>
            <w:tcW w:w="1221" w:type="dxa"/>
            <w:tcBorders>
              <w:top w:val="single" w:sz="4" w:space="0" w:color="auto"/>
            </w:tcBorders>
            <w:vAlign w:val="center"/>
          </w:tcPr>
          <w:p w14:paraId="48A2B1D8" w14:textId="71E43BBD"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5.0 / 6.0</w:t>
            </w:r>
          </w:p>
        </w:tc>
        <w:tc>
          <w:tcPr>
            <w:tcW w:w="1018" w:type="dxa"/>
            <w:tcBorders>
              <w:top w:val="single" w:sz="4" w:space="0" w:color="auto"/>
            </w:tcBorders>
            <w:vAlign w:val="center"/>
          </w:tcPr>
          <w:p w14:paraId="248D8649"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.41</w:t>
            </w:r>
          </w:p>
        </w:tc>
        <w:tc>
          <w:tcPr>
            <w:tcW w:w="844" w:type="dxa"/>
            <w:gridSpan w:val="2"/>
            <w:tcBorders>
              <w:top w:val="single" w:sz="4" w:space="0" w:color="auto"/>
            </w:tcBorders>
            <w:vAlign w:val="center"/>
          </w:tcPr>
          <w:p w14:paraId="646557B0"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.25</w:t>
            </w:r>
          </w:p>
        </w:tc>
      </w:tr>
      <w:tr w:rsidR="001E1F9E" w:rsidRPr="00197F5B" w14:paraId="25FC17E3" w14:textId="77777777" w:rsidTr="00197F5B">
        <w:trPr>
          <w:trHeight w:val="381"/>
          <w:jc w:val="center"/>
        </w:trPr>
        <w:tc>
          <w:tcPr>
            <w:tcW w:w="907" w:type="dxa"/>
            <w:tcBorders>
              <w:top w:val="single" w:sz="4" w:space="0" w:color="auto"/>
              <w:left w:val="nil"/>
            </w:tcBorders>
            <w:shd w:val="clear" w:color="auto" w:fill="F2F2F2" w:themeFill="background1" w:themeFillShade="F2"/>
            <w:noWrap/>
            <w:vAlign w:val="center"/>
          </w:tcPr>
          <w:p w14:paraId="5C13A0C7" w14:textId="77777777" w:rsidR="001E1F9E" w:rsidRPr="00197F5B" w:rsidRDefault="001E1F9E" w:rsidP="00705E36">
            <w:pPr>
              <w:spacing w:before="20" w:after="20"/>
              <w:ind w:left="57" w:right="140"/>
              <w:jc w:val="center"/>
              <w:rPr>
                <w:i/>
                <w:iCs/>
                <w:sz w:val="16"/>
                <w:szCs w:val="16"/>
              </w:rPr>
            </w:pPr>
            <w:r w:rsidRPr="00197F5B">
              <w:rPr>
                <w:i/>
                <w:iCs/>
                <w:sz w:val="16"/>
                <w:szCs w:val="16"/>
              </w:rPr>
              <w:t>MPF3</w:t>
            </w:r>
          </w:p>
        </w:tc>
        <w:tc>
          <w:tcPr>
            <w:tcW w:w="1069" w:type="dxa"/>
            <w:tcBorders>
              <w:top w:val="single" w:sz="4" w:space="0" w:color="auto"/>
            </w:tcBorders>
            <w:noWrap/>
            <w:vAlign w:val="center"/>
          </w:tcPr>
          <w:p w14:paraId="780BDCFD"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2.90</w:t>
            </w:r>
          </w:p>
        </w:tc>
        <w:tc>
          <w:tcPr>
            <w:tcW w:w="975" w:type="dxa"/>
            <w:tcBorders>
              <w:top w:val="single" w:sz="4" w:space="0" w:color="auto"/>
            </w:tcBorders>
            <w:noWrap/>
            <w:vAlign w:val="center"/>
          </w:tcPr>
          <w:p w14:paraId="7A29C8EC"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1.05</w:t>
            </w:r>
          </w:p>
        </w:tc>
        <w:tc>
          <w:tcPr>
            <w:tcW w:w="929" w:type="dxa"/>
            <w:tcBorders>
              <w:top w:val="single" w:sz="4" w:space="0" w:color="auto"/>
            </w:tcBorders>
            <w:shd w:val="clear" w:color="auto" w:fill="auto"/>
            <w:vAlign w:val="center"/>
          </w:tcPr>
          <w:p w14:paraId="300DFF0B" w14:textId="77777777" w:rsidR="001E1F9E" w:rsidRPr="00197F5B" w:rsidRDefault="001E1F9E" w:rsidP="00705E36">
            <w:pPr>
              <w:spacing w:before="20" w:after="20"/>
              <w:ind w:left="57" w:right="140"/>
              <w:jc w:val="center"/>
              <w:rPr>
                <w:rFonts w:ascii="Cambria" w:hAnsi="Cambria" w:cs="Calibri"/>
                <w:b/>
                <w:bCs/>
                <w:color w:val="000000"/>
                <w:sz w:val="16"/>
                <w:szCs w:val="16"/>
              </w:rPr>
            </w:pPr>
            <w:r w:rsidRPr="00197F5B">
              <w:rPr>
                <w:rFonts w:ascii="Cambria" w:hAnsi="Cambria" w:cs="Calibri"/>
                <w:b/>
                <w:bCs/>
                <w:color w:val="000000"/>
                <w:sz w:val="16"/>
                <w:szCs w:val="16"/>
              </w:rPr>
              <w:t>&lt;.001</w:t>
            </w:r>
            <w:r w:rsidRPr="00197F5B">
              <w:rPr>
                <w:rFonts w:ascii="Calibri Light" w:hAnsi="Calibri Light" w:cs="Calibri Light"/>
                <w:b/>
                <w:bCs/>
                <w:sz w:val="16"/>
                <w:szCs w:val="16"/>
              </w:rPr>
              <w:t>*</w:t>
            </w:r>
          </w:p>
        </w:tc>
        <w:tc>
          <w:tcPr>
            <w:tcW w:w="251" w:type="dxa"/>
            <w:tcBorders>
              <w:top w:val="single" w:sz="4" w:space="0" w:color="auto"/>
            </w:tcBorders>
            <w:vAlign w:val="center"/>
          </w:tcPr>
          <w:p w14:paraId="23FE25D6" w14:textId="77777777" w:rsidR="001E1F9E" w:rsidRPr="00197F5B" w:rsidRDefault="001E1F9E" w:rsidP="00705E36">
            <w:pPr>
              <w:spacing w:before="20" w:after="20"/>
              <w:ind w:left="57" w:right="140"/>
              <w:jc w:val="center"/>
              <w:rPr>
                <w:rFonts w:ascii="Cambria" w:hAnsi="Cambria" w:cs="Calibri"/>
                <w:color w:val="000000"/>
                <w:sz w:val="16"/>
                <w:szCs w:val="16"/>
              </w:rPr>
            </w:pPr>
          </w:p>
        </w:tc>
        <w:tc>
          <w:tcPr>
            <w:tcW w:w="831" w:type="dxa"/>
            <w:tcBorders>
              <w:top w:val="single" w:sz="4" w:space="0" w:color="auto"/>
            </w:tcBorders>
            <w:vAlign w:val="center"/>
          </w:tcPr>
          <w:p w14:paraId="67FE383D"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6.18</w:t>
            </w:r>
          </w:p>
        </w:tc>
        <w:tc>
          <w:tcPr>
            <w:tcW w:w="1002" w:type="dxa"/>
            <w:tcBorders>
              <w:top w:val="single" w:sz="4" w:space="0" w:color="auto"/>
            </w:tcBorders>
            <w:vAlign w:val="center"/>
          </w:tcPr>
          <w:p w14:paraId="1EC07087"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6.00</w:t>
            </w:r>
          </w:p>
        </w:tc>
        <w:tc>
          <w:tcPr>
            <w:tcW w:w="251" w:type="dxa"/>
            <w:tcBorders>
              <w:top w:val="single" w:sz="4" w:space="0" w:color="auto"/>
            </w:tcBorders>
            <w:vAlign w:val="center"/>
          </w:tcPr>
          <w:p w14:paraId="57A9A1E4" w14:textId="77777777" w:rsidR="001E1F9E" w:rsidRPr="00197F5B" w:rsidRDefault="001E1F9E" w:rsidP="00705E36">
            <w:pPr>
              <w:spacing w:before="20" w:after="20"/>
              <w:ind w:left="57" w:right="140"/>
              <w:jc w:val="center"/>
              <w:rPr>
                <w:sz w:val="16"/>
                <w:szCs w:val="16"/>
              </w:rPr>
            </w:pPr>
          </w:p>
        </w:tc>
        <w:tc>
          <w:tcPr>
            <w:tcW w:w="1221" w:type="dxa"/>
            <w:tcBorders>
              <w:top w:val="single" w:sz="4" w:space="0" w:color="auto"/>
            </w:tcBorders>
            <w:vAlign w:val="center"/>
          </w:tcPr>
          <w:p w14:paraId="21B4802C" w14:textId="0C3ACBBE"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5.00/ 12.0</w:t>
            </w:r>
          </w:p>
        </w:tc>
        <w:tc>
          <w:tcPr>
            <w:tcW w:w="1018" w:type="dxa"/>
            <w:tcBorders>
              <w:top w:val="single" w:sz="4" w:space="0" w:color="auto"/>
            </w:tcBorders>
            <w:vAlign w:val="center"/>
          </w:tcPr>
          <w:p w14:paraId="24A5D162"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1.67</w:t>
            </w:r>
          </w:p>
        </w:tc>
        <w:tc>
          <w:tcPr>
            <w:tcW w:w="844" w:type="dxa"/>
            <w:gridSpan w:val="2"/>
            <w:tcBorders>
              <w:top w:val="single" w:sz="4" w:space="0" w:color="auto"/>
            </w:tcBorders>
            <w:vAlign w:val="center"/>
          </w:tcPr>
          <w:p w14:paraId="085E5553"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2.00</w:t>
            </w:r>
          </w:p>
        </w:tc>
      </w:tr>
      <w:tr w:rsidR="001E1F9E" w:rsidRPr="00197F5B" w14:paraId="4D819F54" w14:textId="77777777" w:rsidTr="00197F5B">
        <w:trPr>
          <w:trHeight w:val="381"/>
          <w:jc w:val="center"/>
        </w:trPr>
        <w:tc>
          <w:tcPr>
            <w:tcW w:w="907" w:type="dxa"/>
            <w:tcBorders>
              <w:top w:val="single" w:sz="4" w:space="0" w:color="auto"/>
              <w:left w:val="nil"/>
            </w:tcBorders>
            <w:shd w:val="clear" w:color="auto" w:fill="F2F2F2" w:themeFill="background1" w:themeFillShade="F2"/>
            <w:noWrap/>
            <w:vAlign w:val="center"/>
          </w:tcPr>
          <w:p w14:paraId="532D24EC" w14:textId="77777777" w:rsidR="001E1F9E" w:rsidRPr="00197F5B" w:rsidRDefault="001E1F9E" w:rsidP="00705E36">
            <w:pPr>
              <w:spacing w:before="20" w:after="20"/>
              <w:ind w:left="57" w:right="140"/>
              <w:jc w:val="center"/>
              <w:rPr>
                <w:i/>
                <w:iCs/>
                <w:sz w:val="16"/>
                <w:szCs w:val="16"/>
              </w:rPr>
            </w:pPr>
            <w:r w:rsidRPr="00197F5B">
              <w:rPr>
                <w:i/>
                <w:iCs/>
                <w:sz w:val="16"/>
                <w:szCs w:val="16"/>
              </w:rPr>
              <w:t>MPF4</w:t>
            </w:r>
          </w:p>
        </w:tc>
        <w:tc>
          <w:tcPr>
            <w:tcW w:w="1069" w:type="dxa"/>
            <w:tcBorders>
              <w:top w:val="single" w:sz="4" w:space="0" w:color="auto"/>
            </w:tcBorders>
            <w:noWrap/>
            <w:vAlign w:val="center"/>
          </w:tcPr>
          <w:p w14:paraId="05EE5A30"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.92</w:t>
            </w:r>
          </w:p>
        </w:tc>
        <w:tc>
          <w:tcPr>
            <w:tcW w:w="975" w:type="dxa"/>
            <w:tcBorders>
              <w:top w:val="single" w:sz="4" w:space="0" w:color="auto"/>
            </w:tcBorders>
            <w:noWrap/>
            <w:vAlign w:val="center"/>
          </w:tcPr>
          <w:p w14:paraId="24069EDC"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1.89</w:t>
            </w:r>
          </w:p>
        </w:tc>
        <w:tc>
          <w:tcPr>
            <w:tcW w:w="929" w:type="dxa"/>
            <w:tcBorders>
              <w:top w:val="single" w:sz="4" w:space="0" w:color="auto"/>
            </w:tcBorders>
            <w:shd w:val="clear" w:color="auto" w:fill="auto"/>
            <w:vAlign w:val="center"/>
          </w:tcPr>
          <w:p w14:paraId="2D0912F9" w14:textId="77777777" w:rsidR="001E1F9E" w:rsidRPr="00197F5B" w:rsidRDefault="001E1F9E" w:rsidP="00705E36">
            <w:pPr>
              <w:spacing w:before="20" w:after="20"/>
              <w:ind w:left="57" w:right="140"/>
              <w:jc w:val="center"/>
              <w:rPr>
                <w:rFonts w:ascii="Cambria" w:hAnsi="Cambria" w:cs="Calibri"/>
                <w:b/>
                <w:bCs/>
                <w:color w:val="000000"/>
                <w:sz w:val="16"/>
                <w:szCs w:val="16"/>
              </w:rPr>
            </w:pPr>
            <w:r w:rsidRPr="00197F5B">
              <w:rPr>
                <w:rFonts w:ascii="Cambria" w:hAnsi="Cambria" w:cs="Calibri"/>
                <w:b/>
                <w:bCs/>
                <w:color w:val="000000"/>
                <w:sz w:val="16"/>
                <w:szCs w:val="16"/>
              </w:rPr>
              <w:t>&lt;.001</w:t>
            </w:r>
            <w:r w:rsidRPr="00197F5B">
              <w:rPr>
                <w:rFonts w:ascii="Calibri Light" w:hAnsi="Calibri Light" w:cs="Calibri Light"/>
                <w:b/>
                <w:bCs/>
                <w:sz w:val="16"/>
                <w:szCs w:val="16"/>
              </w:rPr>
              <w:t>*</w:t>
            </w:r>
          </w:p>
        </w:tc>
        <w:tc>
          <w:tcPr>
            <w:tcW w:w="251" w:type="dxa"/>
            <w:tcBorders>
              <w:top w:val="single" w:sz="4" w:space="0" w:color="auto"/>
            </w:tcBorders>
            <w:vAlign w:val="center"/>
          </w:tcPr>
          <w:p w14:paraId="5029A503" w14:textId="77777777" w:rsidR="001E1F9E" w:rsidRPr="00197F5B" w:rsidRDefault="001E1F9E" w:rsidP="00705E36">
            <w:pPr>
              <w:spacing w:before="20" w:after="20"/>
              <w:ind w:left="57" w:right="140"/>
              <w:jc w:val="center"/>
              <w:rPr>
                <w:rFonts w:ascii="Cambria" w:hAnsi="Cambria" w:cs="Calibri"/>
                <w:color w:val="000000"/>
                <w:sz w:val="16"/>
                <w:szCs w:val="16"/>
              </w:rPr>
            </w:pPr>
          </w:p>
        </w:tc>
        <w:tc>
          <w:tcPr>
            <w:tcW w:w="831" w:type="dxa"/>
            <w:tcBorders>
              <w:top w:val="single" w:sz="4" w:space="0" w:color="auto"/>
            </w:tcBorders>
            <w:vAlign w:val="center"/>
          </w:tcPr>
          <w:p w14:paraId="68AC33A9"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8.21</w:t>
            </w:r>
          </w:p>
        </w:tc>
        <w:tc>
          <w:tcPr>
            <w:tcW w:w="1002" w:type="dxa"/>
            <w:tcBorders>
              <w:top w:val="single" w:sz="4" w:space="0" w:color="auto"/>
            </w:tcBorders>
            <w:vAlign w:val="center"/>
          </w:tcPr>
          <w:p w14:paraId="3146D6DA"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8.00</w:t>
            </w:r>
          </w:p>
        </w:tc>
        <w:tc>
          <w:tcPr>
            <w:tcW w:w="251" w:type="dxa"/>
            <w:tcBorders>
              <w:top w:val="single" w:sz="4" w:space="0" w:color="auto"/>
            </w:tcBorders>
            <w:vAlign w:val="center"/>
          </w:tcPr>
          <w:p w14:paraId="05AD37B9" w14:textId="77777777" w:rsidR="001E1F9E" w:rsidRPr="00197F5B" w:rsidRDefault="001E1F9E" w:rsidP="00705E36">
            <w:pPr>
              <w:spacing w:before="20" w:after="20"/>
              <w:ind w:left="57" w:right="140"/>
              <w:jc w:val="center"/>
              <w:rPr>
                <w:sz w:val="16"/>
                <w:szCs w:val="16"/>
              </w:rPr>
            </w:pPr>
          </w:p>
        </w:tc>
        <w:tc>
          <w:tcPr>
            <w:tcW w:w="1221" w:type="dxa"/>
            <w:tcBorders>
              <w:top w:val="single" w:sz="4" w:space="0" w:color="auto"/>
            </w:tcBorders>
            <w:vAlign w:val="center"/>
          </w:tcPr>
          <w:p w14:paraId="613F7578" w14:textId="0D3238D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5.0 / 13.0</w:t>
            </w:r>
          </w:p>
        </w:tc>
        <w:tc>
          <w:tcPr>
            <w:tcW w:w="1018" w:type="dxa"/>
            <w:tcBorders>
              <w:top w:val="single" w:sz="4" w:space="0" w:color="auto"/>
            </w:tcBorders>
            <w:vAlign w:val="center"/>
          </w:tcPr>
          <w:p w14:paraId="5A8A5E73"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2.12</w:t>
            </w:r>
          </w:p>
        </w:tc>
        <w:tc>
          <w:tcPr>
            <w:tcW w:w="844" w:type="dxa"/>
            <w:gridSpan w:val="2"/>
            <w:tcBorders>
              <w:top w:val="single" w:sz="4" w:space="0" w:color="auto"/>
            </w:tcBorders>
            <w:vAlign w:val="center"/>
          </w:tcPr>
          <w:p w14:paraId="09564429"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.00</w:t>
            </w:r>
          </w:p>
        </w:tc>
      </w:tr>
      <w:tr w:rsidR="001E1F9E" w:rsidRPr="00197F5B" w14:paraId="6AEA66B0" w14:textId="77777777" w:rsidTr="00197F5B">
        <w:trPr>
          <w:trHeight w:val="381"/>
          <w:jc w:val="center"/>
        </w:trPr>
        <w:tc>
          <w:tcPr>
            <w:tcW w:w="907" w:type="dxa"/>
            <w:tcBorders>
              <w:top w:val="single" w:sz="4" w:space="0" w:color="auto"/>
              <w:left w:val="nil"/>
            </w:tcBorders>
            <w:shd w:val="clear" w:color="auto" w:fill="F2F2F2" w:themeFill="background1" w:themeFillShade="F2"/>
            <w:noWrap/>
            <w:vAlign w:val="center"/>
          </w:tcPr>
          <w:p w14:paraId="00CA2978" w14:textId="77777777" w:rsidR="001E1F9E" w:rsidRPr="00197F5B" w:rsidRDefault="001E1F9E" w:rsidP="00705E36">
            <w:pPr>
              <w:spacing w:before="20" w:after="20"/>
              <w:ind w:left="57" w:right="140"/>
              <w:jc w:val="center"/>
              <w:rPr>
                <w:i/>
                <w:iCs/>
                <w:sz w:val="16"/>
                <w:szCs w:val="16"/>
              </w:rPr>
            </w:pPr>
            <w:r w:rsidRPr="00197F5B">
              <w:rPr>
                <w:i/>
                <w:iCs/>
                <w:sz w:val="16"/>
                <w:szCs w:val="16"/>
              </w:rPr>
              <w:t>MPF5</w:t>
            </w:r>
          </w:p>
        </w:tc>
        <w:tc>
          <w:tcPr>
            <w:tcW w:w="1069" w:type="dxa"/>
            <w:tcBorders>
              <w:top w:val="single" w:sz="4" w:space="0" w:color="auto"/>
            </w:tcBorders>
            <w:noWrap/>
            <w:vAlign w:val="center"/>
          </w:tcPr>
          <w:p w14:paraId="66A58CCD"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-.37</w:t>
            </w:r>
          </w:p>
        </w:tc>
        <w:tc>
          <w:tcPr>
            <w:tcW w:w="975" w:type="dxa"/>
            <w:tcBorders>
              <w:top w:val="single" w:sz="4" w:space="0" w:color="auto"/>
            </w:tcBorders>
            <w:noWrap/>
            <w:vAlign w:val="center"/>
          </w:tcPr>
          <w:p w14:paraId="781774C1"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-.57</w:t>
            </w:r>
          </w:p>
        </w:tc>
        <w:tc>
          <w:tcPr>
            <w:tcW w:w="929" w:type="dxa"/>
            <w:tcBorders>
              <w:top w:val="single" w:sz="4" w:space="0" w:color="auto"/>
            </w:tcBorders>
            <w:shd w:val="clear" w:color="auto" w:fill="auto"/>
            <w:vAlign w:val="center"/>
          </w:tcPr>
          <w:p w14:paraId="36E70514"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.200</w:t>
            </w:r>
            <w:r w:rsidRPr="00197F5B">
              <w:rPr>
                <w:rFonts w:ascii="Calibri Light" w:hAnsi="Calibri Light" w:cs="Calibri Light"/>
                <w:sz w:val="16"/>
                <w:szCs w:val="16"/>
                <w:vertAlign w:val="superscript"/>
              </w:rPr>
              <w:t xml:space="preserve"> NS</w:t>
            </w:r>
          </w:p>
        </w:tc>
        <w:tc>
          <w:tcPr>
            <w:tcW w:w="251" w:type="dxa"/>
            <w:tcBorders>
              <w:top w:val="single" w:sz="4" w:space="0" w:color="auto"/>
            </w:tcBorders>
            <w:vAlign w:val="center"/>
          </w:tcPr>
          <w:p w14:paraId="57BA9892" w14:textId="77777777" w:rsidR="001E1F9E" w:rsidRPr="00197F5B" w:rsidRDefault="001E1F9E" w:rsidP="00705E36">
            <w:pPr>
              <w:spacing w:before="20" w:after="20"/>
              <w:ind w:left="57" w:right="140"/>
              <w:jc w:val="center"/>
              <w:rPr>
                <w:rFonts w:ascii="Cambria" w:hAnsi="Cambria" w:cs="Calibri"/>
                <w:color w:val="000000"/>
                <w:sz w:val="16"/>
                <w:szCs w:val="16"/>
              </w:rPr>
            </w:pPr>
          </w:p>
        </w:tc>
        <w:tc>
          <w:tcPr>
            <w:tcW w:w="831" w:type="dxa"/>
            <w:tcBorders>
              <w:top w:val="single" w:sz="4" w:space="0" w:color="auto"/>
            </w:tcBorders>
            <w:vAlign w:val="center"/>
          </w:tcPr>
          <w:p w14:paraId="2C7BFDBF"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9.83</w:t>
            </w:r>
          </w:p>
        </w:tc>
        <w:tc>
          <w:tcPr>
            <w:tcW w:w="1002" w:type="dxa"/>
            <w:tcBorders>
              <w:top w:val="single" w:sz="4" w:space="0" w:color="auto"/>
            </w:tcBorders>
            <w:vAlign w:val="center"/>
          </w:tcPr>
          <w:p w14:paraId="2BC240A9"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10.00</w:t>
            </w:r>
          </w:p>
        </w:tc>
        <w:tc>
          <w:tcPr>
            <w:tcW w:w="251" w:type="dxa"/>
            <w:tcBorders>
              <w:top w:val="single" w:sz="4" w:space="0" w:color="auto"/>
            </w:tcBorders>
            <w:vAlign w:val="center"/>
          </w:tcPr>
          <w:p w14:paraId="563756AE" w14:textId="77777777" w:rsidR="001E1F9E" w:rsidRPr="00197F5B" w:rsidRDefault="001E1F9E" w:rsidP="00705E36">
            <w:pPr>
              <w:spacing w:before="20" w:after="20"/>
              <w:ind w:left="57" w:right="140"/>
              <w:jc w:val="center"/>
              <w:rPr>
                <w:sz w:val="16"/>
                <w:szCs w:val="16"/>
              </w:rPr>
            </w:pPr>
          </w:p>
        </w:tc>
        <w:tc>
          <w:tcPr>
            <w:tcW w:w="1221" w:type="dxa"/>
            <w:tcBorders>
              <w:top w:val="single" w:sz="4" w:space="0" w:color="auto"/>
            </w:tcBorders>
            <w:vAlign w:val="center"/>
          </w:tcPr>
          <w:p w14:paraId="24052F66" w14:textId="5B872F09"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6.0 / 13.0</w:t>
            </w:r>
          </w:p>
        </w:tc>
        <w:tc>
          <w:tcPr>
            <w:tcW w:w="1018" w:type="dxa"/>
            <w:tcBorders>
              <w:top w:val="single" w:sz="4" w:space="0" w:color="auto"/>
            </w:tcBorders>
            <w:vAlign w:val="center"/>
          </w:tcPr>
          <w:p w14:paraId="75F81BE4"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2.56</w:t>
            </w:r>
          </w:p>
        </w:tc>
        <w:tc>
          <w:tcPr>
            <w:tcW w:w="844" w:type="dxa"/>
            <w:gridSpan w:val="2"/>
            <w:tcBorders>
              <w:top w:val="single" w:sz="4" w:space="0" w:color="auto"/>
            </w:tcBorders>
            <w:vAlign w:val="center"/>
          </w:tcPr>
          <w:p w14:paraId="4A52F0BD" w14:textId="77777777" w:rsidR="001E1F9E" w:rsidRPr="00197F5B" w:rsidRDefault="001E1F9E" w:rsidP="00705E36">
            <w:pPr>
              <w:spacing w:before="20" w:after="20"/>
              <w:ind w:left="57" w:right="140"/>
              <w:jc w:val="center"/>
              <w:rPr>
                <w:rFonts w:ascii="Cambria" w:hAnsi="Cambria" w:cs="Calibri"/>
                <w:color w:val="000000"/>
                <w:sz w:val="16"/>
                <w:szCs w:val="16"/>
              </w:rPr>
            </w:pPr>
            <w:r w:rsidRPr="00197F5B">
              <w:rPr>
                <w:rFonts w:ascii="Cambria" w:hAnsi="Cambria" w:cs="Calibri"/>
                <w:color w:val="000000"/>
                <w:sz w:val="16"/>
                <w:szCs w:val="16"/>
              </w:rPr>
              <w:t>4.75</w:t>
            </w:r>
          </w:p>
        </w:tc>
      </w:tr>
      <w:tr w:rsidR="001E1F9E" w:rsidRPr="00197F5B" w14:paraId="0315656C" w14:textId="77777777" w:rsidTr="00197F5B">
        <w:trPr>
          <w:gridAfter w:val="1"/>
          <w:wAfter w:w="14" w:type="dxa"/>
          <w:trHeight w:val="381"/>
          <w:jc w:val="center"/>
        </w:trPr>
        <w:tc>
          <w:tcPr>
            <w:tcW w:w="9287" w:type="dxa"/>
            <w:gridSpan w:val="11"/>
            <w:tcBorders>
              <w:top w:val="single" w:sz="4" w:space="0" w:color="auto"/>
              <w:bottom w:val="single" w:sz="4" w:space="0" w:color="auto"/>
            </w:tcBorders>
          </w:tcPr>
          <w:p w14:paraId="6709EEA7" w14:textId="781E0B3F" w:rsidR="001E1F9E" w:rsidRPr="00197F5B" w:rsidRDefault="00BC26B5" w:rsidP="00705E36">
            <w:pPr>
              <w:spacing w:before="20" w:after="20"/>
              <w:ind w:left="57" w:right="140"/>
              <w:jc w:val="center"/>
              <w:rPr>
                <w:rFonts w:ascii="Calibri Light" w:hAnsi="Calibri Light" w:cs="Calibri Light"/>
                <w:sz w:val="16"/>
                <w:szCs w:val="16"/>
              </w:rPr>
            </w:pPr>
            <w:r w:rsidRPr="00197F5B">
              <w:rPr>
                <w:rFonts w:ascii="Calibri Light" w:hAnsi="Calibri Light" w:cs="Calibri Light"/>
                <w:sz w:val="16"/>
                <w:szCs w:val="16"/>
                <w:vertAlign w:val="superscript"/>
              </w:rPr>
              <w:t xml:space="preserve">NS </w:t>
            </w:r>
            <w:r w:rsidR="00E95E03" w:rsidRPr="00197F5B">
              <w:rPr>
                <w:rFonts w:ascii="Calibri Light" w:hAnsi="Calibri Light" w:cs="Calibri Light"/>
                <w:sz w:val="16"/>
                <w:szCs w:val="16"/>
              </w:rPr>
              <w:t xml:space="preserve">desviación no significativa, la variable se distribuye normalmente </w:t>
            </w:r>
            <w:r w:rsidRPr="00197F5B">
              <w:rPr>
                <w:rFonts w:ascii="Calibri Light" w:hAnsi="Calibri Light" w:cs="Calibri Light"/>
                <w:sz w:val="16"/>
                <w:szCs w:val="16"/>
              </w:rPr>
              <w:t xml:space="preserve">* </w:t>
            </w:r>
            <w:r w:rsidR="00E95E03" w:rsidRPr="00197F5B">
              <w:rPr>
                <w:rFonts w:ascii="Calibri Light" w:hAnsi="Calibri Light" w:cs="Calibri Light"/>
                <w:sz w:val="16"/>
                <w:szCs w:val="16"/>
              </w:rPr>
              <w:t>Significativo, la variable no está distribuida normalmente</w:t>
            </w:r>
            <w:r w:rsidRPr="00197F5B">
              <w:rPr>
                <w:rFonts w:ascii="Calibri Light" w:hAnsi="Calibri Light" w:cs="Calibri Light"/>
                <w:sz w:val="16"/>
                <w:szCs w:val="16"/>
              </w:rPr>
              <w:t>.</w:t>
            </w:r>
          </w:p>
        </w:tc>
      </w:tr>
    </w:tbl>
    <w:p w14:paraId="66E05723" w14:textId="77777777" w:rsidR="00961DAB" w:rsidRPr="00E95E03" w:rsidRDefault="00961DAB" w:rsidP="00705E36">
      <w:pPr>
        <w:ind w:right="140"/>
        <w:rPr>
          <w:rFonts w:ascii="Arial" w:hAnsi="Arial" w:cs="Arial"/>
        </w:rPr>
      </w:pPr>
    </w:p>
    <w:p w14:paraId="40DB2DE7" w14:textId="21AAAF84" w:rsidR="00883BB9" w:rsidRPr="006E648E" w:rsidRDefault="00883BB9" w:rsidP="00705E36">
      <w:pPr>
        <w:ind w:right="140"/>
        <w:rPr>
          <w:rFonts w:ascii="Arial" w:hAnsi="Arial" w:cs="Arial"/>
        </w:rPr>
      </w:pPr>
      <w:r w:rsidRPr="00FB180F">
        <w:rPr>
          <w:rFonts w:ascii="Arial" w:hAnsi="Arial" w:cs="Arial"/>
        </w:rPr>
        <w:t xml:space="preserve">En la Tabla 7 se puede observar el índice de correlación </w:t>
      </w:r>
      <w:r w:rsidR="004E6205">
        <w:rPr>
          <w:rFonts w:ascii="Arial" w:hAnsi="Arial" w:cs="Arial"/>
        </w:rPr>
        <w:t>entre los ahorros indirecto</w:t>
      </w:r>
      <w:r w:rsidR="00AC1338">
        <w:rPr>
          <w:rFonts w:ascii="Arial" w:hAnsi="Arial" w:cs="Arial"/>
        </w:rPr>
        <w:t>s</w:t>
      </w:r>
      <w:r w:rsidR="004E6205">
        <w:rPr>
          <w:rFonts w:ascii="Arial" w:hAnsi="Arial" w:cs="Arial"/>
        </w:rPr>
        <w:t xml:space="preserve"> complejos </w:t>
      </w:r>
      <w:r w:rsidRPr="00FB180F">
        <w:rPr>
          <w:rFonts w:ascii="Arial" w:hAnsi="Arial" w:cs="Arial"/>
        </w:rPr>
        <w:t xml:space="preserve">y </w:t>
      </w:r>
      <w:r w:rsidR="004E6205">
        <w:rPr>
          <w:rFonts w:ascii="Arial" w:hAnsi="Arial" w:cs="Arial"/>
        </w:rPr>
        <w:t>la madurez</w:t>
      </w:r>
      <w:r w:rsidRPr="00FB180F">
        <w:rPr>
          <w:rFonts w:ascii="Arial" w:hAnsi="Arial" w:cs="Arial"/>
        </w:rPr>
        <w:t>. Se obtiene una correlación aceptable (R=.593) entre ambas variables. Además, el valor p es altamente significativo (&lt;.001).</w:t>
      </w:r>
    </w:p>
    <w:p w14:paraId="5E180E95" w14:textId="5BA131F6" w:rsidR="00DE745C" w:rsidRPr="00AE053D" w:rsidRDefault="006E648E" w:rsidP="00705E36">
      <w:pPr>
        <w:keepNext/>
        <w:spacing w:after="60" w:line="240" w:lineRule="auto"/>
        <w:ind w:left="567" w:right="140"/>
        <w:rPr>
          <w:rFonts w:ascii="Calibri" w:eastAsia="Calibri" w:hAnsi="Calibri" w:cs="Times New Roman"/>
          <w:i/>
          <w:iCs/>
          <w:kern w:val="0"/>
          <w:sz w:val="18"/>
          <w:szCs w:val="18"/>
          <w14:ligatures w14:val="none"/>
        </w:rPr>
      </w:pPr>
      <w:bookmarkStart w:id="17" w:name="_Ref172632466"/>
      <w:r w:rsidRPr="00DE745C">
        <w:rPr>
          <w:rFonts w:ascii="Calibri" w:eastAsia="Calibri" w:hAnsi="Calibri" w:cs="Times New Roman"/>
          <w:b/>
          <w:bCs/>
          <w:kern w:val="0"/>
          <w:sz w:val="18"/>
          <w:szCs w:val="18"/>
          <w14:ligatures w14:val="none"/>
        </w:rPr>
        <w:t xml:space="preserve">Tabla 7: </w:t>
      </w:r>
      <w:bookmarkEnd w:id="17"/>
      <w:r w:rsidRPr="00FA1A59">
        <w:rPr>
          <w:rFonts w:ascii="Calibri" w:eastAsia="Calibri" w:hAnsi="Calibri" w:cs="Times New Roman"/>
          <w:i/>
          <w:iCs/>
          <w:kern w:val="0"/>
          <w:sz w:val="18"/>
          <w:szCs w:val="18"/>
          <w14:ligatures w14:val="none"/>
        </w:rPr>
        <w:t xml:space="preserve">Correlación de Pearson. Puntuaciones de CSS </w:t>
      </w:r>
      <w:r w:rsidR="00AE053D">
        <w:rPr>
          <w:rFonts w:ascii="Calibri" w:eastAsia="Calibri" w:hAnsi="Calibri" w:cs="Times New Roman"/>
          <w:i/>
          <w:iCs/>
          <w:kern w:val="0"/>
          <w:sz w:val="18"/>
          <w:szCs w:val="18"/>
          <w14:ligatures w14:val="none"/>
        </w:rPr>
        <w:t>f</w:t>
      </w:r>
      <w:r w:rsidRPr="00FA1A59">
        <w:rPr>
          <w:rFonts w:ascii="Calibri" w:eastAsia="Calibri" w:hAnsi="Calibri" w:cs="Times New Roman"/>
          <w:i/>
          <w:iCs/>
          <w:kern w:val="0"/>
          <w:sz w:val="18"/>
          <w:szCs w:val="18"/>
          <w14:ligatures w14:val="none"/>
        </w:rPr>
        <w:t>rente MPF. N=181</w:t>
      </w:r>
    </w:p>
    <w:tbl>
      <w:tblPr>
        <w:tblW w:w="0" w:type="auto"/>
        <w:jc w:val="center"/>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043"/>
        <w:gridCol w:w="1095"/>
        <w:gridCol w:w="1917"/>
        <w:gridCol w:w="3273"/>
      </w:tblGrid>
      <w:tr w:rsidR="00DE745C" w:rsidRPr="00DE745C" w14:paraId="475BE1B0" w14:textId="77777777" w:rsidTr="005975D4">
        <w:trPr>
          <w:cantSplit/>
          <w:trHeight w:val="241"/>
          <w:jc w:val="center"/>
        </w:trPr>
        <w:tc>
          <w:tcPr>
            <w:tcW w:w="1043" w:type="dxa"/>
            <w:vMerge w:val="restart"/>
            <w:tcBorders>
              <w:top w:val="single" w:sz="4" w:space="0" w:color="auto"/>
              <w:bottom w:val="nil"/>
            </w:tcBorders>
            <w:shd w:val="clear" w:color="auto" w:fill="D9D9D9"/>
            <w:vAlign w:val="center"/>
          </w:tcPr>
          <w:p w14:paraId="5BF449F6" w14:textId="7F098D51" w:rsidR="00DE745C" w:rsidRPr="00DE745C" w:rsidRDefault="00C50117" w:rsidP="00705E36">
            <w:pPr>
              <w:spacing w:before="20" w:after="20" w:line="240" w:lineRule="auto"/>
              <w:ind w:left="57" w:right="140"/>
              <w:jc w:val="center"/>
              <w:rPr>
                <w:rFonts w:ascii="Calibri Light" w:eastAsia="Calibri" w:hAnsi="Calibri Light" w:cs="Calibri Light"/>
                <w:b/>
                <w:bCs/>
                <w:color w:val="000000"/>
                <w:kern w:val="0"/>
                <w:sz w:val="15"/>
                <w:szCs w:val="15"/>
                <w14:ligatures w14:val="none"/>
              </w:rPr>
            </w:pPr>
            <w:r>
              <w:rPr>
                <w:rFonts w:ascii="Calibri Light" w:eastAsia="Calibri" w:hAnsi="Calibri Light" w:cs="Calibri Light"/>
                <w:b/>
                <w:bCs/>
                <w:color w:val="000000"/>
                <w:kern w:val="0"/>
                <w:sz w:val="15"/>
                <w:szCs w:val="15"/>
                <w14:ligatures w14:val="none"/>
              </w:rPr>
              <w:t>CS</w:t>
            </w:r>
            <w:r w:rsidR="00DE745C" w:rsidRPr="00DE745C">
              <w:rPr>
                <w:rFonts w:ascii="Calibri Light" w:eastAsia="Calibri" w:hAnsi="Calibri Light" w:cs="Calibri Light"/>
                <w:b/>
                <w:bCs/>
                <w:color w:val="000000"/>
                <w:kern w:val="0"/>
                <w:sz w:val="15"/>
                <w:szCs w:val="15"/>
                <w14:ligatures w14:val="none"/>
              </w:rPr>
              <w:t>S</w:t>
            </w:r>
          </w:p>
        </w:tc>
        <w:tc>
          <w:tcPr>
            <w:tcW w:w="1095" w:type="dxa"/>
            <w:vMerge w:val="restart"/>
            <w:tcBorders>
              <w:top w:val="single" w:sz="4" w:space="0" w:color="auto"/>
              <w:bottom w:val="nil"/>
            </w:tcBorders>
            <w:shd w:val="clear" w:color="auto" w:fill="D9D9D9"/>
            <w:vAlign w:val="center"/>
          </w:tcPr>
          <w:p w14:paraId="45C6486B" w14:textId="77777777" w:rsidR="00DE745C" w:rsidRPr="00DE745C" w:rsidRDefault="00DE745C" w:rsidP="00705E36">
            <w:pPr>
              <w:spacing w:before="20" w:after="20" w:line="240" w:lineRule="auto"/>
              <w:ind w:left="57" w:right="140"/>
              <w:jc w:val="center"/>
              <w:rPr>
                <w:rFonts w:ascii="Calibri Light" w:eastAsia="Calibri" w:hAnsi="Calibri Light" w:cs="Calibri Light"/>
                <w:b/>
                <w:bCs/>
                <w:color w:val="000000"/>
                <w:kern w:val="0"/>
                <w:sz w:val="15"/>
                <w:szCs w:val="15"/>
                <w14:ligatures w14:val="none"/>
              </w:rPr>
            </w:pPr>
            <w:r w:rsidRPr="00DE745C">
              <w:rPr>
                <w:rFonts w:ascii="Calibri Light" w:eastAsia="Calibri" w:hAnsi="Calibri Light" w:cs="Calibri Light"/>
                <w:b/>
                <w:bCs/>
                <w:color w:val="000000"/>
                <w:kern w:val="0"/>
                <w:sz w:val="15"/>
                <w:szCs w:val="15"/>
                <w14:ligatures w14:val="none"/>
              </w:rPr>
              <w:t>R</w:t>
            </w:r>
          </w:p>
        </w:tc>
        <w:tc>
          <w:tcPr>
            <w:tcW w:w="1917" w:type="dxa"/>
            <w:vMerge w:val="restart"/>
            <w:tcBorders>
              <w:top w:val="single" w:sz="4" w:space="0" w:color="auto"/>
              <w:bottom w:val="nil"/>
            </w:tcBorders>
            <w:shd w:val="clear" w:color="auto" w:fill="D9D9D9"/>
            <w:vAlign w:val="center"/>
          </w:tcPr>
          <w:p w14:paraId="62D519D8" w14:textId="77777777" w:rsidR="00DE745C" w:rsidRPr="00DE745C" w:rsidRDefault="00DE745C" w:rsidP="00705E36">
            <w:pPr>
              <w:spacing w:before="20" w:after="20" w:line="240" w:lineRule="auto"/>
              <w:ind w:left="57" w:right="140"/>
              <w:jc w:val="center"/>
              <w:rPr>
                <w:rFonts w:ascii="Calibri Light" w:eastAsia="Calibri" w:hAnsi="Calibri Light" w:cs="Calibri Light"/>
                <w:b/>
                <w:bCs/>
                <w:color w:val="000000"/>
                <w:kern w:val="0"/>
                <w:sz w:val="15"/>
                <w:szCs w:val="15"/>
                <w14:ligatures w14:val="none"/>
              </w:rPr>
            </w:pPr>
            <w:r w:rsidRPr="00DE745C">
              <w:rPr>
                <w:rFonts w:ascii="Calibri Light" w:eastAsia="Calibri" w:hAnsi="Calibri Light" w:cs="Arial"/>
                <w:b/>
                <w:kern w:val="0"/>
                <w:sz w:val="15"/>
                <w:szCs w:val="15"/>
                <w14:ligatures w14:val="none"/>
              </w:rPr>
              <w:t>Sig</w:t>
            </w:r>
          </w:p>
        </w:tc>
        <w:tc>
          <w:tcPr>
            <w:tcW w:w="3272" w:type="dxa"/>
            <w:vMerge w:val="restart"/>
            <w:tcBorders>
              <w:top w:val="single" w:sz="4" w:space="0" w:color="auto"/>
              <w:bottom w:val="nil"/>
            </w:tcBorders>
            <w:shd w:val="clear" w:color="auto" w:fill="D9D9D9"/>
            <w:vAlign w:val="center"/>
          </w:tcPr>
          <w:p w14:paraId="244D5FAB" w14:textId="496D1852" w:rsidR="00DE745C" w:rsidRPr="00DE745C" w:rsidRDefault="00DE745C" w:rsidP="00705E36">
            <w:pPr>
              <w:spacing w:before="20" w:after="20" w:line="240" w:lineRule="auto"/>
              <w:ind w:left="57" w:right="140"/>
              <w:jc w:val="center"/>
              <w:rPr>
                <w:rFonts w:ascii="Calibri Light" w:eastAsia="Calibri" w:hAnsi="Calibri Light" w:cs="Calibri Light"/>
                <w:b/>
                <w:bCs/>
                <w:color w:val="000000"/>
                <w:kern w:val="0"/>
                <w:sz w:val="15"/>
                <w:szCs w:val="15"/>
                <w14:ligatures w14:val="none"/>
              </w:rPr>
            </w:pPr>
            <w:r w:rsidRPr="00DE745C">
              <w:rPr>
                <w:rFonts w:ascii="Calibri Light" w:eastAsia="Calibri" w:hAnsi="Calibri Light" w:cs="Arial"/>
                <w:b/>
                <w:kern w:val="0"/>
                <w:sz w:val="15"/>
                <w:szCs w:val="15"/>
                <w14:ligatures w14:val="none"/>
              </w:rPr>
              <w:t>Resul</w:t>
            </w:r>
            <w:r w:rsidR="00FA1A59">
              <w:rPr>
                <w:rFonts w:ascii="Calibri Light" w:eastAsia="Calibri" w:hAnsi="Calibri Light" w:cs="Arial"/>
                <w:b/>
                <w:kern w:val="0"/>
                <w:sz w:val="15"/>
                <w:szCs w:val="15"/>
                <w14:ligatures w14:val="none"/>
              </w:rPr>
              <w:t>t</w:t>
            </w:r>
            <w:r w:rsidR="006C5D8E">
              <w:rPr>
                <w:rFonts w:ascii="Calibri Light" w:eastAsia="Calibri" w:hAnsi="Calibri Light" w:cs="Arial"/>
                <w:b/>
                <w:kern w:val="0"/>
                <w:sz w:val="15"/>
                <w:szCs w:val="15"/>
                <w14:ligatures w14:val="none"/>
              </w:rPr>
              <w:t>ado</w:t>
            </w:r>
          </w:p>
        </w:tc>
      </w:tr>
      <w:tr w:rsidR="00DE745C" w:rsidRPr="00DE745C" w14:paraId="6F16AAE0" w14:textId="77777777" w:rsidTr="005975D4">
        <w:trPr>
          <w:cantSplit/>
          <w:trHeight w:val="248"/>
          <w:jc w:val="center"/>
        </w:trPr>
        <w:tc>
          <w:tcPr>
            <w:tcW w:w="1043" w:type="dxa"/>
            <w:vMerge/>
            <w:tcBorders>
              <w:top w:val="nil"/>
              <w:bottom w:val="single" w:sz="4" w:space="0" w:color="auto"/>
            </w:tcBorders>
            <w:shd w:val="clear" w:color="auto" w:fill="D9D9D9"/>
            <w:vAlign w:val="center"/>
          </w:tcPr>
          <w:p w14:paraId="2AEDEA1E" w14:textId="77777777" w:rsidR="00DE745C" w:rsidRPr="00DE745C" w:rsidRDefault="00DE745C" w:rsidP="00705E36">
            <w:pPr>
              <w:spacing w:before="20" w:after="20" w:line="240" w:lineRule="auto"/>
              <w:ind w:left="57" w:right="140"/>
              <w:jc w:val="center"/>
              <w:rPr>
                <w:rFonts w:ascii="Calibri Light" w:eastAsia="Calibri" w:hAnsi="Calibri Light" w:cs="Calibri Light"/>
                <w:b/>
                <w:bCs/>
                <w:color w:val="000000"/>
                <w:kern w:val="0"/>
                <w:sz w:val="15"/>
                <w:szCs w:val="15"/>
                <w14:ligatures w14:val="none"/>
              </w:rPr>
            </w:pPr>
          </w:p>
        </w:tc>
        <w:tc>
          <w:tcPr>
            <w:tcW w:w="1095" w:type="dxa"/>
            <w:vMerge/>
            <w:tcBorders>
              <w:top w:val="nil"/>
              <w:bottom w:val="single" w:sz="4" w:space="0" w:color="auto"/>
            </w:tcBorders>
            <w:shd w:val="clear" w:color="auto" w:fill="D9D9D9"/>
            <w:vAlign w:val="center"/>
          </w:tcPr>
          <w:p w14:paraId="043B37D3" w14:textId="77777777" w:rsidR="00DE745C" w:rsidRPr="00DE745C" w:rsidRDefault="00DE745C" w:rsidP="00705E36">
            <w:pPr>
              <w:spacing w:before="20" w:after="20" w:line="240" w:lineRule="auto"/>
              <w:ind w:left="57" w:right="140"/>
              <w:jc w:val="center"/>
              <w:rPr>
                <w:rFonts w:ascii="Calibri Light" w:eastAsia="Calibri" w:hAnsi="Calibri Light" w:cs="Calibri Light"/>
                <w:b/>
                <w:bCs/>
                <w:color w:val="000000"/>
                <w:kern w:val="0"/>
                <w:sz w:val="15"/>
                <w:szCs w:val="15"/>
                <w14:ligatures w14:val="none"/>
              </w:rPr>
            </w:pPr>
          </w:p>
        </w:tc>
        <w:tc>
          <w:tcPr>
            <w:tcW w:w="1917" w:type="dxa"/>
            <w:vMerge/>
            <w:tcBorders>
              <w:top w:val="nil"/>
              <w:bottom w:val="single" w:sz="4" w:space="0" w:color="auto"/>
            </w:tcBorders>
            <w:shd w:val="clear" w:color="auto" w:fill="D9D9D9"/>
            <w:vAlign w:val="center"/>
          </w:tcPr>
          <w:p w14:paraId="6ED95298" w14:textId="77777777" w:rsidR="00DE745C" w:rsidRPr="00DE745C" w:rsidRDefault="00DE745C" w:rsidP="00705E36">
            <w:pPr>
              <w:spacing w:before="20" w:after="20" w:line="240" w:lineRule="auto"/>
              <w:ind w:left="57" w:right="140"/>
              <w:jc w:val="center"/>
              <w:rPr>
                <w:rFonts w:ascii="Calibri Light" w:eastAsia="Calibri" w:hAnsi="Calibri Light" w:cs="Calibri Light"/>
                <w:b/>
                <w:bCs/>
                <w:color w:val="000000"/>
                <w:kern w:val="0"/>
                <w:sz w:val="15"/>
                <w:szCs w:val="15"/>
                <w14:ligatures w14:val="none"/>
              </w:rPr>
            </w:pPr>
          </w:p>
        </w:tc>
        <w:tc>
          <w:tcPr>
            <w:tcW w:w="3272" w:type="dxa"/>
            <w:vMerge/>
            <w:tcBorders>
              <w:top w:val="nil"/>
              <w:bottom w:val="single" w:sz="4" w:space="0" w:color="auto"/>
            </w:tcBorders>
            <w:shd w:val="clear" w:color="auto" w:fill="D9D9D9"/>
            <w:vAlign w:val="center"/>
          </w:tcPr>
          <w:p w14:paraId="22429339" w14:textId="77777777" w:rsidR="00DE745C" w:rsidRPr="00DE745C" w:rsidRDefault="00DE745C" w:rsidP="00705E36">
            <w:pPr>
              <w:spacing w:before="20" w:after="20" w:line="240" w:lineRule="auto"/>
              <w:ind w:left="57" w:right="140"/>
              <w:jc w:val="center"/>
              <w:rPr>
                <w:rFonts w:ascii="Calibri Light" w:eastAsia="Calibri" w:hAnsi="Calibri Light" w:cs="Calibri Light"/>
                <w:b/>
                <w:bCs/>
                <w:color w:val="000000"/>
                <w:kern w:val="0"/>
                <w:sz w:val="15"/>
                <w:szCs w:val="15"/>
                <w14:ligatures w14:val="none"/>
              </w:rPr>
            </w:pPr>
          </w:p>
        </w:tc>
      </w:tr>
      <w:tr w:rsidR="00DE745C" w:rsidRPr="00DE745C" w14:paraId="1087E2D1" w14:textId="77777777" w:rsidTr="005975D4">
        <w:trPr>
          <w:cantSplit/>
          <w:trHeight w:val="125"/>
          <w:jc w:val="center"/>
        </w:trPr>
        <w:tc>
          <w:tcPr>
            <w:tcW w:w="1043" w:type="dxa"/>
            <w:tcBorders>
              <w:top w:val="nil"/>
              <w:bottom w:val="single" w:sz="4" w:space="0" w:color="auto"/>
            </w:tcBorders>
            <w:shd w:val="clear" w:color="auto" w:fill="E0E0E0"/>
            <w:vAlign w:val="center"/>
          </w:tcPr>
          <w:p w14:paraId="53A643EB" w14:textId="77777777" w:rsidR="00DE745C" w:rsidRPr="00DE745C" w:rsidRDefault="00DE745C" w:rsidP="00705E36">
            <w:pPr>
              <w:autoSpaceDE w:val="0"/>
              <w:autoSpaceDN w:val="0"/>
              <w:adjustRightInd w:val="0"/>
              <w:spacing w:after="0" w:line="240" w:lineRule="auto"/>
              <w:ind w:left="57" w:right="140"/>
              <w:jc w:val="center"/>
              <w:rPr>
                <w:rFonts w:ascii="Calibri Light" w:eastAsia="Calibri" w:hAnsi="Calibri Light" w:cs="Calibri Light"/>
                <w:b/>
                <w:bCs/>
                <w:color w:val="000000"/>
                <w:kern w:val="0"/>
                <w:sz w:val="15"/>
                <w:szCs w:val="15"/>
                <w14:ligatures w14:val="none"/>
              </w:rPr>
            </w:pPr>
            <w:r w:rsidRPr="00DE745C">
              <w:rPr>
                <w:rFonts w:ascii="Calibri Light" w:eastAsia="Calibri" w:hAnsi="Calibri Light" w:cs="Calibri Light"/>
                <w:b/>
                <w:bCs/>
                <w:color w:val="000000"/>
                <w:kern w:val="0"/>
                <w:sz w:val="15"/>
                <w:szCs w:val="15"/>
                <w14:ligatures w14:val="none"/>
              </w:rPr>
              <w:t>MPF</w:t>
            </w:r>
          </w:p>
        </w:tc>
        <w:tc>
          <w:tcPr>
            <w:tcW w:w="1095" w:type="dxa"/>
            <w:tcBorders>
              <w:top w:val="single" w:sz="4" w:space="0" w:color="auto"/>
              <w:bottom w:val="single" w:sz="4" w:space="0" w:color="auto"/>
            </w:tcBorders>
            <w:shd w:val="clear" w:color="auto" w:fill="auto"/>
            <w:vAlign w:val="center"/>
          </w:tcPr>
          <w:p w14:paraId="2C88619E" w14:textId="5709F678" w:rsidR="00DE745C" w:rsidRPr="00DE745C" w:rsidRDefault="00DE745C" w:rsidP="00705E36">
            <w:pPr>
              <w:spacing w:before="20" w:after="20" w:line="240" w:lineRule="auto"/>
              <w:ind w:left="57" w:right="140"/>
              <w:jc w:val="center"/>
              <w:rPr>
                <w:rFonts w:ascii="Cambria" w:eastAsia="Calibri" w:hAnsi="Cambria" w:cs="Calibri"/>
                <w:b/>
                <w:bCs/>
                <w:color w:val="000000"/>
                <w:kern w:val="0"/>
                <w:sz w:val="16"/>
                <w:szCs w:val="16"/>
                <w14:ligatures w14:val="none"/>
              </w:rPr>
            </w:pPr>
            <w:r w:rsidRPr="00DE745C">
              <w:rPr>
                <w:rFonts w:ascii="Cambria" w:eastAsia="Calibri" w:hAnsi="Cambria" w:cs="Calibri"/>
                <w:b/>
                <w:bCs/>
                <w:color w:val="000000"/>
                <w:kern w:val="0"/>
                <w:sz w:val="16"/>
                <w:szCs w:val="16"/>
                <w14:ligatures w14:val="none"/>
              </w:rPr>
              <w:t>.5</w:t>
            </w:r>
            <w:r w:rsidR="00932BF8">
              <w:rPr>
                <w:rFonts w:ascii="Cambria" w:eastAsia="Calibri" w:hAnsi="Cambria" w:cs="Calibri"/>
                <w:b/>
                <w:bCs/>
                <w:color w:val="000000"/>
                <w:kern w:val="0"/>
                <w:sz w:val="16"/>
                <w:szCs w:val="16"/>
                <w14:ligatures w14:val="none"/>
              </w:rPr>
              <w:t>93</w:t>
            </w:r>
          </w:p>
        </w:tc>
        <w:tc>
          <w:tcPr>
            <w:tcW w:w="1917" w:type="dxa"/>
            <w:tcBorders>
              <w:top w:val="single" w:sz="4" w:space="0" w:color="auto"/>
              <w:bottom w:val="single" w:sz="4" w:space="0" w:color="auto"/>
            </w:tcBorders>
            <w:shd w:val="clear" w:color="auto" w:fill="auto"/>
            <w:vAlign w:val="center"/>
          </w:tcPr>
          <w:p w14:paraId="0715BCAC" w14:textId="77777777" w:rsidR="00DE745C" w:rsidRPr="00DE745C" w:rsidRDefault="00DE745C" w:rsidP="00705E36">
            <w:pPr>
              <w:spacing w:before="20" w:after="20" w:line="240" w:lineRule="auto"/>
              <w:ind w:left="57" w:right="140"/>
              <w:jc w:val="center"/>
              <w:rPr>
                <w:rFonts w:ascii="Cambria" w:eastAsia="Calibri" w:hAnsi="Cambria" w:cs="Calibri"/>
                <w:b/>
                <w:bCs/>
                <w:color w:val="000000"/>
                <w:kern w:val="0"/>
                <w:sz w:val="16"/>
                <w:szCs w:val="16"/>
                <w14:ligatures w14:val="none"/>
              </w:rPr>
            </w:pPr>
            <w:r w:rsidRPr="00DE745C">
              <w:rPr>
                <w:rFonts w:ascii="Cambria" w:eastAsia="Calibri" w:hAnsi="Cambria" w:cs="Calibri"/>
                <w:b/>
                <w:bCs/>
                <w:color w:val="000000"/>
                <w:kern w:val="0"/>
                <w:sz w:val="16"/>
                <w:szCs w:val="16"/>
                <w14:ligatures w14:val="none"/>
              </w:rPr>
              <w:t>. &lt;.001</w:t>
            </w:r>
            <w:r w:rsidRPr="00DE745C">
              <w:rPr>
                <w:rFonts w:ascii="Calibri Light" w:eastAsia="Calibri" w:hAnsi="Calibri Light" w:cs="Calibri Light"/>
                <w:b/>
                <w:bCs/>
                <w:kern w:val="0"/>
                <w:sz w:val="16"/>
                <w:szCs w:val="16"/>
                <w14:ligatures w14:val="none"/>
              </w:rPr>
              <w:t>**</w:t>
            </w:r>
          </w:p>
        </w:tc>
        <w:tc>
          <w:tcPr>
            <w:tcW w:w="3272" w:type="dxa"/>
            <w:tcBorders>
              <w:top w:val="single" w:sz="4" w:space="0" w:color="auto"/>
              <w:bottom w:val="single" w:sz="4" w:space="0" w:color="auto"/>
            </w:tcBorders>
            <w:shd w:val="clear" w:color="auto" w:fill="auto"/>
            <w:vAlign w:val="center"/>
          </w:tcPr>
          <w:p w14:paraId="67F3D6E4" w14:textId="5C2E3AA4" w:rsidR="00DE745C" w:rsidRPr="00DE745C" w:rsidRDefault="00DA793F" w:rsidP="00705E36">
            <w:pPr>
              <w:spacing w:before="20" w:after="20" w:line="240" w:lineRule="auto"/>
              <w:ind w:left="57" w:right="140"/>
              <w:jc w:val="center"/>
              <w:rPr>
                <w:rFonts w:ascii="Cambria" w:eastAsia="Calibri" w:hAnsi="Cambria" w:cs="Calibri"/>
                <w:b/>
                <w:bCs/>
                <w:color w:val="000000"/>
                <w:kern w:val="0"/>
                <w:sz w:val="16"/>
                <w:szCs w:val="16"/>
                <w14:ligatures w14:val="none"/>
              </w:rPr>
            </w:pPr>
            <w:r>
              <w:rPr>
                <w:rFonts w:ascii="Cambria" w:eastAsia="Calibri" w:hAnsi="Cambria" w:cs="Calibri"/>
                <w:b/>
                <w:bCs/>
                <w:color w:val="000000"/>
                <w:kern w:val="0"/>
                <w:sz w:val="16"/>
                <w:szCs w:val="16"/>
                <w14:ligatures w14:val="none"/>
              </w:rPr>
              <w:t>Muy significativo</w:t>
            </w:r>
          </w:p>
        </w:tc>
      </w:tr>
      <w:tr w:rsidR="00DE745C" w:rsidRPr="00DA793F" w14:paraId="36BD07ED" w14:textId="77777777" w:rsidTr="005975D4">
        <w:trPr>
          <w:cantSplit/>
          <w:trHeight w:val="125"/>
          <w:jc w:val="center"/>
        </w:trPr>
        <w:tc>
          <w:tcPr>
            <w:tcW w:w="7328" w:type="dxa"/>
            <w:gridSpan w:val="4"/>
            <w:tcBorders>
              <w:top w:val="single" w:sz="4" w:space="0" w:color="auto"/>
              <w:bottom w:val="single" w:sz="4" w:space="0" w:color="auto"/>
            </w:tcBorders>
            <w:shd w:val="clear" w:color="auto" w:fill="auto"/>
            <w:vAlign w:val="center"/>
          </w:tcPr>
          <w:p w14:paraId="6BB9173A" w14:textId="2C967B53" w:rsidR="00DE745C" w:rsidRPr="00DA793F" w:rsidRDefault="00DE745C" w:rsidP="00705E36">
            <w:pPr>
              <w:spacing w:before="20" w:after="20" w:line="240" w:lineRule="auto"/>
              <w:ind w:left="57" w:right="140"/>
              <w:jc w:val="center"/>
              <w:rPr>
                <w:rFonts w:ascii="Cambria" w:eastAsia="Calibri" w:hAnsi="Cambria" w:cs="Calibri"/>
                <w:color w:val="000000"/>
                <w:kern w:val="0"/>
                <w:sz w:val="16"/>
                <w:szCs w:val="16"/>
                <w14:ligatures w14:val="none"/>
              </w:rPr>
            </w:pPr>
            <w:r w:rsidRPr="00DA793F">
              <w:rPr>
                <w:rFonts w:ascii="Calibri Light" w:eastAsia="Calibri" w:hAnsi="Calibri Light" w:cs="Calibri Light"/>
                <w:kern w:val="0"/>
                <w:sz w:val="16"/>
                <w:szCs w:val="16"/>
                <w:vertAlign w:val="superscript"/>
                <w14:ligatures w14:val="none"/>
              </w:rPr>
              <w:t>NS</w:t>
            </w:r>
            <w:r w:rsidRPr="00DA793F">
              <w:rPr>
                <w:rFonts w:ascii="Calibri Light" w:eastAsia="Calibri" w:hAnsi="Calibri Light" w:cs="Calibri Light"/>
                <w:i/>
                <w:iCs/>
                <w:kern w:val="0"/>
                <w:sz w:val="16"/>
                <w:szCs w:val="16"/>
                <w14:ligatures w14:val="none"/>
              </w:rPr>
              <w:t xml:space="preserve"> No significat</w:t>
            </w:r>
            <w:r w:rsidR="00DA793F" w:rsidRPr="00DA793F">
              <w:rPr>
                <w:rFonts w:ascii="Calibri Light" w:eastAsia="Calibri" w:hAnsi="Calibri Light" w:cs="Calibri Light"/>
                <w:i/>
                <w:iCs/>
                <w:kern w:val="0"/>
                <w:sz w:val="16"/>
                <w:szCs w:val="16"/>
                <w14:ligatures w14:val="none"/>
              </w:rPr>
              <w:t>ivo</w:t>
            </w:r>
            <w:r w:rsidRPr="00DA793F">
              <w:rPr>
                <w:rFonts w:ascii="Calibri Light" w:eastAsia="Calibri" w:hAnsi="Calibri Light" w:cs="Calibri Light"/>
                <w:i/>
                <w:iCs/>
                <w:kern w:val="0"/>
                <w:sz w:val="16"/>
                <w:szCs w:val="16"/>
                <w14:ligatures w14:val="none"/>
              </w:rPr>
              <w:t xml:space="preserve">, </w:t>
            </w:r>
            <w:r w:rsidRPr="00DA793F">
              <w:rPr>
                <w:rFonts w:ascii="Calibri Light" w:eastAsia="Calibri" w:hAnsi="Calibri Light" w:cs="Calibri Light"/>
                <w:i/>
                <w:iCs/>
                <w:kern w:val="0"/>
                <w:sz w:val="16"/>
                <w:szCs w:val="16"/>
                <w:vertAlign w:val="superscript"/>
                <w14:ligatures w14:val="none"/>
              </w:rPr>
              <w:t>†</w:t>
            </w:r>
            <w:r w:rsidRPr="00DA793F">
              <w:rPr>
                <w:rFonts w:ascii="Calibri Light" w:eastAsia="Calibri" w:hAnsi="Calibri Light" w:cs="Calibri Light"/>
                <w:i/>
                <w:iCs/>
                <w:kern w:val="0"/>
                <w:sz w:val="16"/>
                <w:szCs w:val="16"/>
                <w14:ligatures w14:val="none"/>
              </w:rPr>
              <w:t xml:space="preserve"> </w:t>
            </w:r>
            <w:r w:rsidR="00DA793F" w:rsidRPr="00047E1A">
              <w:rPr>
                <w:rFonts w:ascii="Calibri Light" w:eastAsia="Calibri" w:hAnsi="Calibri Light" w:cs="Calibri Light"/>
                <w:i/>
                <w:iCs/>
                <w:kern w:val="0"/>
                <w:sz w:val="16"/>
                <w:szCs w:val="16"/>
                <w14:ligatures w14:val="none"/>
              </w:rPr>
              <w:t xml:space="preserve">Casi significativo </w:t>
            </w:r>
            <w:r w:rsidRPr="00DA793F">
              <w:rPr>
                <w:rFonts w:ascii="Calibri Light" w:eastAsia="Calibri" w:hAnsi="Calibri Light" w:cs="Calibri Light"/>
                <w:i/>
                <w:iCs/>
                <w:kern w:val="0"/>
                <w:sz w:val="16"/>
                <w:szCs w:val="16"/>
                <w14:ligatures w14:val="none"/>
              </w:rPr>
              <w:t>(p&lt;.10),</w:t>
            </w:r>
            <w:r w:rsidR="005975D4" w:rsidRPr="00DA793F">
              <w:rPr>
                <w:rFonts w:ascii="Calibri Light" w:eastAsia="Calibri" w:hAnsi="Calibri Light" w:cs="Calibri Light"/>
                <w:i/>
                <w:iCs/>
                <w:kern w:val="0"/>
                <w:sz w:val="16"/>
                <w:szCs w:val="16"/>
                <w14:ligatures w14:val="none"/>
              </w:rPr>
              <w:t xml:space="preserve"> </w:t>
            </w:r>
            <w:r w:rsidRPr="00DA793F">
              <w:rPr>
                <w:rFonts w:ascii="Calibri Light" w:eastAsia="Calibri" w:hAnsi="Calibri Light" w:cs="Calibri Light"/>
                <w:i/>
                <w:iCs/>
                <w:kern w:val="0"/>
                <w:sz w:val="16"/>
                <w:szCs w:val="16"/>
                <w14:ligatures w14:val="none"/>
              </w:rPr>
              <w:t>* Significat</w:t>
            </w:r>
            <w:r w:rsidR="00DA793F">
              <w:rPr>
                <w:rFonts w:ascii="Calibri Light" w:eastAsia="Calibri" w:hAnsi="Calibri Light" w:cs="Calibri Light"/>
                <w:i/>
                <w:iCs/>
                <w:kern w:val="0"/>
                <w:sz w:val="16"/>
                <w:szCs w:val="16"/>
                <w14:ligatures w14:val="none"/>
              </w:rPr>
              <w:t>ivo</w:t>
            </w:r>
            <w:r w:rsidRPr="00DA793F">
              <w:rPr>
                <w:rFonts w:ascii="Calibri Light" w:eastAsia="Calibri" w:hAnsi="Calibri Light" w:cs="Calibri Light"/>
                <w:i/>
                <w:iCs/>
                <w:kern w:val="0"/>
                <w:sz w:val="16"/>
                <w:szCs w:val="16"/>
                <w14:ligatures w14:val="none"/>
              </w:rPr>
              <w:t xml:space="preserve"> (p&lt;.05) y ** </w:t>
            </w:r>
            <w:r w:rsidR="00DA793F" w:rsidRPr="00DA793F">
              <w:rPr>
                <w:rFonts w:ascii="Calibri Light" w:eastAsia="Calibri" w:hAnsi="Calibri Light" w:cs="Calibri Light"/>
                <w:i/>
                <w:iCs/>
                <w:kern w:val="0"/>
                <w:sz w:val="16"/>
                <w:szCs w:val="16"/>
                <w14:ligatures w14:val="none"/>
              </w:rPr>
              <w:t xml:space="preserve">Altamente significativo </w:t>
            </w:r>
            <w:r w:rsidRPr="00DA793F">
              <w:rPr>
                <w:rFonts w:ascii="Calibri Light" w:eastAsia="Calibri" w:hAnsi="Calibri Light" w:cs="Calibri Light"/>
                <w:i/>
                <w:iCs/>
                <w:kern w:val="0"/>
                <w:sz w:val="16"/>
                <w:szCs w:val="16"/>
                <w14:ligatures w14:val="none"/>
              </w:rPr>
              <w:t>(p&lt;.01)</w:t>
            </w:r>
          </w:p>
        </w:tc>
      </w:tr>
    </w:tbl>
    <w:p w14:paraId="16A7BC6A" w14:textId="77777777" w:rsidR="003C4E47" w:rsidRPr="00DA793F" w:rsidRDefault="003C4E47" w:rsidP="00705E36">
      <w:pPr>
        <w:ind w:right="140"/>
        <w:rPr>
          <w:rFonts w:ascii="Arial" w:hAnsi="Arial" w:cs="Arial"/>
        </w:rPr>
      </w:pPr>
    </w:p>
    <w:p w14:paraId="60752AE1" w14:textId="1D77AAD1" w:rsidR="0094057A" w:rsidRPr="0094057A" w:rsidRDefault="0094057A" w:rsidP="00705E36">
      <w:pPr>
        <w:ind w:right="140"/>
        <w:rPr>
          <w:rFonts w:ascii="Arial" w:hAnsi="Arial" w:cs="Arial"/>
        </w:rPr>
      </w:pPr>
      <w:bookmarkStart w:id="18" w:name="_Ref172632669"/>
      <w:r w:rsidRPr="00637DDC">
        <w:rPr>
          <w:rFonts w:ascii="Arial" w:hAnsi="Arial" w:cs="Arial"/>
        </w:rPr>
        <w:t xml:space="preserve">En la Tabla 8 se muestra el resumen del análisis de varianza (ANOVA) para un factor. Los resultados indican que existen diferencias significativas entre los grupos (p-valor&lt;,001). Además, se obtiene un tamaño de efecto medio, que se interpreta como que </w:t>
      </w:r>
      <w:r w:rsidR="00225908">
        <w:rPr>
          <w:rFonts w:ascii="Arial" w:hAnsi="Arial" w:cs="Arial"/>
        </w:rPr>
        <w:t xml:space="preserve">la madurez </w:t>
      </w:r>
      <w:r w:rsidRPr="00637DDC">
        <w:rPr>
          <w:rFonts w:ascii="Arial" w:hAnsi="Arial" w:cs="Arial"/>
        </w:rPr>
        <w:t>tiene un efecto medio sobre</w:t>
      </w:r>
      <w:r w:rsidR="00225908">
        <w:rPr>
          <w:rFonts w:ascii="Arial" w:hAnsi="Arial" w:cs="Arial"/>
        </w:rPr>
        <w:t xml:space="preserve"> los ahorros indirectos complejos.</w:t>
      </w:r>
    </w:p>
    <w:p w14:paraId="5298E404" w14:textId="77777777" w:rsidR="00637DDC" w:rsidRPr="0094057A" w:rsidRDefault="00637DDC" w:rsidP="00705E36">
      <w:pPr>
        <w:keepNext/>
        <w:spacing w:after="60" w:line="240" w:lineRule="auto"/>
        <w:ind w:right="140" w:firstLine="708"/>
        <w:rPr>
          <w:rFonts w:ascii="Calibri" w:eastAsia="Calibri" w:hAnsi="Calibri" w:cs="Times New Roman"/>
          <w:b/>
          <w:bCs/>
          <w:kern w:val="0"/>
          <w:sz w:val="18"/>
          <w:szCs w:val="18"/>
          <w14:ligatures w14:val="none"/>
        </w:rPr>
      </w:pPr>
    </w:p>
    <w:bookmarkEnd w:id="18"/>
    <w:p w14:paraId="547E96B0" w14:textId="6CA5168B" w:rsidR="001B7CE0" w:rsidRDefault="0094057A" w:rsidP="00705E36">
      <w:pPr>
        <w:keepNext/>
        <w:spacing w:after="60" w:line="240" w:lineRule="auto"/>
        <w:ind w:right="140"/>
        <w:rPr>
          <w:rFonts w:ascii="Calibri" w:eastAsia="Calibri" w:hAnsi="Calibri" w:cs="Times New Roman"/>
          <w:i/>
          <w:iCs/>
          <w:kern w:val="0"/>
          <w:sz w:val="18"/>
          <w:szCs w:val="18"/>
          <w:lang w:val="en-GB"/>
          <w14:ligatures w14:val="none"/>
        </w:rPr>
      </w:pPr>
      <w:r w:rsidRPr="001B7CE0">
        <w:rPr>
          <w:rFonts w:ascii="Calibri" w:eastAsia="Calibri" w:hAnsi="Calibri" w:cs="Times New Roman"/>
          <w:b/>
          <w:bCs/>
          <w:kern w:val="0"/>
          <w:sz w:val="18"/>
          <w:szCs w:val="18"/>
          <w14:ligatures w14:val="none"/>
        </w:rPr>
        <w:t xml:space="preserve">Tabla 8: </w:t>
      </w:r>
      <w:r w:rsidRPr="001B7CE0">
        <w:rPr>
          <w:rFonts w:ascii="Calibri" w:eastAsia="Calibri" w:hAnsi="Calibri" w:cs="Times New Roman"/>
          <w:i/>
          <w:iCs/>
          <w:kern w:val="0"/>
          <w:sz w:val="18"/>
          <w:szCs w:val="18"/>
          <w14:ligatures w14:val="none"/>
        </w:rPr>
        <w:t>ANOVA un factor. Variable dependiente Puntuaciones de ahorro para CSS. Variable de segmentación MPF</w:t>
      </w:r>
      <w:r w:rsidR="001B7CE0" w:rsidRPr="00FB4091">
        <w:rPr>
          <w:rFonts w:ascii="Calibri" w:eastAsia="Calibri" w:hAnsi="Calibri" w:cs="Times New Roman"/>
          <w:i/>
          <w:iCs/>
          <w:kern w:val="0"/>
          <w:sz w:val="18"/>
          <w:szCs w:val="18"/>
          <w:lang w:val="en-GB"/>
          <w14:ligatures w14:val="none"/>
        </w:rPr>
        <w:t>.</w:t>
      </w:r>
    </w:p>
    <w:tbl>
      <w:tblPr>
        <w:tblW w:w="0" w:type="auto"/>
        <w:jc w:val="center"/>
        <w:tblLayout w:type="fixed"/>
        <w:tblCellMar>
          <w:left w:w="0" w:type="dxa"/>
          <w:right w:w="0" w:type="dxa"/>
        </w:tblCellMar>
        <w:tblLook w:val="0000" w:firstRow="0" w:lastRow="0" w:firstColumn="0" w:lastColumn="0" w:noHBand="0" w:noVBand="0"/>
      </w:tblPr>
      <w:tblGrid>
        <w:gridCol w:w="2097"/>
        <w:gridCol w:w="1334"/>
        <w:gridCol w:w="1347"/>
        <w:gridCol w:w="655"/>
        <w:gridCol w:w="1214"/>
        <w:gridCol w:w="541"/>
        <w:gridCol w:w="932"/>
      </w:tblGrid>
      <w:tr w:rsidR="00901B89" w:rsidRPr="00AF1243" w14:paraId="17FADA0B" w14:textId="77777777" w:rsidTr="0049264B">
        <w:trPr>
          <w:cantSplit/>
          <w:trHeight w:val="204"/>
          <w:jc w:val="center"/>
        </w:trPr>
        <w:tc>
          <w:tcPr>
            <w:tcW w:w="2097" w:type="dxa"/>
            <w:vMerge w:val="restart"/>
            <w:tcBorders>
              <w:top w:val="single" w:sz="4" w:space="0" w:color="auto"/>
            </w:tcBorders>
            <w:shd w:val="clear" w:color="auto" w:fill="D9D9D9" w:themeFill="background1" w:themeFillShade="D9"/>
            <w:vAlign w:val="center"/>
          </w:tcPr>
          <w:p w14:paraId="4D21EA22" w14:textId="77777777" w:rsidR="00901B89" w:rsidRPr="00AF1243" w:rsidRDefault="00901B89" w:rsidP="00705E36">
            <w:pPr>
              <w:spacing w:before="20" w:after="20" w:line="240" w:lineRule="auto"/>
              <w:ind w:left="57" w:right="140"/>
              <w:jc w:val="center"/>
              <w:rPr>
                <w:rFonts w:ascii="Times New Roman" w:hAnsi="Times New Roman" w:cs="Times New Roman"/>
                <w:sz w:val="16"/>
                <w:szCs w:val="16"/>
              </w:rPr>
            </w:pPr>
            <w:r w:rsidRPr="002849DF">
              <w:rPr>
                <w:rFonts w:asciiTheme="majorHAnsi" w:hAnsiTheme="majorHAnsi" w:cstheme="majorHAnsi"/>
                <w:b/>
                <w:bCs/>
                <w:color w:val="000000"/>
                <w:sz w:val="15"/>
                <w:szCs w:val="15"/>
              </w:rPr>
              <w:t>CSS</w:t>
            </w:r>
          </w:p>
        </w:tc>
        <w:tc>
          <w:tcPr>
            <w:tcW w:w="1334" w:type="dxa"/>
            <w:vMerge w:val="restart"/>
            <w:tcBorders>
              <w:top w:val="single" w:sz="4" w:space="0" w:color="auto"/>
            </w:tcBorders>
            <w:shd w:val="clear" w:color="auto" w:fill="D9D9D9" w:themeFill="background1" w:themeFillShade="D9"/>
            <w:vAlign w:val="center"/>
          </w:tcPr>
          <w:p w14:paraId="2B7C1B89" w14:textId="77777777" w:rsidR="0094057A" w:rsidRPr="001B7CE0" w:rsidRDefault="0094057A" w:rsidP="00705E36">
            <w:pPr>
              <w:spacing w:before="20" w:after="20" w:line="240" w:lineRule="auto"/>
              <w:ind w:left="57" w:right="140"/>
              <w:jc w:val="center"/>
              <w:rPr>
                <w:rFonts w:ascii="Calibri Light" w:eastAsia="Calibri" w:hAnsi="Calibri Light" w:cs="Calibri Light"/>
                <w:b/>
                <w:bCs/>
                <w:color w:val="000000"/>
                <w:kern w:val="0"/>
                <w:sz w:val="15"/>
                <w:szCs w:val="15"/>
                <w14:ligatures w14:val="none"/>
              </w:rPr>
            </w:pPr>
            <w:r w:rsidRPr="001B7CE0">
              <w:rPr>
                <w:rFonts w:ascii="Calibri Light" w:eastAsia="Calibri" w:hAnsi="Calibri Light" w:cs="Calibri Light"/>
                <w:b/>
                <w:bCs/>
                <w:color w:val="000000"/>
                <w:kern w:val="0"/>
                <w:sz w:val="15"/>
                <w:szCs w:val="15"/>
                <w14:ligatures w14:val="none"/>
              </w:rPr>
              <w:t>La suma de</w:t>
            </w:r>
          </w:p>
          <w:p w14:paraId="4BF8B5AD" w14:textId="533925F8" w:rsidR="00901B89" w:rsidRDefault="0094057A" w:rsidP="00705E36">
            <w:pPr>
              <w:spacing w:before="20" w:after="20" w:line="240" w:lineRule="auto"/>
              <w:ind w:left="57" w:right="140"/>
              <w:jc w:val="center"/>
              <w:rPr>
                <w:rFonts w:asciiTheme="majorHAnsi" w:hAnsiTheme="majorHAnsi" w:cstheme="majorHAnsi"/>
                <w:b/>
                <w:bCs/>
                <w:color w:val="000000"/>
                <w:sz w:val="15"/>
                <w:szCs w:val="15"/>
              </w:rPr>
            </w:pPr>
            <w:r>
              <w:rPr>
                <w:rFonts w:ascii="Calibri Light" w:eastAsia="Calibri" w:hAnsi="Calibri Light" w:cs="Calibri Light"/>
                <w:b/>
                <w:bCs/>
                <w:color w:val="000000"/>
                <w:kern w:val="0"/>
                <w:sz w:val="15"/>
                <w:szCs w:val="15"/>
                <w14:ligatures w14:val="none"/>
              </w:rPr>
              <w:t>Cuadrados</w:t>
            </w:r>
          </w:p>
        </w:tc>
        <w:tc>
          <w:tcPr>
            <w:tcW w:w="1347" w:type="dxa"/>
            <w:vMerge w:val="restart"/>
            <w:tcBorders>
              <w:top w:val="single" w:sz="4" w:space="0" w:color="auto"/>
            </w:tcBorders>
            <w:shd w:val="clear" w:color="auto" w:fill="D9D9D9" w:themeFill="background1" w:themeFillShade="D9"/>
            <w:vAlign w:val="center"/>
          </w:tcPr>
          <w:p w14:paraId="528BF6F6" w14:textId="4CBA7F3E" w:rsidR="00901B89" w:rsidRPr="001B7CE0" w:rsidRDefault="0094057A" w:rsidP="00705E36">
            <w:pPr>
              <w:spacing w:before="20" w:after="20" w:line="240" w:lineRule="auto"/>
              <w:ind w:left="57" w:right="140"/>
              <w:jc w:val="center"/>
              <w:rPr>
                <w:rFonts w:ascii="Calibri Light" w:eastAsia="Calibri" w:hAnsi="Calibri Light" w:cs="Calibri Light"/>
                <w:b/>
                <w:bCs/>
                <w:color w:val="000000"/>
                <w:kern w:val="0"/>
                <w:sz w:val="15"/>
                <w:szCs w:val="15"/>
                <w14:ligatures w14:val="none"/>
              </w:rPr>
            </w:pPr>
            <w:r>
              <w:rPr>
                <w:rFonts w:ascii="Calibri Light" w:eastAsia="Calibri" w:hAnsi="Calibri Light" w:cs="Calibri Light"/>
                <w:b/>
                <w:bCs/>
                <w:color w:val="000000"/>
                <w:kern w:val="0"/>
                <w:sz w:val="15"/>
                <w:szCs w:val="15"/>
                <w14:ligatures w14:val="none"/>
              </w:rPr>
              <w:t>Media</w:t>
            </w:r>
          </w:p>
          <w:p w14:paraId="09CFEDDF" w14:textId="6FB7E658" w:rsidR="00901B89" w:rsidRPr="00AF1243" w:rsidRDefault="00F645BF" w:rsidP="00705E36">
            <w:pPr>
              <w:spacing w:before="20" w:after="20" w:line="240" w:lineRule="auto"/>
              <w:ind w:left="57" w:right="140"/>
              <w:jc w:val="center"/>
              <w:rPr>
                <w:rFonts w:asciiTheme="majorHAnsi" w:hAnsiTheme="majorHAnsi" w:cstheme="majorHAnsi"/>
                <w:b/>
                <w:bCs/>
                <w:color w:val="000000"/>
                <w:sz w:val="15"/>
                <w:szCs w:val="15"/>
              </w:rPr>
            </w:pPr>
            <w:r w:rsidRPr="001B7CE0">
              <w:rPr>
                <w:rFonts w:ascii="Calibri Light" w:eastAsia="Calibri" w:hAnsi="Calibri Light" w:cs="Calibri Light"/>
                <w:b/>
                <w:bCs/>
                <w:color w:val="000000"/>
                <w:kern w:val="0"/>
                <w:sz w:val="15"/>
                <w:szCs w:val="15"/>
                <w14:ligatures w14:val="none"/>
              </w:rPr>
              <w:t>cuadrático</w:t>
            </w:r>
          </w:p>
        </w:tc>
        <w:tc>
          <w:tcPr>
            <w:tcW w:w="655" w:type="dxa"/>
            <w:vMerge w:val="restart"/>
            <w:tcBorders>
              <w:top w:val="single" w:sz="4" w:space="0" w:color="auto"/>
            </w:tcBorders>
            <w:shd w:val="clear" w:color="auto" w:fill="D9D9D9" w:themeFill="background1" w:themeFillShade="D9"/>
            <w:vAlign w:val="center"/>
          </w:tcPr>
          <w:p w14:paraId="08E52D9A" w14:textId="77777777" w:rsidR="00901B89" w:rsidRPr="00AF1243" w:rsidRDefault="00901B89" w:rsidP="00705E36">
            <w:pPr>
              <w:spacing w:before="20" w:after="20" w:line="240" w:lineRule="auto"/>
              <w:ind w:left="57" w:right="140"/>
              <w:jc w:val="center"/>
              <w:rPr>
                <w:rFonts w:asciiTheme="majorHAnsi" w:hAnsiTheme="majorHAnsi" w:cstheme="majorHAnsi"/>
                <w:b/>
                <w:bCs/>
                <w:color w:val="000000"/>
                <w:sz w:val="15"/>
                <w:szCs w:val="15"/>
              </w:rPr>
            </w:pPr>
            <w:r>
              <w:rPr>
                <w:rFonts w:asciiTheme="majorHAnsi" w:hAnsiTheme="majorHAnsi" w:cstheme="majorHAnsi"/>
                <w:b/>
                <w:bCs/>
                <w:color w:val="000000"/>
                <w:sz w:val="15"/>
                <w:szCs w:val="15"/>
              </w:rPr>
              <w:t>F</w:t>
            </w:r>
          </w:p>
        </w:tc>
        <w:tc>
          <w:tcPr>
            <w:tcW w:w="1214" w:type="dxa"/>
            <w:vMerge w:val="restart"/>
            <w:tcBorders>
              <w:top w:val="single" w:sz="4" w:space="0" w:color="auto"/>
            </w:tcBorders>
            <w:shd w:val="clear" w:color="auto" w:fill="D9D9D9" w:themeFill="background1" w:themeFillShade="D9"/>
            <w:vAlign w:val="center"/>
          </w:tcPr>
          <w:p w14:paraId="5B131927" w14:textId="77777777" w:rsidR="00901B89" w:rsidRPr="00AF1243" w:rsidRDefault="00901B89" w:rsidP="00705E36">
            <w:pPr>
              <w:spacing w:before="20" w:after="20" w:line="240" w:lineRule="auto"/>
              <w:ind w:left="57" w:right="140"/>
              <w:jc w:val="center"/>
              <w:rPr>
                <w:rFonts w:asciiTheme="majorHAnsi" w:hAnsiTheme="majorHAnsi" w:cstheme="majorHAnsi"/>
                <w:b/>
                <w:bCs/>
                <w:color w:val="000000"/>
                <w:sz w:val="15"/>
                <w:szCs w:val="15"/>
              </w:rPr>
            </w:pPr>
            <w:r w:rsidRPr="00AF1243">
              <w:rPr>
                <w:rFonts w:asciiTheme="majorHAnsi" w:hAnsiTheme="majorHAnsi" w:cstheme="majorHAnsi"/>
                <w:b/>
                <w:bCs/>
                <w:color w:val="000000"/>
                <w:sz w:val="15"/>
                <w:szCs w:val="15"/>
              </w:rPr>
              <w:t>Sig.</w:t>
            </w:r>
          </w:p>
        </w:tc>
        <w:tc>
          <w:tcPr>
            <w:tcW w:w="1473" w:type="dxa"/>
            <w:gridSpan w:val="2"/>
            <w:vMerge w:val="restart"/>
            <w:tcBorders>
              <w:top w:val="single" w:sz="4" w:space="0" w:color="auto"/>
            </w:tcBorders>
            <w:shd w:val="clear" w:color="auto" w:fill="D9D9D9" w:themeFill="background1" w:themeFillShade="D9"/>
            <w:vAlign w:val="center"/>
          </w:tcPr>
          <w:p w14:paraId="50F1492D" w14:textId="77777777" w:rsidR="00F645BF" w:rsidRPr="001B7CE0" w:rsidRDefault="00F645BF" w:rsidP="00705E36">
            <w:pPr>
              <w:spacing w:before="20" w:after="20" w:line="240" w:lineRule="auto"/>
              <w:ind w:left="57" w:right="140"/>
              <w:jc w:val="center"/>
              <w:rPr>
                <w:rFonts w:ascii="Calibri Light" w:eastAsia="Calibri" w:hAnsi="Calibri Light" w:cs="Calibri Light"/>
                <w:b/>
                <w:bCs/>
                <w:color w:val="000000"/>
                <w:kern w:val="0"/>
                <w:sz w:val="15"/>
                <w:szCs w:val="15"/>
                <w14:ligatures w14:val="none"/>
              </w:rPr>
            </w:pPr>
            <w:r>
              <w:rPr>
                <w:rFonts w:ascii="Calibri Light" w:eastAsia="Calibri" w:hAnsi="Calibri Light" w:cs="Calibri Light"/>
                <w:b/>
                <w:bCs/>
                <w:color w:val="000000"/>
                <w:kern w:val="0"/>
                <w:sz w:val="15"/>
                <w:szCs w:val="15"/>
                <w14:ligatures w14:val="none"/>
              </w:rPr>
              <w:t>Tamaño</w:t>
            </w:r>
          </w:p>
          <w:p w14:paraId="7AAE9E46" w14:textId="539122CE" w:rsidR="00901B89" w:rsidRPr="00AF1243" w:rsidRDefault="00F645BF" w:rsidP="00705E36">
            <w:pPr>
              <w:spacing w:before="20" w:after="20" w:line="240" w:lineRule="auto"/>
              <w:ind w:left="57" w:right="140"/>
              <w:jc w:val="center"/>
              <w:rPr>
                <w:rFonts w:asciiTheme="majorHAnsi" w:hAnsiTheme="majorHAnsi" w:cstheme="majorHAnsi"/>
                <w:b/>
                <w:bCs/>
                <w:color w:val="000000"/>
                <w:sz w:val="15"/>
                <w:szCs w:val="15"/>
              </w:rPr>
            </w:pPr>
            <w:r w:rsidRPr="001B7CE0">
              <w:rPr>
                <w:rFonts w:ascii="Calibri Light" w:eastAsia="Calibri" w:hAnsi="Calibri Light" w:cs="Calibri Light"/>
                <w:b/>
                <w:bCs/>
                <w:color w:val="000000"/>
                <w:kern w:val="0"/>
                <w:sz w:val="15"/>
                <w:szCs w:val="15"/>
                <w14:ligatures w14:val="none"/>
              </w:rPr>
              <w:t>Efecto</w:t>
            </w:r>
          </w:p>
        </w:tc>
      </w:tr>
      <w:tr w:rsidR="00901B89" w:rsidRPr="00AF1243" w14:paraId="740221D7" w14:textId="77777777" w:rsidTr="0049264B">
        <w:trPr>
          <w:cantSplit/>
          <w:trHeight w:val="184"/>
          <w:jc w:val="center"/>
        </w:trPr>
        <w:tc>
          <w:tcPr>
            <w:tcW w:w="2097" w:type="dxa"/>
            <w:vMerge/>
            <w:tcBorders>
              <w:bottom w:val="single" w:sz="4" w:space="0" w:color="auto"/>
            </w:tcBorders>
            <w:shd w:val="clear" w:color="auto" w:fill="D9D9D9" w:themeFill="background1" w:themeFillShade="D9"/>
            <w:vAlign w:val="center"/>
          </w:tcPr>
          <w:p w14:paraId="0D8BA028" w14:textId="77777777" w:rsidR="00901B89" w:rsidRPr="00AF1243" w:rsidRDefault="00901B89" w:rsidP="00705E36">
            <w:pPr>
              <w:autoSpaceDE w:val="0"/>
              <w:autoSpaceDN w:val="0"/>
              <w:adjustRightInd w:val="0"/>
              <w:spacing w:after="0" w:line="240" w:lineRule="auto"/>
              <w:ind w:right="140"/>
              <w:jc w:val="center"/>
              <w:rPr>
                <w:rFonts w:ascii="Times New Roman" w:hAnsi="Times New Roman" w:cs="Times New Roman"/>
                <w:sz w:val="16"/>
                <w:szCs w:val="16"/>
              </w:rPr>
            </w:pPr>
          </w:p>
        </w:tc>
        <w:tc>
          <w:tcPr>
            <w:tcW w:w="1334" w:type="dxa"/>
            <w:vMerge/>
            <w:tcBorders>
              <w:bottom w:val="single" w:sz="4" w:space="0" w:color="auto"/>
            </w:tcBorders>
            <w:shd w:val="clear" w:color="auto" w:fill="D9D9D9" w:themeFill="background1" w:themeFillShade="D9"/>
            <w:vAlign w:val="center"/>
          </w:tcPr>
          <w:p w14:paraId="408BCEEF" w14:textId="77777777" w:rsidR="00901B89" w:rsidRDefault="00901B89" w:rsidP="00705E36">
            <w:pPr>
              <w:spacing w:before="20" w:after="20" w:line="240" w:lineRule="auto"/>
              <w:ind w:left="57" w:right="140"/>
              <w:jc w:val="center"/>
              <w:rPr>
                <w:rFonts w:asciiTheme="majorHAnsi" w:hAnsiTheme="majorHAnsi" w:cstheme="majorHAnsi"/>
                <w:b/>
                <w:bCs/>
                <w:color w:val="000000"/>
                <w:sz w:val="15"/>
                <w:szCs w:val="15"/>
              </w:rPr>
            </w:pPr>
          </w:p>
        </w:tc>
        <w:tc>
          <w:tcPr>
            <w:tcW w:w="1347" w:type="dxa"/>
            <w:vMerge/>
            <w:tcBorders>
              <w:bottom w:val="single" w:sz="4" w:space="0" w:color="auto"/>
            </w:tcBorders>
            <w:shd w:val="clear" w:color="auto" w:fill="D9D9D9" w:themeFill="background1" w:themeFillShade="D9"/>
            <w:vAlign w:val="center"/>
          </w:tcPr>
          <w:p w14:paraId="4E8E8DB3" w14:textId="77777777" w:rsidR="00901B89" w:rsidRDefault="00901B89" w:rsidP="00705E36">
            <w:pPr>
              <w:spacing w:before="20" w:after="20" w:line="240" w:lineRule="auto"/>
              <w:ind w:left="57" w:right="140"/>
              <w:jc w:val="center"/>
              <w:rPr>
                <w:rFonts w:asciiTheme="majorHAnsi" w:hAnsiTheme="majorHAnsi" w:cstheme="majorHAnsi"/>
                <w:b/>
                <w:bCs/>
                <w:color w:val="000000"/>
                <w:sz w:val="15"/>
                <w:szCs w:val="15"/>
              </w:rPr>
            </w:pPr>
          </w:p>
        </w:tc>
        <w:tc>
          <w:tcPr>
            <w:tcW w:w="655" w:type="dxa"/>
            <w:vMerge/>
            <w:tcBorders>
              <w:bottom w:val="single" w:sz="4" w:space="0" w:color="auto"/>
            </w:tcBorders>
            <w:shd w:val="clear" w:color="auto" w:fill="D9D9D9" w:themeFill="background1" w:themeFillShade="D9"/>
            <w:vAlign w:val="center"/>
          </w:tcPr>
          <w:p w14:paraId="4DDEF4ED" w14:textId="77777777" w:rsidR="00901B89" w:rsidRDefault="00901B89" w:rsidP="00705E36">
            <w:pPr>
              <w:spacing w:before="20" w:after="20" w:line="240" w:lineRule="auto"/>
              <w:ind w:left="57" w:right="140"/>
              <w:jc w:val="center"/>
              <w:rPr>
                <w:rFonts w:asciiTheme="majorHAnsi" w:hAnsiTheme="majorHAnsi" w:cstheme="majorHAnsi"/>
                <w:b/>
                <w:bCs/>
                <w:color w:val="000000"/>
                <w:sz w:val="15"/>
                <w:szCs w:val="15"/>
              </w:rPr>
            </w:pPr>
          </w:p>
        </w:tc>
        <w:tc>
          <w:tcPr>
            <w:tcW w:w="1214" w:type="dxa"/>
            <w:vMerge/>
            <w:tcBorders>
              <w:bottom w:val="single" w:sz="4" w:space="0" w:color="auto"/>
            </w:tcBorders>
            <w:shd w:val="clear" w:color="auto" w:fill="D9D9D9" w:themeFill="background1" w:themeFillShade="D9"/>
            <w:vAlign w:val="center"/>
          </w:tcPr>
          <w:p w14:paraId="7D670D53" w14:textId="77777777" w:rsidR="00901B89" w:rsidRPr="00AF1243" w:rsidRDefault="00901B89" w:rsidP="00705E36">
            <w:pPr>
              <w:spacing w:before="20" w:after="20" w:line="240" w:lineRule="auto"/>
              <w:ind w:left="57" w:right="140"/>
              <w:jc w:val="center"/>
              <w:rPr>
                <w:rFonts w:asciiTheme="majorHAnsi" w:hAnsiTheme="majorHAnsi" w:cstheme="majorHAnsi"/>
                <w:b/>
                <w:bCs/>
                <w:color w:val="000000"/>
                <w:sz w:val="15"/>
                <w:szCs w:val="15"/>
              </w:rPr>
            </w:pPr>
          </w:p>
        </w:tc>
        <w:tc>
          <w:tcPr>
            <w:tcW w:w="1473" w:type="dxa"/>
            <w:gridSpan w:val="2"/>
            <w:vMerge/>
            <w:tcBorders>
              <w:bottom w:val="single" w:sz="4" w:space="0" w:color="auto"/>
            </w:tcBorders>
            <w:shd w:val="clear" w:color="auto" w:fill="F2F2F2" w:themeFill="background1" w:themeFillShade="F2"/>
          </w:tcPr>
          <w:p w14:paraId="75771233" w14:textId="77777777" w:rsidR="00901B89" w:rsidRPr="00AF1243" w:rsidRDefault="00901B89" w:rsidP="00705E36">
            <w:pPr>
              <w:spacing w:before="20" w:after="20" w:line="240" w:lineRule="auto"/>
              <w:ind w:left="57" w:right="140"/>
              <w:jc w:val="center"/>
              <w:rPr>
                <w:rFonts w:asciiTheme="majorHAnsi" w:hAnsiTheme="majorHAnsi" w:cstheme="majorHAnsi"/>
                <w:b/>
                <w:bCs/>
                <w:color w:val="000000"/>
                <w:sz w:val="15"/>
                <w:szCs w:val="15"/>
              </w:rPr>
            </w:pPr>
          </w:p>
        </w:tc>
      </w:tr>
      <w:tr w:rsidR="00901B89" w:rsidRPr="00AF1243" w14:paraId="706385E6" w14:textId="77777777" w:rsidTr="0049264B">
        <w:trPr>
          <w:cantSplit/>
          <w:trHeight w:val="224"/>
          <w:jc w:val="center"/>
        </w:trPr>
        <w:tc>
          <w:tcPr>
            <w:tcW w:w="2097" w:type="dxa"/>
            <w:tcBorders>
              <w:top w:val="single" w:sz="4" w:space="0" w:color="auto"/>
            </w:tcBorders>
            <w:shd w:val="clear" w:color="auto" w:fill="E0E0E0"/>
            <w:vAlign w:val="center"/>
          </w:tcPr>
          <w:p w14:paraId="10D923ED" w14:textId="2DB782B0" w:rsidR="00901B89" w:rsidRPr="00AF1243" w:rsidRDefault="00F645BF" w:rsidP="00705E36">
            <w:pPr>
              <w:spacing w:before="20" w:after="20" w:line="240" w:lineRule="auto"/>
              <w:ind w:left="57" w:right="140"/>
              <w:rPr>
                <w:rFonts w:asciiTheme="majorHAnsi" w:hAnsiTheme="majorHAnsi" w:cstheme="majorHAnsi"/>
                <w:b/>
                <w:bCs/>
                <w:color w:val="000000"/>
                <w:sz w:val="15"/>
                <w:szCs w:val="15"/>
              </w:rPr>
            </w:pPr>
            <w:r>
              <w:rPr>
                <w:rFonts w:ascii="Calibri Light" w:eastAsia="Calibri" w:hAnsi="Calibri Light" w:cs="Calibri Light"/>
                <w:b/>
                <w:bCs/>
                <w:color w:val="000000"/>
                <w:kern w:val="0"/>
                <w:sz w:val="15"/>
                <w:szCs w:val="15"/>
                <w14:ligatures w14:val="none"/>
              </w:rPr>
              <w:t>Entre grupos</w:t>
            </w:r>
          </w:p>
        </w:tc>
        <w:tc>
          <w:tcPr>
            <w:tcW w:w="1334" w:type="dxa"/>
            <w:tcBorders>
              <w:top w:val="single" w:sz="4" w:space="0" w:color="auto"/>
            </w:tcBorders>
          </w:tcPr>
          <w:p w14:paraId="75440772" w14:textId="77777777" w:rsidR="00901B89" w:rsidRDefault="00901B89"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84.57</w:t>
            </w:r>
          </w:p>
        </w:tc>
        <w:tc>
          <w:tcPr>
            <w:tcW w:w="1347" w:type="dxa"/>
            <w:tcBorders>
              <w:top w:val="single" w:sz="4" w:space="0" w:color="auto"/>
            </w:tcBorders>
            <w:shd w:val="clear" w:color="auto" w:fill="auto"/>
            <w:vAlign w:val="center"/>
          </w:tcPr>
          <w:p w14:paraId="4DDEA423" w14:textId="77777777" w:rsidR="00901B89" w:rsidRPr="00AF1243" w:rsidRDefault="00901B89"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28.19</w:t>
            </w:r>
          </w:p>
        </w:tc>
        <w:tc>
          <w:tcPr>
            <w:tcW w:w="655" w:type="dxa"/>
            <w:tcBorders>
              <w:top w:val="single" w:sz="4" w:space="0" w:color="auto"/>
            </w:tcBorders>
            <w:shd w:val="clear" w:color="auto" w:fill="auto"/>
            <w:vAlign w:val="center"/>
          </w:tcPr>
          <w:p w14:paraId="714BB924" w14:textId="77777777" w:rsidR="00901B89" w:rsidRPr="00AF1243" w:rsidRDefault="00901B89"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8.05</w:t>
            </w:r>
          </w:p>
        </w:tc>
        <w:tc>
          <w:tcPr>
            <w:tcW w:w="1214" w:type="dxa"/>
            <w:tcBorders>
              <w:top w:val="single" w:sz="4" w:space="0" w:color="auto"/>
            </w:tcBorders>
            <w:shd w:val="clear" w:color="auto" w:fill="auto"/>
            <w:vAlign w:val="center"/>
          </w:tcPr>
          <w:p w14:paraId="010A7F89" w14:textId="77777777" w:rsidR="00901B89" w:rsidRPr="00AF1243" w:rsidRDefault="00901B89" w:rsidP="00705E36">
            <w:pPr>
              <w:spacing w:before="20" w:after="20" w:line="240" w:lineRule="auto"/>
              <w:ind w:left="57" w:right="140"/>
              <w:jc w:val="center"/>
              <w:rPr>
                <w:rFonts w:ascii="Cambria" w:hAnsi="Cambria" w:cs="Calibri"/>
                <w:color w:val="000000"/>
                <w:sz w:val="16"/>
                <w:szCs w:val="16"/>
              </w:rPr>
            </w:pPr>
            <w:r w:rsidRPr="006E3E33">
              <w:rPr>
                <w:rFonts w:ascii="Cambria" w:hAnsi="Cambria" w:cs="Calibri"/>
                <w:b/>
                <w:bCs/>
                <w:color w:val="000000"/>
                <w:sz w:val="16"/>
                <w:szCs w:val="16"/>
              </w:rPr>
              <w:t>. &lt;.001</w:t>
            </w:r>
            <w:r w:rsidRPr="006E3E33">
              <w:rPr>
                <w:rFonts w:ascii="Calibri Light" w:hAnsi="Calibri Light" w:cs="Calibri Light"/>
                <w:b/>
                <w:bCs/>
                <w:sz w:val="16"/>
                <w:szCs w:val="16"/>
              </w:rPr>
              <w:t>**</w:t>
            </w:r>
          </w:p>
        </w:tc>
        <w:tc>
          <w:tcPr>
            <w:tcW w:w="541" w:type="dxa"/>
            <w:tcBorders>
              <w:top w:val="single" w:sz="4" w:space="0" w:color="auto"/>
            </w:tcBorders>
          </w:tcPr>
          <w:p w14:paraId="0ACB5C27" w14:textId="77777777" w:rsidR="00901B89" w:rsidRPr="002849DF" w:rsidRDefault="00901B89" w:rsidP="00705E36">
            <w:pPr>
              <w:spacing w:before="20" w:after="20" w:line="240" w:lineRule="auto"/>
              <w:ind w:left="57" w:right="140"/>
              <w:jc w:val="center"/>
              <w:rPr>
                <w:rFonts w:ascii="Cambria" w:hAnsi="Cambria" w:cs="Calibri"/>
                <w:b/>
                <w:bCs/>
                <w:color w:val="000000"/>
                <w:sz w:val="16"/>
                <w:szCs w:val="16"/>
              </w:rPr>
            </w:pPr>
            <w:r w:rsidRPr="002849DF">
              <w:rPr>
                <w:rFonts w:ascii="Cambria" w:hAnsi="Cambria" w:cs="Calibri"/>
                <w:b/>
                <w:bCs/>
                <w:color w:val="000000"/>
                <w:sz w:val="16"/>
                <w:szCs w:val="16"/>
              </w:rPr>
              <w:t>.</w:t>
            </w:r>
            <w:r>
              <w:rPr>
                <w:rFonts w:ascii="Cambria" w:hAnsi="Cambria" w:cs="Calibri"/>
                <w:b/>
                <w:bCs/>
                <w:color w:val="000000"/>
                <w:sz w:val="16"/>
                <w:szCs w:val="16"/>
              </w:rPr>
              <w:t>38</w:t>
            </w:r>
          </w:p>
        </w:tc>
        <w:tc>
          <w:tcPr>
            <w:tcW w:w="932" w:type="dxa"/>
            <w:tcBorders>
              <w:top w:val="single" w:sz="4" w:space="0" w:color="auto"/>
            </w:tcBorders>
          </w:tcPr>
          <w:p w14:paraId="369AEC2F" w14:textId="1A97F8B1" w:rsidR="00901B89" w:rsidRPr="002849DF" w:rsidRDefault="00F645BF" w:rsidP="00705E36">
            <w:pPr>
              <w:spacing w:before="20" w:after="20" w:line="240" w:lineRule="auto"/>
              <w:ind w:left="57" w:right="140"/>
              <w:rPr>
                <w:rFonts w:ascii="Cambria" w:hAnsi="Cambria" w:cs="Calibri"/>
                <w:b/>
                <w:bCs/>
                <w:color w:val="000000"/>
                <w:sz w:val="16"/>
                <w:szCs w:val="16"/>
              </w:rPr>
            </w:pPr>
            <w:r>
              <w:rPr>
                <w:rFonts w:ascii="Cambria" w:hAnsi="Cambria" w:cs="Calibri"/>
                <w:b/>
                <w:bCs/>
                <w:color w:val="000000"/>
                <w:sz w:val="16"/>
                <w:szCs w:val="16"/>
              </w:rPr>
              <w:t>Medio</w:t>
            </w:r>
          </w:p>
        </w:tc>
      </w:tr>
      <w:tr w:rsidR="00901B89" w:rsidRPr="00AF1243" w14:paraId="17CD328B" w14:textId="77777777" w:rsidTr="0049264B">
        <w:trPr>
          <w:cantSplit/>
          <w:trHeight w:val="224"/>
          <w:jc w:val="center"/>
        </w:trPr>
        <w:tc>
          <w:tcPr>
            <w:tcW w:w="2097" w:type="dxa"/>
            <w:shd w:val="clear" w:color="auto" w:fill="E0E0E0"/>
            <w:vAlign w:val="center"/>
          </w:tcPr>
          <w:p w14:paraId="3514C157" w14:textId="7D2E6353" w:rsidR="00901B89" w:rsidRPr="00AF1243" w:rsidRDefault="00F645BF" w:rsidP="00705E36">
            <w:pPr>
              <w:spacing w:before="20" w:after="20" w:line="240" w:lineRule="auto"/>
              <w:ind w:left="57" w:right="140"/>
              <w:rPr>
                <w:rFonts w:asciiTheme="majorHAnsi" w:hAnsiTheme="majorHAnsi" w:cstheme="majorHAnsi"/>
                <w:b/>
                <w:bCs/>
                <w:color w:val="000000"/>
                <w:sz w:val="15"/>
                <w:szCs w:val="15"/>
              </w:rPr>
            </w:pPr>
            <w:r>
              <w:rPr>
                <w:rFonts w:ascii="Calibri Light" w:eastAsia="Calibri" w:hAnsi="Calibri Light" w:cs="Calibri Light"/>
                <w:b/>
                <w:bCs/>
                <w:color w:val="000000"/>
                <w:kern w:val="0"/>
                <w:sz w:val="15"/>
                <w:szCs w:val="15"/>
                <w14:ligatures w14:val="none"/>
              </w:rPr>
              <w:t>Dentro de los grupos</w:t>
            </w:r>
          </w:p>
        </w:tc>
        <w:tc>
          <w:tcPr>
            <w:tcW w:w="1334" w:type="dxa"/>
          </w:tcPr>
          <w:p w14:paraId="7849F8F3" w14:textId="77777777" w:rsidR="00901B89" w:rsidRDefault="00901B89"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136.49</w:t>
            </w:r>
          </w:p>
        </w:tc>
        <w:tc>
          <w:tcPr>
            <w:tcW w:w="1347" w:type="dxa"/>
            <w:shd w:val="clear" w:color="auto" w:fill="auto"/>
            <w:vAlign w:val="center"/>
          </w:tcPr>
          <w:p w14:paraId="48E07405" w14:textId="77777777" w:rsidR="00901B89" w:rsidRPr="00AF1243" w:rsidRDefault="00901B89"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3.50</w:t>
            </w:r>
          </w:p>
        </w:tc>
        <w:tc>
          <w:tcPr>
            <w:tcW w:w="655" w:type="dxa"/>
            <w:shd w:val="clear" w:color="auto" w:fill="auto"/>
            <w:vAlign w:val="center"/>
          </w:tcPr>
          <w:p w14:paraId="65CFB377" w14:textId="77777777" w:rsidR="00901B89" w:rsidRPr="00AF1243" w:rsidRDefault="00901B89" w:rsidP="00705E36">
            <w:pPr>
              <w:spacing w:before="20" w:after="20" w:line="240" w:lineRule="auto"/>
              <w:ind w:left="57" w:right="140"/>
              <w:jc w:val="center"/>
              <w:rPr>
                <w:rFonts w:ascii="Cambria" w:hAnsi="Cambria" w:cs="Calibri"/>
                <w:color w:val="000000"/>
                <w:sz w:val="16"/>
                <w:szCs w:val="16"/>
              </w:rPr>
            </w:pPr>
          </w:p>
        </w:tc>
        <w:tc>
          <w:tcPr>
            <w:tcW w:w="1214" w:type="dxa"/>
            <w:shd w:val="clear" w:color="auto" w:fill="auto"/>
            <w:vAlign w:val="center"/>
          </w:tcPr>
          <w:p w14:paraId="6C24B94A" w14:textId="77777777" w:rsidR="00901B89" w:rsidRPr="00AF1243" w:rsidRDefault="00901B89" w:rsidP="00705E36">
            <w:pPr>
              <w:spacing w:before="20" w:after="20" w:line="240" w:lineRule="auto"/>
              <w:ind w:left="57" w:right="140"/>
              <w:jc w:val="center"/>
              <w:rPr>
                <w:rFonts w:ascii="Cambria" w:hAnsi="Cambria" w:cs="Calibri"/>
                <w:color w:val="000000"/>
                <w:sz w:val="16"/>
                <w:szCs w:val="16"/>
              </w:rPr>
            </w:pPr>
          </w:p>
        </w:tc>
        <w:tc>
          <w:tcPr>
            <w:tcW w:w="541" w:type="dxa"/>
          </w:tcPr>
          <w:p w14:paraId="57E53CA6" w14:textId="77777777" w:rsidR="00901B89" w:rsidRDefault="00901B89" w:rsidP="00705E36">
            <w:pPr>
              <w:spacing w:before="20" w:after="20" w:line="240" w:lineRule="auto"/>
              <w:ind w:left="57" w:right="140"/>
              <w:jc w:val="center"/>
              <w:rPr>
                <w:rFonts w:ascii="Cambria" w:hAnsi="Cambria" w:cs="Calibri"/>
                <w:color w:val="000000"/>
                <w:sz w:val="16"/>
                <w:szCs w:val="16"/>
              </w:rPr>
            </w:pPr>
          </w:p>
        </w:tc>
        <w:tc>
          <w:tcPr>
            <w:tcW w:w="932" w:type="dxa"/>
          </w:tcPr>
          <w:p w14:paraId="10549462" w14:textId="77777777" w:rsidR="00901B89" w:rsidRDefault="00901B89" w:rsidP="00705E36">
            <w:pPr>
              <w:spacing w:before="20" w:after="20" w:line="240" w:lineRule="auto"/>
              <w:ind w:left="57" w:right="140"/>
              <w:jc w:val="center"/>
              <w:rPr>
                <w:rFonts w:ascii="Cambria" w:hAnsi="Cambria" w:cs="Calibri"/>
                <w:color w:val="000000"/>
                <w:sz w:val="16"/>
                <w:szCs w:val="16"/>
              </w:rPr>
            </w:pPr>
          </w:p>
        </w:tc>
      </w:tr>
      <w:tr w:rsidR="00901B89" w:rsidRPr="00AF1243" w14:paraId="17264650" w14:textId="77777777" w:rsidTr="0049264B">
        <w:trPr>
          <w:cantSplit/>
          <w:trHeight w:val="224"/>
          <w:jc w:val="center"/>
        </w:trPr>
        <w:tc>
          <w:tcPr>
            <w:tcW w:w="2097" w:type="dxa"/>
            <w:tcBorders>
              <w:bottom w:val="single" w:sz="4" w:space="0" w:color="auto"/>
            </w:tcBorders>
            <w:shd w:val="clear" w:color="auto" w:fill="E0E0E0"/>
            <w:vAlign w:val="center"/>
          </w:tcPr>
          <w:p w14:paraId="3618C827" w14:textId="77777777" w:rsidR="00901B89" w:rsidRPr="00AF1243" w:rsidRDefault="00901B89" w:rsidP="00705E36">
            <w:pPr>
              <w:spacing w:before="20" w:after="20" w:line="240" w:lineRule="auto"/>
              <w:ind w:left="57" w:right="140"/>
              <w:rPr>
                <w:rFonts w:asciiTheme="majorHAnsi" w:hAnsiTheme="majorHAnsi" w:cstheme="majorHAnsi"/>
                <w:b/>
                <w:bCs/>
                <w:color w:val="000000"/>
                <w:sz w:val="15"/>
                <w:szCs w:val="15"/>
              </w:rPr>
            </w:pPr>
            <w:r>
              <w:rPr>
                <w:rFonts w:asciiTheme="majorHAnsi" w:hAnsiTheme="majorHAnsi" w:cstheme="majorHAnsi"/>
                <w:b/>
                <w:bCs/>
                <w:color w:val="000000"/>
                <w:sz w:val="15"/>
                <w:szCs w:val="15"/>
              </w:rPr>
              <w:t>Total</w:t>
            </w:r>
          </w:p>
        </w:tc>
        <w:tc>
          <w:tcPr>
            <w:tcW w:w="1334" w:type="dxa"/>
            <w:tcBorders>
              <w:bottom w:val="single" w:sz="4" w:space="0" w:color="auto"/>
            </w:tcBorders>
          </w:tcPr>
          <w:p w14:paraId="6FC348D9" w14:textId="77777777" w:rsidR="00901B89" w:rsidRDefault="00901B89"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221.07</w:t>
            </w:r>
          </w:p>
        </w:tc>
        <w:tc>
          <w:tcPr>
            <w:tcW w:w="1347" w:type="dxa"/>
            <w:tcBorders>
              <w:bottom w:val="single" w:sz="4" w:space="0" w:color="auto"/>
            </w:tcBorders>
            <w:shd w:val="clear" w:color="auto" w:fill="auto"/>
            <w:vAlign w:val="center"/>
          </w:tcPr>
          <w:p w14:paraId="31CE8E04" w14:textId="77777777" w:rsidR="00901B89" w:rsidRPr="00AF1243" w:rsidRDefault="00901B89" w:rsidP="00705E36">
            <w:pPr>
              <w:spacing w:before="20" w:after="20" w:line="240" w:lineRule="auto"/>
              <w:ind w:left="57" w:right="140"/>
              <w:jc w:val="center"/>
              <w:rPr>
                <w:rFonts w:ascii="Cambria" w:hAnsi="Cambria" w:cs="Calibri"/>
                <w:color w:val="000000"/>
                <w:sz w:val="16"/>
                <w:szCs w:val="16"/>
              </w:rPr>
            </w:pPr>
          </w:p>
        </w:tc>
        <w:tc>
          <w:tcPr>
            <w:tcW w:w="655" w:type="dxa"/>
            <w:tcBorders>
              <w:bottom w:val="single" w:sz="4" w:space="0" w:color="auto"/>
            </w:tcBorders>
            <w:shd w:val="clear" w:color="auto" w:fill="auto"/>
            <w:vAlign w:val="center"/>
          </w:tcPr>
          <w:p w14:paraId="5C2AF98E" w14:textId="77777777" w:rsidR="00901B89" w:rsidRPr="00AF1243" w:rsidRDefault="00901B89" w:rsidP="00705E36">
            <w:pPr>
              <w:spacing w:before="20" w:after="20" w:line="240" w:lineRule="auto"/>
              <w:ind w:left="57" w:right="140"/>
              <w:jc w:val="center"/>
              <w:rPr>
                <w:rFonts w:ascii="Cambria" w:hAnsi="Cambria" w:cs="Calibri"/>
                <w:color w:val="000000"/>
                <w:sz w:val="16"/>
                <w:szCs w:val="16"/>
              </w:rPr>
            </w:pPr>
          </w:p>
        </w:tc>
        <w:tc>
          <w:tcPr>
            <w:tcW w:w="1214" w:type="dxa"/>
            <w:tcBorders>
              <w:bottom w:val="single" w:sz="4" w:space="0" w:color="auto"/>
            </w:tcBorders>
            <w:shd w:val="clear" w:color="auto" w:fill="auto"/>
            <w:vAlign w:val="center"/>
          </w:tcPr>
          <w:p w14:paraId="77B4AF13" w14:textId="77777777" w:rsidR="00901B89" w:rsidRPr="00AF1243" w:rsidRDefault="00901B89" w:rsidP="00705E36">
            <w:pPr>
              <w:spacing w:before="20" w:after="20" w:line="240" w:lineRule="auto"/>
              <w:ind w:left="57" w:right="140"/>
              <w:jc w:val="center"/>
              <w:rPr>
                <w:rFonts w:ascii="Cambria" w:hAnsi="Cambria" w:cs="Calibri"/>
                <w:color w:val="000000"/>
                <w:sz w:val="16"/>
                <w:szCs w:val="16"/>
              </w:rPr>
            </w:pPr>
          </w:p>
        </w:tc>
        <w:tc>
          <w:tcPr>
            <w:tcW w:w="541" w:type="dxa"/>
            <w:tcBorders>
              <w:bottom w:val="single" w:sz="4" w:space="0" w:color="auto"/>
            </w:tcBorders>
          </w:tcPr>
          <w:p w14:paraId="69AD5AB8" w14:textId="77777777" w:rsidR="00901B89" w:rsidRDefault="00901B89" w:rsidP="00705E36">
            <w:pPr>
              <w:spacing w:before="20" w:after="20" w:line="240" w:lineRule="auto"/>
              <w:ind w:left="57" w:right="140"/>
              <w:jc w:val="center"/>
              <w:rPr>
                <w:rFonts w:ascii="Cambria" w:hAnsi="Cambria" w:cs="Calibri"/>
                <w:color w:val="000000"/>
                <w:sz w:val="16"/>
                <w:szCs w:val="16"/>
              </w:rPr>
            </w:pPr>
          </w:p>
        </w:tc>
        <w:tc>
          <w:tcPr>
            <w:tcW w:w="932" w:type="dxa"/>
            <w:tcBorders>
              <w:bottom w:val="single" w:sz="4" w:space="0" w:color="auto"/>
            </w:tcBorders>
          </w:tcPr>
          <w:p w14:paraId="3A7E378F" w14:textId="77777777" w:rsidR="00901B89" w:rsidRDefault="00901B89" w:rsidP="00705E36">
            <w:pPr>
              <w:spacing w:before="20" w:after="20" w:line="240" w:lineRule="auto"/>
              <w:ind w:left="57" w:right="140"/>
              <w:jc w:val="center"/>
              <w:rPr>
                <w:rFonts w:ascii="Cambria" w:hAnsi="Cambria" w:cs="Calibri"/>
                <w:color w:val="000000"/>
                <w:sz w:val="16"/>
                <w:szCs w:val="16"/>
              </w:rPr>
            </w:pPr>
          </w:p>
        </w:tc>
      </w:tr>
      <w:tr w:rsidR="0049264B" w:rsidRPr="0049264B" w14:paraId="4D9B1313" w14:textId="77777777" w:rsidTr="005D7396">
        <w:trPr>
          <w:cantSplit/>
          <w:trHeight w:val="440"/>
          <w:jc w:val="center"/>
        </w:trPr>
        <w:tc>
          <w:tcPr>
            <w:tcW w:w="8120" w:type="dxa"/>
            <w:gridSpan w:val="7"/>
            <w:tcBorders>
              <w:top w:val="single" w:sz="4" w:space="0" w:color="auto"/>
              <w:bottom w:val="single" w:sz="4" w:space="0" w:color="auto"/>
            </w:tcBorders>
            <w:shd w:val="clear" w:color="auto" w:fill="auto"/>
            <w:vAlign w:val="center"/>
          </w:tcPr>
          <w:p w14:paraId="47D19056" w14:textId="49ACC0B0" w:rsidR="0049264B" w:rsidRPr="0049264B" w:rsidRDefault="0049264B" w:rsidP="00705E36">
            <w:pPr>
              <w:spacing w:before="20" w:after="20" w:line="240" w:lineRule="auto"/>
              <w:ind w:left="57" w:right="140"/>
              <w:jc w:val="center"/>
              <w:rPr>
                <w:rFonts w:ascii="Cambria" w:hAnsi="Cambria" w:cs="Calibri"/>
                <w:color w:val="000000"/>
                <w:sz w:val="16"/>
                <w:szCs w:val="16"/>
              </w:rPr>
            </w:pPr>
            <w:r w:rsidRPr="00DA793F">
              <w:rPr>
                <w:rFonts w:ascii="Calibri Light" w:eastAsia="Calibri" w:hAnsi="Calibri Light" w:cs="Calibri Light"/>
                <w:kern w:val="0"/>
                <w:sz w:val="16"/>
                <w:szCs w:val="16"/>
                <w:vertAlign w:val="superscript"/>
                <w14:ligatures w14:val="none"/>
              </w:rPr>
              <w:t>NS</w:t>
            </w:r>
            <w:r w:rsidRPr="00DA793F">
              <w:rPr>
                <w:rFonts w:ascii="Calibri Light" w:eastAsia="Calibri" w:hAnsi="Calibri Light" w:cs="Calibri Light"/>
                <w:i/>
                <w:iCs/>
                <w:kern w:val="0"/>
                <w:sz w:val="16"/>
                <w:szCs w:val="16"/>
                <w14:ligatures w14:val="none"/>
              </w:rPr>
              <w:t xml:space="preserve"> No significativo, </w:t>
            </w:r>
            <w:r w:rsidRPr="00DA793F">
              <w:rPr>
                <w:rFonts w:ascii="Calibri Light" w:eastAsia="Calibri" w:hAnsi="Calibri Light" w:cs="Calibri Light"/>
                <w:i/>
                <w:iCs/>
                <w:kern w:val="0"/>
                <w:sz w:val="16"/>
                <w:szCs w:val="16"/>
                <w:vertAlign w:val="superscript"/>
                <w14:ligatures w14:val="none"/>
              </w:rPr>
              <w:t>†</w:t>
            </w:r>
            <w:r w:rsidRPr="00DA793F">
              <w:rPr>
                <w:rFonts w:ascii="Calibri Light" w:eastAsia="Calibri" w:hAnsi="Calibri Light" w:cs="Calibri Light"/>
                <w:i/>
                <w:iCs/>
                <w:kern w:val="0"/>
                <w:sz w:val="16"/>
                <w:szCs w:val="16"/>
                <w14:ligatures w14:val="none"/>
              </w:rPr>
              <w:t xml:space="preserve"> </w:t>
            </w:r>
            <w:r w:rsidRPr="00047E1A">
              <w:rPr>
                <w:rFonts w:ascii="Calibri Light" w:eastAsia="Calibri" w:hAnsi="Calibri Light" w:cs="Calibri Light"/>
                <w:i/>
                <w:iCs/>
                <w:kern w:val="0"/>
                <w:sz w:val="16"/>
                <w:szCs w:val="16"/>
                <w14:ligatures w14:val="none"/>
              </w:rPr>
              <w:t xml:space="preserve">Casi significativo </w:t>
            </w:r>
            <w:r w:rsidRPr="00DA793F">
              <w:rPr>
                <w:rFonts w:ascii="Calibri Light" w:eastAsia="Calibri" w:hAnsi="Calibri Light" w:cs="Calibri Light"/>
                <w:i/>
                <w:iCs/>
                <w:kern w:val="0"/>
                <w:sz w:val="16"/>
                <w:szCs w:val="16"/>
                <w14:ligatures w14:val="none"/>
              </w:rPr>
              <w:t>(p&lt;.10), * Significat</w:t>
            </w:r>
            <w:r>
              <w:rPr>
                <w:rFonts w:ascii="Calibri Light" w:eastAsia="Calibri" w:hAnsi="Calibri Light" w:cs="Calibri Light"/>
                <w:i/>
                <w:iCs/>
                <w:kern w:val="0"/>
                <w:sz w:val="16"/>
                <w:szCs w:val="16"/>
                <w14:ligatures w14:val="none"/>
              </w:rPr>
              <w:t>ivo</w:t>
            </w:r>
            <w:r w:rsidRPr="00DA793F">
              <w:rPr>
                <w:rFonts w:ascii="Calibri Light" w:eastAsia="Calibri" w:hAnsi="Calibri Light" w:cs="Calibri Light"/>
                <w:i/>
                <w:iCs/>
                <w:kern w:val="0"/>
                <w:sz w:val="16"/>
                <w:szCs w:val="16"/>
                <w14:ligatures w14:val="none"/>
              </w:rPr>
              <w:t xml:space="preserve"> (p&lt;.05) y ** Altamente significativo (p&lt;.01)</w:t>
            </w:r>
          </w:p>
        </w:tc>
      </w:tr>
    </w:tbl>
    <w:p w14:paraId="6531DE66" w14:textId="77777777" w:rsidR="00617C77" w:rsidRPr="0049264B" w:rsidRDefault="00617C77" w:rsidP="00705E36">
      <w:pPr>
        <w:ind w:right="140"/>
        <w:rPr>
          <w:rFonts w:ascii="Arial" w:hAnsi="Arial" w:cs="Arial"/>
        </w:rPr>
      </w:pPr>
    </w:p>
    <w:p w14:paraId="0DDFCBA3" w14:textId="70147B22" w:rsidR="001F15E4" w:rsidRPr="001F15E4" w:rsidRDefault="001F15E4" w:rsidP="00705E36">
      <w:pPr>
        <w:ind w:right="140"/>
        <w:rPr>
          <w:rFonts w:ascii="Arial" w:hAnsi="Arial" w:cs="Arial"/>
        </w:rPr>
      </w:pPr>
      <w:r w:rsidRPr="00030E9A">
        <w:rPr>
          <w:rFonts w:ascii="Arial" w:hAnsi="Arial" w:cs="Arial"/>
        </w:rPr>
        <w:t xml:space="preserve">Las pruebas post hoc se realizan utilizando la prueba de Bonferroni (Tabla 9) para realizar un estudio más profundo entre las diferencias de cada grupo entre las puntuaciones </w:t>
      </w:r>
      <w:r w:rsidR="00ED226E">
        <w:rPr>
          <w:rFonts w:ascii="Arial" w:hAnsi="Arial" w:cs="Arial"/>
        </w:rPr>
        <w:t>de ahorros indirectos complejos en ca</w:t>
      </w:r>
      <w:r w:rsidR="008A2E71">
        <w:rPr>
          <w:rFonts w:ascii="Arial" w:hAnsi="Arial" w:cs="Arial"/>
        </w:rPr>
        <w:t>da etapa de madurez</w:t>
      </w:r>
      <w:r w:rsidRPr="00030E9A">
        <w:rPr>
          <w:rFonts w:ascii="Arial" w:hAnsi="Arial" w:cs="Arial"/>
        </w:rPr>
        <w:t>. Se observa que la mitad de las diferencias entre las medias de los grupos son altamente significativas (p-valor &lt;,001).</w:t>
      </w:r>
    </w:p>
    <w:p w14:paraId="48324302" w14:textId="081EDA42" w:rsidR="00317975" w:rsidRDefault="00317975" w:rsidP="00705E36">
      <w:pPr>
        <w:ind w:right="140"/>
        <w:rPr>
          <w:rFonts w:ascii="Arial" w:hAnsi="Arial" w:cs="Arial"/>
        </w:rPr>
      </w:pPr>
      <w:r w:rsidRPr="00DD6292">
        <w:rPr>
          <w:rFonts w:ascii="Arial" w:hAnsi="Arial" w:cs="Arial"/>
        </w:rPr>
        <w:t xml:space="preserve">La mayor diferencia se observa en el caso de la comparación de medias entre MPF2 y MPF5, donde hay una diferencia de -4,00; es decir, la puntuación </w:t>
      </w:r>
      <w:r w:rsidR="00D45E90">
        <w:rPr>
          <w:rFonts w:ascii="Arial" w:hAnsi="Arial" w:cs="Arial"/>
        </w:rPr>
        <w:t xml:space="preserve">de ahorros indirectos complejos </w:t>
      </w:r>
      <w:r w:rsidRPr="00DD6292">
        <w:rPr>
          <w:rFonts w:ascii="Arial" w:hAnsi="Arial" w:cs="Arial"/>
        </w:rPr>
        <w:t xml:space="preserve">según la madurez aumenta en 4 </w:t>
      </w:r>
      <w:r w:rsidR="009A5BE5">
        <w:rPr>
          <w:rFonts w:ascii="Arial" w:hAnsi="Arial" w:cs="Arial"/>
        </w:rPr>
        <w:t xml:space="preserve">entre las fases </w:t>
      </w:r>
      <w:r w:rsidRPr="00DD6292">
        <w:rPr>
          <w:rFonts w:ascii="Arial" w:hAnsi="Arial" w:cs="Arial"/>
        </w:rPr>
        <w:t xml:space="preserve">MPF2 </w:t>
      </w:r>
      <w:r w:rsidR="009A5BE5">
        <w:rPr>
          <w:rFonts w:ascii="Arial" w:hAnsi="Arial" w:cs="Arial"/>
        </w:rPr>
        <w:t>y</w:t>
      </w:r>
      <w:r w:rsidRPr="00DD6292">
        <w:rPr>
          <w:rFonts w:ascii="Arial" w:hAnsi="Arial" w:cs="Arial"/>
        </w:rPr>
        <w:t xml:space="preserve"> MPF5.</w:t>
      </w:r>
    </w:p>
    <w:p w14:paraId="30C8AE82" w14:textId="77777777" w:rsidR="00CF6B68" w:rsidRPr="00C536BB" w:rsidRDefault="00CF6B68" w:rsidP="00705E36">
      <w:pPr>
        <w:ind w:right="140"/>
        <w:rPr>
          <w:rFonts w:ascii="Arial" w:hAnsi="Arial" w:cs="Arial"/>
        </w:rPr>
      </w:pPr>
    </w:p>
    <w:p w14:paraId="2882E52B" w14:textId="7ABD214C" w:rsidR="00A31CC0" w:rsidRDefault="003D3400" w:rsidP="00705E36">
      <w:pPr>
        <w:keepNext/>
        <w:spacing w:after="60" w:line="240" w:lineRule="auto"/>
        <w:ind w:right="140"/>
        <w:rPr>
          <w:rFonts w:ascii="Calibri" w:eastAsia="Calibri" w:hAnsi="Calibri" w:cs="Times New Roman"/>
          <w:i/>
          <w:iCs/>
          <w:kern w:val="0"/>
          <w:sz w:val="18"/>
          <w:szCs w:val="18"/>
          <w:lang w:val="en-GB"/>
          <w14:ligatures w14:val="none"/>
        </w:rPr>
      </w:pPr>
      <w:r w:rsidRPr="00A31CC0">
        <w:rPr>
          <w:rFonts w:ascii="Calibri" w:eastAsia="Calibri" w:hAnsi="Calibri" w:cs="Times New Roman"/>
          <w:b/>
          <w:bCs/>
          <w:kern w:val="0"/>
          <w:sz w:val="18"/>
          <w:szCs w:val="18"/>
          <w14:ligatures w14:val="none"/>
        </w:rPr>
        <w:t>Tabla 9:</w:t>
      </w:r>
      <w:r w:rsidRPr="005C1764">
        <w:rPr>
          <w:rFonts w:ascii="Calibri" w:eastAsia="Calibri" w:hAnsi="Calibri" w:cs="Times New Roman"/>
          <w:i/>
          <w:iCs/>
          <w:kern w:val="0"/>
          <w:sz w:val="18"/>
          <w:szCs w:val="18"/>
          <w14:ligatures w14:val="none"/>
        </w:rPr>
        <w:t xml:space="preserve"> Resultados de las pruebas post hoc. Variable dependiente Puntuaciones de ahorro para CSS. Variable de segmentación MPF. Prueba: Bonferroni.</w:t>
      </w:r>
    </w:p>
    <w:tbl>
      <w:tblPr>
        <w:tblW w:w="0" w:type="auto"/>
        <w:jc w:val="center"/>
        <w:tblLayout w:type="fixed"/>
        <w:tblCellMar>
          <w:left w:w="70" w:type="dxa"/>
          <w:right w:w="70" w:type="dxa"/>
        </w:tblCellMar>
        <w:tblLook w:val="04A0" w:firstRow="1" w:lastRow="0" w:firstColumn="1" w:lastColumn="0" w:noHBand="0" w:noVBand="1"/>
      </w:tblPr>
      <w:tblGrid>
        <w:gridCol w:w="1240"/>
        <w:gridCol w:w="901"/>
        <w:gridCol w:w="1468"/>
        <w:gridCol w:w="1159"/>
        <w:gridCol w:w="2401"/>
      </w:tblGrid>
      <w:tr w:rsidR="00855158" w:rsidRPr="0030497C" w14:paraId="23CC5383" w14:textId="77777777" w:rsidTr="00855158">
        <w:trPr>
          <w:trHeight w:val="18"/>
          <w:jc w:val="center"/>
        </w:trPr>
        <w:tc>
          <w:tcPr>
            <w:tcW w:w="1240" w:type="dxa"/>
            <w:tcBorders>
              <w:top w:val="single" w:sz="4" w:space="0" w:color="auto"/>
              <w:left w:val="nil"/>
              <w:bottom w:val="single" w:sz="4" w:space="0" w:color="auto"/>
              <w:right w:val="nil"/>
            </w:tcBorders>
            <w:shd w:val="clear" w:color="000000" w:fill="D9D9D9"/>
            <w:noWrap/>
            <w:vAlign w:val="center"/>
            <w:hideMark/>
          </w:tcPr>
          <w:p w14:paraId="31F71673" w14:textId="77777777" w:rsidR="00855158" w:rsidRPr="0030497C" w:rsidRDefault="00855158" w:rsidP="00705E36">
            <w:pPr>
              <w:spacing w:after="0" w:line="240" w:lineRule="auto"/>
              <w:ind w:right="140"/>
              <w:jc w:val="center"/>
              <w:rPr>
                <w:rFonts w:ascii="Cambria" w:eastAsia="Times New Roman" w:hAnsi="Cambria" w:cs="Calibri"/>
                <w:b/>
                <w:bCs/>
                <w:color w:val="000000"/>
                <w:sz w:val="16"/>
                <w:szCs w:val="16"/>
                <w:lang w:eastAsia="es-ES"/>
              </w:rPr>
            </w:pPr>
            <w:r w:rsidRPr="0030497C">
              <w:rPr>
                <w:rFonts w:ascii="Cambria" w:eastAsia="Times New Roman" w:hAnsi="Cambria" w:cs="Calibri"/>
                <w:b/>
                <w:bCs/>
                <w:color w:val="000000"/>
                <w:sz w:val="16"/>
                <w:szCs w:val="16"/>
                <w:lang w:eastAsia="es-ES"/>
              </w:rPr>
              <w:t>Variable</w:t>
            </w:r>
          </w:p>
        </w:tc>
        <w:tc>
          <w:tcPr>
            <w:tcW w:w="901" w:type="dxa"/>
            <w:tcBorders>
              <w:top w:val="single" w:sz="4" w:space="0" w:color="auto"/>
              <w:left w:val="nil"/>
              <w:bottom w:val="single" w:sz="4" w:space="0" w:color="auto"/>
              <w:right w:val="nil"/>
            </w:tcBorders>
            <w:shd w:val="clear" w:color="000000" w:fill="D9D9D9"/>
            <w:noWrap/>
            <w:vAlign w:val="center"/>
            <w:hideMark/>
          </w:tcPr>
          <w:p w14:paraId="6F250D52" w14:textId="77777777" w:rsidR="00855158" w:rsidRPr="0030497C" w:rsidRDefault="00855158" w:rsidP="00705E36">
            <w:pPr>
              <w:spacing w:after="0" w:line="240" w:lineRule="auto"/>
              <w:ind w:right="140"/>
              <w:jc w:val="center"/>
              <w:rPr>
                <w:rFonts w:ascii="Cambria" w:eastAsia="Times New Roman" w:hAnsi="Cambria" w:cs="Calibri"/>
                <w:b/>
                <w:bCs/>
                <w:color w:val="000000"/>
                <w:sz w:val="16"/>
                <w:szCs w:val="16"/>
                <w:lang w:eastAsia="es-ES"/>
              </w:rPr>
            </w:pPr>
          </w:p>
        </w:tc>
        <w:tc>
          <w:tcPr>
            <w:tcW w:w="1468" w:type="dxa"/>
            <w:tcBorders>
              <w:top w:val="single" w:sz="4" w:space="0" w:color="auto"/>
              <w:left w:val="nil"/>
              <w:bottom w:val="single" w:sz="4" w:space="0" w:color="auto"/>
              <w:right w:val="nil"/>
            </w:tcBorders>
            <w:shd w:val="clear" w:color="000000" w:fill="D9D9D9"/>
            <w:noWrap/>
            <w:vAlign w:val="center"/>
            <w:hideMark/>
          </w:tcPr>
          <w:p w14:paraId="39C8FC4B" w14:textId="77777777" w:rsidR="003D3400" w:rsidRDefault="003D3400" w:rsidP="00705E36">
            <w:pPr>
              <w:spacing w:after="0" w:line="240" w:lineRule="auto"/>
              <w:ind w:right="140"/>
              <w:jc w:val="center"/>
              <w:rPr>
                <w:rFonts w:ascii="Cambria" w:eastAsia="Times New Roman" w:hAnsi="Cambria" w:cs="Calibri"/>
                <w:b/>
                <w:bCs/>
                <w:color w:val="000000"/>
                <w:sz w:val="16"/>
                <w:szCs w:val="16"/>
                <w:lang w:eastAsia="es-ES"/>
              </w:rPr>
            </w:pPr>
            <w:r>
              <w:rPr>
                <w:rFonts w:ascii="Cambria" w:eastAsia="Times New Roman" w:hAnsi="Cambria" w:cs="Calibri"/>
                <w:b/>
                <w:bCs/>
                <w:color w:val="000000"/>
                <w:sz w:val="16"/>
                <w:szCs w:val="16"/>
                <w:lang w:eastAsia="es-ES"/>
              </w:rPr>
              <w:t>Diferencia</w:t>
            </w:r>
          </w:p>
          <w:p w14:paraId="0333DB44" w14:textId="1DA95D3A" w:rsidR="00855158" w:rsidRPr="0030497C" w:rsidRDefault="003D3400" w:rsidP="00705E36">
            <w:pPr>
              <w:spacing w:after="0" w:line="240" w:lineRule="auto"/>
              <w:ind w:right="140"/>
              <w:jc w:val="center"/>
              <w:rPr>
                <w:rFonts w:ascii="Cambria" w:eastAsia="Times New Roman" w:hAnsi="Cambria" w:cs="Calibri"/>
                <w:b/>
                <w:bCs/>
                <w:color w:val="000000"/>
                <w:sz w:val="16"/>
                <w:szCs w:val="16"/>
                <w:lang w:eastAsia="es-ES"/>
              </w:rPr>
            </w:pPr>
            <w:r>
              <w:rPr>
                <w:rFonts w:ascii="Cambria" w:eastAsia="Times New Roman" w:hAnsi="Cambria" w:cs="Calibri"/>
                <w:b/>
                <w:bCs/>
                <w:color w:val="000000"/>
                <w:sz w:val="16"/>
                <w:szCs w:val="16"/>
                <w:lang w:eastAsia="es-ES"/>
              </w:rPr>
              <w:t>de medias</w:t>
            </w:r>
          </w:p>
        </w:tc>
        <w:tc>
          <w:tcPr>
            <w:tcW w:w="1159" w:type="dxa"/>
            <w:tcBorders>
              <w:top w:val="single" w:sz="4" w:space="0" w:color="auto"/>
              <w:left w:val="nil"/>
              <w:bottom w:val="single" w:sz="4" w:space="0" w:color="auto"/>
              <w:right w:val="nil"/>
            </w:tcBorders>
            <w:shd w:val="clear" w:color="000000" w:fill="D9D9D9"/>
            <w:noWrap/>
            <w:vAlign w:val="center"/>
            <w:hideMark/>
          </w:tcPr>
          <w:p w14:paraId="776F7C78" w14:textId="77777777" w:rsidR="00855158" w:rsidRPr="0030497C" w:rsidRDefault="00855158" w:rsidP="00705E36">
            <w:pPr>
              <w:spacing w:after="0" w:line="240" w:lineRule="auto"/>
              <w:ind w:right="140"/>
              <w:jc w:val="center"/>
              <w:rPr>
                <w:rFonts w:ascii="Cambria" w:eastAsia="Times New Roman" w:hAnsi="Cambria" w:cs="Calibri"/>
                <w:b/>
                <w:bCs/>
                <w:color w:val="000000"/>
                <w:sz w:val="16"/>
                <w:szCs w:val="16"/>
                <w:lang w:eastAsia="es-ES"/>
              </w:rPr>
            </w:pPr>
            <w:r>
              <w:rPr>
                <w:rFonts w:ascii="Cambria" w:eastAsia="Times New Roman" w:hAnsi="Cambria" w:cs="Calibri"/>
                <w:b/>
                <w:bCs/>
                <w:color w:val="000000"/>
                <w:sz w:val="16"/>
                <w:szCs w:val="16"/>
                <w:lang w:eastAsia="es-ES"/>
              </w:rPr>
              <w:t>Sig.</w:t>
            </w:r>
          </w:p>
        </w:tc>
        <w:tc>
          <w:tcPr>
            <w:tcW w:w="2401" w:type="dxa"/>
            <w:tcBorders>
              <w:top w:val="single" w:sz="4" w:space="0" w:color="auto"/>
              <w:left w:val="nil"/>
              <w:bottom w:val="single" w:sz="4" w:space="0" w:color="auto"/>
              <w:right w:val="nil"/>
            </w:tcBorders>
            <w:shd w:val="clear" w:color="000000" w:fill="D9D9D9"/>
            <w:noWrap/>
            <w:vAlign w:val="center"/>
            <w:hideMark/>
          </w:tcPr>
          <w:p w14:paraId="0B06ED5A" w14:textId="3563BB02" w:rsidR="00855158" w:rsidRPr="0030497C" w:rsidRDefault="003D3400" w:rsidP="00705E36">
            <w:pPr>
              <w:spacing w:after="0" w:line="240" w:lineRule="auto"/>
              <w:ind w:right="140"/>
              <w:jc w:val="center"/>
              <w:rPr>
                <w:rFonts w:ascii="Cambria" w:eastAsia="Times New Roman" w:hAnsi="Cambria" w:cs="Calibri"/>
                <w:b/>
                <w:bCs/>
                <w:color w:val="000000"/>
                <w:sz w:val="16"/>
                <w:szCs w:val="16"/>
                <w:lang w:eastAsia="es-ES"/>
              </w:rPr>
            </w:pPr>
            <w:r w:rsidRPr="0030497C">
              <w:rPr>
                <w:rFonts w:ascii="Cambria" w:eastAsia="Times New Roman" w:hAnsi="Cambria" w:cs="Calibri"/>
                <w:b/>
                <w:bCs/>
                <w:color w:val="000000"/>
                <w:sz w:val="16"/>
                <w:szCs w:val="16"/>
                <w:lang w:eastAsia="es-ES"/>
              </w:rPr>
              <w:t>Resultado</w:t>
            </w:r>
          </w:p>
        </w:tc>
      </w:tr>
      <w:tr w:rsidR="00855158" w:rsidRPr="0030497C" w14:paraId="1691D323" w14:textId="77777777" w:rsidTr="00855158">
        <w:trPr>
          <w:trHeight w:val="18"/>
          <w:jc w:val="center"/>
        </w:trPr>
        <w:tc>
          <w:tcPr>
            <w:tcW w:w="1240" w:type="dxa"/>
            <w:vMerge w:val="restart"/>
            <w:tcBorders>
              <w:left w:val="nil"/>
              <w:right w:val="nil"/>
            </w:tcBorders>
            <w:shd w:val="clear" w:color="000000" w:fill="F2F2F2"/>
            <w:vAlign w:val="center"/>
            <w:hideMark/>
          </w:tcPr>
          <w:p w14:paraId="70AC9CCE"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r>
              <w:rPr>
                <w:rFonts w:ascii="Cambria" w:eastAsia="Times New Roman" w:hAnsi="Cambria" w:cs="Calibri"/>
                <w:b/>
                <w:bCs/>
                <w:color w:val="000000"/>
                <w:sz w:val="16"/>
                <w:szCs w:val="16"/>
                <w:lang w:eastAsia="es-ES"/>
              </w:rPr>
              <w:t>MPF2</w:t>
            </w:r>
          </w:p>
        </w:tc>
        <w:tc>
          <w:tcPr>
            <w:tcW w:w="901" w:type="dxa"/>
            <w:tcBorders>
              <w:top w:val="nil"/>
              <w:left w:val="nil"/>
              <w:bottom w:val="nil"/>
              <w:right w:val="nil"/>
            </w:tcBorders>
            <w:shd w:val="clear" w:color="000000" w:fill="F2F2F2"/>
            <w:noWrap/>
            <w:hideMark/>
          </w:tcPr>
          <w:p w14:paraId="29089155"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r w:rsidRPr="0075513A">
              <w:rPr>
                <w:rFonts w:ascii="Cambria" w:eastAsia="Times New Roman" w:hAnsi="Cambria" w:cs="Calibri"/>
                <w:b/>
                <w:bCs/>
                <w:color w:val="000000"/>
                <w:sz w:val="16"/>
                <w:szCs w:val="16"/>
                <w:lang w:eastAsia="es-ES"/>
              </w:rPr>
              <w:t>MPF</w:t>
            </w:r>
            <w:r>
              <w:rPr>
                <w:rFonts w:ascii="Cambria" w:eastAsia="Times New Roman" w:hAnsi="Cambria" w:cs="Calibri"/>
                <w:b/>
                <w:bCs/>
                <w:color w:val="000000"/>
                <w:sz w:val="16"/>
                <w:szCs w:val="16"/>
                <w:lang w:eastAsia="es-ES"/>
              </w:rPr>
              <w:t>3</w:t>
            </w:r>
          </w:p>
        </w:tc>
        <w:tc>
          <w:tcPr>
            <w:tcW w:w="1468" w:type="dxa"/>
            <w:tcBorders>
              <w:top w:val="nil"/>
              <w:left w:val="nil"/>
              <w:bottom w:val="nil"/>
              <w:right w:val="nil"/>
            </w:tcBorders>
            <w:shd w:val="clear" w:color="auto" w:fill="auto"/>
            <w:noWrap/>
            <w:hideMark/>
          </w:tcPr>
          <w:p w14:paraId="48BC4584" w14:textId="77777777" w:rsidR="00855158" w:rsidRPr="00064821" w:rsidRDefault="00855158" w:rsidP="00705E36">
            <w:pPr>
              <w:spacing w:after="0" w:line="240" w:lineRule="auto"/>
              <w:ind w:right="140"/>
              <w:jc w:val="center"/>
              <w:rPr>
                <w:rFonts w:ascii="Cambria" w:eastAsia="Times New Roman" w:hAnsi="Cambria" w:cs="Calibri"/>
                <w:color w:val="000000"/>
                <w:sz w:val="16"/>
                <w:szCs w:val="16"/>
                <w:lang w:eastAsia="es-ES"/>
              </w:rPr>
            </w:pPr>
            <w:r w:rsidRPr="00064821">
              <w:rPr>
                <w:rFonts w:ascii="Cambria" w:eastAsia="Times New Roman" w:hAnsi="Cambria" w:cs="Calibri"/>
                <w:color w:val="000000"/>
                <w:sz w:val="16"/>
                <w:szCs w:val="16"/>
                <w:lang w:eastAsia="es-ES"/>
              </w:rPr>
              <w:t>-</w:t>
            </w:r>
            <w:r>
              <w:rPr>
                <w:rFonts w:ascii="Cambria" w:eastAsia="Times New Roman" w:hAnsi="Cambria" w:cs="Calibri"/>
                <w:color w:val="000000"/>
                <w:sz w:val="16"/>
                <w:szCs w:val="16"/>
                <w:lang w:eastAsia="es-ES"/>
              </w:rPr>
              <w:t>.</w:t>
            </w:r>
            <w:r w:rsidRPr="00064821">
              <w:rPr>
                <w:rFonts w:ascii="Cambria" w:eastAsia="Times New Roman" w:hAnsi="Cambria" w:cs="Calibri"/>
                <w:color w:val="000000"/>
                <w:sz w:val="16"/>
                <w:szCs w:val="16"/>
                <w:lang w:eastAsia="es-ES"/>
              </w:rPr>
              <w:t>34</w:t>
            </w:r>
          </w:p>
        </w:tc>
        <w:tc>
          <w:tcPr>
            <w:tcW w:w="1159" w:type="dxa"/>
            <w:tcBorders>
              <w:top w:val="nil"/>
              <w:left w:val="nil"/>
              <w:bottom w:val="nil"/>
              <w:right w:val="nil"/>
            </w:tcBorders>
            <w:shd w:val="clear" w:color="auto" w:fill="auto"/>
            <w:noWrap/>
            <w:hideMark/>
          </w:tcPr>
          <w:p w14:paraId="79C3B869" w14:textId="77777777" w:rsidR="00855158" w:rsidRPr="00783A4D" w:rsidRDefault="00855158" w:rsidP="00705E36">
            <w:pPr>
              <w:spacing w:after="0" w:line="240" w:lineRule="auto"/>
              <w:ind w:right="140"/>
              <w:jc w:val="center"/>
              <w:rPr>
                <w:rFonts w:ascii="Cambria" w:eastAsia="Times New Roman" w:hAnsi="Cambria" w:cs="Calibri"/>
                <w:color w:val="000000"/>
                <w:sz w:val="16"/>
                <w:szCs w:val="16"/>
                <w:lang w:eastAsia="es-ES"/>
              </w:rPr>
            </w:pPr>
            <w:r>
              <w:rPr>
                <w:rFonts w:ascii="Cambria" w:eastAsia="Times New Roman" w:hAnsi="Cambria" w:cs="Calibri"/>
                <w:color w:val="000000"/>
                <w:sz w:val="16"/>
                <w:szCs w:val="16"/>
                <w:lang w:eastAsia="es-ES"/>
              </w:rPr>
              <w:t>&gt;.999</w:t>
            </w:r>
            <w:r w:rsidRPr="009141B7">
              <w:rPr>
                <w:rFonts w:ascii="Cambria" w:hAnsi="Cambria" w:cs="Calibri"/>
                <w:color w:val="000000"/>
                <w:sz w:val="16"/>
                <w:szCs w:val="16"/>
                <w:vertAlign w:val="superscript"/>
              </w:rPr>
              <w:t xml:space="preserve"> NS</w:t>
            </w:r>
          </w:p>
        </w:tc>
        <w:tc>
          <w:tcPr>
            <w:tcW w:w="2401" w:type="dxa"/>
            <w:tcBorders>
              <w:top w:val="nil"/>
              <w:left w:val="nil"/>
              <w:bottom w:val="nil"/>
              <w:right w:val="nil"/>
            </w:tcBorders>
            <w:shd w:val="clear" w:color="auto" w:fill="auto"/>
            <w:noWrap/>
            <w:vAlign w:val="center"/>
            <w:hideMark/>
          </w:tcPr>
          <w:p w14:paraId="64867DB7" w14:textId="6F9F1272" w:rsidR="00855158" w:rsidRPr="0030497C" w:rsidRDefault="00855158" w:rsidP="00705E36">
            <w:pPr>
              <w:spacing w:after="0" w:line="240" w:lineRule="auto"/>
              <w:ind w:right="140"/>
              <w:jc w:val="center"/>
              <w:rPr>
                <w:rFonts w:ascii="Cambria" w:eastAsia="Times New Roman" w:hAnsi="Cambria" w:cs="Calibri"/>
                <w:b/>
                <w:bCs/>
                <w:color w:val="000000"/>
                <w:sz w:val="16"/>
                <w:szCs w:val="16"/>
                <w:lang w:eastAsia="es-ES"/>
              </w:rPr>
            </w:pPr>
            <w:r w:rsidRPr="0030497C">
              <w:rPr>
                <w:rFonts w:ascii="Cambria" w:eastAsia="Times New Roman" w:hAnsi="Cambria" w:cs="Calibri"/>
                <w:color w:val="000000"/>
                <w:sz w:val="16"/>
                <w:szCs w:val="16"/>
                <w:lang w:eastAsia="es-ES"/>
              </w:rPr>
              <w:t>No significa</w:t>
            </w:r>
            <w:r w:rsidR="00842EE4">
              <w:rPr>
                <w:rFonts w:ascii="Cambria" w:eastAsia="Times New Roman" w:hAnsi="Cambria" w:cs="Calibri"/>
                <w:color w:val="000000"/>
                <w:sz w:val="16"/>
                <w:szCs w:val="16"/>
                <w:lang w:eastAsia="es-ES"/>
              </w:rPr>
              <w:t>t</w:t>
            </w:r>
            <w:r w:rsidR="004642B1">
              <w:rPr>
                <w:rFonts w:ascii="Cambria" w:eastAsia="Times New Roman" w:hAnsi="Cambria" w:cs="Calibri"/>
                <w:color w:val="000000"/>
                <w:sz w:val="16"/>
                <w:szCs w:val="16"/>
                <w:lang w:eastAsia="es-ES"/>
              </w:rPr>
              <w:t>ivo</w:t>
            </w:r>
          </w:p>
        </w:tc>
      </w:tr>
      <w:tr w:rsidR="00855158" w:rsidRPr="0030497C" w14:paraId="6E6B4B2D" w14:textId="77777777" w:rsidTr="00855158">
        <w:trPr>
          <w:trHeight w:val="18"/>
          <w:jc w:val="center"/>
        </w:trPr>
        <w:tc>
          <w:tcPr>
            <w:tcW w:w="1240" w:type="dxa"/>
            <w:vMerge/>
            <w:tcBorders>
              <w:left w:val="nil"/>
              <w:right w:val="nil"/>
            </w:tcBorders>
            <w:shd w:val="clear" w:color="000000" w:fill="F2F2F2"/>
            <w:vAlign w:val="center"/>
            <w:hideMark/>
          </w:tcPr>
          <w:p w14:paraId="735DB0A4"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p>
        </w:tc>
        <w:tc>
          <w:tcPr>
            <w:tcW w:w="901" w:type="dxa"/>
            <w:tcBorders>
              <w:top w:val="nil"/>
              <w:left w:val="nil"/>
              <w:right w:val="nil"/>
            </w:tcBorders>
            <w:shd w:val="clear" w:color="000000" w:fill="F2F2F2"/>
            <w:noWrap/>
            <w:hideMark/>
          </w:tcPr>
          <w:p w14:paraId="6C4E75FE"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r w:rsidRPr="0075513A">
              <w:rPr>
                <w:rFonts w:ascii="Cambria" w:eastAsia="Times New Roman" w:hAnsi="Cambria" w:cs="Calibri"/>
                <w:b/>
                <w:bCs/>
                <w:color w:val="000000"/>
                <w:sz w:val="16"/>
                <w:szCs w:val="16"/>
                <w:lang w:eastAsia="es-ES"/>
              </w:rPr>
              <w:t>MPF</w:t>
            </w:r>
            <w:r>
              <w:rPr>
                <w:rFonts w:ascii="Cambria" w:eastAsia="Times New Roman" w:hAnsi="Cambria" w:cs="Calibri"/>
                <w:b/>
                <w:bCs/>
                <w:color w:val="000000"/>
                <w:sz w:val="16"/>
                <w:szCs w:val="16"/>
                <w:lang w:eastAsia="es-ES"/>
              </w:rPr>
              <w:t>4</w:t>
            </w:r>
          </w:p>
        </w:tc>
        <w:tc>
          <w:tcPr>
            <w:tcW w:w="1468" w:type="dxa"/>
            <w:tcBorders>
              <w:top w:val="nil"/>
              <w:left w:val="nil"/>
              <w:right w:val="nil"/>
            </w:tcBorders>
            <w:shd w:val="clear" w:color="auto" w:fill="auto"/>
            <w:noWrap/>
            <w:hideMark/>
          </w:tcPr>
          <w:p w14:paraId="19117934" w14:textId="77777777" w:rsidR="00855158" w:rsidRPr="00783A4D" w:rsidRDefault="00855158" w:rsidP="00705E36">
            <w:pPr>
              <w:spacing w:after="0" w:line="240" w:lineRule="auto"/>
              <w:ind w:right="140"/>
              <w:jc w:val="center"/>
              <w:rPr>
                <w:rFonts w:ascii="Cambria" w:eastAsia="Times New Roman" w:hAnsi="Cambria" w:cs="Calibri"/>
                <w:color w:val="000000"/>
                <w:sz w:val="16"/>
                <w:szCs w:val="16"/>
                <w:lang w:eastAsia="es-ES"/>
              </w:rPr>
            </w:pPr>
            <w:r w:rsidRPr="00064821">
              <w:rPr>
                <w:rFonts w:ascii="Cambria" w:eastAsia="Times New Roman" w:hAnsi="Cambria" w:cs="Calibri"/>
                <w:color w:val="000000"/>
                <w:sz w:val="16"/>
                <w:szCs w:val="16"/>
                <w:lang w:eastAsia="es-ES"/>
              </w:rPr>
              <w:t>-2</w:t>
            </w:r>
            <w:r>
              <w:rPr>
                <w:rFonts w:ascii="Cambria" w:eastAsia="Times New Roman" w:hAnsi="Cambria" w:cs="Calibri"/>
                <w:color w:val="000000"/>
                <w:sz w:val="16"/>
                <w:szCs w:val="16"/>
                <w:lang w:eastAsia="es-ES"/>
              </w:rPr>
              <w:t>.</w:t>
            </w:r>
            <w:r w:rsidRPr="00064821">
              <w:rPr>
                <w:rFonts w:ascii="Cambria" w:eastAsia="Times New Roman" w:hAnsi="Cambria" w:cs="Calibri"/>
                <w:color w:val="000000"/>
                <w:sz w:val="16"/>
                <w:szCs w:val="16"/>
                <w:lang w:eastAsia="es-ES"/>
              </w:rPr>
              <w:t>38</w:t>
            </w:r>
          </w:p>
        </w:tc>
        <w:tc>
          <w:tcPr>
            <w:tcW w:w="1159" w:type="dxa"/>
            <w:tcBorders>
              <w:top w:val="nil"/>
              <w:left w:val="nil"/>
              <w:right w:val="nil"/>
            </w:tcBorders>
            <w:shd w:val="clear" w:color="auto" w:fill="auto"/>
            <w:noWrap/>
            <w:hideMark/>
          </w:tcPr>
          <w:p w14:paraId="4E6370F8" w14:textId="77777777" w:rsidR="00855158" w:rsidRPr="00064821" w:rsidRDefault="00855158" w:rsidP="00705E36">
            <w:pPr>
              <w:spacing w:after="0" w:line="240" w:lineRule="auto"/>
              <w:ind w:right="140"/>
              <w:jc w:val="center"/>
              <w:rPr>
                <w:rFonts w:ascii="Cambria" w:eastAsia="Times New Roman" w:hAnsi="Cambria" w:cs="Calibri"/>
                <w:b/>
                <w:bCs/>
                <w:color w:val="000000"/>
                <w:sz w:val="16"/>
                <w:szCs w:val="16"/>
                <w:lang w:eastAsia="es-ES"/>
              </w:rPr>
            </w:pPr>
            <w:r w:rsidRPr="00064821">
              <w:rPr>
                <w:rFonts w:ascii="Cambria" w:eastAsia="Times New Roman" w:hAnsi="Cambria" w:cs="Calibri"/>
                <w:b/>
                <w:bCs/>
                <w:color w:val="000000"/>
                <w:sz w:val="16"/>
                <w:szCs w:val="16"/>
                <w:lang w:eastAsia="es-ES"/>
              </w:rPr>
              <w:t>.077</w:t>
            </w:r>
            <w:r w:rsidRPr="00064821">
              <w:rPr>
                <w:rFonts w:asciiTheme="majorHAnsi" w:hAnsiTheme="majorHAnsi" w:cstheme="majorHAnsi"/>
                <w:b/>
                <w:bCs/>
                <w:sz w:val="16"/>
                <w:szCs w:val="16"/>
                <w:vertAlign w:val="superscript"/>
              </w:rPr>
              <w:t>†</w:t>
            </w:r>
          </w:p>
        </w:tc>
        <w:tc>
          <w:tcPr>
            <w:tcW w:w="2401" w:type="dxa"/>
            <w:tcBorders>
              <w:top w:val="nil"/>
              <w:left w:val="nil"/>
              <w:right w:val="nil"/>
            </w:tcBorders>
            <w:shd w:val="clear" w:color="auto" w:fill="auto"/>
            <w:noWrap/>
            <w:vAlign w:val="center"/>
            <w:hideMark/>
          </w:tcPr>
          <w:p w14:paraId="57F1B2F5" w14:textId="01B59FFC" w:rsidR="00855158" w:rsidRPr="006074D2" w:rsidRDefault="004642B1" w:rsidP="00705E36">
            <w:pPr>
              <w:spacing w:after="0" w:line="240" w:lineRule="auto"/>
              <w:ind w:right="140"/>
              <w:jc w:val="center"/>
              <w:rPr>
                <w:rFonts w:ascii="Cambria" w:eastAsia="Times New Roman" w:hAnsi="Cambria" w:cs="Calibri"/>
                <w:b/>
                <w:bCs/>
                <w:color w:val="000000"/>
                <w:sz w:val="16"/>
                <w:szCs w:val="16"/>
                <w:lang w:eastAsia="es-ES"/>
              </w:rPr>
            </w:pPr>
            <w:r>
              <w:rPr>
                <w:rFonts w:ascii="Cambria" w:eastAsia="Times New Roman" w:hAnsi="Cambria" w:cs="Calibri"/>
                <w:b/>
                <w:bCs/>
                <w:color w:val="000000"/>
                <w:sz w:val="16"/>
                <w:szCs w:val="16"/>
                <w:lang w:eastAsia="es-ES"/>
              </w:rPr>
              <w:t xml:space="preserve">Casi </w:t>
            </w:r>
            <w:r w:rsidR="006074D2" w:rsidRPr="006074D2">
              <w:rPr>
                <w:rFonts w:ascii="Cambria" w:eastAsia="Times New Roman" w:hAnsi="Cambria" w:cs="Calibri"/>
                <w:b/>
                <w:bCs/>
                <w:color w:val="000000"/>
                <w:sz w:val="16"/>
                <w:szCs w:val="16"/>
                <w:lang w:eastAsia="es-ES"/>
              </w:rPr>
              <w:t>Significat</w:t>
            </w:r>
            <w:r>
              <w:rPr>
                <w:rFonts w:ascii="Cambria" w:eastAsia="Times New Roman" w:hAnsi="Cambria" w:cs="Calibri"/>
                <w:b/>
                <w:bCs/>
                <w:color w:val="000000"/>
                <w:sz w:val="16"/>
                <w:szCs w:val="16"/>
                <w:lang w:eastAsia="es-ES"/>
              </w:rPr>
              <w:t>ivo</w:t>
            </w:r>
          </w:p>
        </w:tc>
      </w:tr>
      <w:tr w:rsidR="00855158" w:rsidRPr="0030497C" w14:paraId="15FEE904" w14:textId="77777777" w:rsidTr="00855158">
        <w:trPr>
          <w:trHeight w:val="18"/>
          <w:jc w:val="center"/>
        </w:trPr>
        <w:tc>
          <w:tcPr>
            <w:tcW w:w="1240" w:type="dxa"/>
            <w:vMerge/>
            <w:tcBorders>
              <w:left w:val="nil"/>
              <w:bottom w:val="single" w:sz="4" w:space="0" w:color="000000"/>
              <w:right w:val="nil"/>
            </w:tcBorders>
            <w:shd w:val="clear" w:color="000000" w:fill="F2F2F2"/>
            <w:vAlign w:val="center"/>
            <w:hideMark/>
          </w:tcPr>
          <w:p w14:paraId="252FE5F3"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p>
        </w:tc>
        <w:tc>
          <w:tcPr>
            <w:tcW w:w="901" w:type="dxa"/>
            <w:tcBorders>
              <w:top w:val="nil"/>
              <w:left w:val="nil"/>
              <w:bottom w:val="single" w:sz="4" w:space="0" w:color="auto"/>
              <w:right w:val="nil"/>
            </w:tcBorders>
            <w:shd w:val="clear" w:color="000000" w:fill="F2F2F2"/>
            <w:noWrap/>
            <w:hideMark/>
          </w:tcPr>
          <w:p w14:paraId="399564A2"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r w:rsidRPr="0075513A">
              <w:rPr>
                <w:rFonts w:ascii="Cambria" w:eastAsia="Times New Roman" w:hAnsi="Cambria" w:cs="Calibri"/>
                <w:b/>
                <w:bCs/>
                <w:color w:val="000000"/>
                <w:sz w:val="16"/>
                <w:szCs w:val="16"/>
                <w:lang w:eastAsia="es-ES"/>
              </w:rPr>
              <w:t>MPF</w:t>
            </w:r>
            <w:r>
              <w:rPr>
                <w:rFonts w:ascii="Cambria" w:eastAsia="Times New Roman" w:hAnsi="Cambria" w:cs="Calibri"/>
                <w:b/>
                <w:bCs/>
                <w:color w:val="000000"/>
                <w:sz w:val="16"/>
                <w:szCs w:val="16"/>
                <w:lang w:eastAsia="es-ES"/>
              </w:rPr>
              <w:t>5</w:t>
            </w:r>
          </w:p>
        </w:tc>
        <w:tc>
          <w:tcPr>
            <w:tcW w:w="1468" w:type="dxa"/>
            <w:tcBorders>
              <w:top w:val="nil"/>
              <w:left w:val="nil"/>
              <w:bottom w:val="single" w:sz="4" w:space="0" w:color="auto"/>
              <w:right w:val="nil"/>
            </w:tcBorders>
            <w:shd w:val="clear" w:color="auto" w:fill="auto"/>
            <w:noWrap/>
            <w:hideMark/>
          </w:tcPr>
          <w:p w14:paraId="33426E06" w14:textId="77777777" w:rsidR="00855158" w:rsidRPr="00783A4D" w:rsidRDefault="00855158" w:rsidP="00705E36">
            <w:pPr>
              <w:spacing w:after="0" w:line="240" w:lineRule="auto"/>
              <w:ind w:right="140"/>
              <w:jc w:val="center"/>
              <w:rPr>
                <w:rFonts w:ascii="Cambria" w:eastAsia="Times New Roman" w:hAnsi="Cambria" w:cs="Calibri"/>
                <w:color w:val="000000"/>
                <w:sz w:val="16"/>
                <w:szCs w:val="16"/>
                <w:lang w:eastAsia="es-ES"/>
              </w:rPr>
            </w:pPr>
            <w:r w:rsidRPr="00064821">
              <w:rPr>
                <w:rFonts w:ascii="Cambria" w:eastAsia="Times New Roman" w:hAnsi="Cambria" w:cs="Calibri"/>
                <w:color w:val="000000"/>
                <w:sz w:val="16"/>
                <w:szCs w:val="16"/>
                <w:lang w:eastAsia="es-ES"/>
              </w:rPr>
              <w:t>-4</w:t>
            </w:r>
            <w:r>
              <w:rPr>
                <w:rFonts w:ascii="Cambria" w:eastAsia="Times New Roman" w:hAnsi="Cambria" w:cs="Calibri"/>
                <w:color w:val="000000"/>
                <w:sz w:val="16"/>
                <w:szCs w:val="16"/>
                <w:lang w:eastAsia="es-ES"/>
              </w:rPr>
              <w:t>.</w:t>
            </w:r>
            <w:r w:rsidRPr="00064821">
              <w:rPr>
                <w:rFonts w:ascii="Cambria" w:eastAsia="Times New Roman" w:hAnsi="Cambria" w:cs="Calibri"/>
                <w:color w:val="000000"/>
                <w:sz w:val="16"/>
                <w:szCs w:val="16"/>
                <w:lang w:eastAsia="es-ES"/>
              </w:rPr>
              <w:t>00</w:t>
            </w:r>
          </w:p>
        </w:tc>
        <w:tc>
          <w:tcPr>
            <w:tcW w:w="1159" w:type="dxa"/>
            <w:tcBorders>
              <w:top w:val="nil"/>
              <w:left w:val="nil"/>
              <w:bottom w:val="single" w:sz="4" w:space="0" w:color="auto"/>
              <w:right w:val="nil"/>
            </w:tcBorders>
            <w:shd w:val="clear" w:color="auto" w:fill="auto"/>
            <w:noWrap/>
            <w:hideMark/>
          </w:tcPr>
          <w:p w14:paraId="1683A77C" w14:textId="77777777" w:rsidR="00855158" w:rsidRPr="00064821" w:rsidRDefault="00855158" w:rsidP="00705E36">
            <w:pPr>
              <w:spacing w:after="0" w:line="240" w:lineRule="auto"/>
              <w:ind w:right="140"/>
              <w:jc w:val="center"/>
              <w:rPr>
                <w:rFonts w:ascii="Cambria" w:eastAsia="Times New Roman" w:hAnsi="Cambria" w:cs="Calibri"/>
                <w:b/>
                <w:bCs/>
                <w:color w:val="000000"/>
                <w:sz w:val="16"/>
                <w:szCs w:val="16"/>
                <w:lang w:eastAsia="es-ES"/>
              </w:rPr>
            </w:pPr>
            <w:r w:rsidRPr="00064821">
              <w:rPr>
                <w:rFonts w:ascii="Cambria" w:eastAsia="Times New Roman" w:hAnsi="Cambria" w:cs="Calibri"/>
                <w:b/>
                <w:bCs/>
                <w:color w:val="000000"/>
                <w:sz w:val="16"/>
                <w:szCs w:val="16"/>
                <w:lang w:eastAsia="es-ES"/>
              </w:rPr>
              <w:t>.004</w:t>
            </w:r>
            <w:r w:rsidRPr="00064821">
              <w:rPr>
                <w:rFonts w:ascii="Calibri Light" w:hAnsi="Calibri Light" w:cs="Calibri Light"/>
                <w:b/>
                <w:bCs/>
                <w:sz w:val="16"/>
                <w:szCs w:val="16"/>
              </w:rPr>
              <w:t>**</w:t>
            </w:r>
          </w:p>
        </w:tc>
        <w:tc>
          <w:tcPr>
            <w:tcW w:w="2401" w:type="dxa"/>
            <w:tcBorders>
              <w:top w:val="nil"/>
              <w:left w:val="nil"/>
              <w:bottom w:val="single" w:sz="4" w:space="0" w:color="auto"/>
              <w:right w:val="nil"/>
            </w:tcBorders>
            <w:shd w:val="clear" w:color="auto" w:fill="auto"/>
            <w:noWrap/>
            <w:vAlign w:val="center"/>
            <w:hideMark/>
          </w:tcPr>
          <w:p w14:paraId="53BD0894" w14:textId="2B987D7D" w:rsidR="00855158" w:rsidRPr="0030497C" w:rsidRDefault="00A1781E" w:rsidP="00705E36">
            <w:pPr>
              <w:spacing w:after="0" w:line="240" w:lineRule="auto"/>
              <w:ind w:right="140"/>
              <w:jc w:val="center"/>
              <w:rPr>
                <w:rFonts w:ascii="Cambria" w:eastAsia="Times New Roman" w:hAnsi="Cambria" w:cs="Calibri"/>
                <w:color w:val="000000"/>
                <w:sz w:val="16"/>
                <w:szCs w:val="16"/>
                <w:lang w:eastAsia="es-ES"/>
              </w:rPr>
            </w:pPr>
            <w:r>
              <w:rPr>
                <w:rFonts w:ascii="Cambria" w:eastAsia="Times New Roman" w:hAnsi="Cambria" w:cs="Calibri"/>
                <w:b/>
                <w:bCs/>
                <w:color w:val="000000"/>
                <w:sz w:val="16"/>
                <w:szCs w:val="16"/>
                <w:lang w:eastAsia="es-ES"/>
              </w:rPr>
              <w:t>Altamente significativo</w:t>
            </w:r>
          </w:p>
        </w:tc>
      </w:tr>
      <w:tr w:rsidR="00855158" w:rsidRPr="0030497C" w14:paraId="2817A0FF" w14:textId="77777777" w:rsidTr="00855158">
        <w:trPr>
          <w:trHeight w:val="18"/>
          <w:jc w:val="center"/>
        </w:trPr>
        <w:tc>
          <w:tcPr>
            <w:tcW w:w="1240" w:type="dxa"/>
            <w:vMerge w:val="restart"/>
            <w:tcBorders>
              <w:left w:val="nil"/>
              <w:right w:val="nil"/>
            </w:tcBorders>
            <w:shd w:val="clear" w:color="000000" w:fill="F2F2F2"/>
            <w:vAlign w:val="center"/>
            <w:hideMark/>
          </w:tcPr>
          <w:p w14:paraId="6F3DEA5C"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r>
              <w:rPr>
                <w:rFonts w:ascii="Cambria" w:eastAsia="Times New Roman" w:hAnsi="Cambria" w:cs="Calibri"/>
                <w:b/>
                <w:bCs/>
                <w:color w:val="000000"/>
                <w:sz w:val="16"/>
                <w:szCs w:val="16"/>
                <w:lang w:eastAsia="es-ES"/>
              </w:rPr>
              <w:t>MPF3</w:t>
            </w:r>
          </w:p>
        </w:tc>
        <w:tc>
          <w:tcPr>
            <w:tcW w:w="901" w:type="dxa"/>
            <w:tcBorders>
              <w:top w:val="nil"/>
              <w:left w:val="nil"/>
              <w:bottom w:val="nil"/>
              <w:right w:val="nil"/>
            </w:tcBorders>
            <w:shd w:val="clear" w:color="000000" w:fill="F2F2F2"/>
            <w:noWrap/>
            <w:hideMark/>
          </w:tcPr>
          <w:p w14:paraId="3554B632"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r w:rsidRPr="0075513A">
              <w:rPr>
                <w:rFonts w:ascii="Cambria" w:eastAsia="Times New Roman" w:hAnsi="Cambria" w:cs="Calibri"/>
                <w:b/>
                <w:bCs/>
                <w:color w:val="000000"/>
                <w:sz w:val="16"/>
                <w:szCs w:val="16"/>
                <w:lang w:eastAsia="es-ES"/>
              </w:rPr>
              <w:t>MPF</w:t>
            </w:r>
            <w:r>
              <w:rPr>
                <w:rFonts w:ascii="Cambria" w:eastAsia="Times New Roman" w:hAnsi="Cambria" w:cs="Calibri"/>
                <w:b/>
                <w:bCs/>
                <w:color w:val="000000"/>
                <w:sz w:val="16"/>
                <w:szCs w:val="16"/>
                <w:lang w:eastAsia="es-ES"/>
              </w:rPr>
              <w:t>2</w:t>
            </w:r>
          </w:p>
        </w:tc>
        <w:tc>
          <w:tcPr>
            <w:tcW w:w="1468" w:type="dxa"/>
            <w:tcBorders>
              <w:top w:val="nil"/>
              <w:left w:val="nil"/>
              <w:bottom w:val="nil"/>
              <w:right w:val="nil"/>
            </w:tcBorders>
            <w:shd w:val="clear" w:color="auto" w:fill="auto"/>
            <w:noWrap/>
            <w:hideMark/>
          </w:tcPr>
          <w:p w14:paraId="0DDE6FDD" w14:textId="77777777" w:rsidR="00855158" w:rsidRPr="00783A4D" w:rsidRDefault="00855158" w:rsidP="00705E36">
            <w:pPr>
              <w:spacing w:after="0" w:line="240" w:lineRule="auto"/>
              <w:ind w:right="140"/>
              <w:jc w:val="center"/>
              <w:rPr>
                <w:rFonts w:ascii="Cambria" w:eastAsia="Times New Roman" w:hAnsi="Cambria" w:cs="Calibri"/>
                <w:color w:val="000000"/>
                <w:sz w:val="16"/>
                <w:szCs w:val="16"/>
                <w:lang w:eastAsia="es-ES"/>
              </w:rPr>
            </w:pPr>
            <w:r>
              <w:rPr>
                <w:rFonts w:ascii="Cambria" w:eastAsia="Times New Roman" w:hAnsi="Cambria" w:cs="Calibri"/>
                <w:color w:val="000000"/>
                <w:sz w:val="16"/>
                <w:szCs w:val="16"/>
                <w:lang w:eastAsia="es-ES"/>
              </w:rPr>
              <w:t>.</w:t>
            </w:r>
            <w:r w:rsidRPr="00064821">
              <w:rPr>
                <w:rFonts w:ascii="Cambria" w:eastAsia="Times New Roman" w:hAnsi="Cambria" w:cs="Calibri"/>
                <w:color w:val="000000"/>
                <w:sz w:val="16"/>
                <w:szCs w:val="16"/>
                <w:lang w:eastAsia="es-ES"/>
              </w:rPr>
              <w:t>34</w:t>
            </w:r>
          </w:p>
        </w:tc>
        <w:tc>
          <w:tcPr>
            <w:tcW w:w="1159" w:type="dxa"/>
            <w:tcBorders>
              <w:top w:val="nil"/>
              <w:left w:val="nil"/>
              <w:bottom w:val="nil"/>
              <w:right w:val="nil"/>
            </w:tcBorders>
            <w:shd w:val="clear" w:color="auto" w:fill="auto"/>
            <w:noWrap/>
            <w:hideMark/>
          </w:tcPr>
          <w:p w14:paraId="297620A4" w14:textId="77777777" w:rsidR="00855158" w:rsidRPr="00783A4D" w:rsidRDefault="00855158" w:rsidP="00705E36">
            <w:pPr>
              <w:spacing w:after="0" w:line="240" w:lineRule="auto"/>
              <w:ind w:right="140"/>
              <w:jc w:val="center"/>
              <w:rPr>
                <w:rFonts w:ascii="Cambria" w:eastAsia="Times New Roman" w:hAnsi="Cambria" w:cs="Calibri"/>
                <w:color w:val="000000"/>
                <w:sz w:val="16"/>
                <w:szCs w:val="16"/>
                <w:lang w:eastAsia="es-ES"/>
              </w:rPr>
            </w:pPr>
            <w:r>
              <w:rPr>
                <w:rFonts w:ascii="Cambria" w:eastAsia="Times New Roman" w:hAnsi="Cambria" w:cs="Calibri"/>
                <w:color w:val="000000"/>
                <w:sz w:val="16"/>
                <w:szCs w:val="16"/>
                <w:lang w:eastAsia="es-ES"/>
              </w:rPr>
              <w:t>&gt;.999</w:t>
            </w:r>
            <w:r w:rsidRPr="009141B7">
              <w:rPr>
                <w:rFonts w:ascii="Cambria" w:hAnsi="Cambria" w:cs="Calibri"/>
                <w:color w:val="000000"/>
                <w:sz w:val="16"/>
                <w:szCs w:val="16"/>
                <w:vertAlign w:val="superscript"/>
              </w:rPr>
              <w:t xml:space="preserve"> NS</w:t>
            </w:r>
          </w:p>
        </w:tc>
        <w:tc>
          <w:tcPr>
            <w:tcW w:w="2401" w:type="dxa"/>
            <w:tcBorders>
              <w:top w:val="nil"/>
              <w:left w:val="nil"/>
              <w:bottom w:val="nil"/>
              <w:right w:val="nil"/>
            </w:tcBorders>
            <w:shd w:val="clear" w:color="auto" w:fill="auto"/>
            <w:noWrap/>
            <w:vAlign w:val="center"/>
            <w:hideMark/>
          </w:tcPr>
          <w:p w14:paraId="33CF05A0" w14:textId="63501F62" w:rsidR="00855158" w:rsidRPr="0030497C" w:rsidRDefault="00855158" w:rsidP="00705E36">
            <w:pPr>
              <w:spacing w:after="0" w:line="240" w:lineRule="auto"/>
              <w:ind w:right="140"/>
              <w:jc w:val="center"/>
              <w:rPr>
                <w:rFonts w:ascii="Cambria" w:eastAsia="Times New Roman" w:hAnsi="Cambria" w:cs="Calibri"/>
                <w:b/>
                <w:bCs/>
                <w:color w:val="000000"/>
                <w:sz w:val="16"/>
                <w:szCs w:val="16"/>
                <w:lang w:eastAsia="es-ES"/>
              </w:rPr>
            </w:pPr>
            <w:r w:rsidRPr="0030497C">
              <w:rPr>
                <w:rFonts w:ascii="Cambria" w:eastAsia="Times New Roman" w:hAnsi="Cambria" w:cs="Calibri"/>
                <w:color w:val="000000"/>
                <w:sz w:val="16"/>
                <w:szCs w:val="16"/>
                <w:lang w:eastAsia="es-ES"/>
              </w:rPr>
              <w:t>No significa</w:t>
            </w:r>
            <w:r w:rsidR="00842EE4">
              <w:rPr>
                <w:rFonts w:ascii="Cambria" w:eastAsia="Times New Roman" w:hAnsi="Cambria" w:cs="Calibri"/>
                <w:color w:val="000000"/>
                <w:sz w:val="16"/>
                <w:szCs w:val="16"/>
                <w:lang w:eastAsia="es-ES"/>
              </w:rPr>
              <w:t>t</w:t>
            </w:r>
            <w:r w:rsidR="00A1781E">
              <w:rPr>
                <w:rFonts w:ascii="Cambria" w:eastAsia="Times New Roman" w:hAnsi="Cambria" w:cs="Calibri"/>
                <w:color w:val="000000"/>
                <w:sz w:val="16"/>
                <w:szCs w:val="16"/>
                <w:lang w:eastAsia="es-ES"/>
              </w:rPr>
              <w:t>ivo</w:t>
            </w:r>
          </w:p>
        </w:tc>
      </w:tr>
      <w:tr w:rsidR="00855158" w:rsidRPr="0030497C" w14:paraId="5937CBEC" w14:textId="77777777" w:rsidTr="00855158">
        <w:trPr>
          <w:trHeight w:val="18"/>
          <w:jc w:val="center"/>
        </w:trPr>
        <w:tc>
          <w:tcPr>
            <w:tcW w:w="1240" w:type="dxa"/>
            <w:vMerge/>
            <w:tcBorders>
              <w:left w:val="nil"/>
              <w:right w:val="nil"/>
            </w:tcBorders>
            <w:shd w:val="clear" w:color="000000" w:fill="F2F2F2"/>
            <w:vAlign w:val="center"/>
            <w:hideMark/>
          </w:tcPr>
          <w:p w14:paraId="2D881042"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p>
        </w:tc>
        <w:tc>
          <w:tcPr>
            <w:tcW w:w="901" w:type="dxa"/>
            <w:tcBorders>
              <w:top w:val="nil"/>
              <w:left w:val="nil"/>
              <w:right w:val="nil"/>
            </w:tcBorders>
            <w:shd w:val="clear" w:color="000000" w:fill="F2F2F2"/>
            <w:noWrap/>
            <w:hideMark/>
          </w:tcPr>
          <w:p w14:paraId="57E4819A"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r w:rsidRPr="0075513A">
              <w:rPr>
                <w:rFonts w:ascii="Cambria" w:eastAsia="Times New Roman" w:hAnsi="Cambria" w:cs="Calibri"/>
                <w:b/>
                <w:bCs/>
                <w:color w:val="000000"/>
                <w:sz w:val="16"/>
                <w:szCs w:val="16"/>
                <w:lang w:eastAsia="es-ES"/>
              </w:rPr>
              <w:t>MPF</w:t>
            </w:r>
            <w:r>
              <w:rPr>
                <w:rFonts w:ascii="Cambria" w:eastAsia="Times New Roman" w:hAnsi="Cambria" w:cs="Calibri"/>
                <w:b/>
                <w:bCs/>
                <w:color w:val="000000"/>
                <w:sz w:val="16"/>
                <w:szCs w:val="16"/>
                <w:lang w:eastAsia="es-ES"/>
              </w:rPr>
              <w:t>4</w:t>
            </w:r>
          </w:p>
        </w:tc>
        <w:tc>
          <w:tcPr>
            <w:tcW w:w="1468" w:type="dxa"/>
            <w:tcBorders>
              <w:top w:val="nil"/>
              <w:left w:val="nil"/>
              <w:right w:val="nil"/>
            </w:tcBorders>
            <w:shd w:val="clear" w:color="auto" w:fill="auto"/>
            <w:noWrap/>
            <w:hideMark/>
          </w:tcPr>
          <w:p w14:paraId="744CD1AD" w14:textId="77777777" w:rsidR="00855158" w:rsidRPr="00783A4D" w:rsidRDefault="00855158" w:rsidP="00705E36">
            <w:pPr>
              <w:spacing w:after="0" w:line="240" w:lineRule="auto"/>
              <w:ind w:right="140"/>
              <w:jc w:val="center"/>
              <w:rPr>
                <w:rFonts w:ascii="Cambria" w:eastAsia="Times New Roman" w:hAnsi="Cambria" w:cs="Calibri"/>
                <w:color w:val="000000"/>
                <w:sz w:val="16"/>
                <w:szCs w:val="16"/>
                <w:lang w:eastAsia="es-ES"/>
              </w:rPr>
            </w:pPr>
            <w:r w:rsidRPr="00064821">
              <w:rPr>
                <w:rFonts w:ascii="Cambria" w:eastAsia="Times New Roman" w:hAnsi="Cambria" w:cs="Calibri"/>
                <w:color w:val="000000"/>
                <w:sz w:val="16"/>
                <w:szCs w:val="16"/>
                <w:lang w:eastAsia="es-ES"/>
              </w:rPr>
              <w:t>-2</w:t>
            </w:r>
            <w:r>
              <w:rPr>
                <w:rFonts w:ascii="Cambria" w:eastAsia="Times New Roman" w:hAnsi="Cambria" w:cs="Calibri"/>
                <w:color w:val="000000"/>
                <w:sz w:val="16"/>
                <w:szCs w:val="16"/>
                <w:lang w:eastAsia="es-ES"/>
              </w:rPr>
              <w:t>.</w:t>
            </w:r>
            <w:r w:rsidRPr="00064821">
              <w:rPr>
                <w:rFonts w:ascii="Cambria" w:eastAsia="Times New Roman" w:hAnsi="Cambria" w:cs="Calibri"/>
                <w:color w:val="000000"/>
                <w:sz w:val="16"/>
                <w:szCs w:val="16"/>
                <w:lang w:eastAsia="es-ES"/>
              </w:rPr>
              <w:t>04</w:t>
            </w:r>
          </w:p>
        </w:tc>
        <w:tc>
          <w:tcPr>
            <w:tcW w:w="1159" w:type="dxa"/>
            <w:tcBorders>
              <w:top w:val="nil"/>
              <w:left w:val="nil"/>
              <w:right w:val="nil"/>
            </w:tcBorders>
            <w:shd w:val="clear" w:color="auto" w:fill="auto"/>
            <w:noWrap/>
            <w:hideMark/>
          </w:tcPr>
          <w:p w14:paraId="4214C6CB" w14:textId="77777777" w:rsidR="00855158" w:rsidRPr="00064821" w:rsidRDefault="00855158" w:rsidP="00705E36">
            <w:pPr>
              <w:spacing w:after="0" w:line="240" w:lineRule="auto"/>
              <w:ind w:right="140"/>
              <w:jc w:val="center"/>
              <w:rPr>
                <w:rFonts w:ascii="Cambria" w:eastAsia="Times New Roman" w:hAnsi="Cambria" w:cs="Calibri"/>
                <w:b/>
                <w:bCs/>
                <w:color w:val="000000"/>
                <w:sz w:val="16"/>
                <w:szCs w:val="16"/>
                <w:lang w:eastAsia="es-ES"/>
              </w:rPr>
            </w:pPr>
            <w:r w:rsidRPr="00064821">
              <w:rPr>
                <w:rFonts w:ascii="Cambria" w:eastAsia="Times New Roman" w:hAnsi="Cambria" w:cs="Calibri"/>
                <w:b/>
                <w:bCs/>
                <w:color w:val="000000"/>
                <w:sz w:val="16"/>
                <w:szCs w:val="16"/>
                <w:lang w:eastAsia="es-ES"/>
              </w:rPr>
              <w:t>.027</w:t>
            </w:r>
            <w:r w:rsidRPr="00064821">
              <w:rPr>
                <w:rFonts w:ascii="Calibri Light" w:hAnsi="Calibri Light" w:cs="Calibri Light"/>
                <w:b/>
                <w:bCs/>
                <w:sz w:val="16"/>
                <w:szCs w:val="16"/>
              </w:rPr>
              <w:t>*</w:t>
            </w:r>
          </w:p>
        </w:tc>
        <w:tc>
          <w:tcPr>
            <w:tcW w:w="2401" w:type="dxa"/>
            <w:tcBorders>
              <w:top w:val="nil"/>
              <w:left w:val="nil"/>
              <w:right w:val="nil"/>
            </w:tcBorders>
            <w:shd w:val="clear" w:color="auto" w:fill="auto"/>
            <w:noWrap/>
            <w:vAlign w:val="center"/>
            <w:hideMark/>
          </w:tcPr>
          <w:p w14:paraId="321B37C8" w14:textId="5C2A11E7" w:rsidR="00855158" w:rsidRPr="0030497C" w:rsidRDefault="00A1781E" w:rsidP="00705E36">
            <w:pPr>
              <w:spacing w:after="0" w:line="240" w:lineRule="auto"/>
              <w:ind w:right="140"/>
              <w:jc w:val="center"/>
              <w:rPr>
                <w:rFonts w:ascii="Cambria" w:eastAsia="Times New Roman" w:hAnsi="Cambria" w:cs="Calibri"/>
                <w:b/>
                <w:bCs/>
                <w:color w:val="000000"/>
                <w:sz w:val="16"/>
                <w:szCs w:val="16"/>
                <w:lang w:eastAsia="es-ES"/>
              </w:rPr>
            </w:pPr>
            <w:r>
              <w:rPr>
                <w:rFonts w:ascii="Cambria" w:eastAsia="Times New Roman" w:hAnsi="Cambria" w:cs="Calibri"/>
                <w:b/>
                <w:bCs/>
                <w:color w:val="000000"/>
                <w:sz w:val="16"/>
                <w:szCs w:val="16"/>
                <w:lang w:eastAsia="es-ES"/>
              </w:rPr>
              <w:t>Altamente significativo</w:t>
            </w:r>
          </w:p>
        </w:tc>
      </w:tr>
      <w:tr w:rsidR="00855158" w:rsidRPr="0030497C" w14:paraId="17848668" w14:textId="77777777" w:rsidTr="00855158">
        <w:trPr>
          <w:trHeight w:val="18"/>
          <w:jc w:val="center"/>
        </w:trPr>
        <w:tc>
          <w:tcPr>
            <w:tcW w:w="1240" w:type="dxa"/>
            <w:vMerge/>
            <w:tcBorders>
              <w:left w:val="nil"/>
              <w:bottom w:val="single" w:sz="4" w:space="0" w:color="000000"/>
              <w:right w:val="nil"/>
            </w:tcBorders>
            <w:shd w:val="clear" w:color="000000" w:fill="F2F2F2"/>
            <w:vAlign w:val="center"/>
            <w:hideMark/>
          </w:tcPr>
          <w:p w14:paraId="4C96F586"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p>
        </w:tc>
        <w:tc>
          <w:tcPr>
            <w:tcW w:w="901" w:type="dxa"/>
            <w:tcBorders>
              <w:top w:val="nil"/>
              <w:left w:val="nil"/>
              <w:bottom w:val="single" w:sz="4" w:space="0" w:color="auto"/>
              <w:right w:val="nil"/>
            </w:tcBorders>
            <w:shd w:val="clear" w:color="000000" w:fill="F2F2F2"/>
            <w:noWrap/>
            <w:hideMark/>
          </w:tcPr>
          <w:p w14:paraId="5655F8E2"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r w:rsidRPr="0075513A">
              <w:rPr>
                <w:rFonts w:ascii="Cambria" w:eastAsia="Times New Roman" w:hAnsi="Cambria" w:cs="Calibri"/>
                <w:b/>
                <w:bCs/>
                <w:color w:val="000000"/>
                <w:sz w:val="16"/>
                <w:szCs w:val="16"/>
                <w:lang w:eastAsia="es-ES"/>
              </w:rPr>
              <w:t>MPF</w:t>
            </w:r>
            <w:r>
              <w:rPr>
                <w:rFonts w:ascii="Cambria" w:eastAsia="Times New Roman" w:hAnsi="Cambria" w:cs="Calibri"/>
                <w:b/>
                <w:bCs/>
                <w:color w:val="000000"/>
                <w:sz w:val="16"/>
                <w:szCs w:val="16"/>
                <w:lang w:eastAsia="es-ES"/>
              </w:rPr>
              <w:t>5</w:t>
            </w:r>
          </w:p>
        </w:tc>
        <w:tc>
          <w:tcPr>
            <w:tcW w:w="1468" w:type="dxa"/>
            <w:tcBorders>
              <w:top w:val="nil"/>
              <w:left w:val="nil"/>
              <w:bottom w:val="single" w:sz="4" w:space="0" w:color="auto"/>
              <w:right w:val="nil"/>
            </w:tcBorders>
            <w:shd w:val="clear" w:color="auto" w:fill="auto"/>
            <w:noWrap/>
            <w:hideMark/>
          </w:tcPr>
          <w:p w14:paraId="3B39E2D3" w14:textId="77777777" w:rsidR="00855158" w:rsidRPr="00783A4D" w:rsidRDefault="00855158" w:rsidP="00705E36">
            <w:pPr>
              <w:spacing w:after="0" w:line="240" w:lineRule="auto"/>
              <w:ind w:right="140"/>
              <w:jc w:val="center"/>
              <w:rPr>
                <w:rFonts w:ascii="Cambria" w:eastAsia="Times New Roman" w:hAnsi="Cambria" w:cs="Calibri"/>
                <w:color w:val="000000"/>
                <w:sz w:val="16"/>
                <w:szCs w:val="16"/>
                <w:lang w:eastAsia="es-ES"/>
              </w:rPr>
            </w:pPr>
            <w:r w:rsidRPr="00064821">
              <w:rPr>
                <w:rFonts w:ascii="Cambria" w:eastAsia="Times New Roman" w:hAnsi="Cambria" w:cs="Calibri"/>
                <w:color w:val="000000"/>
                <w:sz w:val="16"/>
                <w:szCs w:val="16"/>
                <w:lang w:eastAsia="es-ES"/>
              </w:rPr>
              <w:t>-3</w:t>
            </w:r>
            <w:r>
              <w:rPr>
                <w:rFonts w:ascii="Cambria" w:eastAsia="Times New Roman" w:hAnsi="Cambria" w:cs="Calibri"/>
                <w:color w:val="000000"/>
                <w:sz w:val="16"/>
                <w:szCs w:val="16"/>
                <w:lang w:eastAsia="es-ES"/>
              </w:rPr>
              <w:t>.</w:t>
            </w:r>
            <w:r w:rsidRPr="00064821">
              <w:rPr>
                <w:rFonts w:ascii="Cambria" w:eastAsia="Times New Roman" w:hAnsi="Cambria" w:cs="Calibri"/>
                <w:color w:val="000000"/>
                <w:sz w:val="16"/>
                <w:szCs w:val="16"/>
                <w:lang w:eastAsia="es-ES"/>
              </w:rPr>
              <w:t>66</w:t>
            </w:r>
          </w:p>
        </w:tc>
        <w:tc>
          <w:tcPr>
            <w:tcW w:w="1159" w:type="dxa"/>
            <w:tcBorders>
              <w:top w:val="nil"/>
              <w:left w:val="nil"/>
              <w:bottom w:val="single" w:sz="4" w:space="0" w:color="auto"/>
              <w:right w:val="nil"/>
            </w:tcBorders>
            <w:shd w:val="clear" w:color="auto" w:fill="auto"/>
            <w:noWrap/>
            <w:hideMark/>
          </w:tcPr>
          <w:p w14:paraId="36BF81A2" w14:textId="77777777" w:rsidR="00855158" w:rsidRPr="00064821" w:rsidRDefault="00855158" w:rsidP="00705E36">
            <w:pPr>
              <w:spacing w:after="0" w:line="240" w:lineRule="auto"/>
              <w:ind w:right="140"/>
              <w:jc w:val="center"/>
              <w:rPr>
                <w:rFonts w:ascii="Cambria" w:eastAsia="Times New Roman" w:hAnsi="Cambria" w:cs="Calibri"/>
                <w:b/>
                <w:bCs/>
                <w:color w:val="000000"/>
                <w:sz w:val="16"/>
                <w:szCs w:val="16"/>
                <w:lang w:eastAsia="es-ES"/>
              </w:rPr>
            </w:pPr>
            <w:r w:rsidRPr="00064821">
              <w:rPr>
                <w:rFonts w:ascii="Cambria" w:eastAsia="Times New Roman" w:hAnsi="Cambria" w:cs="Calibri"/>
                <w:b/>
                <w:bCs/>
                <w:color w:val="000000"/>
                <w:sz w:val="16"/>
                <w:szCs w:val="16"/>
                <w:lang w:eastAsia="es-ES"/>
              </w:rPr>
              <w:t>.001</w:t>
            </w:r>
            <w:r w:rsidRPr="00064821">
              <w:rPr>
                <w:rFonts w:ascii="Calibri Light" w:hAnsi="Calibri Light" w:cs="Calibri Light"/>
                <w:b/>
                <w:bCs/>
                <w:sz w:val="16"/>
                <w:szCs w:val="16"/>
              </w:rPr>
              <w:t>**</w:t>
            </w:r>
          </w:p>
        </w:tc>
        <w:tc>
          <w:tcPr>
            <w:tcW w:w="2401" w:type="dxa"/>
            <w:tcBorders>
              <w:top w:val="nil"/>
              <w:left w:val="nil"/>
              <w:bottom w:val="single" w:sz="4" w:space="0" w:color="auto"/>
              <w:right w:val="nil"/>
            </w:tcBorders>
            <w:shd w:val="clear" w:color="auto" w:fill="auto"/>
            <w:noWrap/>
            <w:vAlign w:val="center"/>
            <w:hideMark/>
          </w:tcPr>
          <w:p w14:paraId="6BDCFA8B" w14:textId="174CCB03" w:rsidR="00855158" w:rsidRPr="0030497C" w:rsidRDefault="00A1781E" w:rsidP="00705E36">
            <w:pPr>
              <w:spacing w:after="0" w:line="240" w:lineRule="auto"/>
              <w:ind w:right="140"/>
              <w:jc w:val="center"/>
              <w:rPr>
                <w:rFonts w:ascii="Cambria" w:eastAsia="Times New Roman" w:hAnsi="Cambria" w:cs="Calibri"/>
                <w:b/>
                <w:bCs/>
                <w:color w:val="000000"/>
                <w:sz w:val="16"/>
                <w:szCs w:val="16"/>
                <w:lang w:eastAsia="es-ES"/>
              </w:rPr>
            </w:pPr>
            <w:r>
              <w:rPr>
                <w:rFonts w:ascii="Cambria" w:eastAsia="Times New Roman" w:hAnsi="Cambria" w:cs="Calibri"/>
                <w:b/>
                <w:bCs/>
                <w:color w:val="000000"/>
                <w:sz w:val="16"/>
                <w:szCs w:val="16"/>
                <w:lang w:eastAsia="es-ES"/>
              </w:rPr>
              <w:t>Altamente significativo</w:t>
            </w:r>
          </w:p>
        </w:tc>
      </w:tr>
      <w:tr w:rsidR="00855158" w:rsidRPr="0030497C" w14:paraId="348EA70D" w14:textId="77777777" w:rsidTr="00A1781E">
        <w:trPr>
          <w:trHeight w:val="47"/>
          <w:jc w:val="center"/>
        </w:trPr>
        <w:tc>
          <w:tcPr>
            <w:tcW w:w="1240" w:type="dxa"/>
            <w:vMerge w:val="restart"/>
            <w:tcBorders>
              <w:left w:val="nil"/>
              <w:right w:val="nil"/>
            </w:tcBorders>
            <w:shd w:val="clear" w:color="000000" w:fill="F2F2F2"/>
            <w:vAlign w:val="center"/>
            <w:hideMark/>
          </w:tcPr>
          <w:p w14:paraId="52250A70"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r>
              <w:rPr>
                <w:rFonts w:ascii="Cambria" w:eastAsia="Times New Roman" w:hAnsi="Cambria" w:cs="Calibri"/>
                <w:b/>
                <w:bCs/>
                <w:color w:val="000000"/>
                <w:sz w:val="16"/>
                <w:szCs w:val="16"/>
                <w:lang w:eastAsia="es-ES"/>
              </w:rPr>
              <w:t>MPF4</w:t>
            </w:r>
          </w:p>
        </w:tc>
        <w:tc>
          <w:tcPr>
            <w:tcW w:w="901" w:type="dxa"/>
            <w:tcBorders>
              <w:top w:val="nil"/>
              <w:left w:val="nil"/>
              <w:bottom w:val="nil"/>
              <w:right w:val="nil"/>
            </w:tcBorders>
            <w:shd w:val="clear" w:color="000000" w:fill="F2F2F2"/>
            <w:noWrap/>
            <w:hideMark/>
          </w:tcPr>
          <w:p w14:paraId="720E4F8A"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r w:rsidRPr="0075513A">
              <w:rPr>
                <w:rFonts w:ascii="Cambria" w:eastAsia="Times New Roman" w:hAnsi="Cambria" w:cs="Calibri"/>
                <w:b/>
                <w:bCs/>
                <w:color w:val="000000"/>
                <w:sz w:val="16"/>
                <w:szCs w:val="16"/>
                <w:lang w:eastAsia="es-ES"/>
              </w:rPr>
              <w:t>MPF</w:t>
            </w:r>
            <w:r>
              <w:rPr>
                <w:rFonts w:ascii="Cambria" w:eastAsia="Times New Roman" w:hAnsi="Cambria" w:cs="Calibri"/>
                <w:b/>
                <w:bCs/>
                <w:color w:val="000000"/>
                <w:sz w:val="16"/>
                <w:szCs w:val="16"/>
                <w:lang w:eastAsia="es-ES"/>
              </w:rPr>
              <w:t>2</w:t>
            </w:r>
          </w:p>
        </w:tc>
        <w:tc>
          <w:tcPr>
            <w:tcW w:w="1468" w:type="dxa"/>
            <w:tcBorders>
              <w:top w:val="nil"/>
              <w:left w:val="nil"/>
              <w:bottom w:val="nil"/>
              <w:right w:val="nil"/>
            </w:tcBorders>
            <w:shd w:val="clear" w:color="auto" w:fill="auto"/>
            <w:noWrap/>
            <w:vAlign w:val="bottom"/>
            <w:hideMark/>
          </w:tcPr>
          <w:p w14:paraId="2A0E4DB5" w14:textId="77777777" w:rsidR="00855158" w:rsidRPr="00783A4D" w:rsidRDefault="00855158" w:rsidP="00705E36">
            <w:pPr>
              <w:spacing w:after="0" w:line="240" w:lineRule="auto"/>
              <w:ind w:right="140"/>
              <w:jc w:val="center"/>
              <w:rPr>
                <w:rFonts w:ascii="Cambria" w:eastAsia="Times New Roman" w:hAnsi="Cambria" w:cs="Calibri"/>
                <w:color w:val="000000"/>
                <w:sz w:val="16"/>
                <w:szCs w:val="16"/>
                <w:lang w:eastAsia="es-ES"/>
              </w:rPr>
            </w:pPr>
            <w:r w:rsidRPr="00064821">
              <w:rPr>
                <w:rFonts w:ascii="Cambria" w:eastAsia="Times New Roman" w:hAnsi="Cambria" w:cs="Calibri"/>
                <w:color w:val="000000"/>
                <w:sz w:val="16"/>
                <w:szCs w:val="16"/>
                <w:lang w:eastAsia="es-ES"/>
              </w:rPr>
              <w:t>2</w:t>
            </w:r>
            <w:r>
              <w:rPr>
                <w:rFonts w:ascii="Cambria" w:eastAsia="Times New Roman" w:hAnsi="Cambria" w:cs="Calibri"/>
                <w:color w:val="000000"/>
                <w:sz w:val="16"/>
                <w:szCs w:val="16"/>
                <w:lang w:eastAsia="es-ES"/>
              </w:rPr>
              <w:t>.</w:t>
            </w:r>
            <w:r w:rsidRPr="00064821">
              <w:rPr>
                <w:rFonts w:ascii="Cambria" w:eastAsia="Times New Roman" w:hAnsi="Cambria" w:cs="Calibri"/>
                <w:color w:val="000000"/>
                <w:sz w:val="16"/>
                <w:szCs w:val="16"/>
                <w:lang w:eastAsia="es-ES"/>
              </w:rPr>
              <w:t>38</w:t>
            </w:r>
          </w:p>
        </w:tc>
        <w:tc>
          <w:tcPr>
            <w:tcW w:w="1159" w:type="dxa"/>
            <w:tcBorders>
              <w:top w:val="nil"/>
              <w:left w:val="nil"/>
              <w:bottom w:val="nil"/>
              <w:right w:val="nil"/>
            </w:tcBorders>
            <w:shd w:val="clear" w:color="auto" w:fill="auto"/>
            <w:noWrap/>
            <w:hideMark/>
          </w:tcPr>
          <w:p w14:paraId="01C7D3E0" w14:textId="77777777" w:rsidR="00855158" w:rsidRPr="00783A4D" w:rsidRDefault="00855158" w:rsidP="00705E36">
            <w:pPr>
              <w:spacing w:after="0" w:line="240" w:lineRule="auto"/>
              <w:ind w:right="140"/>
              <w:jc w:val="center"/>
              <w:rPr>
                <w:rFonts w:ascii="Cambria" w:eastAsia="Times New Roman" w:hAnsi="Cambria" w:cs="Calibri"/>
                <w:color w:val="000000"/>
                <w:sz w:val="16"/>
                <w:szCs w:val="16"/>
                <w:lang w:eastAsia="es-ES"/>
              </w:rPr>
            </w:pPr>
            <w:r w:rsidRPr="00064821">
              <w:rPr>
                <w:rFonts w:ascii="Cambria" w:eastAsia="Times New Roman" w:hAnsi="Cambria" w:cs="Calibri"/>
                <w:b/>
                <w:bCs/>
                <w:color w:val="000000"/>
                <w:sz w:val="16"/>
                <w:szCs w:val="16"/>
                <w:lang w:eastAsia="es-ES"/>
              </w:rPr>
              <w:t>.077</w:t>
            </w:r>
            <w:r w:rsidRPr="00064821">
              <w:rPr>
                <w:rFonts w:asciiTheme="majorHAnsi" w:hAnsiTheme="majorHAnsi" w:cstheme="majorHAnsi"/>
                <w:b/>
                <w:bCs/>
                <w:sz w:val="16"/>
                <w:szCs w:val="16"/>
                <w:vertAlign w:val="superscript"/>
              </w:rPr>
              <w:t>†</w:t>
            </w:r>
          </w:p>
        </w:tc>
        <w:tc>
          <w:tcPr>
            <w:tcW w:w="2401" w:type="dxa"/>
            <w:tcBorders>
              <w:top w:val="nil"/>
              <w:left w:val="nil"/>
              <w:bottom w:val="nil"/>
              <w:right w:val="nil"/>
            </w:tcBorders>
            <w:shd w:val="clear" w:color="auto" w:fill="auto"/>
            <w:noWrap/>
            <w:vAlign w:val="center"/>
            <w:hideMark/>
          </w:tcPr>
          <w:p w14:paraId="6A17F7E9" w14:textId="52C56FB5" w:rsidR="00855158" w:rsidRPr="0030497C" w:rsidRDefault="00483C0E" w:rsidP="00705E36">
            <w:pPr>
              <w:spacing w:after="0" w:line="240" w:lineRule="auto"/>
              <w:ind w:right="140"/>
              <w:jc w:val="center"/>
              <w:rPr>
                <w:rFonts w:ascii="Cambria" w:eastAsia="Times New Roman" w:hAnsi="Cambria" w:cs="Calibri"/>
                <w:b/>
                <w:bCs/>
                <w:color w:val="000000"/>
                <w:sz w:val="16"/>
                <w:szCs w:val="16"/>
                <w:lang w:eastAsia="es-ES"/>
              </w:rPr>
            </w:pPr>
            <w:r w:rsidRPr="006074D2">
              <w:rPr>
                <w:rFonts w:ascii="Cambria" w:eastAsia="Times New Roman" w:hAnsi="Cambria" w:cs="Calibri"/>
                <w:b/>
                <w:bCs/>
                <w:color w:val="000000"/>
                <w:sz w:val="16"/>
                <w:szCs w:val="16"/>
                <w:lang w:eastAsia="es-ES"/>
              </w:rPr>
              <w:t>Casi significativo</w:t>
            </w:r>
          </w:p>
        </w:tc>
      </w:tr>
      <w:tr w:rsidR="00855158" w:rsidRPr="0030497C" w14:paraId="4E2CC92F" w14:textId="77777777" w:rsidTr="00855158">
        <w:trPr>
          <w:trHeight w:val="18"/>
          <w:jc w:val="center"/>
        </w:trPr>
        <w:tc>
          <w:tcPr>
            <w:tcW w:w="1240" w:type="dxa"/>
            <w:vMerge/>
            <w:tcBorders>
              <w:left w:val="nil"/>
              <w:right w:val="nil"/>
            </w:tcBorders>
            <w:shd w:val="clear" w:color="000000" w:fill="F2F2F2"/>
            <w:vAlign w:val="center"/>
            <w:hideMark/>
          </w:tcPr>
          <w:p w14:paraId="5FAB5C70"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p>
        </w:tc>
        <w:tc>
          <w:tcPr>
            <w:tcW w:w="901" w:type="dxa"/>
            <w:tcBorders>
              <w:top w:val="nil"/>
              <w:left w:val="nil"/>
              <w:right w:val="nil"/>
            </w:tcBorders>
            <w:shd w:val="clear" w:color="000000" w:fill="F2F2F2"/>
            <w:noWrap/>
            <w:hideMark/>
          </w:tcPr>
          <w:p w14:paraId="4C060FCD"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r w:rsidRPr="0075513A">
              <w:rPr>
                <w:rFonts w:ascii="Cambria" w:eastAsia="Times New Roman" w:hAnsi="Cambria" w:cs="Calibri"/>
                <w:b/>
                <w:bCs/>
                <w:color w:val="000000"/>
                <w:sz w:val="16"/>
                <w:szCs w:val="16"/>
                <w:lang w:eastAsia="es-ES"/>
              </w:rPr>
              <w:t>MPF</w:t>
            </w:r>
            <w:r>
              <w:rPr>
                <w:rFonts w:ascii="Cambria" w:eastAsia="Times New Roman" w:hAnsi="Cambria" w:cs="Calibri"/>
                <w:b/>
                <w:bCs/>
                <w:color w:val="000000"/>
                <w:sz w:val="16"/>
                <w:szCs w:val="16"/>
                <w:lang w:eastAsia="es-ES"/>
              </w:rPr>
              <w:t>3</w:t>
            </w:r>
          </w:p>
        </w:tc>
        <w:tc>
          <w:tcPr>
            <w:tcW w:w="1468" w:type="dxa"/>
            <w:tcBorders>
              <w:top w:val="nil"/>
              <w:left w:val="nil"/>
              <w:right w:val="nil"/>
            </w:tcBorders>
            <w:shd w:val="clear" w:color="auto" w:fill="auto"/>
            <w:noWrap/>
            <w:vAlign w:val="bottom"/>
            <w:hideMark/>
          </w:tcPr>
          <w:p w14:paraId="1F990085" w14:textId="77777777" w:rsidR="00855158" w:rsidRPr="00783A4D" w:rsidRDefault="00855158" w:rsidP="00705E36">
            <w:pPr>
              <w:spacing w:after="0" w:line="240" w:lineRule="auto"/>
              <w:ind w:right="140"/>
              <w:jc w:val="center"/>
              <w:rPr>
                <w:rFonts w:ascii="Cambria" w:eastAsia="Times New Roman" w:hAnsi="Cambria" w:cs="Calibri"/>
                <w:color w:val="000000"/>
                <w:sz w:val="16"/>
                <w:szCs w:val="16"/>
                <w:lang w:eastAsia="es-ES"/>
              </w:rPr>
            </w:pPr>
            <w:r w:rsidRPr="00064821">
              <w:rPr>
                <w:rFonts w:ascii="Cambria" w:eastAsia="Times New Roman" w:hAnsi="Cambria" w:cs="Calibri"/>
                <w:color w:val="000000"/>
                <w:sz w:val="16"/>
                <w:szCs w:val="16"/>
                <w:lang w:eastAsia="es-ES"/>
              </w:rPr>
              <w:t>2</w:t>
            </w:r>
            <w:r>
              <w:rPr>
                <w:rFonts w:ascii="Cambria" w:eastAsia="Times New Roman" w:hAnsi="Cambria" w:cs="Calibri"/>
                <w:color w:val="000000"/>
                <w:sz w:val="16"/>
                <w:szCs w:val="16"/>
                <w:lang w:eastAsia="es-ES"/>
              </w:rPr>
              <w:t>.</w:t>
            </w:r>
            <w:r w:rsidRPr="00064821">
              <w:rPr>
                <w:rFonts w:ascii="Cambria" w:eastAsia="Times New Roman" w:hAnsi="Cambria" w:cs="Calibri"/>
                <w:color w:val="000000"/>
                <w:sz w:val="16"/>
                <w:szCs w:val="16"/>
                <w:lang w:eastAsia="es-ES"/>
              </w:rPr>
              <w:t>04</w:t>
            </w:r>
          </w:p>
        </w:tc>
        <w:tc>
          <w:tcPr>
            <w:tcW w:w="1159" w:type="dxa"/>
            <w:tcBorders>
              <w:top w:val="nil"/>
              <w:left w:val="nil"/>
              <w:right w:val="nil"/>
            </w:tcBorders>
            <w:shd w:val="clear" w:color="auto" w:fill="auto"/>
            <w:noWrap/>
            <w:hideMark/>
          </w:tcPr>
          <w:p w14:paraId="4BB5A803" w14:textId="77777777" w:rsidR="00855158" w:rsidRPr="00064821" w:rsidRDefault="00855158" w:rsidP="00705E36">
            <w:pPr>
              <w:spacing w:after="0" w:line="240" w:lineRule="auto"/>
              <w:ind w:right="140"/>
              <w:jc w:val="center"/>
              <w:rPr>
                <w:rFonts w:ascii="Cambria" w:eastAsia="Times New Roman" w:hAnsi="Cambria" w:cs="Calibri"/>
                <w:b/>
                <w:bCs/>
                <w:color w:val="000000"/>
                <w:sz w:val="16"/>
                <w:szCs w:val="16"/>
                <w:lang w:eastAsia="es-ES"/>
              </w:rPr>
            </w:pPr>
            <w:r w:rsidRPr="00064821">
              <w:rPr>
                <w:rFonts w:ascii="Cambria" w:eastAsia="Times New Roman" w:hAnsi="Cambria" w:cs="Calibri"/>
                <w:b/>
                <w:bCs/>
                <w:color w:val="000000"/>
                <w:sz w:val="16"/>
                <w:szCs w:val="16"/>
                <w:lang w:eastAsia="es-ES"/>
              </w:rPr>
              <w:t>.027</w:t>
            </w:r>
            <w:r w:rsidRPr="00064821">
              <w:rPr>
                <w:rFonts w:ascii="Calibri Light" w:hAnsi="Calibri Light" w:cs="Calibri Light"/>
                <w:b/>
                <w:bCs/>
                <w:sz w:val="16"/>
                <w:szCs w:val="16"/>
              </w:rPr>
              <w:t>*</w:t>
            </w:r>
          </w:p>
        </w:tc>
        <w:tc>
          <w:tcPr>
            <w:tcW w:w="2401" w:type="dxa"/>
            <w:tcBorders>
              <w:top w:val="nil"/>
              <w:left w:val="nil"/>
              <w:right w:val="nil"/>
            </w:tcBorders>
            <w:shd w:val="clear" w:color="auto" w:fill="auto"/>
            <w:noWrap/>
            <w:hideMark/>
          </w:tcPr>
          <w:p w14:paraId="12FB4FB0" w14:textId="5544FBEC" w:rsidR="00855158" w:rsidRPr="0030497C" w:rsidRDefault="00483C0E" w:rsidP="00705E36">
            <w:pPr>
              <w:spacing w:after="0" w:line="240" w:lineRule="auto"/>
              <w:ind w:right="140"/>
              <w:jc w:val="center"/>
              <w:rPr>
                <w:rFonts w:ascii="Cambria" w:eastAsia="Times New Roman" w:hAnsi="Cambria" w:cs="Calibri"/>
                <w:color w:val="000000"/>
                <w:sz w:val="16"/>
                <w:szCs w:val="16"/>
                <w:lang w:eastAsia="es-ES"/>
              </w:rPr>
            </w:pPr>
            <w:r>
              <w:rPr>
                <w:rFonts w:ascii="Cambria" w:eastAsia="Times New Roman" w:hAnsi="Cambria" w:cs="Calibri"/>
                <w:b/>
                <w:bCs/>
                <w:color w:val="000000"/>
                <w:sz w:val="16"/>
                <w:szCs w:val="16"/>
                <w:lang w:eastAsia="es-ES"/>
              </w:rPr>
              <w:t>Altamente significativo</w:t>
            </w:r>
          </w:p>
        </w:tc>
      </w:tr>
      <w:tr w:rsidR="00855158" w:rsidRPr="0030497C" w14:paraId="067A4E51" w14:textId="77777777" w:rsidTr="00855158">
        <w:trPr>
          <w:trHeight w:val="18"/>
          <w:jc w:val="center"/>
        </w:trPr>
        <w:tc>
          <w:tcPr>
            <w:tcW w:w="1240" w:type="dxa"/>
            <w:vMerge/>
            <w:tcBorders>
              <w:left w:val="nil"/>
              <w:bottom w:val="single" w:sz="4" w:space="0" w:color="000000"/>
              <w:right w:val="nil"/>
            </w:tcBorders>
            <w:shd w:val="clear" w:color="000000" w:fill="F2F2F2"/>
            <w:vAlign w:val="center"/>
            <w:hideMark/>
          </w:tcPr>
          <w:p w14:paraId="272EFD65"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p>
        </w:tc>
        <w:tc>
          <w:tcPr>
            <w:tcW w:w="901" w:type="dxa"/>
            <w:tcBorders>
              <w:top w:val="nil"/>
              <w:left w:val="nil"/>
              <w:bottom w:val="single" w:sz="4" w:space="0" w:color="auto"/>
              <w:right w:val="nil"/>
            </w:tcBorders>
            <w:shd w:val="clear" w:color="000000" w:fill="F2F2F2"/>
            <w:noWrap/>
            <w:hideMark/>
          </w:tcPr>
          <w:p w14:paraId="50BBE60E"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r w:rsidRPr="0075513A">
              <w:rPr>
                <w:rFonts w:ascii="Cambria" w:eastAsia="Times New Roman" w:hAnsi="Cambria" w:cs="Calibri"/>
                <w:b/>
                <w:bCs/>
                <w:color w:val="000000"/>
                <w:sz w:val="16"/>
                <w:szCs w:val="16"/>
                <w:lang w:eastAsia="es-ES"/>
              </w:rPr>
              <w:t>MPF</w:t>
            </w:r>
            <w:r>
              <w:rPr>
                <w:rFonts w:ascii="Cambria" w:eastAsia="Times New Roman" w:hAnsi="Cambria" w:cs="Calibri"/>
                <w:b/>
                <w:bCs/>
                <w:color w:val="000000"/>
                <w:sz w:val="16"/>
                <w:szCs w:val="16"/>
                <w:lang w:eastAsia="es-ES"/>
              </w:rPr>
              <w:t>5</w:t>
            </w:r>
          </w:p>
        </w:tc>
        <w:tc>
          <w:tcPr>
            <w:tcW w:w="1468" w:type="dxa"/>
            <w:tcBorders>
              <w:top w:val="nil"/>
              <w:left w:val="nil"/>
              <w:bottom w:val="single" w:sz="4" w:space="0" w:color="auto"/>
              <w:right w:val="nil"/>
            </w:tcBorders>
            <w:shd w:val="clear" w:color="auto" w:fill="auto"/>
            <w:noWrap/>
            <w:vAlign w:val="bottom"/>
            <w:hideMark/>
          </w:tcPr>
          <w:p w14:paraId="5375832C" w14:textId="77777777" w:rsidR="00855158" w:rsidRPr="00783A4D" w:rsidRDefault="00855158" w:rsidP="00705E36">
            <w:pPr>
              <w:spacing w:after="0" w:line="240" w:lineRule="auto"/>
              <w:ind w:right="140"/>
              <w:jc w:val="center"/>
              <w:rPr>
                <w:rFonts w:ascii="Cambria" w:eastAsia="Times New Roman" w:hAnsi="Cambria" w:cs="Calibri"/>
                <w:color w:val="000000"/>
                <w:sz w:val="16"/>
                <w:szCs w:val="16"/>
                <w:lang w:eastAsia="es-ES"/>
              </w:rPr>
            </w:pPr>
            <w:r w:rsidRPr="00064821">
              <w:rPr>
                <w:rFonts w:ascii="Cambria" w:eastAsia="Times New Roman" w:hAnsi="Cambria" w:cs="Calibri"/>
                <w:color w:val="000000"/>
                <w:sz w:val="16"/>
                <w:szCs w:val="16"/>
                <w:lang w:eastAsia="es-ES"/>
              </w:rPr>
              <w:t>-1</w:t>
            </w:r>
            <w:r>
              <w:rPr>
                <w:rFonts w:ascii="Cambria" w:eastAsia="Times New Roman" w:hAnsi="Cambria" w:cs="Calibri"/>
                <w:color w:val="000000"/>
                <w:sz w:val="16"/>
                <w:szCs w:val="16"/>
                <w:lang w:eastAsia="es-ES"/>
              </w:rPr>
              <w:t>.</w:t>
            </w:r>
            <w:r w:rsidRPr="00064821">
              <w:rPr>
                <w:rFonts w:ascii="Cambria" w:eastAsia="Times New Roman" w:hAnsi="Cambria" w:cs="Calibri"/>
                <w:color w:val="000000"/>
                <w:sz w:val="16"/>
                <w:szCs w:val="16"/>
                <w:lang w:eastAsia="es-ES"/>
              </w:rPr>
              <w:t>62</w:t>
            </w:r>
          </w:p>
        </w:tc>
        <w:tc>
          <w:tcPr>
            <w:tcW w:w="1159" w:type="dxa"/>
            <w:tcBorders>
              <w:top w:val="nil"/>
              <w:left w:val="nil"/>
              <w:bottom w:val="single" w:sz="4" w:space="0" w:color="auto"/>
              <w:right w:val="nil"/>
            </w:tcBorders>
            <w:shd w:val="clear" w:color="auto" w:fill="auto"/>
            <w:noWrap/>
            <w:hideMark/>
          </w:tcPr>
          <w:p w14:paraId="5E3611E3" w14:textId="77777777" w:rsidR="00855158" w:rsidRPr="0030497C" w:rsidRDefault="00855158" w:rsidP="00705E36">
            <w:pPr>
              <w:spacing w:after="0" w:line="240" w:lineRule="auto"/>
              <w:ind w:right="140"/>
              <w:jc w:val="center"/>
              <w:rPr>
                <w:rFonts w:ascii="Cambria" w:eastAsia="Times New Roman" w:hAnsi="Cambria" w:cs="Calibri"/>
                <w:color w:val="000000"/>
                <w:sz w:val="16"/>
                <w:szCs w:val="16"/>
                <w:lang w:eastAsia="es-ES"/>
              </w:rPr>
            </w:pPr>
            <w:r>
              <w:rPr>
                <w:rFonts w:ascii="Cambria" w:eastAsia="Times New Roman" w:hAnsi="Cambria" w:cs="Calibri"/>
                <w:color w:val="000000"/>
                <w:sz w:val="16"/>
                <w:szCs w:val="16"/>
                <w:lang w:eastAsia="es-ES"/>
              </w:rPr>
              <w:t>.</w:t>
            </w:r>
            <w:r w:rsidRPr="00064821">
              <w:rPr>
                <w:rFonts w:ascii="Cambria" w:eastAsia="Times New Roman" w:hAnsi="Cambria" w:cs="Calibri"/>
                <w:color w:val="000000"/>
                <w:sz w:val="16"/>
                <w:szCs w:val="16"/>
                <w:lang w:eastAsia="es-ES"/>
              </w:rPr>
              <w:t>504</w:t>
            </w:r>
            <w:r w:rsidRPr="009141B7">
              <w:rPr>
                <w:rFonts w:ascii="Cambria" w:hAnsi="Cambria" w:cs="Calibri"/>
                <w:color w:val="000000"/>
                <w:sz w:val="16"/>
                <w:szCs w:val="16"/>
                <w:vertAlign w:val="superscript"/>
              </w:rPr>
              <w:t xml:space="preserve"> NS</w:t>
            </w:r>
          </w:p>
        </w:tc>
        <w:tc>
          <w:tcPr>
            <w:tcW w:w="2401" w:type="dxa"/>
            <w:tcBorders>
              <w:top w:val="nil"/>
              <w:left w:val="nil"/>
              <w:bottom w:val="single" w:sz="4" w:space="0" w:color="auto"/>
              <w:right w:val="nil"/>
            </w:tcBorders>
            <w:shd w:val="clear" w:color="auto" w:fill="auto"/>
            <w:noWrap/>
            <w:vAlign w:val="center"/>
            <w:hideMark/>
          </w:tcPr>
          <w:p w14:paraId="5B5928AD" w14:textId="7FA20BA4" w:rsidR="00855158" w:rsidRPr="0030497C" w:rsidRDefault="00855158" w:rsidP="00705E36">
            <w:pPr>
              <w:spacing w:after="0" w:line="240" w:lineRule="auto"/>
              <w:ind w:right="140"/>
              <w:jc w:val="center"/>
              <w:rPr>
                <w:rFonts w:ascii="Cambria" w:eastAsia="Times New Roman" w:hAnsi="Cambria" w:cs="Calibri"/>
                <w:color w:val="000000"/>
                <w:sz w:val="16"/>
                <w:szCs w:val="16"/>
                <w:lang w:eastAsia="es-ES"/>
              </w:rPr>
            </w:pPr>
            <w:r w:rsidRPr="0030497C">
              <w:rPr>
                <w:rFonts w:ascii="Cambria" w:eastAsia="Times New Roman" w:hAnsi="Cambria" w:cs="Calibri"/>
                <w:color w:val="000000"/>
                <w:sz w:val="16"/>
                <w:szCs w:val="16"/>
                <w:lang w:eastAsia="es-ES"/>
              </w:rPr>
              <w:t>No significa</w:t>
            </w:r>
            <w:r w:rsidR="00842EE4">
              <w:rPr>
                <w:rFonts w:ascii="Cambria" w:eastAsia="Times New Roman" w:hAnsi="Cambria" w:cs="Calibri"/>
                <w:color w:val="000000"/>
                <w:sz w:val="16"/>
                <w:szCs w:val="16"/>
                <w:lang w:eastAsia="es-ES"/>
              </w:rPr>
              <w:t>t</w:t>
            </w:r>
            <w:r w:rsidR="00483C0E">
              <w:rPr>
                <w:rFonts w:ascii="Cambria" w:eastAsia="Times New Roman" w:hAnsi="Cambria" w:cs="Calibri"/>
                <w:color w:val="000000"/>
                <w:sz w:val="16"/>
                <w:szCs w:val="16"/>
                <w:lang w:eastAsia="es-ES"/>
              </w:rPr>
              <w:t>ivo</w:t>
            </w:r>
          </w:p>
        </w:tc>
      </w:tr>
      <w:tr w:rsidR="00855158" w:rsidRPr="0030497C" w14:paraId="67BBF6A9" w14:textId="77777777" w:rsidTr="00855158">
        <w:trPr>
          <w:trHeight w:val="18"/>
          <w:jc w:val="center"/>
        </w:trPr>
        <w:tc>
          <w:tcPr>
            <w:tcW w:w="1240" w:type="dxa"/>
            <w:vMerge w:val="restart"/>
            <w:tcBorders>
              <w:left w:val="nil"/>
              <w:right w:val="nil"/>
            </w:tcBorders>
            <w:shd w:val="clear" w:color="000000" w:fill="F2F2F2"/>
            <w:vAlign w:val="center"/>
          </w:tcPr>
          <w:p w14:paraId="1D1B2842"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r>
              <w:rPr>
                <w:rFonts w:ascii="Cambria" w:eastAsia="Times New Roman" w:hAnsi="Cambria" w:cs="Calibri"/>
                <w:b/>
                <w:bCs/>
                <w:color w:val="000000"/>
                <w:sz w:val="16"/>
                <w:szCs w:val="16"/>
                <w:lang w:eastAsia="es-ES"/>
              </w:rPr>
              <w:t>MPF5</w:t>
            </w:r>
          </w:p>
        </w:tc>
        <w:tc>
          <w:tcPr>
            <w:tcW w:w="901" w:type="dxa"/>
            <w:tcBorders>
              <w:top w:val="nil"/>
              <w:left w:val="nil"/>
              <w:bottom w:val="nil"/>
              <w:right w:val="nil"/>
            </w:tcBorders>
            <w:shd w:val="clear" w:color="000000" w:fill="F2F2F2"/>
            <w:noWrap/>
          </w:tcPr>
          <w:p w14:paraId="35E4339C"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r w:rsidRPr="0075513A">
              <w:rPr>
                <w:rFonts w:ascii="Cambria" w:eastAsia="Times New Roman" w:hAnsi="Cambria" w:cs="Calibri"/>
                <w:b/>
                <w:bCs/>
                <w:color w:val="000000"/>
                <w:sz w:val="16"/>
                <w:szCs w:val="16"/>
                <w:lang w:eastAsia="es-ES"/>
              </w:rPr>
              <w:t>MPF</w:t>
            </w:r>
            <w:r>
              <w:rPr>
                <w:rFonts w:ascii="Cambria" w:eastAsia="Times New Roman" w:hAnsi="Cambria" w:cs="Calibri"/>
                <w:b/>
                <w:bCs/>
                <w:color w:val="000000"/>
                <w:sz w:val="16"/>
                <w:szCs w:val="16"/>
                <w:lang w:eastAsia="es-ES"/>
              </w:rPr>
              <w:t>2</w:t>
            </w:r>
          </w:p>
        </w:tc>
        <w:tc>
          <w:tcPr>
            <w:tcW w:w="1468" w:type="dxa"/>
            <w:tcBorders>
              <w:top w:val="nil"/>
              <w:left w:val="nil"/>
              <w:bottom w:val="nil"/>
              <w:right w:val="nil"/>
            </w:tcBorders>
            <w:shd w:val="clear" w:color="auto" w:fill="auto"/>
            <w:noWrap/>
            <w:vAlign w:val="bottom"/>
          </w:tcPr>
          <w:p w14:paraId="0E9CB407" w14:textId="77777777" w:rsidR="00855158" w:rsidRPr="00783A4D" w:rsidRDefault="00855158" w:rsidP="00705E36">
            <w:pPr>
              <w:spacing w:after="0" w:line="240" w:lineRule="auto"/>
              <w:ind w:right="140"/>
              <w:jc w:val="center"/>
              <w:rPr>
                <w:rFonts w:ascii="Cambria" w:eastAsia="Times New Roman" w:hAnsi="Cambria" w:cs="Calibri"/>
                <w:color w:val="000000"/>
                <w:sz w:val="16"/>
                <w:szCs w:val="16"/>
                <w:lang w:eastAsia="es-ES"/>
              </w:rPr>
            </w:pPr>
            <w:r w:rsidRPr="00064821">
              <w:rPr>
                <w:rFonts w:ascii="Cambria" w:eastAsia="Times New Roman" w:hAnsi="Cambria" w:cs="Calibri"/>
                <w:color w:val="000000"/>
                <w:sz w:val="16"/>
                <w:szCs w:val="16"/>
                <w:lang w:eastAsia="es-ES"/>
              </w:rPr>
              <w:t>4</w:t>
            </w:r>
            <w:r>
              <w:rPr>
                <w:rFonts w:ascii="Cambria" w:eastAsia="Times New Roman" w:hAnsi="Cambria" w:cs="Calibri"/>
                <w:color w:val="000000"/>
                <w:sz w:val="16"/>
                <w:szCs w:val="16"/>
                <w:lang w:eastAsia="es-ES"/>
              </w:rPr>
              <w:t>.</w:t>
            </w:r>
            <w:r w:rsidRPr="00064821">
              <w:rPr>
                <w:rFonts w:ascii="Cambria" w:eastAsia="Times New Roman" w:hAnsi="Cambria" w:cs="Calibri"/>
                <w:color w:val="000000"/>
                <w:sz w:val="16"/>
                <w:szCs w:val="16"/>
                <w:lang w:eastAsia="es-ES"/>
              </w:rPr>
              <w:t>00</w:t>
            </w:r>
          </w:p>
        </w:tc>
        <w:tc>
          <w:tcPr>
            <w:tcW w:w="1159" w:type="dxa"/>
            <w:tcBorders>
              <w:top w:val="nil"/>
              <w:left w:val="nil"/>
              <w:bottom w:val="nil"/>
              <w:right w:val="nil"/>
            </w:tcBorders>
            <w:shd w:val="clear" w:color="auto" w:fill="auto"/>
            <w:noWrap/>
          </w:tcPr>
          <w:p w14:paraId="2CB3278B" w14:textId="77777777" w:rsidR="00855158" w:rsidRPr="00064821" w:rsidRDefault="00855158" w:rsidP="00705E36">
            <w:pPr>
              <w:spacing w:after="0" w:line="240" w:lineRule="auto"/>
              <w:ind w:right="140"/>
              <w:jc w:val="center"/>
              <w:rPr>
                <w:rFonts w:ascii="Cambria" w:eastAsia="Times New Roman" w:hAnsi="Cambria" w:cs="Calibri"/>
                <w:b/>
                <w:bCs/>
                <w:color w:val="000000"/>
                <w:sz w:val="16"/>
                <w:szCs w:val="16"/>
                <w:lang w:eastAsia="es-ES"/>
              </w:rPr>
            </w:pPr>
            <w:r w:rsidRPr="00064821">
              <w:rPr>
                <w:rFonts w:ascii="Cambria" w:eastAsia="Times New Roman" w:hAnsi="Cambria" w:cs="Calibri"/>
                <w:b/>
                <w:bCs/>
                <w:color w:val="000000"/>
                <w:sz w:val="16"/>
                <w:szCs w:val="16"/>
                <w:lang w:eastAsia="es-ES"/>
              </w:rPr>
              <w:t>.004</w:t>
            </w:r>
            <w:r w:rsidRPr="00064821">
              <w:rPr>
                <w:rFonts w:ascii="Calibri Light" w:hAnsi="Calibri Light" w:cs="Calibri Light"/>
                <w:b/>
                <w:bCs/>
                <w:sz w:val="16"/>
                <w:szCs w:val="16"/>
              </w:rPr>
              <w:t>**</w:t>
            </w:r>
          </w:p>
        </w:tc>
        <w:tc>
          <w:tcPr>
            <w:tcW w:w="2401" w:type="dxa"/>
            <w:tcBorders>
              <w:top w:val="nil"/>
              <w:left w:val="nil"/>
              <w:bottom w:val="nil"/>
              <w:right w:val="nil"/>
            </w:tcBorders>
            <w:shd w:val="clear" w:color="auto" w:fill="auto"/>
            <w:noWrap/>
          </w:tcPr>
          <w:p w14:paraId="7000BF68" w14:textId="39F731FF" w:rsidR="00855158" w:rsidRPr="0030497C" w:rsidRDefault="00483C0E" w:rsidP="00705E36">
            <w:pPr>
              <w:spacing w:after="0" w:line="240" w:lineRule="auto"/>
              <w:ind w:right="140"/>
              <w:jc w:val="center"/>
              <w:rPr>
                <w:rFonts w:ascii="Cambria" w:eastAsia="Times New Roman" w:hAnsi="Cambria" w:cs="Calibri"/>
                <w:color w:val="000000"/>
                <w:sz w:val="16"/>
                <w:szCs w:val="16"/>
                <w:lang w:eastAsia="es-ES"/>
              </w:rPr>
            </w:pPr>
            <w:r>
              <w:rPr>
                <w:rFonts w:ascii="Cambria" w:eastAsia="Times New Roman" w:hAnsi="Cambria" w:cs="Calibri"/>
                <w:b/>
                <w:bCs/>
                <w:color w:val="000000"/>
                <w:sz w:val="16"/>
                <w:szCs w:val="16"/>
                <w:lang w:eastAsia="es-ES"/>
              </w:rPr>
              <w:t>Altamente significativo</w:t>
            </w:r>
          </w:p>
        </w:tc>
      </w:tr>
      <w:tr w:rsidR="00855158" w:rsidRPr="0030497C" w14:paraId="4AE3D411" w14:textId="77777777" w:rsidTr="00855158">
        <w:trPr>
          <w:trHeight w:val="18"/>
          <w:jc w:val="center"/>
        </w:trPr>
        <w:tc>
          <w:tcPr>
            <w:tcW w:w="1240" w:type="dxa"/>
            <w:vMerge/>
            <w:tcBorders>
              <w:left w:val="nil"/>
              <w:right w:val="nil"/>
            </w:tcBorders>
            <w:shd w:val="clear" w:color="000000" w:fill="F2F2F2"/>
            <w:vAlign w:val="center"/>
          </w:tcPr>
          <w:p w14:paraId="30F2913B"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p>
        </w:tc>
        <w:tc>
          <w:tcPr>
            <w:tcW w:w="901" w:type="dxa"/>
            <w:tcBorders>
              <w:top w:val="nil"/>
              <w:left w:val="nil"/>
              <w:bottom w:val="nil"/>
              <w:right w:val="nil"/>
            </w:tcBorders>
            <w:shd w:val="clear" w:color="000000" w:fill="F2F2F2"/>
            <w:noWrap/>
          </w:tcPr>
          <w:p w14:paraId="64BA441F"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r w:rsidRPr="0075513A">
              <w:rPr>
                <w:rFonts w:ascii="Cambria" w:eastAsia="Times New Roman" w:hAnsi="Cambria" w:cs="Calibri"/>
                <w:b/>
                <w:bCs/>
                <w:color w:val="000000"/>
                <w:sz w:val="16"/>
                <w:szCs w:val="16"/>
                <w:lang w:eastAsia="es-ES"/>
              </w:rPr>
              <w:t>MPF</w:t>
            </w:r>
            <w:r>
              <w:rPr>
                <w:rFonts w:ascii="Cambria" w:eastAsia="Times New Roman" w:hAnsi="Cambria" w:cs="Calibri"/>
                <w:b/>
                <w:bCs/>
                <w:color w:val="000000"/>
                <w:sz w:val="16"/>
                <w:szCs w:val="16"/>
                <w:lang w:eastAsia="es-ES"/>
              </w:rPr>
              <w:t>3</w:t>
            </w:r>
          </w:p>
        </w:tc>
        <w:tc>
          <w:tcPr>
            <w:tcW w:w="1468" w:type="dxa"/>
            <w:tcBorders>
              <w:top w:val="nil"/>
              <w:left w:val="nil"/>
              <w:bottom w:val="nil"/>
              <w:right w:val="nil"/>
            </w:tcBorders>
            <w:shd w:val="clear" w:color="auto" w:fill="auto"/>
            <w:noWrap/>
            <w:vAlign w:val="bottom"/>
          </w:tcPr>
          <w:p w14:paraId="58D4423C" w14:textId="77777777" w:rsidR="00855158" w:rsidRPr="00783A4D" w:rsidRDefault="00855158" w:rsidP="00705E36">
            <w:pPr>
              <w:spacing w:after="0" w:line="240" w:lineRule="auto"/>
              <w:ind w:right="140"/>
              <w:jc w:val="center"/>
              <w:rPr>
                <w:rFonts w:ascii="Cambria" w:eastAsia="Times New Roman" w:hAnsi="Cambria" w:cs="Calibri"/>
                <w:color w:val="000000"/>
                <w:sz w:val="16"/>
                <w:szCs w:val="16"/>
                <w:lang w:eastAsia="es-ES"/>
              </w:rPr>
            </w:pPr>
            <w:r w:rsidRPr="00064821">
              <w:rPr>
                <w:rFonts w:ascii="Cambria" w:eastAsia="Times New Roman" w:hAnsi="Cambria" w:cs="Calibri"/>
                <w:color w:val="000000"/>
                <w:sz w:val="16"/>
                <w:szCs w:val="16"/>
                <w:lang w:eastAsia="es-ES"/>
              </w:rPr>
              <w:t>3</w:t>
            </w:r>
            <w:r>
              <w:rPr>
                <w:rFonts w:ascii="Cambria" w:eastAsia="Times New Roman" w:hAnsi="Cambria" w:cs="Calibri"/>
                <w:color w:val="000000"/>
                <w:sz w:val="16"/>
                <w:szCs w:val="16"/>
                <w:lang w:eastAsia="es-ES"/>
              </w:rPr>
              <w:t>.</w:t>
            </w:r>
            <w:r w:rsidRPr="00064821">
              <w:rPr>
                <w:rFonts w:ascii="Cambria" w:eastAsia="Times New Roman" w:hAnsi="Cambria" w:cs="Calibri"/>
                <w:color w:val="000000"/>
                <w:sz w:val="16"/>
                <w:szCs w:val="16"/>
                <w:lang w:eastAsia="es-ES"/>
              </w:rPr>
              <w:t>66</w:t>
            </w:r>
          </w:p>
        </w:tc>
        <w:tc>
          <w:tcPr>
            <w:tcW w:w="1159" w:type="dxa"/>
            <w:tcBorders>
              <w:top w:val="nil"/>
              <w:left w:val="nil"/>
              <w:bottom w:val="nil"/>
              <w:right w:val="nil"/>
            </w:tcBorders>
            <w:shd w:val="clear" w:color="auto" w:fill="auto"/>
            <w:noWrap/>
          </w:tcPr>
          <w:p w14:paraId="61FDE3FE" w14:textId="77777777" w:rsidR="00855158" w:rsidRPr="0030497C" w:rsidRDefault="00855158" w:rsidP="00705E36">
            <w:pPr>
              <w:spacing w:after="0" w:line="240" w:lineRule="auto"/>
              <w:ind w:right="140"/>
              <w:jc w:val="center"/>
              <w:rPr>
                <w:rFonts w:ascii="Cambria" w:eastAsia="Times New Roman" w:hAnsi="Cambria" w:cs="Calibri"/>
                <w:color w:val="000000"/>
                <w:sz w:val="16"/>
                <w:szCs w:val="16"/>
                <w:lang w:eastAsia="es-ES"/>
              </w:rPr>
            </w:pPr>
            <w:r w:rsidRPr="004D30D6">
              <w:rPr>
                <w:rFonts w:ascii="Cambria" w:hAnsi="Cambria" w:cs="Calibri"/>
                <w:b/>
                <w:bCs/>
                <w:color w:val="000000"/>
                <w:sz w:val="16"/>
                <w:szCs w:val="16"/>
              </w:rPr>
              <w:t>.001</w:t>
            </w:r>
            <w:r w:rsidRPr="004D30D6">
              <w:rPr>
                <w:rFonts w:ascii="Calibri Light" w:hAnsi="Calibri Light" w:cs="Calibri Light"/>
                <w:b/>
                <w:bCs/>
                <w:sz w:val="16"/>
                <w:szCs w:val="16"/>
              </w:rPr>
              <w:t>**</w:t>
            </w:r>
          </w:p>
        </w:tc>
        <w:tc>
          <w:tcPr>
            <w:tcW w:w="2401" w:type="dxa"/>
            <w:tcBorders>
              <w:top w:val="nil"/>
              <w:left w:val="nil"/>
              <w:bottom w:val="nil"/>
              <w:right w:val="nil"/>
            </w:tcBorders>
            <w:shd w:val="clear" w:color="auto" w:fill="auto"/>
            <w:noWrap/>
          </w:tcPr>
          <w:p w14:paraId="64206C33" w14:textId="4A99435B" w:rsidR="00855158" w:rsidRPr="0030497C" w:rsidRDefault="00483C0E" w:rsidP="00705E36">
            <w:pPr>
              <w:spacing w:after="0" w:line="240" w:lineRule="auto"/>
              <w:ind w:right="140"/>
              <w:jc w:val="center"/>
              <w:rPr>
                <w:rFonts w:ascii="Cambria" w:eastAsia="Times New Roman" w:hAnsi="Cambria" w:cs="Calibri"/>
                <w:color w:val="000000"/>
                <w:sz w:val="16"/>
                <w:szCs w:val="16"/>
                <w:lang w:eastAsia="es-ES"/>
              </w:rPr>
            </w:pPr>
            <w:r>
              <w:rPr>
                <w:rFonts w:ascii="Cambria" w:eastAsia="Times New Roman" w:hAnsi="Cambria" w:cs="Calibri"/>
                <w:b/>
                <w:bCs/>
                <w:color w:val="000000"/>
                <w:sz w:val="16"/>
                <w:szCs w:val="16"/>
                <w:lang w:eastAsia="es-ES"/>
              </w:rPr>
              <w:t>Altamente significativo</w:t>
            </w:r>
          </w:p>
        </w:tc>
      </w:tr>
      <w:tr w:rsidR="00855158" w:rsidRPr="0030497C" w14:paraId="27201068" w14:textId="77777777" w:rsidTr="00855158">
        <w:trPr>
          <w:trHeight w:val="18"/>
          <w:jc w:val="center"/>
        </w:trPr>
        <w:tc>
          <w:tcPr>
            <w:tcW w:w="1240" w:type="dxa"/>
            <w:vMerge/>
            <w:tcBorders>
              <w:left w:val="nil"/>
              <w:right w:val="nil"/>
            </w:tcBorders>
            <w:shd w:val="clear" w:color="000000" w:fill="F2F2F2"/>
            <w:vAlign w:val="center"/>
          </w:tcPr>
          <w:p w14:paraId="214B6D77"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p>
        </w:tc>
        <w:tc>
          <w:tcPr>
            <w:tcW w:w="901" w:type="dxa"/>
            <w:tcBorders>
              <w:top w:val="nil"/>
              <w:left w:val="nil"/>
              <w:bottom w:val="nil"/>
              <w:right w:val="nil"/>
            </w:tcBorders>
            <w:shd w:val="clear" w:color="000000" w:fill="F2F2F2"/>
            <w:noWrap/>
          </w:tcPr>
          <w:p w14:paraId="65B3272D" w14:textId="77777777" w:rsidR="00855158" w:rsidRPr="0030497C" w:rsidRDefault="00855158" w:rsidP="00705E36">
            <w:pPr>
              <w:spacing w:after="0" w:line="240" w:lineRule="auto"/>
              <w:ind w:right="140"/>
              <w:rPr>
                <w:rFonts w:ascii="Cambria" w:eastAsia="Times New Roman" w:hAnsi="Cambria" w:cs="Calibri"/>
                <w:b/>
                <w:bCs/>
                <w:color w:val="000000"/>
                <w:sz w:val="16"/>
                <w:szCs w:val="16"/>
                <w:lang w:eastAsia="es-ES"/>
              </w:rPr>
            </w:pPr>
            <w:r w:rsidRPr="0075513A">
              <w:rPr>
                <w:rFonts w:ascii="Cambria" w:eastAsia="Times New Roman" w:hAnsi="Cambria" w:cs="Calibri"/>
                <w:b/>
                <w:bCs/>
                <w:color w:val="000000"/>
                <w:sz w:val="16"/>
                <w:szCs w:val="16"/>
                <w:lang w:eastAsia="es-ES"/>
              </w:rPr>
              <w:t>MPF</w:t>
            </w:r>
            <w:r>
              <w:rPr>
                <w:rFonts w:ascii="Cambria" w:eastAsia="Times New Roman" w:hAnsi="Cambria" w:cs="Calibri"/>
                <w:b/>
                <w:bCs/>
                <w:color w:val="000000"/>
                <w:sz w:val="16"/>
                <w:szCs w:val="16"/>
                <w:lang w:eastAsia="es-ES"/>
              </w:rPr>
              <w:t>4</w:t>
            </w:r>
          </w:p>
        </w:tc>
        <w:tc>
          <w:tcPr>
            <w:tcW w:w="1468" w:type="dxa"/>
            <w:tcBorders>
              <w:top w:val="nil"/>
              <w:left w:val="nil"/>
              <w:bottom w:val="nil"/>
              <w:right w:val="nil"/>
            </w:tcBorders>
            <w:shd w:val="clear" w:color="auto" w:fill="auto"/>
            <w:noWrap/>
            <w:vAlign w:val="bottom"/>
          </w:tcPr>
          <w:p w14:paraId="24F2C4FD" w14:textId="77777777" w:rsidR="00855158" w:rsidRPr="00783A4D" w:rsidRDefault="00855158" w:rsidP="00705E36">
            <w:pPr>
              <w:spacing w:after="0" w:line="240" w:lineRule="auto"/>
              <w:ind w:right="140"/>
              <w:jc w:val="center"/>
              <w:rPr>
                <w:rFonts w:ascii="Cambria" w:eastAsia="Times New Roman" w:hAnsi="Cambria" w:cs="Calibri"/>
                <w:color w:val="000000"/>
                <w:sz w:val="16"/>
                <w:szCs w:val="16"/>
                <w:lang w:eastAsia="es-ES"/>
              </w:rPr>
            </w:pPr>
            <w:r w:rsidRPr="00064821">
              <w:rPr>
                <w:rFonts w:ascii="Cambria" w:eastAsia="Times New Roman" w:hAnsi="Cambria" w:cs="Calibri"/>
                <w:color w:val="000000"/>
                <w:sz w:val="16"/>
                <w:szCs w:val="16"/>
                <w:lang w:eastAsia="es-ES"/>
              </w:rPr>
              <w:t>1</w:t>
            </w:r>
            <w:r>
              <w:rPr>
                <w:rFonts w:ascii="Cambria" w:eastAsia="Times New Roman" w:hAnsi="Cambria" w:cs="Calibri"/>
                <w:color w:val="000000"/>
                <w:sz w:val="16"/>
                <w:szCs w:val="16"/>
                <w:lang w:eastAsia="es-ES"/>
              </w:rPr>
              <w:t>.</w:t>
            </w:r>
            <w:r w:rsidRPr="00064821">
              <w:rPr>
                <w:rFonts w:ascii="Cambria" w:eastAsia="Times New Roman" w:hAnsi="Cambria" w:cs="Calibri"/>
                <w:color w:val="000000"/>
                <w:sz w:val="16"/>
                <w:szCs w:val="16"/>
                <w:lang w:eastAsia="es-ES"/>
              </w:rPr>
              <w:t>62</w:t>
            </w:r>
          </w:p>
        </w:tc>
        <w:tc>
          <w:tcPr>
            <w:tcW w:w="1159" w:type="dxa"/>
            <w:tcBorders>
              <w:top w:val="nil"/>
              <w:left w:val="nil"/>
              <w:bottom w:val="nil"/>
              <w:right w:val="nil"/>
            </w:tcBorders>
            <w:shd w:val="clear" w:color="auto" w:fill="auto"/>
            <w:noWrap/>
          </w:tcPr>
          <w:p w14:paraId="107BD702" w14:textId="77777777" w:rsidR="00855158" w:rsidRPr="0030497C" w:rsidRDefault="00855158" w:rsidP="00705E36">
            <w:pPr>
              <w:spacing w:after="0" w:line="240" w:lineRule="auto"/>
              <w:ind w:right="140"/>
              <w:jc w:val="center"/>
              <w:rPr>
                <w:rFonts w:ascii="Cambria" w:eastAsia="Times New Roman" w:hAnsi="Cambria" w:cs="Calibri"/>
                <w:color w:val="000000"/>
                <w:sz w:val="16"/>
                <w:szCs w:val="16"/>
                <w:lang w:eastAsia="es-ES"/>
              </w:rPr>
            </w:pPr>
            <w:r>
              <w:rPr>
                <w:rFonts w:ascii="Cambria" w:eastAsia="Times New Roman" w:hAnsi="Cambria" w:cs="Calibri"/>
                <w:color w:val="000000"/>
                <w:sz w:val="16"/>
                <w:szCs w:val="16"/>
                <w:lang w:eastAsia="es-ES"/>
              </w:rPr>
              <w:t>.504</w:t>
            </w:r>
            <w:r w:rsidRPr="009141B7">
              <w:rPr>
                <w:rFonts w:ascii="Cambria" w:hAnsi="Cambria" w:cs="Calibri"/>
                <w:color w:val="000000"/>
                <w:sz w:val="16"/>
                <w:szCs w:val="16"/>
                <w:vertAlign w:val="superscript"/>
              </w:rPr>
              <w:t xml:space="preserve"> NS</w:t>
            </w:r>
          </w:p>
        </w:tc>
        <w:tc>
          <w:tcPr>
            <w:tcW w:w="2401" w:type="dxa"/>
            <w:tcBorders>
              <w:top w:val="nil"/>
              <w:left w:val="nil"/>
              <w:bottom w:val="nil"/>
              <w:right w:val="nil"/>
            </w:tcBorders>
            <w:shd w:val="clear" w:color="auto" w:fill="auto"/>
            <w:noWrap/>
            <w:vAlign w:val="center"/>
          </w:tcPr>
          <w:p w14:paraId="79F42AEF" w14:textId="3D6677D4" w:rsidR="00855158" w:rsidRPr="0030497C" w:rsidRDefault="00855158" w:rsidP="00705E36">
            <w:pPr>
              <w:spacing w:after="0" w:line="240" w:lineRule="auto"/>
              <w:ind w:right="140"/>
              <w:jc w:val="center"/>
              <w:rPr>
                <w:rFonts w:ascii="Cambria" w:eastAsia="Times New Roman" w:hAnsi="Cambria" w:cs="Calibri"/>
                <w:color w:val="000000"/>
                <w:sz w:val="16"/>
                <w:szCs w:val="16"/>
                <w:lang w:eastAsia="es-ES"/>
              </w:rPr>
            </w:pPr>
            <w:r w:rsidRPr="0030497C">
              <w:rPr>
                <w:rFonts w:ascii="Cambria" w:eastAsia="Times New Roman" w:hAnsi="Cambria" w:cs="Calibri"/>
                <w:color w:val="000000"/>
                <w:sz w:val="16"/>
                <w:szCs w:val="16"/>
                <w:lang w:eastAsia="es-ES"/>
              </w:rPr>
              <w:t>No significa</w:t>
            </w:r>
            <w:r w:rsidR="00842EE4">
              <w:rPr>
                <w:rFonts w:ascii="Cambria" w:eastAsia="Times New Roman" w:hAnsi="Cambria" w:cs="Calibri"/>
                <w:color w:val="000000"/>
                <w:sz w:val="16"/>
                <w:szCs w:val="16"/>
                <w:lang w:eastAsia="es-ES"/>
              </w:rPr>
              <w:t>t</w:t>
            </w:r>
            <w:r w:rsidR="00483C0E">
              <w:rPr>
                <w:rFonts w:ascii="Cambria" w:eastAsia="Times New Roman" w:hAnsi="Cambria" w:cs="Calibri"/>
                <w:color w:val="000000"/>
                <w:sz w:val="16"/>
                <w:szCs w:val="16"/>
                <w:lang w:eastAsia="es-ES"/>
              </w:rPr>
              <w:t>ivo</w:t>
            </w:r>
          </w:p>
        </w:tc>
      </w:tr>
      <w:tr w:rsidR="00855158" w:rsidRPr="00483C0E" w14:paraId="38011BA4" w14:textId="77777777" w:rsidTr="00855158">
        <w:trPr>
          <w:trHeight w:val="18"/>
          <w:jc w:val="center"/>
        </w:trPr>
        <w:tc>
          <w:tcPr>
            <w:tcW w:w="7169" w:type="dxa"/>
            <w:gridSpan w:val="5"/>
            <w:tcBorders>
              <w:top w:val="single" w:sz="4" w:space="0" w:color="auto"/>
              <w:left w:val="nil"/>
              <w:bottom w:val="single" w:sz="4" w:space="0" w:color="auto"/>
              <w:right w:val="nil"/>
            </w:tcBorders>
            <w:vAlign w:val="center"/>
          </w:tcPr>
          <w:p w14:paraId="7DA82E31" w14:textId="6D423E0C" w:rsidR="00855158" w:rsidRPr="00483C0E" w:rsidRDefault="00855158" w:rsidP="00705E36">
            <w:pPr>
              <w:spacing w:after="0" w:line="240" w:lineRule="auto"/>
              <w:ind w:right="140"/>
              <w:jc w:val="center"/>
              <w:rPr>
                <w:rFonts w:ascii="Cambria" w:eastAsia="Times New Roman" w:hAnsi="Cambria" w:cs="Calibri"/>
                <w:color w:val="000000"/>
                <w:sz w:val="16"/>
                <w:szCs w:val="16"/>
                <w:lang w:eastAsia="es-ES"/>
              </w:rPr>
            </w:pPr>
            <w:r w:rsidRPr="00483C0E">
              <w:rPr>
                <w:rFonts w:ascii="Calibri Light" w:eastAsia="Calibri" w:hAnsi="Calibri Light" w:cs="Calibri Light"/>
                <w:kern w:val="0"/>
                <w:sz w:val="16"/>
                <w:szCs w:val="16"/>
                <w:vertAlign w:val="superscript"/>
                <w14:ligatures w14:val="none"/>
              </w:rPr>
              <w:t>NS</w:t>
            </w:r>
            <w:r w:rsidRPr="00483C0E">
              <w:rPr>
                <w:rFonts w:ascii="Calibri Light" w:eastAsia="Calibri" w:hAnsi="Calibri Light" w:cs="Calibri Light"/>
                <w:i/>
                <w:iCs/>
                <w:kern w:val="0"/>
                <w:sz w:val="16"/>
                <w:szCs w:val="16"/>
                <w14:ligatures w14:val="none"/>
              </w:rPr>
              <w:t xml:space="preserve"> No significat</w:t>
            </w:r>
            <w:r w:rsidR="00483C0E" w:rsidRPr="00483C0E">
              <w:rPr>
                <w:rFonts w:ascii="Calibri Light" w:eastAsia="Calibri" w:hAnsi="Calibri Light" w:cs="Calibri Light"/>
                <w:i/>
                <w:iCs/>
                <w:kern w:val="0"/>
                <w:sz w:val="16"/>
                <w:szCs w:val="16"/>
                <w14:ligatures w14:val="none"/>
              </w:rPr>
              <w:t>ivo</w:t>
            </w:r>
            <w:r w:rsidRPr="00483C0E">
              <w:rPr>
                <w:rFonts w:ascii="Calibri Light" w:eastAsia="Calibri" w:hAnsi="Calibri Light" w:cs="Calibri Light"/>
                <w:i/>
                <w:iCs/>
                <w:kern w:val="0"/>
                <w:sz w:val="16"/>
                <w:szCs w:val="16"/>
                <w14:ligatures w14:val="none"/>
              </w:rPr>
              <w:t xml:space="preserve">, </w:t>
            </w:r>
            <w:r w:rsidRPr="00483C0E">
              <w:rPr>
                <w:rFonts w:ascii="Calibri Light" w:eastAsia="Calibri" w:hAnsi="Calibri Light" w:cs="Calibri Light"/>
                <w:i/>
                <w:iCs/>
                <w:kern w:val="0"/>
                <w:sz w:val="16"/>
                <w:szCs w:val="16"/>
                <w:vertAlign w:val="superscript"/>
                <w14:ligatures w14:val="none"/>
              </w:rPr>
              <w:t>†</w:t>
            </w:r>
            <w:r w:rsidRPr="00483C0E">
              <w:rPr>
                <w:rFonts w:ascii="Calibri Light" w:eastAsia="Calibri" w:hAnsi="Calibri Light" w:cs="Calibri Light"/>
                <w:i/>
                <w:iCs/>
                <w:kern w:val="0"/>
                <w:sz w:val="16"/>
                <w:szCs w:val="16"/>
                <w14:ligatures w14:val="none"/>
              </w:rPr>
              <w:t xml:space="preserve"> </w:t>
            </w:r>
            <w:r w:rsidR="00483C0E" w:rsidRPr="00047E1A">
              <w:rPr>
                <w:rFonts w:ascii="Calibri Light" w:eastAsia="Calibri" w:hAnsi="Calibri Light" w:cs="Calibri Light"/>
                <w:i/>
                <w:iCs/>
                <w:kern w:val="0"/>
                <w:sz w:val="16"/>
                <w:szCs w:val="16"/>
                <w14:ligatures w14:val="none"/>
              </w:rPr>
              <w:t xml:space="preserve">Casi significativo </w:t>
            </w:r>
            <w:r w:rsidRPr="00483C0E">
              <w:rPr>
                <w:rFonts w:ascii="Calibri Light" w:eastAsia="Calibri" w:hAnsi="Calibri Light" w:cs="Calibri Light"/>
                <w:i/>
                <w:iCs/>
                <w:kern w:val="0"/>
                <w:sz w:val="16"/>
                <w:szCs w:val="16"/>
                <w14:ligatures w14:val="none"/>
              </w:rPr>
              <w:t xml:space="preserve">(p&lt;.10), * </w:t>
            </w:r>
            <w:r w:rsidR="00483C0E" w:rsidRPr="00483C0E">
              <w:rPr>
                <w:rFonts w:ascii="Calibri Light" w:eastAsia="Calibri" w:hAnsi="Calibri Light" w:cs="Calibri Light"/>
                <w:i/>
                <w:iCs/>
                <w:kern w:val="0"/>
                <w:sz w:val="16"/>
                <w:szCs w:val="16"/>
                <w14:ligatures w14:val="none"/>
              </w:rPr>
              <w:t xml:space="preserve">Significativo </w:t>
            </w:r>
            <w:r w:rsidRPr="00483C0E">
              <w:rPr>
                <w:rFonts w:ascii="Calibri Light" w:eastAsia="Calibri" w:hAnsi="Calibri Light" w:cs="Calibri Light"/>
                <w:i/>
                <w:iCs/>
                <w:kern w:val="0"/>
                <w:sz w:val="16"/>
                <w:szCs w:val="16"/>
                <w14:ligatures w14:val="none"/>
              </w:rPr>
              <w:t xml:space="preserve">(p&lt;.05) y ** </w:t>
            </w:r>
            <w:r w:rsidR="00483C0E" w:rsidRPr="00483C0E">
              <w:rPr>
                <w:rFonts w:ascii="Calibri Light" w:eastAsia="Calibri" w:hAnsi="Calibri Light" w:cs="Calibri Light"/>
                <w:i/>
                <w:iCs/>
                <w:kern w:val="0"/>
                <w:sz w:val="16"/>
                <w:szCs w:val="16"/>
                <w14:ligatures w14:val="none"/>
              </w:rPr>
              <w:t xml:space="preserve">Altamente significativo </w:t>
            </w:r>
            <w:r w:rsidRPr="00483C0E">
              <w:rPr>
                <w:rFonts w:ascii="Calibri Light" w:eastAsia="Calibri" w:hAnsi="Calibri Light" w:cs="Calibri Light"/>
                <w:i/>
                <w:iCs/>
                <w:kern w:val="0"/>
                <w:sz w:val="16"/>
                <w:szCs w:val="16"/>
                <w14:ligatures w14:val="none"/>
              </w:rPr>
              <w:t>(p&lt;.01)</w:t>
            </w:r>
          </w:p>
        </w:tc>
      </w:tr>
    </w:tbl>
    <w:p w14:paraId="6D5BFE0E" w14:textId="77777777" w:rsidR="00697D69" w:rsidRPr="00483C0E" w:rsidRDefault="00697D69" w:rsidP="00705E36">
      <w:pPr>
        <w:keepNext/>
        <w:spacing w:after="60" w:line="240" w:lineRule="auto"/>
        <w:ind w:right="140"/>
        <w:rPr>
          <w:rFonts w:ascii="Calibri" w:eastAsia="Calibri" w:hAnsi="Calibri" w:cs="Times New Roman"/>
          <w:kern w:val="0"/>
          <w:sz w:val="18"/>
          <w:szCs w:val="18"/>
          <w14:ligatures w14:val="none"/>
        </w:rPr>
      </w:pPr>
    </w:p>
    <w:p w14:paraId="73D7308F" w14:textId="77777777" w:rsidR="00697D69" w:rsidRPr="00483C0E" w:rsidRDefault="00697D69" w:rsidP="00705E36">
      <w:pPr>
        <w:keepNext/>
        <w:spacing w:after="60" w:line="240" w:lineRule="auto"/>
        <w:ind w:right="140"/>
        <w:rPr>
          <w:rFonts w:ascii="Calibri" w:eastAsia="Calibri" w:hAnsi="Calibri" w:cs="Times New Roman"/>
          <w:i/>
          <w:iCs/>
          <w:kern w:val="0"/>
          <w:sz w:val="18"/>
          <w:szCs w:val="18"/>
          <w14:ligatures w14:val="none"/>
        </w:rPr>
      </w:pPr>
    </w:p>
    <w:p w14:paraId="7CDBDE66" w14:textId="55DBB6BC" w:rsidR="00140975" w:rsidRPr="009F69FC" w:rsidRDefault="009F69FC" w:rsidP="00705E36">
      <w:pPr>
        <w:ind w:right="140"/>
        <w:rPr>
          <w:rFonts w:ascii="Arial" w:hAnsi="Arial" w:cs="Arial"/>
        </w:rPr>
      </w:pPr>
      <w:r w:rsidRPr="00097C3E">
        <w:rPr>
          <w:rFonts w:ascii="Arial" w:hAnsi="Arial" w:cs="Arial"/>
        </w:rPr>
        <w:t xml:space="preserve">Se puede </w:t>
      </w:r>
      <w:r w:rsidR="00377B6B">
        <w:rPr>
          <w:rFonts w:ascii="Arial" w:hAnsi="Arial" w:cs="Arial"/>
        </w:rPr>
        <w:t>decir</w:t>
      </w:r>
      <w:r w:rsidRPr="00097C3E">
        <w:rPr>
          <w:rFonts w:ascii="Arial" w:hAnsi="Arial" w:cs="Arial"/>
        </w:rPr>
        <w:t xml:space="preserve"> que e</w:t>
      </w:r>
      <w:r w:rsidR="00944F44">
        <w:rPr>
          <w:rFonts w:ascii="Arial" w:hAnsi="Arial" w:cs="Arial"/>
        </w:rPr>
        <w:t>l número de ahorros indirectos complejos</w:t>
      </w:r>
      <w:r w:rsidRPr="00097C3E">
        <w:rPr>
          <w:rFonts w:ascii="Arial" w:hAnsi="Arial" w:cs="Arial"/>
        </w:rPr>
        <w:t xml:space="preserve"> aumenta progresivamente entre cada </w:t>
      </w:r>
      <w:r w:rsidR="00777A3C">
        <w:rPr>
          <w:rFonts w:ascii="Arial" w:hAnsi="Arial" w:cs="Arial"/>
        </w:rPr>
        <w:t>fase del modelo de madurez</w:t>
      </w:r>
      <w:r w:rsidRPr="00097C3E">
        <w:rPr>
          <w:rFonts w:ascii="Arial" w:hAnsi="Arial" w:cs="Arial"/>
        </w:rPr>
        <w:t xml:space="preserve">, </w:t>
      </w:r>
      <w:r w:rsidR="00C03598">
        <w:rPr>
          <w:rFonts w:ascii="Arial" w:hAnsi="Arial" w:cs="Arial"/>
        </w:rPr>
        <w:t>algo que</w:t>
      </w:r>
      <w:r w:rsidR="007E7FB3">
        <w:rPr>
          <w:rFonts w:ascii="Arial" w:hAnsi="Arial" w:cs="Arial"/>
        </w:rPr>
        <w:t xml:space="preserve"> se </w:t>
      </w:r>
      <w:r w:rsidR="00C22921">
        <w:rPr>
          <w:rFonts w:ascii="Arial" w:hAnsi="Arial" w:cs="Arial"/>
        </w:rPr>
        <w:t>acentúa</w:t>
      </w:r>
      <w:r w:rsidR="003F6A73">
        <w:rPr>
          <w:rFonts w:ascii="Arial" w:hAnsi="Arial" w:cs="Arial"/>
        </w:rPr>
        <w:t xml:space="preserve"> en las últimas fases </w:t>
      </w:r>
      <w:r w:rsidR="00F35EF4">
        <w:rPr>
          <w:rFonts w:ascii="Arial" w:hAnsi="Arial" w:cs="Arial"/>
        </w:rPr>
        <w:t xml:space="preserve">donde se </w:t>
      </w:r>
      <w:r w:rsidR="00F378E4">
        <w:rPr>
          <w:rFonts w:ascii="Arial" w:hAnsi="Arial" w:cs="Arial"/>
        </w:rPr>
        <w:t xml:space="preserve">observan </w:t>
      </w:r>
      <w:r w:rsidR="00C22921">
        <w:rPr>
          <w:rFonts w:ascii="Arial" w:hAnsi="Arial" w:cs="Arial"/>
        </w:rPr>
        <w:t>mayores</w:t>
      </w:r>
      <w:r w:rsidRPr="00097C3E">
        <w:rPr>
          <w:rFonts w:ascii="Arial" w:hAnsi="Arial" w:cs="Arial"/>
        </w:rPr>
        <w:t xml:space="preserve"> diferencias entre las medias de MPF3 y MPF4, así como entre MPF3 y MPF5</w:t>
      </w:r>
      <w:r w:rsidR="00097C3E" w:rsidRPr="009F69FC">
        <w:rPr>
          <w:rFonts w:ascii="Arial" w:hAnsi="Arial" w:cs="Arial"/>
        </w:rPr>
        <w:t>.</w:t>
      </w:r>
    </w:p>
    <w:p w14:paraId="388D7773" w14:textId="2B7A29B8" w:rsidR="00AF748B" w:rsidRPr="00AF748B" w:rsidRDefault="00AF748B" w:rsidP="00705E36">
      <w:pPr>
        <w:ind w:right="140"/>
        <w:rPr>
          <w:rFonts w:ascii="Arial" w:hAnsi="Arial" w:cs="Arial"/>
        </w:rPr>
      </w:pPr>
      <w:bookmarkStart w:id="19" w:name="_Ref172634071"/>
      <w:r w:rsidRPr="00232801">
        <w:rPr>
          <w:rFonts w:ascii="Arial" w:hAnsi="Arial" w:cs="Arial"/>
        </w:rPr>
        <w:t xml:space="preserve">Posteriormente, se realizó un análisis mediante un modelo de regresión para estudiar la relación de madurez (MPF) y centralización de la función de compras (CPF) en términos de la generación de ahorros </w:t>
      </w:r>
      <w:r w:rsidR="001E7F0B">
        <w:rPr>
          <w:rFonts w:ascii="Arial" w:hAnsi="Arial" w:cs="Arial"/>
        </w:rPr>
        <w:t>indirectos</w:t>
      </w:r>
      <w:r w:rsidRPr="00232801">
        <w:rPr>
          <w:rFonts w:ascii="Arial" w:hAnsi="Arial" w:cs="Arial"/>
        </w:rPr>
        <w:t xml:space="preserve"> complejos. (CSS(TS)= α + ß1MPF+ ß2CPF + ε). Sin embargo, esto no se pudo llevar a cabo debido a la falta de casos en CPF, donde para este tipo de ahorros solo había valores en CPF3, por lo que el modelo no condujo a ningún resultado adicional.</w:t>
      </w:r>
    </w:p>
    <w:p w14:paraId="69C943D6" w14:textId="77777777" w:rsidR="008E535E" w:rsidRPr="00AF748B" w:rsidRDefault="008E535E" w:rsidP="00705E36">
      <w:pPr>
        <w:keepNext/>
        <w:spacing w:after="60" w:line="240" w:lineRule="auto"/>
        <w:ind w:right="140"/>
        <w:rPr>
          <w:rFonts w:ascii="Calibri" w:eastAsia="Calibri" w:hAnsi="Calibri" w:cs="Times New Roman"/>
          <w:b/>
          <w:bCs/>
          <w:kern w:val="0"/>
          <w:sz w:val="18"/>
          <w:szCs w:val="18"/>
          <w14:ligatures w14:val="none"/>
        </w:rPr>
      </w:pPr>
    </w:p>
    <w:bookmarkEnd w:id="19"/>
    <w:p w14:paraId="2E4FC014" w14:textId="191A03F4" w:rsidR="00EB1219" w:rsidRDefault="009718D5" w:rsidP="00705E36">
      <w:pPr>
        <w:keepNext/>
        <w:spacing w:after="60" w:line="240" w:lineRule="auto"/>
        <w:ind w:right="140"/>
        <w:rPr>
          <w:rFonts w:ascii="Calibri" w:eastAsia="Calibri" w:hAnsi="Calibri" w:cs="Times New Roman"/>
          <w:i/>
          <w:iCs/>
          <w:kern w:val="0"/>
          <w:sz w:val="18"/>
          <w:szCs w:val="18"/>
          <w:lang w:val="en-GB"/>
          <w14:ligatures w14:val="none"/>
        </w:rPr>
      </w:pPr>
      <w:r w:rsidRPr="00EB1219">
        <w:rPr>
          <w:rFonts w:ascii="Calibri" w:eastAsia="Calibri" w:hAnsi="Calibri" w:cs="Times New Roman"/>
          <w:b/>
          <w:bCs/>
          <w:kern w:val="0"/>
          <w:sz w:val="18"/>
          <w:szCs w:val="18"/>
          <w14:ligatures w14:val="none"/>
        </w:rPr>
        <w:t xml:space="preserve">Tabla 10: </w:t>
      </w:r>
      <w:r w:rsidRPr="00053742">
        <w:rPr>
          <w:rFonts w:ascii="Calibri" w:eastAsia="Calibri" w:hAnsi="Calibri" w:cs="Times New Roman"/>
          <w:i/>
          <w:iCs/>
          <w:kern w:val="0"/>
          <w:sz w:val="18"/>
          <w:szCs w:val="18"/>
          <w14:ligatures w14:val="none"/>
        </w:rPr>
        <w:t>Test de efectos inter-sujetos. Variable dependiente Puntuaciones para CSS. Variables independientes CPF y MPF</w:t>
      </w:r>
      <w:r w:rsidR="00EB1219" w:rsidRPr="006224BC">
        <w:rPr>
          <w:rFonts w:ascii="Calibri" w:eastAsia="Calibri" w:hAnsi="Calibri" w:cs="Times New Roman"/>
          <w:i/>
          <w:iCs/>
          <w:kern w:val="0"/>
          <w:sz w:val="18"/>
          <w:szCs w:val="18"/>
          <w:lang w:val="en-GB"/>
          <w14:ligatures w14:val="none"/>
        </w:rPr>
        <w:t>.</w:t>
      </w:r>
    </w:p>
    <w:tbl>
      <w:tblPr>
        <w:tblW w:w="0" w:type="auto"/>
        <w:jc w:val="center"/>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482"/>
        <w:gridCol w:w="1276"/>
        <w:gridCol w:w="363"/>
        <w:gridCol w:w="1289"/>
        <w:gridCol w:w="1195"/>
        <w:gridCol w:w="808"/>
        <w:gridCol w:w="518"/>
        <w:gridCol w:w="1095"/>
      </w:tblGrid>
      <w:tr w:rsidR="005B665F" w:rsidRPr="00AF1243" w14:paraId="42B729DE" w14:textId="77777777" w:rsidTr="00702D4B">
        <w:trPr>
          <w:cantSplit/>
          <w:trHeight w:val="481"/>
          <w:jc w:val="center"/>
        </w:trPr>
        <w:tc>
          <w:tcPr>
            <w:tcW w:w="1482" w:type="dxa"/>
            <w:tcBorders>
              <w:top w:val="single" w:sz="4" w:space="0" w:color="auto"/>
              <w:bottom w:val="nil"/>
            </w:tcBorders>
            <w:shd w:val="clear" w:color="auto" w:fill="D9D9D9" w:themeFill="background1" w:themeFillShade="D9"/>
            <w:vAlign w:val="center"/>
          </w:tcPr>
          <w:p w14:paraId="78EC7FAB" w14:textId="77777777" w:rsidR="005B665F" w:rsidRPr="00AF1243" w:rsidRDefault="005B665F" w:rsidP="00705E36">
            <w:pPr>
              <w:spacing w:before="20" w:after="20" w:line="240" w:lineRule="auto"/>
              <w:ind w:left="57" w:right="140"/>
              <w:jc w:val="center"/>
              <w:rPr>
                <w:rFonts w:asciiTheme="majorHAnsi" w:hAnsiTheme="majorHAnsi" w:cstheme="majorHAnsi"/>
                <w:b/>
                <w:bCs/>
                <w:color w:val="000000"/>
                <w:sz w:val="15"/>
                <w:szCs w:val="15"/>
              </w:rPr>
            </w:pPr>
          </w:p>
        </w:tc>
        <w:tc>
          <w:tcPr>
            <w:tcW w:w="1276" w:type="dxa"/>
            <w:tcBorders>
              <w:top w:val="single" w:sz="4" w:space="0" w:color="auto"/>
              <w:bottom w:val="nil"/>
            </w:tcBorders>
            <w:shd w:val="clear" w:color="auto" w:fill="D9D9D9" w:themeFill="background1" w:themeFillShade="D9"/>
            <w:vAlign w:val="center"/>
          </w:tcPr>
          <w:p w14:paraId="4294A621" w14:textId="77777777" w:rsidR="00942AC5" w:rsidRDefault="00942AC5" w:rsidP="00705E36">
            <w:pPr>
              <w:spacing w:before="20" w:after="20" w:line="240" w:lineRule="auto"/>
              <w:ind w:left="57" w:right="140"/>
              <w:jc w:val="center"/>
              <w:rPr>
                <w:rFonts w:asciiTheme="majorHAnsi" w:hAnsiTheme="majorHAnsi" w:cstheme="majorHAnsi"/>
                <w:b/>
                <w:bCs/>
                <w:color w:val="000000"/>
                <w:sz w:val="15"/>
                <w:szCs w:val="15"/>
              </w:rPr>
            </w:pPr>
            <w:r>
              <w:rPr>
                <w:rFonts w:asciiTheme="majorHAnsi" w:hAnsiTheme="majorHAnsi" w:cstheme="majorHAnsi"/>
                <w:b/>
                <w:bCs/>
                <w:color w:val="000000"/>
                <w:sz w:val="15"/>
                <w:szCs w:val="15"/>
              </w:rPr>
              <w:t>La suma de</w:t>
            </w:r>
          </w:p>
          <w:p w14:paraId="7FBE9F9F" w14:textId="5BB61DB9" w:rsidR="005B665F" w:rsidRPr="00AF1243" w:rsidRDefault="00942AC5" w:rsidP="00705E36">
            <w:pPr>
              <w:spacing w:before="20" w:after="20" w:line="240" w:lineRule="auto"/>
              <w:ind w:left="57" w:right="140"/>
              <w:jc w:val="center"/>
              <w:rPr>
                <w:rFonts w:asciiTheme="majorHAnsi" w:hAnsiTheme="majorHAnsi" w:cstheme="majorHAnsi"/>
                <w:b/>
                <w:bCs/>
                <w:color w:val="000000"/>
                <w:sz w:val="15"/>
                <w:szCs w:val="15"/>
              </w:rPr>
            </w:pPr>
            <w:r>
              <w:rPr>
                <w:rFonts w:asciiTheme="majorHAnsi" w:hAnsiTheme="majorHAnsi" w:cstheme="majorHAnsi"/>
                <w:b/>
                <w:bCs/>
                <w:color w:val="000000"/>
                <w:sz w:val="15"/>
                <w:szCs w:val="15"/>
              </w:rPr>
              <w:t>Cuadrados</w:t>
            </w:r>
          </w:p>
        </w:tc>
        <w:tc>
          <w:tcPr>
            <w:tcW w:w="363" w:type="dxa"/>
            <w:tcBorders>
              <w:top w:val="single" w:sz="4" w:space="0" w:color="auto"/>
              <w:bottom w:val="nil"/>
            </w:tcBorders>
            <w:shd w:val="clear" w:color="auto" w:fill="D9D9D9" w:themeFill="background1" w:themeFillShade="D9"/>
            <w:vAlign w:val="center"/>
          </w:tcPr>
          <w:p w14:paraId="4EFE8D99" w14:textId="77777777" w:rsidR="005B665F" w:rsidRPr="00AF1243" w:rsidRDefault="005B665F" w:rsidP="00705E36">
            <w:pPr>
              <w:spacing w:before="20" w:after="20" w:line="240" w:lineRule="auto"/>
              <w:ind w:left="57" w:right="140"/>
              <w:jc w:val="center"/>
              <w:rPr>
                <w:rFonts w:asciiTheme="majorHAnsi" w:hAnsiTheme="majorHAnsi" w:cstheme="majorHAnsi"/>
                <w:b/>
                <w:bCs/>
                <w:color w:val="000000"/>
                <w:sz w:val="15"/>
                <w:szCs w:val="15"/>
              </w:rPr>
            </w:pPr>
            <w:r>
              <w:rPr>
                <w:rFonts w:asciiTheme="majorHAnsi" w:hAnsiTheme="majorHAnsi" w:cs="Arial"/>
                <w:b/>
                <w:sz w:val="15"/>
                <w:szCs w:val="15"/>
              </w:rPr>
              <w:t>gl</w:t>
            </w:r>
          </w:p>
        </w:tc>
        <w:tc>
          <w:tcPr>
            <w:tcW w:w="1289" w:type="dxa"/>
            <w:tcBorders>
              <w:top w:val="single" w:sz="4" w:space="0" w:color="auto"/>
              <w:bottom w:val="nil"/>
            </w:tcBorders>
            <w:shd w:val="clear" w:color="auto" w:fill="D9D9D9" w:themeFill="background1" w:themeFillShade="D9"/>
            <w:vAlign w:val="center"/>
          </w:tcPr>
          <w:p w14:paraId="168B03B9" w14:textId="544CEEDE" w:rsidR="005B665F" w:rsidRDefault="005B665F" w:rsidP="00705E36">
            <w:pPr>
              <w:spacing w:before="20" w:after="20" w:line="240" w:lineRule="auto"/>
              <w:ind w:left="57" w:right="140"/>
              <w:jc w:val="center"/>
              <w:rPr>
                <w:rFonts w:asciiTheme="majorHAnsi" w:hAnsiTheme="majorHAnsi" w:cs="Arial"/>
                <w:b/>
                <w:sz w:val="15"/>
                <w:szCs w:val="15"/>
              </w:rPr>
            </w:pPr>
            <w:r>
              <w:rPr>
                <w:rFonts w:asciiTheme="majorHAnsi" w:hAnsiTheme="majorHAnsi" w:cs="Arial"/>
                <w:b/>
                <w:sz w:val="15"/>
                <w:szCs w:val="15"/>
              </w:rPr>
              <w:t>Med</w:t>
            </w:r>
            <w:r w:rsidR="00084459">
              <w:rPr>
                <w:rFonts w:asciiTheme="majorHAnsi" w:hAnsiTheme="majorHAnsi" w:cs="Arial"/>
                <w:b/>
                <w:sz w:val="15"/>
                <w:szCs w:val="15"/>
              </w:rPr>
              <w:t>ia</w:t>
            </w:r>
          </w:p>
          <w:p w14:paraId="6E1A7B37" w14:textId="45DB86F8" w:rsidR="005B665F" w:rsidRPr="00AF1243" w:rsidRDefault="00084459" w:rsidP="00705E36">
            <w:pPr>
              <w:spacing w:before="20" w:after="20" w:line="240" w:lineRule="auto"/>
              <w:ind w:left="57" w:right="140"/>
              <w:jc w:val="center"/>
              <w:rPr>
                <w:rFonts w:asciiTheme="majorHAnsi" w:hAnsiTheme="majorHAnsi" w:cstheme="majorHAnsi"/>
                <w:b/>
                <w:bCs/>
                <w:color w:val="000000"/>
                <w:sz w:val="15"/>
                <w:szCs w:val="15"/>
              </w:rPr>
            </w:pPr>
            <w:r>
              <w:rPr>
                <w:rFonts w:asciiTheme="majorHAnsi" w:hAnsiTheme="majorHAnsi" w:cs="Arial"/>
                <w:b/>
                <w:sz w:val="15"/>
                <w:szCs w:val="15"/>
              </w:rPr>
              <w:t>Cuadrática</w:t>
            </w:r>
          </w:p>
        </w:tc>
        <w:tc>
          <w:tcPr>
            <w:tcW w:w="1195" w:type="dxa"/>
            <w:tcBorders>
              <w:top w:val="single" w:sz="4" w:space="0" w:color="auto"/>
              <w:bottom w:val="nil"/>
            </w:tcBorders>
            <w:shd w:val="clear" w:color="auto" w:fill="D9D9D9" w:themeFill="background1" w:themeFillShade="D9"/>
            <w:vAlign w:val="center"/>
          </w:tcPr>
          <w:p w14:paraId="08F5D0DD" w14:textId="77777777" w:rsidR="005B665F" w:rsidRPr="00AF1243" w:rsidRDefault="005B665F" w:rsidP="00705E36">
            <w:pPr>
              <w:spacing w:before="20" w:after="20" w:line="240" w:lineRule="auto"/>
              <w:ind w:left="57" w:right="140"/>
              <w:jc w:val="center"/>
              <w:rPr>
                <w:rFonts w:asciiTheme="majorHAnsi" w:hAnsiTheme="majorHAnsi" w:cstheme="majorHAnsi"/>
                <w:b/>
                <w:bCs/>
                <w:color w:val="000000"/>
                <w:sz w:val="15"/>
                <w:szCs w:val="15"/>
              </w:rPr>
            </w:pPr>
            <w:r>
              <w:rPr>
                <w:rFonts w:asciiTheme="majorHAnsi" w:hAnsiTheme="majorHAnsi" w:cstheme="majorHAnsi"/>
                <w:b/>
                <w:bCs/>
                <w:color w:val="000000"/>
                <w:sz w:val="15"/>
                <w:szCs w:val="15"/>
              </w:rPr>
              <w:t>F</w:t>
            </w:r>
          </w:p>
        </w:tc>
        <w:tc>
          <w:tcPr>
            <w:tcW w:w="808" w:type="dxa"/>
            <w:tcBorders>
              <w:top w:val="single" w:sz="4" w:space="0" w:color="auto"/>
            </w:tcBorders>
            <w:shd w:val="clear" w:color="auto" w:fill="D9D9D9" w:themeFill="background1" w:themeFillShade="D9"/>
            <w:vAlign w:val="center"/>
          </w:tcPr>
          <w:p w14:paraId="595A66B4" w14:textId="77777777" w:rsidR="005B665F" w:rsidRDefault="005B665F" w:rsidP="00705E36">
            <w:pPr>
              <w:spacing w:before="20" w:after="20" w:line="240" w:lineRule="auto"/>
              <w:ind w:left="57" w:right="140"/>
              <w:jc w:val="center"/>
              <w:rPr>
                <w:rFonts w:asciiTheme="majorHAnsi" w:hAnsiTheme="majorHAnsi" w:cstheme="majorHAnsi"/>
                <w:b/>
                <w:bCs/>
                <w:color w:val="000000"/>
                <w:sz w:val="15"/>
                <w:szCs w:val="15"/>
              </w:rPr>
            </w:pPr>
            <w:r>
              <w:rPr>
                <w:rFonts w:asciiTheme="majorHAnsi" w:hAnsiTheme="majorHAnsi" w:cstheme="majorHAnsi"/>
                <w:b/>
                <w:bCs/>
                <w:color w:val="000000"/>
                <w:sz w:val="15"/>
                <w:szCs w:val="15"/>
              </w:rPr>
              <w:t>Sig.</w:t>
            </w:r>
          </w:p>
        </w:tc>
        <w:tc>
          <w:tcPr>
            <w:tcW w:w="1610" w:type="dxa"/>
            <w:gridSpan w:val="2"/>
            <w:tcBorders>
              <w:top w:val="single" w:sz="4" w:space="0" w:color="auto"/>
            </w:tcBorders>
            <w:shd w:val="clear" w:color="auto" w:fill="D9D9D9" w:themeFill="background1" w:themeFillShade="D9"/>
            <w:vAlign w:val="center"/>
          </w:tcPr>
          <w:p w14:paraId="6A74D04F" w14:textId="77777777" w:rsidR="00B14D39" w:rsidRDefault="00B14D39" w:rsidP="00705E36">
            <w:pPr>
              <w:spacing w:before="20" w:after="20" w:line="240" w:lineRule="auto"/>
              <w:ind w:left="57" w:right="140"/>
              <w:jc w:val="center"/>
              <w:rPr>
                <w:rFonts w:asciiTheme="majorHAnsi" w:hAnsiTheme="majorHAnsi" w:cstheme="majorHAnsi"/>
                <w:b/>
                <w:bCs/>
                <w:color w:val="000000"/>
                <w:sz w:val="15"/>
                <w:szCs w:val="15"/>
              </w:rPr>
            </w:pPr>
            <w:r>
              <w:rPr>
                <w:rFonts w:asciiTheme="majorHAnsi" w:hAnsiTheme="majorHAnsi" w:cstheme="majorHAnsi"/>
                <w:b/>
                <w:bCs/>
                <w:color w:val="000000"/>
                <w:sz w:val="15"/>
                <w:szCs w:val="15"/>
              </w:rPr>
              <w:t>Tamaño</w:t>
            </w:r>
          </w:p>
          <w:p w14:paraId="659C92C3" w14:textId="1E686687" w:rsidR="005B665F" w:rsidRDefault="00B14D39" w:rsidP="00705E36">
            <w:pPr>
              <w:spacing w:before="20" w:after="20" w:line="240" w:lineRule="auto"/>
              <w:ind w:left="57" w:right="140"/>
              <w:jc w:val="center"/>
              <w:rPr>
                <w:rFonts w:asciiTheme="majorHAnsi" w:hAnsiTheme="majorHAnsi" w:cstheme="majorHAnsi"/>
                <w:b/>
                <w:bCs/>
                <w:color w:val="000000"/>
                <w:sz w:val="15"/>
                <w:szCs w:val="15"/>
              </w:rPr>
            </w:pPr>
            <w:r>
              <w:rPr>
                <w:rFonts w:asciiTheme="majorHAnsi" w:hAnsiTheme="majorHAnsi" w:cstheme="majorHAnsi"/>
                <w:b/>
                <w:bCs/>
                <w:color w:val="000000"/>
                <w:sz w:val="15"/>
                <w:szCs w:val="15"/>
              </w:rPr>
              <w:t>Efecto</w:t>
            </w:r>
          </w:p>
        </w:tc>
      </w:tr>
      <w:tr w:rsidR="00702D4B" w:rsidRPr="00AF1243" w14:paraId="1DA53950" w14:textId="77777777" w:rsidTr="00702D4B">
        <w:trPr>
          <w:cantSplit/>
          <w:trHeight w:val="122"/>
          <w:jc w:val="center"/>
        </w:trPr>
        <w:tc>
          <w:tcPr>
            <w:tcW w:w="1482" w:type="dxa"/>
            <w:tcBorders>
              <w:top w:val="nil"/>
              <w:bottom w:val="nil"/>
            </w:tcBorders>
            <w:shd w:val="clear" w:color="auto" w:fill="E0E0E0"/>
            <w:vAlign w:val="center"/>
          </w:tcPr>
          <w:p w14:paraId="07CDFA20" w14:textId="42FFB85E" w:rsidR="005B665F" w:rsidRPr="00AF1243" w:rsidRDefault="009718D5" w:rsidP="00705E36">
            <w:pPr>
              <w:autoSpaceDE w:val="0"/>
              <w:autoSpaceDN w:val="0"/>
              <w:adjustRightInd w:val="0"/>
              <w:spacing w:after="0" w:line="240" w:lineRule="auto"/>
              <w:ind w:left="57" w:right="140"/>
              <w:jc w:val="center"/>
              <w:rPr>
                <w:rFonts w:asciiTheme="majorHAnsi" w:hAnsiTheme="majorHAnsi"/>
                <w:b/>
                <w:bCs/>
                <w:sz w:val="16"/>
                <w:szCs w:val="16"/>
              </w:rPr>
            </w:pPr>
            <w:r>
              <w:rPr>
                <w:rFonts w:asciiTheme="majorHAnsi" w:hAnsiTheme="majorHAnsi"/>
                <w:b/>
                <w:bCs/>
                <w:sz w:val="16"/>
                <w:szCs w:val="16"/>
              </w:rPr>
              <w:t>Modelo</w:t>
            </w:r>
          </w:p>
        </w:tc>
        <w:tc>
          <w:tcPr>
            <w:tcW w:w="1276" w:type="dxa"/>
            <w:tcBorders>
              <w:top w:val="single" w:sz="4" w:space="0" w:color="auto"/>
              <w:bottom w:val="single" w:sz="4" w:space="0" w:color="auto"/>
            </w:tcBorders>
            <w:shd w:val="clear" w:color="auto" w:fill="auto"/>
            <w:vAlign w:val="center"/>
          </w:tcPr>
          <w:p w14:paraId="04015440" w14:textId="77777777" w:rsidR="005B665F" w:rsidRPr="004A1D20"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84.57</w:t>
            </w:r>
          </w:p>
        </w:tc>
        <w:tc>
          <w:tcPr>
            <w:tcW w:w="363" w:type="dxa"/>
            <w:tcBorders>
              <w:top w:val="single" w:sz="4" w:space="0" w:color="auto"/>
              <w:bottom w:val="single" w:sz="4" w:space="0" w:color="auto"/>
            </w:tcBorders>
            <w:shd w:val="clear" w:color="auto" w:fill="auto"/>
            <w:vAlign w:val="center"/>
          </w:tcPr>
          <w:p w14:paraId="4209DEB0" w14:textId="77777777" w:rsidR="005B665F" w:rsidRPr="00AF1243"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3</w:t>
            </w:r>
          </w:p>
        </w:tc>
        <w:tc>
          <w:tcPr>
            <w:tcW w:w="1289" w:type="dxa"/>
            <w:tcBorders>
              <w:top w:val="single" w:sz="4" w:space="0" w:color="auto"/>
              <w:bottom w:val="single" w:sz="4" w:space="0" w:color="auto"/>
            </w:tcBorders>
            <w:shd w:val="clear" w:color="auto" w:fill="auto"/>
            <w:vAlign w:val="center"/>
          </w:tcPr>
          <w:p w14:paraId="0FB0CBB3" w14:textId="77777777" w:rsidR="005B665F" w:rsidRPr="00AF1243"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28.19</w:t>
            </w:r>
          </w:p>
        </w:tc>
        <w:tc>
          <w:tcPr>
            <w:tcW w:w="1195" w:type="dxa"/>
            <w:tcBorders>
              <w:top w:val="single" w:sz="4" w:space="0" w:color="auto"/>
              <w:bottom w:val="single" w:sz="4" w:space="0" w:color="auto"/>
            </w:tcBorders>
            <w:shd w:val="clear" w:color="auto" w:fill="auto"/>
            <w:vAlign w:val="center"/>
          </w:tcPr>
          <w:p w14:paraId="0C8349A1" w14:textId="77777777" w:rsidR="005B665F" w:rsidRPr="00B93893" w:rsidRDefault="005B665F" w:rsidP="00705E36">
            <w:pPr>
              <w:spacing w:before="20" w:after="20" w:line="240" w:lineRule="auto"/>
              <w:ind w:left="57" w:right="140"/>
              <w:jc w:val="center"/>
              <w:rPr>
                <w:rFonts w:ascii="Cambria" w:hAnsi="Cambria" w:cs="Calibri"/>
                <w:b/>
                <w:bCs/>
                <w:color w:val="000000"/>
                <w:sz w:val="16"/>
                <w:szCs w:val="16"/>
              </w:rPr>
            </w:pPr>
            <w:r>
              <w:rPr>
                <w:rFonts w:ascii="Cambria" w:hAnsi="Cambria" w:cs="Calibri"/>
                <w:b/>
                <w:bCs/>
                <w:color w:val="000000"/>
                <w:sz w:val="16"/>
                <w:szCs w:val="16"/>
              </w:rPr>
              <w:t>8.05</w:t>
            </w:r>
            <w:r w:rsidRPr="00B93893">
              <w:rPr>
                <w:rFonts w:ascii="Calibri Light" w:hAnsi="Calibri Light" w:cs="Calibri Light"/>
                <w:b/>
                <w:bCs/>
                <w:sz w:val="16"/>
                <w:szCs w:val="16"/>
              </w:rPr>
              <w:t>**</w:t>
            </w:r>
          </w:p>
        </w:tc>
        <w:tc>
          <w:tcPr>
            <w:tcW w:w="808" w:type="dxa"/>
            <w:tcBorders>
              <w:top w:val="single" w:sz="4" w:space="0" w:color="auto"/>
              <w:bottom w:val="single" w:sz="4" w:space="0" w:color="auto"/>
            </w:tcBorders>
          </w:tcPr>
          <w:p w14:paraId="23AC506D" w14:textId="77777777" w:rsidR="005B665F" w:rsidRPr="00B93893" w:rsidRDefault="005B665F" w:rsidP="00705E36">
            <w:pPr>
              <w:spacing w:before="20" w:after="20" w:line="240" w:lineRule="auto"/>
              <w:ind w:left="57" w:right="140"/>
              <w:jc w:val="center"/>
              <w:rPr>
                <w:rFonts w:ascii="Cambria" w:hAnsi="Cambria" w:cs="Calibri"/>
                <w:b/>
                <w:bCs/>
                <w:color w:val="000000"/>
                <w:sz w:val="16"/>
                <w:szCs w:val="16"/>
              </w:rPr>
            </w:pPr>
            <w:r w:rsidRPr="00B93893">
              <w:rPr>
                <w:rFonts w:ascii="Cambria" w:hAnsi="Cambria" w:cs="Calibri"/>
                <w:b/>
                <w:bCs/>
                <w:color w:val="000000"/>
                <w:sz w:val="16"/>
                <w:szCs w:val="16"/>
              </w:rPr>
              <w:t>&lt;.001</w:t>
            </w:r>
          </w:p>
        </w:tc>
        <w:tc>
          <w:tcPr>
            <w:tcW w:w="518" w:type="dxa"/>
            <w:tcBorders>
              <w:top w:val="single" w:sz="4" w:space="0" w:color="auto"/>
              <w:bottom w:val="single" w:sz="4" w:space="0" w:color="auto"/>
            </w:tcBorders>
          </w:tcPr>
          <w:p w14:paraId="24961C26" w14:textId="77777777" w:rsidR="005B665F" w:rsidRPr="00B93893" w:rsidRDefault="005B665F" w:rsidP="00705E36">
            <w:pPr>
              <w:spacing w:before="20" w:after="20" w:line="240" w:lineRule="auto"/>
              <w:ind w:left="57" w:right="140"/>
              <w:jc w:val="center"/>
              <w:rPr>
                <w:rFonts w:ascii="Cambria" w:hAnsi="Cambria" w:cs="Calibri"/>
                <w:b/>
                <w:bCs/>
                <w:color w:val="000000"/>
                <w:sz w:val="16"/>
                <w:szCs w:val="16"/>
              </w:rPr>
            </w:pPr>
            <w:r w:rsidRPr="00B93893">
              <w:rPr>
                <w:rFonts w:ascii="Cambria" w:hAnsi="Cambria" w:cs="Calibri"/>
                <w:b/>
                <w:bCs/>
                <w:color w:val="000000"/>
                <w:sz w:val="16"/>
                <w:szCs w:val="16"/>
              </w:rPr>
              <w:t>.</w:t>
            </w:r>
            <w:r>
              <w:rPr>
                <w:rFonts w:ascii="Cambria" w:hAnsi="Cambria" w:cs="Calibri"/>
                <w:b/>
                <w:bCs/>
                <w:color w:val="000000"/>
                <w:sz w:val="16"/>
                <w:szCs w:val="16"/>
              </w:rPr>
              <w:t>38</w:t>
            </w:r>
          </w:p>
        </w:tc>
        <w:tc>
          <w:tcPr>
            <w:tcW w:w="1091" w:type="dxa"/>
            <w:tcBorders>
              <w:top w:val="single" w:sz="4" w:space="0" w:color="auto"/>
              <w:bottom w:val="single" w:sz="4" w:space="0" w:color="auto"/>
            </w:tcBorders>
          </w:tcPr>
          <w:p w14:paraId="2DC29A46" w14:textId="2D107179" w:rsidR="005B665F" w:rsidRPr="00B93893" w:rsidRDefault="00084459" w:rsidP="00705E36">
            <w:pPr>
              <w:spacing w:before="20" w:after="20" w:line="240" w:lineRule="auto"/>
              <w:ind w:left="57" w:right="140"/>
              <w:jc w:val="center"/>
              <w:rPr>
                <w:rFonts w:ascii="Cambria" w:hAnsi="Cambria" w:cs="Calibri"/>
                <w:b/>
                <w:bCs/>
                <w:color w:val="000000"/>
                <w:sz w:val="16"/>
                <w:szCs w:val="16"/>
              </w:rPr>
            </w:pPr>
            <w:r>
              <w:rPr>
                <w:rFonts w:ascii="Cambria" w:hAnsi="Cambria" w:cs="Calibri"/>
                <w:b/>
                <w:bCs/>
                <w:color w:val="000000"/>
                <w:sz w:val="16"/>
                <w:szCs w:val="16"/>
              </w:rPr>
              <w:t>Medio</w:t>
            </w:r>
          </w:p>
        </w:tc>
      </w:tr>
      <w:tr w:rsidR="00702D4B" w:rsidRPr="00AF1243" w14:paraId="796BAC4E" w14:textId="77777777" w:rsidTr="00702D4B">
        <w:trPr>
          <w:cantSplit/>
          <w:trHeight w:val="122"/>
          <w:jc w:val="center"/>
        </w:trPr>
        <w:tc>
          <w:tcPr>
            <w:tcW w:w="1482" w:type="dxa"/>
            <w:tcBorders>
              <w:top w:val="nil"/>
              <w:bottom w:val="nil"/>
            </w:tcBorders>
            <w:shd w:val="clear" w:color="auto" w:fill="E0E0E0"/>
            <w:vAlign w:val="center"/>
          </w:tcPr>
          <w:p w14:paraId="66946948" w14:textId="7182F937" w:rsidR="005B665F" w:rsidRDefault="009718D5" w:rsidP="00705E36">
            <w:pPr>
              <w:autoSpaceDE w:val="0"/>
              <w:autoSpaceDN w:val="0"/>
              <w:adjustRightInd w:val="0"/>
              <w:spacing w:after="0" w:line="240" w:lineRule="auto"/>
              <w:ind w:left="57" w:right="140"/>
              <w:jc w:val="center"/>
              <w:rPr>
                <w:rFonts w:asciiTheme="majorHAnsi" w:hAnsiTheme="majorHAnsi" w:cstheme="majorHAnsi"/>
                <w:b/>
                <w:bCs/>
                <w:color w:val="000000"/>
                <w:sz w:val="15"/>
                <w:szCs w:val="15"/>
              </w:rPr>
            </w:pPr>
            <w:r>
              <w:rPr>
                <w:rFonts w:asciiTheme="majorHAnsi" w:hAnsiTheme="majorHAnsi" w:cstheme="majorHAnsi"/>
                <w:b/>
                <w:bCs/>
                <w:color w:val="000000"/>
                <w:sz w:val="15"/>
                <w:szCs w:val="15"/>
              </w:rPr>
              <w:t>Intersección</w:t>
            </w:r>
          </w:p>
        </w:tc>
        <w:tc>
          <w:tcPr>
            <w:tcW w:w="1276" w:type="dxa"/>
            <w:tcBorders>
              <w:top w:val="single" w:sz="4" w:space="0" w:color="auto"/>
              <w:bottom w:val="single" w:sz="4" w:space="0" w:color="auto"/>
            </w:tcBorders>
            <w:shd w:val="clear" w:color="auto" w:fill="auto"/>
            <w:vAlign w:val="center"/>
          </w:tcPr>
          <w:p w14:paraId="6697EA56"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1948.83</w:t>
            </w:r>
          </w:p>
        </w:tc>
        <w:tc>
          <w:tcPr>
            <w:tcW w:w="363" w:type="dxa"/>
            <w:tcBorders>
              <w:top w:val="single" w:sz="4" w:space="0" w:color="auto"/>
              <w:bottom w:val="single" w:sz="4" w:space="0" w:color="auto"/>
            </w:tcBorders>
            <w:shd w:val="clear" w:color="auto" w:fill="auto"/>
            <w:vAlign w:val="center"/>
          </w:tcPr>
          <w:p w14:paraId="6D05D6C2"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1</w:t>
            </w:r>
          </w:p>
        </w:tc>
        <w:tc>
          <w:tcPr>
            <w:tcW w:w="1289" w:type="dxa"/>
            <w:tcBorders>
              <w:top w:val="single" w:sz="4" w:space="0" w:color="auto"/>
              <w:bottom w:val="single" w:sz="4" w:space="0" w:color="auto"/>
            </w:tcBorders>
            <w:shd w:val="clear" w:color="auto" w:fill="auto"/>
            <w:vAlign w:val="center"/>
          </w:tcPr>
          <w:p w14:paraId="140CB170"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1948.83</w:t>
            </w:r>
          </w:p>
        </w:tc>
        <w:tc>
          <w:tcPr>
            <w:tcW w:w="1195" w:type="dxa"/>
            <w:tcBorders>
              <w:top w:val="single" w:sz="4" w:space="0" w:color="auto"/>
              <w:bottom w:val="single" w:sz="4" w:space="0" w:color="auto"/>
            </w:tcBorders>
            <w:shd w:val="clear" w:color="auto" w:fill="auto"/>
            <w:vAlign w:val="center"/>
          </w:tcPr>
          <w:p w14:paraId="45FFCAF6" w14:textId="77777777" w:rsidR="005B665F" w:rsidRPr="00B93893" w:rsidRDefault="005B665F" w:rsidP="00705E36">
            <w:pPr>
              <w:spacing w:before="20" w:after="20" w:line="240" w:lineRule="auto"/>
              <w:ind w:left="57" w:right="140"/>
              <w:jc w:val="center"/>
              <w:rPr>
                <w:rFonts w:ascii="Cambria" w:hAnsi="Cambria" w:cs="Calibri"/>
                <w:b/>
                <w:bCs/>
                <w:color w:val="000000"/>
                <w:sz w:val="16"/>
                <w:szCs w:val="16"/>
              </w:rPr>
            </w:pPr>
            <w:r>
              <w:rPr>
                <w:rFonts w:ascii="Cambria" w:hAnsi="Cambria" w:cs="Calibri"/>
                <w:b/>
                <w:bCs/>
                <w:color w:val="000000"/>
                <w:sz w:val="16"/>
                <w:szCs w:val="16"/>
              </w:rPr>
              <w:t>556.83</w:t>
            </w:r>
            <w:r w:rsidRPr="00B93893">
              <w:rPr>
                <w:rFonts w:ascii="Calibri Light" w:hAnsi="Calibri Light" w:cs="Calibri Light"/>
                <w:b/>
                <w:bCs/>
                <w:sz w:val="16"/>
                <w:szCs w:val="16"/>
              </w:rPr>
              <w:t>**</w:t>
            </w:r>
          </w:p>
        </w:tc>
        <w:tc>
          <w:tcPr>
            <w:tcW w:w="808" w:type="dxa"/>
            <w:tcBorders>
              <w:top w:val="single" w:sz="4" w:space="0" w:color="auto"/>
              <w:bottom w:val="single" w:sz="4" w:space="0" w:color="auto"/>
            </w:tcBorders>
          </w:tcPr>
          <w:p w14:paraId="011A1ED4" w14:textId="77777777" w:rsidR="005B665F" w:rsidRPr="00F46FC9" w:rsidRDefault="005B665F" w:rsidP="00705E36">
            <w:pPr>
              <w:spacing w:before="20" w:after="20" w:line="240" w:lineRule="auto"/>
              <w:ind w:left="57" w:right="140"/>
              <w:jc w:val="center"/>
              <w:rPr>
                <w:rFonts w:ascii="Cambria" w:hAnsi="Cambria" w:cs="Calibri"/>
                <w:b/>
                <w:bCs/>
                <w:color w:val="000000"/>
                <w:sz w:val="16"/>
                <w:szCs w:val="16"/>
              </w:rPr>
            </w:pPr>
            <w:r w:rsidRPr="00B93893">
              <w:rPr>
                <w:rFonts w:ascii="Cambria" w:hAnsi="Cambria" w:cs="Calibri"/>
                <w:b/>
                <w:bCs/>
                <w:color w:val="000000"/>
                <w:sz w:val="16"/>
                <w:szCs w:val="16"/>
              </w:rPr>
              <w:t>&lt;.001</w:t>
            </w:r>
          </w:p>
        </w:tc>
        <w:tc>
          <w:tcPr>
            <w:tcW w:w="518" w:type="dxa"/>
            <w:tcBorders>
              <w:top w:val="single" w:sz="4" w:space="0" w:color="auto"/>
              <w:bottom w:val="single" w:sz="4" w:space="0" w:color="auto"/>
            </w:tcBorders>
          </w:tcPr>
          <w:p w14:paraId="621D6E39" w14:textId="77777777" w:rsidR="005B665F" w:rsidRPr="00852D4C" w:rsidRDefault="005B665F" w:rsidP="00705E36">
            <w:pPr>
              <w:spacing w:before="20" w:after="20" w:line="240" w:lineRule="auto"/>
              <w:ind w:left="57" w:right="140"/>
              <w:jc w:val="center"/>
              <w:rPr>
                <w:rFonts w:ascii="Cambria" w:hAnsi="Cambria" w:cs="Calibri"/>
                <w:b/>
                <w:bCs/>
                <w:color w:val="000000"/>
                <w:sz w:val="16"/>
                <w:szCs w:val="16"/>
              </w:rPr>
            </w:pPr>
            <w:r w:rsidRPr="00852D4C">
              <w:rPr>
                <w:rFonts w:ascii="Cambria" w:hAnsi="Cambria" w:cs="Calibri"/>
                <w:b/>
                <w:bCs/>
                <w:color w:val="000000"/>
                <w:sz w:val="16"/>
                <w:szCs w:val="16"/>
              </w:rPr>
              <w:t>.</w:t>
            </w:r>
            <w:r>
              <w:rPr>
                <w:rFonts w:ascii="Cambria" w:hAnsi="Cambria" w:cs="Calibri"/>
                <w:b/>
                <w:bCs/>
                <w:color w:val="000000"/>
                <w:sz w:val="16"/>
                <w:szCs w:val="16"/>
              </w:rPr>
              <w:t>93</w:t>
            </w:r>
          </w:p>
        </w:tc>
        <w:tc>
          <w:tcPr>
            <w:tcW w:w="1091" w:type="dxa"/>
            <w:tcBorders>
              <w:top w:val="single" w:sz="4" w:space="0" w:color="auto"/>
              <w:bottom w:val="single" w:sz="4" w:space="0" w:color="auto"/>
            </w:tcBorders>
          </w:tcPr>
          <w:p w14:paraId="1E1A7E4A" w14:textId="7685575E" w:rsidR="005B665F" w:rsidRPr="00852D4C" w:rsidRDefault="00084459" w:rsidP="00705E36">
            <w:pPr>
              <w:spacing w:before="20" w:after="20" w:line="240" w:lineRule="auto"/>
              <w:ind w:left="57" w:right="140"/>
              <w:jc w:val="center"/>
              <w:rPr>
                <w:rFonts w:ascii="Cambria" w:hAnsi="Cambria" w:cs="Calibri"/>
                <w:b/>
                <w:bCs/>
                <w:color w:val="000000"/>
                <w:sz w:val="16"/>
                <w:szCs w:val="16"/>
              </w:rPr>
            </w:pPr>
            <w:r>
              <w:rPr>
                <w:rFonts w:ascii="Cambria" w:hAnsi="Cambria" w:cs="Calibri"/>
                <w:b/>
                <w:bCs/>
                <w:color w:val="000000"/>
                <w:sz w:val="16"/>
                <w:szCs w:val="16"/>
              </w:rPr>
              <w:t>Grande</w:t>
            </w:r>
          </w:p>
        </w:tc>
      </w:tr>
      <w:tr w:rsidR="00702D4B" w:rsidRPr="00AF1243" w14:paraId="549F0BD9" w14:textId="77777777" w:rsidTr="00702D4B">
        <w:trPr>
          <w:cantSplit/>
          <w:trHeight w:val="122"/>
          <w:jc w:val="center"/>
        </w:trPr>
        <w:tc>
          <w:tcPr>
            <w:tcW w:w="1482" w:type="dxa"/>
            <w:tcBorders>
              <w:top w:val="nil"/>
              <w:bottom w:val="nil"/>
            </w:tcBorders>
            <w:shd w:val="clear" w:color="auto" w:fill="E0E0E0"/>
            <w:vAlign w:val="center"/>
          </w:tcPr>
          <w:p w14:paraId="32BE1ADB" w14:textId="77777777" w:rsidR="005B665F" w:rsidRDefault="005B665F" w:rsidP="00705E36">
            <w:pPr>
              <w:autoSpaceDE w:val="0"/>
              <w:autoSpaceDN w:val="0"/>
              <w:adjustRightInd w:val="0"/>
              <w:spacing w:after="0" w:line="240" w:lineRule="auto"/>
              <w:ind w:left="57" w:right="140"/>
              <w:jc w:val="center"/>
              <w:rPr>
                <w:rFonts w:asciiTheme="majorHAnsi" w:hAnsiTheme="majorHAnsi" w:cstheme="majorHAnsi"/>
                <w:b/>
                <w:bCs/>
                <w:color w:val="000000"/>
                <w:sz w:val="15"/>
                <w:szCs w:val="15"/>
              </w:rPr>
            </w:pPr>
            <w:r>
              <w:rPr>
                <w:rFonts w:asciiTheme="majorHAnsi" w:hAnsiTheme="majorHAnsi" w:cstheme="majorHAnsi"/>
                <w:b/>
                <w:bCs/>
                <w:color w:val="000000"/>
                <w:sz w:val="15"/>
                <w:szCs w:val="15"/>
              </w:rPr>
              <w:t>CPF</w:t>
            </w:r>
          </w:p>
        </w:tc>
        <w:tc>
          <w:tcPr>
            <w:tcW w:w="1276" w:type="dxa"/>
            <w:tcBorders>
              <w:top w:val="single" w:sz="4" w:space="0" w:color="auto"/>
              <w:bottom w:val="single" w:sz="4" w:space="0" w:color="auto"/>
            </w:tcBorders>
            <w:shd w:val="clear" w:color="auto" w:fill="auto"/>
            <w:vAlign w:val="center"/>
          </w:tcPr>
          <w:p w14:paraId="42191A67"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w:t>
            </w:r>
          </w:p>
        </w:tc>
        <w:tc>
          <w:tcPr>
            <w:tcW w:w="363" w:type="dxa"/>
            <w:tcBorders>
              <w:top w:val="single" w:sz="4" w:space="0" w:color="auto"/>
              <w:bottom w:val="single" w:sz="4" w:space="0" w:color="auto"/>
            </w:tcBorders>
            <w:shd w:val="clear" w:color="auto" w:fill="auto"/>
            <w:vAlign w:val="center"/>
          </w:tcPr>
          <w:p w14:paraId="5816A8E6"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w:t>
            </w:r>
          </w:p>
        </w:tc>
        <w:tc>
          <w:tcPr>
            <w:tcW w:w="1289" w:type="dxa"/>
            <w:tcBorders>
              <w:top w:val="single" w:sz="4" w:space="0" w:color="auto"/>
              <w:bottom w:val="single" w:sz="4" w:space="0" w:color="auto"/>
            </w:tcBorders>
            <w:shd w:val="clear" w:color="auto" w:fill="auto"/>
            <w:vAlign w:val="center"/>
          </w:tcPr>
          <w:p w14:paraId="785A6455"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w:t>
            </w:r>
          </w:p>
        </w:tc>
        <w:tc>
          <w:tcPr>
            <w:tcW w:w="1195" w:type="dxa"/>
            <w:tcBorders>
              <w:top w:val="single" w:sz="4" w:space="0" w:color="auto"/>
              <w:bottom w:val="single" w:sz="4" w:space="0" w:color="auto"/>
            </w:tcBorders>
            <w:shd w:val="clear" w:color="auto" w:fill="auto"/>
            <w:vAlign w:val="center"/>
          </w:tcPr>
          <w:p w14:paraId="3EC7F67B"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w:t>
            </w:r>
          </w:p>
        </w:tc>
        <w:tc>
          <w:tcPr>
            <w:tcW w:w="808" w:type="dxa"/>
            <w:tcBorders>
              <w:top w:val="single" w:sz="4" w:space="0" w:color="auto"/>
              <w:bottom w:val="single" w:sz="4" w:space="0" w:color="auto"/>
            </w:tcBorders>
          </w:tcPr>
          <w:p w14:paraId="1847B237" w14:textId="77777777" w:rsidR="005B665F" w:rsidRPr="00852D4C"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w:t>
            </w:r>
          </w:p>
        </w:tc>
        <w:tc>
          <w:tcPr>
            <w:tcW w:w="518" w:type="dxa"/>
            <w:tcBorders>
              <w:top w:val="single" w:sz="4" w:space="0" w:color="auto"/>
              <w:bottom w:val="single" w:sz="4" w:space="0" w:color="auto"/>
            </w:tcBorders>
          </w:tcPr>
          <w:p w14:paraId="118CA02E"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w:t>
            </w:r>
          </w:p>
        </w:tc>
        <w:tc>
          <w:tcPr>
            <w:tcW w:w="1091" w:type="dxa"/>
            <w:tcBorders>
              <w:top w:val="single" w:sz="4" w:space="0" w:color="auto"/>
              <w:bottom w:val="single" w:sz="4" w:space="0" w:color="auto"/>
            </w:tcBorders>
          </w:tcPr>
          <w:p w14:paraId="5AE9C107"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w:t>
            </w:r>
          </w:p>
        </w:tc>
      </w:tr>
      <w:tr w:rsidR="00702D4B" w:rsidRPr="00AF1243" w14:paraId="263CA7A7" w14:textId="77777777" w:rsidTr="00702D4B">
        <w:trPr>
          <w:cantSplit/>
          <w:trHeight w:val="122"/>
          <w:jc w:val="center"/>
        </w:trPr>
        <w:tc>
          <w:tcPr>
            <w:tcW w:w="1482" w:type="dxa"/>
            <w:tcBorders>
              <w:top w:val="nil"/>
              <w:bottom w:val="nil"/>
            </w:tcBorders>
            <w:shd w:val="clear" w:color="auto" w:fill="E0E0E0"/>
            <w:vAlign w:val="center"/>
          </w:tcPr>
          <w:p w14:paraId="749669A8" w14:textId="77777777" w:rsidR="005B665F" w:rsidRDefault="005B665F" w:rsidP="00705E36">
            <w:pPr>
              <w:autoSpaceDE w:val="0"/>
              <w:autoSpaceDN w:val="0"/>
              <w:adjustRightInd w:val="0"/>
              <w:spacing w:after="0" w:line="240" w:lineRule="auto"/>
              <w:ind w:left="57" w:right="140"/>
              <w:jc w:val="center"/>
              <w:rPr>
                <w:rFonts w:asciiTheme="majorHAnsi" w:hAnsiTheme="majorHAnsi" w:cstheme="majorHAnsi"/>
                <w:b/>
                <w:bCs/>
                <w:color w:val="000000"/>
                <w:sz w:val="15"/>
                <w:szCs w:val="15"/>
              </w:rPr>
            </w:pPr>
            <w:r>
              <w:rPr>
                <w:rFonts w:asciiTheme="majorHAnsi" w:hAnsiTheme="majorHAnsi" w:cstheme="majorHAnsi"/>
                <w:b/>
                <w:bCs/>
                <w:color w:val="000000"/>
                <w:sz w:val="15"/>
                <w:szCs w:val="15"/>
              </w:rPr>
              <w:t>MPF</w:t>
            </w:r>
          </w:p>
        </w:tc>
        <w:tc>
          <w:tcPr>
            <w:tcW w:w="1276" w:type="dxa"/>
            <w:tcBorders>
              <w:top w:val="single" w:sz="4" w:space="0" w:color="auto"/>
              <w:bottom w:val="single" w:sz="4" w:space="0" w:color="auto"/>
            </w:tcBorders>
            <w:shd w:val="clear" w:color="auto" w:fill="auto"/>
            <w:vAlign w:val="center"/>
          </w:tcPr>
          <w:p w14:paraId="49604C77"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1466.24</w:t>
            </w:r>
          </w:p>
        </w:tc>
        <w:tc>
          <w:tcPr>
            <w:tcW w:w="363" w:type="dxa"/>
            <w:tcBorders>
              <w:top w:val="single" w:sz="4" w:space="0" w:color="auto"/>
              <w:bottom w:val="single" w:sz="4" w:space="0" w:color="auto"/>
            </w:tcBorders>
            <w:shd w:val="clear" w:color="auto" w:fill="auto"/>
            <w:vAlign w:val="center"/>
          </w:tcPr>
          <w:p w14:paraId="0E624394"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4</w:t>
            </w:r>
          </w:p>
        </w:tc>
        <w:tc>
          <w:tcPr>
            <w:tcW w:w="1289" w:type="dxa"/>
            <w:tcBorders>
              <w:top w:val="single" w:sz="4" w:space="0" w:color="auto"/>
              <w:bottom w:val="single" w:sz="4" w:space="0" w:color="auto"/>
            </w:tcBorders>
            <w:shd w:val="clear" w:color="auto" w:fill="auto"/>
            <w:vAlign w:val="center"/>
          </w:tcPr>
          <w:p w14:paraId="6AC75024"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366.56</w:t>
            </w:r>
          </w:p>
        </w:tc>
        <w:tc>
          <w:tcPr>
            <w:tcW w:w="1195" w:type="dxa"/>
            <w:tcBorders>
              <w:top w:val="single" w:sz="4" w:space="0" w:color="auto"/>
              <w:bottom w:val="single" w:sz="4" w:space="0" w:color="auto"/>
            </w:tcBorders>
            <w:shd w:val="clear" w:color="auto" w:fill="auto"/>
            <w:vAlign w:val="center"/>
          </w:tcPr>
          <w:p w14:paraId="7B5A6AF0" w14:textId="77777777" w:rsidR="005B665F" w:rsidRPr="00852D4C" w:rsidRDefault="005B665F" w:rsidP="00705E36">
            <w:pPr>
              <w:spacing w:before="20" w:after="20" w:line="240" w:lineRule="auto"/>
              <w:ind w:left="57" w:right="140"/>
              <w:jc w:val="center"/>
              <w:rPr>
                <w:rFonts w:ascii="Cambria" w:hAnsi="Cambria" w:cs="Calibri"/>
                <w:b/>
                <w:bCs/>
                <w:color w:val="000000"/>
                <w:sz w:val="16"/>
                <w:szCs w:val="16"/>
              </w:rPr>
            </w:pPr>
            <w:r w:rsidRPr="00852D4C">
              <w:rPr>
                <w:rFonts w:ascii="Cambria" w:hAnsi="Cambria" w:cs="Calibri"/>
                <w:b/>
                <w:bCs/>
                <w:color w:val="000000"/>
                <w:sz w:val="16"/>
                <w:szCs w:val="16"/>
              </w:rPr>
              <w:t>64.22</w:t>
            </w:r>
            <w:r w:rsidRPr="00852D4C">
              <w:rPr>
                <w:rFonts w:ascii="Calibri Light" w:hAnsi="Calibri Light" w:cs="Calibri Light"/>
                <w:b/>
                <w:bCs/>
                <w:sz w:val="16"/>
                <w:szCs w:val="16"/>
              </w:rPr>
              <w:t>**</w:t>
            </w:r>
          </w:p>
        </w:tc>
        <w:tc>
          <w:tcPr>
            <w:tcW w:w="808" w:type="dxa"/>
            <w:tcBorders>
              <w:top w:val="single" w:sz="4" w:space="0" w:color="auto"/>
              <w:bottom w:val="single" w:sz="4" w:space="0" w:color="auto"/>
            </w:tcBorders>
          </w:tcPr>
          <w:p w14:paraId="56C56EC0" w14:textId="77777777" w:rsidR="005B665F" w:rsidRPr="00852D4C" w:rsidRDefault="005B665F" w:rsidP="00705E36">
            <w:pPr>
              <w:spacing w:before="20" w:after="20" w:line="240" w:lineRule="auto"/>
              <w:ind w:left="57" w:right="140"/>
              <w:jc w:val="center"/>
              <w:rPr>
                <w:rFonts w:ascii="Cambria" w:hAnsi="Cambria" w:cs="Calibri"/>
                <w:b/>
                <w:bCs/>
                <w:color w:val="000000"/>
                <w:sz w:val="16"/>
                <w:szCs w:val="16"/>
              </w:rPr>
            </w:pPr>
            <w:r w:rsidRPr="00852D4C">
              <w:rPr>
                <w:rFonts w:ascii="Cambria" w:hAnsi="Cambria" w:cs="Calibri"/>
                <w:b/>
                <w:bCs/>
                <w:color w:val="000000"/>
                <w:sz w:val="16"/>
                <w:szCs w:val="16"/>
              </w:rPr>
              <w:t>&lt;.001</w:t>
            </w:r>
          </w:p>
        </w:tc>
        <w:tc>
          <w:tcPr>
            <w:tcW w:w="518" w:type="dxa"/>
            <w:tcBorders>
              <w:top w:val="single" w:sz="4" w:space="0" w:color="auto"/>
              <w:bottom w:val="single" w:sz="4" w:space="0" w:color="auto"/>
            </w:tcBorders>
          </w:tcPr>
          <w:p w14:paraId="6F369570" w14:textId="77777777" w:rsidR="005B665F" w:rsidRPr="00852D4C" w:rsidRDefault="005B665F" w:rsidP="00705E36">
            <w:pPr>
              <w:spacing w:before="20" w:after="20" w:line="240" w:lineRule="auto"/>
              <w:ind w:left="57" w:right="140"/>
              <w:jc w:val="center"/>
              <w:rPr>
                <w:rFonts w:ascii="Cambria" w:hAnsi="Cambria" w:cs="Calibri"/>
                <w:b/>
                <w:bCs/>
                <w:color w:val="000000"/>
                <w:sz w:val="16"/>
                <w:szCs w:val="16"/>
              </w:rPr>
            </w:pPr>
            <w:r w:rsidRPr="00852D4C">
              <w:rPr>
                <w:rFonts w:ascii="Cambria" w:hAnsi="Cambria" w:cs="Calibri"/>
                <w:b/>
                <w:bCs/>
                <w:color w:val="000000"/>
                <w:sz w:val="16"/>
                <w:szCs w:val="16"/>
              </w:rPr>
              <w:t>.</w:t>
            </w:r>
            <w:r>
              <w:rPr>
                <w:rFonts w:ascii="Cambria" w:hAnsi="Cambria" w:cs="Calibri"/>
                <w:b/>
                <w:bCs/>
                <w:color w:val="000000"/>
                <w:sz w:val="16"/>
                <w:szCs w:val="16"/>
              </w:rPr>
              <w:t>38</w:t>
            </w:r>
          </w:p>
        </w:tc>
        <w:tc>
          <w:tcPr>
            <w:tcW w:w="1091" w:type="dxa"/>
            <w:tcBorders>
              <w:top w:val="single" w:sz="4" w:space="0" w:color="auto"/>
              <w:bottom w:val="single" w:sz="4" w:space="0" w:color="auto"/>
            </w:tcBorders>
          </w:tcPr>
          <w:p w14:paraId="1C0FD3CA" w14:textId="6E0C3E9B" w:rsidR="005B665F" w:rsidRPr="00852D4C" w:rsidRDefault="00084459" w:rsidP="00705E36">
            <w:pPr>
              <w:spacing w:before="20" w:after="20" w:line="240" w:lineRule="auto"/>
              <w:ind w:left="57" w:right="140"/>
              <w:jc w:val="center"/>
              <w:rPr>
                <w:rFonts w:ascii="Cambria" w:hAnsi="Cambria" w:cs="Calibri"/>
                <w:b/>
                <w:bCs/>
                <w:color w:val="000000"/>
                <w:sz w:val="16"/>
                <w:szCs w:val="16"/>
              </w:rPr>
            </w:pPr>
            <w:r>
              <w:rPr>
                <w:rFonts w:ascii="Cambria" w:hAnsi="Cambria" w:cs="Calibri"/>
                <w:b/>
                <w:bCs/>
                <w:color w:val="000000"/>
                <w:sz w:val="16"/>
                <w:szCs w:val="16"/>
              </w:rPr>
              <w:t>Medio</w:t>
            </w:r>
          </w:p>
        </w:tc>
      </w:tr>
      <w:tr w:rsidR="00702D4B" w:rsidRPr="00AF1243" w14:paraId="6CE2D757" w14:textId="77777777" w:rsidTr="00702D4B">
        <w:trPr>
          <w:cantSplit/>
          <w:trHeight w:val="122"/>
          <w:jc w:val="center"/>
        </w:trPr>
        <w:tc>
          <w:tcPr>
            <w:tcW w:w="1482" w:type="dxa"/>
            <w:tcBorders>
              <w:top w:val="nil"/>
              <w:bottom w:val="single" w:sz="4" w:space="0" w:color="auto"/>
            </w:tcBorders>
            <w:shd w:val="clear" w:color="auto" w:fill="E0E0E0"/>
            <w:vAlign w:val="center"/>
          </w:tcPr>
          <w:p w14:paraId="7FF87F24" w14:textId="77777777" w:rsidR="005B665F" w:rsidRDefault="005B665F" w:rsidP="00705E36">
            <w:pPr>
              <w:autoSpaceDE w:val="0"/>
              <w:autoSpaceDN w:val="0"/>
              <w:adjustRightInd w:val="0"/>
              <w:spacing w:after="0" w:line="240" w:lineRule="auto"/>
              <w:ind w:left="57" w:right="140"/>
              <w:jc w:val="center"/>
              <w:rPr>
                <w:rFonts w:asciiTheme="majorHAnsi" w:hAnsiTheme="majorHAnsi" w:cstheme="majorHAnsi"/>
                <w:b/>
                <w:bCs/>
                <w:color w:val="000000"/>
                <w:sz w:val="15"/>
                <w:szCs w:val="15"/>
              </w:rPr>
            </w:pPr>
            <w:r>
              <w:rPr>
                <w:rFonts w:asciiTheme="majorHAnsi" w:hAnsiTheme="majorHAnsi" w:cstheme="majorHAnsi"/>
                <w:b/>
                <w:bCs/>
                <w:color w:val="000000"/>
                <w:sz w:val="15"/>
                <w:szCs w:val="15"/>
              </w:rPr>
              <w:t>CPF*MPF</w:t>
            </w:r>
          </w:p>
        </w:tc>
        <w:tc>
          <w:tcPr>
            <w:tcW w:w="1276" w:type="dxa"/>
            <w:tcBorders>
              <w:top w:val="single" w:sz="4" w:space="0" w:color="auto"/>
              <w:bottom w:val="single" w:sz="4" w:space="0" w:color="auto"/>
            </w:tcBorders>
            <w:shd w:val="clear" w:color="auto" w:fill="auto"/>
            <w:vAlign w:val="center"/>
          </w:tcPr>
          <w:p w14:paraId="7B32813C"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6.377</w:t>
            </w:r>
          </w:p>
        </w:tc>
        <w:tc>
          <w:tcPr>
            <w:tcW w:w="363" w:type="dxa"/>
            <w:tcBorders>
              <w:top w:val="single" w:sz="4" w:space="0" w:color="auto"/>
              <w:bottom w:val="single" w:sz="4" w:space="0" w:color="auto"/>
            </w:tcBorders>
            <w:shd w:val="clear" w:color="auto" w:fill="auto"/>
            <w:vAlign w:val="center"/>
          </w:tcPr>
          <w:p w14:paraId="5B94D00F"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2</w:t>
            </w:r>
          </w:p>
        </w:tc>
        <w:tc>
          <w:tcPr>
            <w:tcW w:w="1289" w:type="dxa"/>
            <w:tcBorders>
              <w:top w:val="single" w:sz="4" w:space="0" w:color="auto"/>
              <w:bottom w:val="single" w:sz="4" w:space="0" w:color="auto"/>
            </w:tcBorders>
            <w:shd w:val="clear" w:color="auto" w:fill="auto"/>
            <w:vAlign w:val="center"/>
          </w:tcPr>
          <w:p w14:paraId="76FEB3A0"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3.39</w:t>
            </w:r>
          </w:p>
        </w:tc>
        <w:tc>
          <w:tcPr>
            <w:tcW w:w="1195" w:type="dxa"/>
            <w:tcBorders>
              <w:top w:val="single" w:sz="4" w:space="0" w:color="auto"/>
              <w:bottom w:val="single" w:sz="4" w:space="0" w:color="auto"/>
            </w:tcBorders>
            <w:shd w:val="clear" w:color="auto" w:fill="auto"/>
            <w:vAlign w:val="center"/>
          </w:tcPr>
          <w:p w14:paraId="243DFBB6"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.59</w:t>
            </w:r>
            <w:r w:rsidRPr="00852D4C">
              <w:rPr>
                <w:rFonts w:ascii="Cambria" w:hAnsi="Cambria" w:cs="Calibri"/>
                <w:color w:val="000000"/>
                <w:sz w:val="16"/>
                <w:szCs w:val="16"/>
                <w:vertAlign w:val="superscript"/>
              </w:rPr>
              <w:t xml:space="preserve"> NS</w:t>
            </w:r>
          </w:p>
        </w:tc>
        <w:tc>
          <w:tcPr>
            <w:tcW w:w="808" w:type="dxa"/>
            <w:tcBorders>
              <w:top w:val="single" w:sz="4" w:space="0" w:color="auto"/>
              <w:bottom w:val="single" w:sz="4" w:space="0" w:color="auto"/>
            </w:tcBorders>
          </w:tcPr>
          <w:p w14:paraId="78EE2EE2" w14:textId="77777777" w:rsidR="005B665F" w:rsidRDefault="005B665F" w:rsidP="00705E36">
            <w:pPr>
              <w:spacing w:before="20" w:after="20" w:line="240" w:lineRule="auto"/>
              <w:ind w:left="57" w:right="140"/>
              <w:jc w:val="center"/>
              <w:rPr>
                <w:rFonts w:ascii="Cambria" w:hAnsi="Cambria" w:cs="Calibri"/>
                <w:color w:val="000000"/>
                <w:sz w:val="16"/>
                <w:szCs w:val="16"/>
              </w:rPr>
            </w:pPr>
            <w:r w:rsidRPr="00852D4C">
              <w:rPr>
                <w:rFonts w:ascii="Cambria" w:hAnsi="Cambria" w:cs="Calibri"/>
                <w:color w:val="000000"/>
                <w:sz w:val="16"/>
                <w:szCs w:val="16"/>
              </w:rPr>
              <w:t>.554</w:t>
            </w:r>
          </w:p>
        </w:tc>
        <w:tc>
          <w:tcPr>
            <w:tcW w:w="518" w:type="dxa"/>
            <w:tcBorders>
              <w:top w:val="single" w:sz="4" w:space="0" w:color="auto"/>
              <w:bottom w:val="single" w:sz="4" w:space="0" w:color="auto"/>
            </w:tcBorders>
          </w:tcPr>
          <w:p w14:paraId="64899606" w14:textId="77777777" w:rsidR="005B665F" w:rsidRDefault="005B665F"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.01</w:t>
            </w:r>
          </w:p>
        </w:tc>
        <w:tc>
          <w:tcPr>
            <w:tcW w:w="1091" w:type="dxa"/>
            <w:tcBorders>
              <w:top w:val="single" w:sz="4" w:space="0" w:color="auto"/>
              <w:bottom w:val="single" w:sz="4" w:space="0" w:color="auto"/>
            </w:tcBorders>
          </w:tcPr>
          <w:p w14:paraId="0D4D6330" w14:textId="0D8641BA" w:rsidR="005B665F" w:rsidRDefault="00072003" w:rsidP="00705E36">
            <w:pPr>
              <w:spacing w:before="20" w:after="20" w:line="240" w:lineRule="auto"/>
              <w:ind w:left="57" w:right="140"/>
              <w:jc w:val="center"/>
              <w:rPr>
                <w:rFonts w:ascii="Cambria" w:hAnsi="Cambria" w:cs="Calibri"/>
                <w:color w:val="000000"/>
                <w:sz w:val="16"/>
                <w:szCs w:val="16"/>
              </w:rPr>
            </w:pPr>
            <w:r>
              <w:rPr>
                <w:rFonts w:ascii="Cambria" w:hAnsi="Cambria" w:cs="Calibri"/>
                <w:color w:val="000000"/>
                <w:sz w:val="16"/>
                <w:szCs w:val="16"/>
              </w:rPr>
              <w:t>Pequeño</w:t>
            </w:r>
          </w:p>
        </w:tc>
      </w:tr>
      <w:tr w:rsidR="005B665F" w:rsidRPr="00072003" w14:paraId="231C1AAD" w14:textId="77777777" w:rsidTr="00702D4B">
        <w:trPr>
          <w:cantSplit/>
          <w:trHeight w:val="122"/>
          <w:jc w:val="center"/>
        </w:trPr>
        <w:tc>
          <w:tcPr>
            <w:tcW w:w="8026" w:type="dxa"/>
            <w:gridSpan w:val="8"/>
            <w:tcBorders>
              <w:top w:val="nil"/>
              <w:bottom w:val="single" w:sz="4" w:space="0" w:color="auto"/>
            </w:tcBorders>
            <w:shd w:val="clear" w:color="auto" w:fill="auto"/>
            <w:vAlign w:val="center"/>
          </w:tcPr>
          <w:p w14:paraId="2F1DBE59" w14:textId="2321F4FC" w:rsidR="005B665F" w:rsidRPr="00072003" w:rsidRDefault="00072003" w:rsidP="00705E36">
            <w:pPr>
              <w:spacing w:before="20" w:after="20" w:line="240" w:lineRule="auto"/>
              <w:ind w:left="57" w:right="140"/>
              <w:jc w:val="center"/>
              <w:rPr>
                <w:rFonts w:ascii="Cambria" w:hAnsi="Cambria" w:cs="Calibri"/>
                <w:color w:val="000000"/>
                <w:sz w:val="16"/>
                <w:szCs w:val="16"/>
              </w:rPr>
            </w:pPr>
            <w:r w:rsidRPr="00483C0E">
              <w:rPr>
                <w:rFonts w:ascii="Calibri Light" w:eastAsia="Calibri" w:hAnsi="Calibri Light" w:cs="Calibri Light"/>
                <w:kern w:val="0"/>
                <w:sz w:val="16"/>
                <w:szCs w:val="16"/>
                <w:vertAlign w:val="superscript"/>
                <w14:ligatures w14:val="none"/>
              </w:rPr>
              <w:t>NS</w:t>
            </w:r>
            <w:r w:rsidRPr="00483C0E">
              <w:rPr>
                <w:rFonts w:ascii="Calibri Light" w:eastAsia="Calibri" w:hAnsi="Calibri Light" w:cs="Calibri Light"/>
                <w:i/>
                <w:iCs/>
                <w:kern w:val="0"/>
                <w:sz w:val="16"/>
                <w:szCs w:val="16"/>
                <w14:ligatures w14:val="none"/>
              </w:rPr>
              <w:t xml:space="preserve"> No significativo, </w:t>
            </w:r>
            <w:r w:rsidRPr="00483C0E">
              <w:rPr>
                <w:rFonts w:ascii="Calibri Light" w:eastAsia="Calibri" w:hAnsi="Calibri Light" w:cs="Calibri Light"/>
                <w:i/>
                <w:iCs/>
                <w:kern w:val="0"/>
                <w:sz w:val="16"/>
                <w:szCs w:val="16"/>
                <w:vertAlign w:val="superscript"/>
                <w14:ligatures w14:val="none"/>
              </w:rPr>
              <w:t>†</w:t>
            </w:r>
            <w:r w:rsidRPr="00483C0E">
              <w:rPr>
                <w:rFonts w:ascii="Calibri Light" w:eastAsia="Calibri" w:hAnsi="Calibri Light" w:cs="Calibri Light"/>
                <w:i/>
                <w:iCs/>
                <w:kern w:val="0"/>
                <w:sz w:val="16"/>
                <w:szCs w:val="16"/>
                <w14:ligatures w14:val="none"/>
              </w:rPr>
              <w:t xml:space="preserve"> </w:t>
            </w:r>
            <w:r w:rsidRPr="00047E1A">
              <w:rPr>
                <w:rFonts w:ascii="Calibri Light" w:eastAsia="Calibri" w:hAnsi="Calibri Light" w:cs="Calibri Light"/>
                <w:i/>
                <w:iCs/>
                <w:kern w:val="0"/>
                <w:sz w:val="16"/>
                <w:szCs w:val="16"/>
                <w14:ligatures w14:val="none"/>
              </w:rPr>
              <w:t xml:space="preserve">Casi significativo </w:t>
            </w:r>
            <w:r w:rsidRPr="00483C0E">
              <w:rPr>
                <w:rFonts w:ascii="Calibri Light" w:eastAsia="Calibri" w:hAnsi="Calibri Light" w:cs="Calibri Light"/>
                <w:i/>
                <w:iCs/>
                <w:kern w:val="0"/>
                <w:sz w:val="16"/>
                <w:szCs w:val="16"/>
                <w14:ligatures w14:val="none"/>
              </w:rPr>
              <w:t>(p&lt;.10), * Significativo (p&lt;.05) y ** Altamente significativo (p&lt;.01)</w:t>
            </w:r>
          </w:p>
        </w:tc>
      </w:tr>
    </w:tbl>
    <w:p w14:paraId="2FCF8A83" w14:textId="77777777" w:rsidR="00FC30BA" w:rsidRPr="00072003" w:rsidRDefault="00FC30BA" w:rsidP="00705E36">
      <w:pPr>
        <w:keepNext/>
        <w:spacing w:after="60" w:line="240" w:lineRule="auto"/>
        <w:ind w:right="140"/>
        <w:rPr>
          <w:rFonts w:ascii="Calibri" w:eastAsia="Calibri" w:hAnsi="Calibri" w:cs="Times New Roman"/>
          <w:i/>
          <w:iCs/>
          <w:kern w:val="0"/>
          <w:sz w:val="18"/>
          <w:szCs w:val="18"/>
          <w14:ligatures w14:val="none"/>
        </w:rPr>
      </w:pPr>
    </w:p>
    <w:p w14:paraId="7FF322C9" w14:textId="77777777" w:rsidR="00FC30BA" w:rsidRPr="00072003" w:rsidRDefault="00FC30BA" w:rsidP="00705E36">
      <w:pPr>
        <w:keepNext/>
        <w:spacing w:after="60" w:line="240" w:lineRule="auto"/>
        <w:ind w:right="140"/>
        <w:rPr>
          <w:rFonts w:ascii="Calibri" w:eastAsia="Calibri" w:hAnsi="Calibri" w:cs="Times New Roman"/>
          <w:i/>
          <w:iCs/>
          <w:kern w:val="0"/>
          <w:sz w:val="18"/>
          <w:szCs w:val="18"/>
          <w14:ligatures w14:val="none"/>
        </w:rPr>
      </w:pPr>
    </w:p>
    <w:p w14:paraId="108677EC" w14:textId="15404BDF" w:rsidR="00713736" w:rsidRPr="00F57748" w:rsidRDefault="00A21421" w:rsidP="00705E36">
      <w:pPr>
        <w:ind w:right="140"/>
        <w:rPr>
          <w:rFonts w:ascii="Arial" w:hAnsi="Arial" w:cs="Arial"/>
        </w:rPr>
      </w:pPr>
      <w:r w:rsidRPr="00CF3645">
        <w:rPr>
          <w:rFonts w:ascii="Arial" w:hAnsi="Arial" w:cs="Arial"/>
        </w:rPr>
        <w:t>Tras el análisis detallado de la relación entre l</w:t>
      </w:r>
      <w:r w:rsidR="00DC6C9F">
        <w:rPr>
          <w:rFonts w:ascii="Arial" w:hAnsi="Arial" w:cs="Arial"/>
        </w:rPr>
        <w:t>os valores de los ahorros indirecto</w:t>
      </w:r>
      <w:r w:rsidR="0050373E">
        <w:rPr>
          <w:rFonts w:ascii="Arial" w:hAnsi="Arial" w:cs="Arial"/>
        </w:rPr>
        <w:t>s</w:t>
      </w:r>
      <w:r w:rsidR="00DC6C9F">
        <w:rPr>
          <w:rFonts w:ascii="Arial" w:hAnsi="Arial" w:cs="Arial"/>
        </w:rPr>
        <w:t xml:space="preserve"> complejos </w:t>
      </w:r>
      <w:r w:rsidRPr="00CF3645">
        <w:rPr>
          <w:rFonts w:ascii="Arial" w:hAnsi="Arial" w:cs="Arial"/>
        </w:rPr>
        <w:t xml:space="preserve">y las variables </w:t>
      </w:r>
      <w:r w:rsidR="0050373E">
        <w:rPr>
          <w:rFonts w:ascii="Arial" w:hAnsi="Arial" w:cs="Arial"/>
        </w:rPr>
        <w:t xml:space="preserve">madurez y centralización, </w:t>
      </w:r>
      <w:r w:rsidRPr="00CF3645">
        <w:rPr>
          <w:rFonts w:ascii="Arial" w:hAnsi="Arial" w:cs="Arial"/>
        </w:rPr>
        <w:t xml:space="preserve">se concluye que la </w:t>
      </w:r>
      <w:r w:rsidR="0050373E">
        <w:rPr>
          <w:rFonts w:ascii="Arial" w:hAnsi="Arial" w:cs="Arial"/>
        </w:rPr>
        <w:t xml:space="preserve">madurez </w:t>
      </w:r>
      <w:r w:rsidR="00F07A16">
        <w:rPr>
          <w:rFonts w:ascii="Arial" w:hAnsi="Arial" w:cs="Arial"/>
        </w:rPr>
        <w:t xml:space="preserve">del departamento de compras </w:t>
      </w:r>
      <w:r w:rsidRPr="00CF3645">
        <w:rPr>
          <w:rFonts w:ascii="Arial" w:hAnsi="Arial" w:cs="Arial"/>
        </w:rPr>
        <w:t xml:space="preserve">tiene una implicación significativa en los resultados obtenidos para </w:t>
      </w:r>
      <w:r w:rsidR="00F07A16">
        <w:rPr>
          <w:rFonts w:ascii="Arial" w:hAnsi="Arial" w:cs="Arial"/>
        </w:rPr>
        <w:t>los ahorros indirectos complejos</w:t>
      </w:r>
      <w:r w:rsidRPr="00CF3645">
        <w:rPr>
          <w:rFonts w:ascii="Arial" w:hAnsi="Arial" w:cs="Arial"/>
        </w:rPr>
        <w:t>. Este hallazgo está respaldado por el alto nivel de significación observado en el estudio de correlación</w:t>
      </w:r>
      <w:r w:rsidR="00054010" w:rsidRPr="00F57748">
        <w:rPr>
          <w:rFonts w:ascii="Arial" w:hAnsi="Arial" w:cs="Arial"/>
        </w:rPr>
        <w:t>.</w:t>
      </w:r>
      <w:r w:rsidR="00713736" w:rsidRPr="00F57748">
        <w:rPr>
          <w:rFonts w:ascii="Arial" w:hAnsi="Arial" w:cs="Arial"/>
        </w:rPr>
        <w:t xml:space="preserve"> </w:t>
      </w:r>
    </w:p>
    <w:p w14:paraId="6CAB2DDE" w14:textId="051DBEB0" w:rsidR="00B27BC6" w:rsidRPr="0036047A" w:rsidRDefault="00E7154B" w:rsidP="00705E36">
      <w:pPr>
        <w:ind w:right="140"/>
        <w:rPr>
          <w:rFonts w:ascii="Arial" w:hAnsi="Arial" w:cs="Arial"/>
        </w:rPr>
      </w:pPr>
      <w:r>
        <w:rPr>
          <w:rFonts w:ascii="Arial" w:hAnsi="Arial" w:cs="Arial"/>
        </w:rPr>
        <w:t xml:space="preserve">Por lo demás, los análisis realizados no han aportado pruebas estadísticas suficientes para confirmar que la centralización de la función de adquisiciones (CPF) esté relacionada con el número de tipos de ahorros indirectos complejos. En cuanto al modelo que se pretendía estudiar incluyendo CPF, para predecir ahorros </w:t>
      </w:r>
      <w:r w:rsidR="008F39DC">
        <w:rPr>
          <w:rFonts w:ascii="Arial" w:hAnsi="Arial" w:cs="Arial"/>
        </w:rPr>
        <w:t>indirectos</w:t>
      </w:r>
      <w:r>
        <w:rPr>
          <w:rFonts w:ascii="Arial" w:hAnsi="Arial" w:cs="Arial"/>
        </w:rPr>
        <w:t xml:space="preserve"> complejos CSS, este no se pudo llevar a cabo debido a la falta de casos</w:t>
      </w:r>
      <w:r w:rsidR="001D0E71" w:rsidRPr="0036047A">
        <w:rPr>
          <w:rFonts w:ascii="Arial" w:hAnsi="Arial" w:cs="Arial"/>
        </w:rPr>
        <w:t>.</w:t>
      </w:r>
    </w:p>
    <w:p w14:paraId="0AAA96AF" w14:textId="77777777" w:rsidR="00E1461C" w:rsidRPr="0036047A" w:rsidRDefault="00E1461C" w:rsidP="00705E36">
      <w:pPr>
        <w:ind w:right="140"/>
        <w:rPr>
          <w:rFonts w:ascii="Arial" w:hAnsi="Arial" w:cs="Arial"/>
        </w:rPr>
      </w:pPr>
    </w:p>
    <w:p w14:paraId="75E5C6A9" w14:textId="0F2A8D82" w:rsidR="001D285B" w:rsidRPr="000562A4" w:rsidRDefault="002C5ED0" w:rsidP="00705E36">
      <w:pPr>
        <w:pStyle w:val="Heading3"/>
        <w:ind w:right="140"/>
        <w:rPr>
          <w:rFonts w:ascii="Arial" w:hAnsi="Arial" w:cs="Arial"/>
        </w:rPr>
      </w:pPr>
      <w:bookmarkStart w:id="20" w:name="_Toc183376725"/>
      <w:r w:rsidRPr="000562A4">
        <w:rPr>
          <w:rFonts w:ascii="Arial" w:hAnsi="Arial" w:cs="Arial"/>
        </w:rPr>
        <w:t>5.</w:t>
      </w:r>
      <w:r w:rsidR="00FC2DF1" w:rsidRPr="000562A4">
        <w:rPr>
          <w:rFonts w:ascii="Arial" w:hAnsi="Arial" w:cs="Arial"/>
        </w:rPr>
        <w:t>1</w:t>
      </w:r>
      <w:r w:rsidRPr="000562A4">
        <w:rPr>
          <w:rFonts w:ascii="Arial" w:hAnsi="Arial" w:cs="Arial"/>
        </w:rPr>
        <w:t>.</w:t>
      </w:r>
      <w:r w:rsidR="00FC2DF1" w:rsidRPr="000562A4">
        <w:rPr>
          <w:rFonts w:ascii="Arial" w:hAnsi="Arial" w:cs="Arial"/>
        </w:rPr>
        <w:t>2</w:t>
      </w:r>
      <w:r w:rsidRPr="000562A4">
        <w:rPr>
          <w:rFonts w:ascii="Arial" w:hAnsi="Arial" w:cs="Arial"/>
        </w:rPr>
        <w:tab/>
      </w:r>
      <w:r w:rsidR="00E00E3F" w:rsidRPr="000562A4">
        <w:rPr>
          <w:rFonts w:ascii="Arial" w:hAnsi="Arial" w:cs="Arial"/>
        </w:rPr>
        <w:t xml:space="preserve">H2 – </w:t>
      </w:r>
      <w:r w:rsidR="000562A4" w:rsidRPr="000562A4">
        <w:rPr>
          <w:rFonts w:ascii="Arial" w:hAnsi="Arial" w:cs="Arial"/>
        </w:rPr>
        <w:t>Cuantos más ahorros reconocidos dentro de la empresa, más efectos positivos en el medio ambiente</w:t>
      </w:r>
      <w:r w:rsidR="00E00E3F" w:rsidRPr="000562A4">
        <w:rPr>
          <w:rFonts w:ascii="Arial" w:hAnsi="Arial" w:cs="Arial"/>
        </w:rPr>
        <w:t>.</w:t>
      </w:r>
      <w:bookmarkEnd w:id="20"/>
    </w:p>
    <w:p w14:paraId="4E9D7C9C" w14:textId="77777777" w:rsidR="00043D6E" w:rsidRPr="000562A4" w:rsidRDefault="00043D6E" w:rsidP="00705E36">
      <w:pPr>
        <w:ind w:right="140"/>
        <w:rPr>
          <w:rFonts w:ascii="Arial" w:hAnsi="Arial" w:cs="Arial"/>
        </w:rPr>
      </w:pPr>
    </w:p>
    <w:p w14:paraId="1A48B095" w14:textId="50FBD857" w:rsidR="00691FBC" w:rsidRPr="0027335D" w:rsidRDefault="0036047A" w:rsidP="00705E36">
      <w:pPr>
        <w:ind w:right="140"/>
        <w:rPr>
          <w:rFonts w:ascii="Arial" w:hAnsi="Arial" w:cs="Arial"/>
        </w:rPr>
      </w:pPr>
      <w:r w:rsidRPr="007A7FB8">
        <w:rPr>
          <w:rFonts w:ascii="Arial" w:hAnsi="Arial" w:cs="Arial"/>
        </w:rPr>
        <w:t>En la Tabla 11 se examina la relación entre la presencia de ahorros</w:t>
      </w:r>
      <w:r w:rsidR="007D68F3">
        <w:rPr>
          <w:rFonts w:ascii="Arial" w:hAnsi="Arial" w:cs="Arial"/>
        </w:rPr>
        <w:t xml:space="preserve"> </w:t>
      </w:r>
      <w:r w:rsidRPr="007A7FB8">
        <w:rPr>
          <w:rFonts w:ascii="Arial" w:hAnsi="Arial" w:cs="Arial"/>
        </w:rPr>
        <w:t>relacionados con los recursos naturales entre los tres principales tipos de ahorros logrados por el PSM y el número total de tipos de ahorros reconocidos, utilizando una tabla de contingencia y la prueba de Chi-cuadrado, con la medida del tamaño del efecto evaluada por la V de Cramer</w:t>
      </w:r>
      <w:r w:rsidR="00691FBC" w:rsidRPr="0027335D">
        <w:rPr>
          <w:rFonts w:ascii="Arial" w:hAnsi="Arial" w:cs="Arial"/>
        </w:rPr>
        <w:t>.</w:t>
      </w:r>
    </w:p>
    <w:p w14:paraId="4CC4CB49" w14:textId="09DA37BD" w:rsidR="009F380E" w:rsidRPr="0027335D" w:rsidRDefault="0027335D" w:rsidP="00705E36">
      <w:pPr>
        <w:ind w:right="140"/>
        <w:rPr>
          <w:rFonts w:ascii="Arial" w:hAnsi="Arial" w:cs="Arial"/>
        </w:rPr>
      </w:pPr>
      <w:r w:rsidRPr="00BE2CF3">
        <w:rPr>
          <w:rFonts w:ascii="Arial" w:hAnsi="Arial" w:cs="Arial"/>
        </w:rPr>
        <w:t>El resultado de la prueba de Chi-cuadrado (χ2 = 10.92, p-valor = .027) indica que existe una diferencia estadísticamente significativa en el número de tipos de ahorros relacionados con los recursos naturales entre los 3 principales ahorros dependiendo del número de tipos de ahorros. La V de Cramer (0,17) sugiere que el tamaño del efecto de esta relación es pequeño</w:t>
      </w:r>
      <w:r w:rsidR="009F380E" w:rsidRPr="0027335D">
        <w:rPr>
          <w:rFonts w:ascii="Arial" w:hAnsi="Arial" w:cs="Arial"/>
        </w:rPr>
        <w:t>.</w:t>
      </w:r>
    </w:p>
    <w:p w14:paraId="7CBEED81" w14:textId="52C037E2" w:rsidR="00C64DF1" w:rsidRPr="0027335D" w:rsidRDefault="0027335D" w:rsidP="00705E36">
      <w:pPr>
        <w:ind w:right="140"/>
        <w:rPr>
          <w:rFonts w:ascii="Arial" w:hAnsi="Arial" w:cs="Arial"/>
        </w:rPr>
      </w:pPr>
      <w:r w:rsidRPr="00BE2CF3">
        <w:rPr>
          <w:rFonts w:ascii="Arial" w:hAnsi="Arial" w:cs="Arial"/>
        </w:rPr>
        <w:t xml:space="preserve">Analizando los porcentajes, </w:t>
      </w:r>
      <w:r w:rsidR="00E670BA">
        <w:rPr>
          <w:rFonts w:ascii="Arial" w:hAnsi="Arial" w:cs="Arial"/>
        </w:rPr>
        <w:t xml:space="preserve">agrupando por </w:t>
      </w:r>
      <w:r w:rsidR="000A56FB">
        <w:rPr>
          <w:rFonts w:ascii="Arial" w:hAnsi="Arial" w:cs="Arial"/>
        </w:rPr>
        <w:t>número de ahorros reconocidos</w:t>
      </w:r>
      <w:r w:rsidR="00E670BA">
        <w:rPr>
          <w:rFonts w:ascii="Arial" w:hAnsi="Arial" w:cs="Arial"/>
        </w:rPr>
        <w:t>, se observa lo siguiente</w:t>
      </w:r>
      <w:r w:rsidR="009F380E" w:rsidRPr="0027335D">
        <w:rPr>
          <w:rFonts w:ascii="Arial" w:hAnsi="Arial" w:cs="Arial"/>
        </w:rPr>
        <w:t>:</w:t>
      </w:r>
    </w:p>
    <w:p w14:paraId="6432EA07" w14:textId="51554C3B" w:rsidR="00741AA6" w:rsidRPr="00E42815" w:rsidRDefault="00576EB3" w:rsidP="00705E36">
      <w:pPr>
        <w:ind w:right="140"/>
        <w:rPr>
          <w:rFonts w:ascii="Arial" w:hAnsi="Arial" w:cs="Arial"/>
        </w:rPr>
      </w:pPr>
      <w:r w:rsidRPr="00E42815">
        <w:rPr>
          <w:rFonts w:ascii="Arial" w:hAnsi="Arial" w:cs="Arial"/>
        </w:rPr>
        <w:t xml:space="preserve">- </w:t>
      </w:r>
      <w:r w:rsidR="00187187">
        <w:rPr>
          <w:rFonts w:ascii="Arial" w:hAnsi="Arial" w:cs="Arial"/>
        </w:rPr>
        <w:t>Entre las e</w:t>
      </w:r>
      <w:r w:rsidR="00787B4C">
        <w:rPr>
          <w:rFonts w:ascii="Arial" w:hAnsi="Arial" w:cs="Arial"/>
        </w:rPr>
        <w:t xml:space="preserve">mpresas que reconocen </w:t>
      </w:r>
      <w:r w:rsidR="00BF4766">
        <w:rPr>
          <w:rFonts w:ascii="Arial" w:hAnsi="Arial" w:cs="Arial"/>
        </w:rPr>
        <w:t xml:space="preserve">entre </w:t>
      </w:r>
      <w:r w:rsidR="00E42815" w:rsidRPr="00BE2CF3">
        <w:rPr>
          <w:rFonts w:ascii="Arial" w:hAnsi="Arial" w:cs="Arial"/>
        </w:rPr>
        <w:t>1-5 tipos</w:t>
      </w:r>
      <w:r w:rsidR="00BF4766">
        <w:rPr>
          <w:rFonts w:ascii="Arial" w:hAnsi="Arial" w:cs="Arial"/>
        </w:rPr>
        <w:t xml:space="preserve"> </w:t>
      </w:r>
      <w:r w:rsidR="00BF4766" w:rsidRPr="00BE2CF3">
        <w:rPr>
          <w:rFonts w:ascii="Arial" w:hAnsi="Arial" w:cs="Arial"/>
        </w:rPr>
        <w:t>de ahorro</w:t>
      </w:r>
      <w:r w:rsidR="00BF4766">
        <w:rPr>
          <w:rFonts w:ascii="Arial" w:hAnsi="Arial" w:cs="Arial"/>
        </w:rPr>
        <w:t>s</w:t>
      </w:r>
      <w:r w:rsidR="00187187">
        <w:rPr>
          <w:rFonts w:ascii="Arial" w:hAnsi="Arial" w:cs="Arial"/>
        </w:rPr>
        <w:t xml:space="preserve"> el</w:t>
      </w:r>
      <w:r w:rsidR="00E42815" w:rsidRPr="00BE2CF3">
        <w:rPr>
          <w:rFonts w:ascii="Arial" w:hAnsi="Arial" w:cs="Arial"/>
        </w:rPr>
        <w:t xml:space="preserve"> 54,0% </w:t>
      </w:r>
      <w:r w:rsidR="00187187">
        <w:rPr>
          <w:rFonts w:ascii="Arial" w:hAnsi="Arial" w:cs="Arial"/>
        </w:rPr>
        <w:t xml:space="preserve">tiene </w:t>
      </w:r>
      <w:r w:rsidR="00E42815" w:rsidRPr="00BE2CF3">
        <w:rPr>
          <w:rFonts w:ascii="Arial" w:hAnsi="Arial" w:cs="Arial"/>
        </w:rPr>
        <w:t>al menos uno de sus tres principales ahorros relacionados con los recursos naturales.</w:t>
      </w:r>
    </w:p>
    <w:p w14:paraId="432C695A" w14:textId="7F99FEA3" w:rsidR="00576EB3" w:rsidRPr="00E42815" w:rsidRDefault="00576EB3" w:rsidP="00705E36">
      <w:pPr>
        <w:ind w:right="140"/>
        <w:rPr>
          <w:rFonts w:ascii="Arial" w:hAnsi="Arial" w:cs="Arial"/>
        </w:rPr>
      </w:pPr>
      <w:r w:rsidRPr="00E42815">
        <w:rPr>
          <w:rFonts w:ascii="Arial" w:hAnsi="Arial" w:cs="Arial"/>
        </w:rPr>
        <w:t xml:space="preserve">- </w:t>
      </w:r>
      <w:r w:rsidR="00F34C31">
        <w:rPr>
          <w:rFonts w:ascii="Arial" w:hAnsi="Arial" w:cs="Arial"/>
        </w:rPr>
        <w:t>E</w:t>
      </w:r>
      <w:r w:rsidR="00187187">
        <w:rPr>
          <w:rFonts w:ascii="Arial" w:hAnsi="Arial" w:cs="Arial"/>
        </w:rPr>
        <w:t>ntre las e</w:t>
      </w:r>
      <w:r w:rsidR="00F34C31">
        <w:rPr>
          <w:rFonts w:ascii="Arial" w:hAnsi="Arial" w:cs="Arial"/>
        </w:rPr>
        <w:t xml:space="preserve">mpresas que reconocen </w:t>
      </w:r>
      <w:r w:rsidR="00BF4766">
        <w:rPr>
          <w:rFonts w:ascii="Arial" w:hAnsi="Arial" w:cs="Arial"/>
        </w:rPr>
        <w:t xml:space="preserve">entre </w:t>
      </w:r>
      <w:r w:rsidR="00E42815" w:rsidRPr="00BE2CF3">
        <w:rPr>
          <w:rFonts w:ascii="Arial" w:hAnsi="Arial" w:cs="Arial"/>
        </w:rPr>
        <w:t>6-10 tipos</w:t>
      </w:r>
      <w:r w:rsidR="00BF4766">
        <w:rPr>
          <w:rFonts w:ascii="Arial" w:hAnsi="Arial" w:cs="Arial"/>
        </w:rPr>
        <w:t xml:space="preserve"> de ahorros</w:t>
      </w:r>
      <w:r w:rsidR="00187187">
        <w:rPr>
          <w:rFonts w:ascii="Arial" w:hAnsi="Arial" w:cs="Arial"/>
        </w:rPr>
        <w:t xml:space="preserve"> el</w:t>
      </w:r>
      <w:r w:rsidR="00E42815" w:rsidRPr="00BE2CF3">
        <w:rPr>
          <w:rFonts w:ascii="Arial" w:hAnsi="Arial" w:cs="Arial"/>
        </w:rPr>
        <w:t xml:space="preserve"> 54,5% </w:t>
      </w:r>
      <w:r w:rsidR="00187187">
        <w:rPr>
          <w:rFonts w:ascii="Arial" w:hAnsi="Arial" w:cs="Arial"/>
        </w:rPr>
        <w:t xml:space="preserve">tiene </w:t>
      </w:r>
      <w:r w:rsidR="00E42815" w:rsidRPr="00BE2CF3">
        <w:rPr>
          <w:rFonts w:ascii="Arial" w:hAnsi="Arial" w:cs="Arial"/>
        </w:rPr>
        <w:t>al menos uno de sus tres principales ahorros relacionados con los recursos naturales</w:t>
      </w:r>
      <w:r w:rsidR="00972583" w:rsidRPr="00E42815">
        <w:rPr>
          <w:rFonts w:ascii="Arial" w:hAnsi="Arial" w:cs="Arial"/>
        </w:rPr>
        <w:t>.</w:t>
      </w:r>
    </w:p>
    <w:p w14:paraId="27DEC8C3" w14:textId="0D349093" w:rsidR="00AF2227" w:rsidRPr="00D1382C" w:rsidRDefault="00576EB3" w:rsidP="00705E36">
      <w:pPr>
        <w:ind w:right="140"/>
        <w:rPr>
          <w:rFonts w:ascii="Arial" w:hAnsi="Arial" w:cs="Arial"/>
        </w:rPr>
      </w:pPr>
      <w:r w:rsidRPr="00D1382C">
        <w:rPr>
          <w:rFonts w:ascii="Arial" w:hAnsi="Arial" w:cs="Arial"/>
        </w:rPr>
        <w:t xml:space="preserve">- </w:t>
      </w:r>
      <w:r w:rsidR="00BF4766">
        <w:rPr>
          <w:rFonts w:ascii="Arial" w:hAnsi="Arial" w:cs="Arial"/>
        </w:rPr>
        <w:t>E</w:t>
      </w:r>
      <w:r w:rsidR="00E872BC">
        <w:rPr>
          <w:rFonts w:ascii="Arial" w:hAnsi="Arial" w:cs="Arial"/>
        </w:rPr>
        <w:t>ntre las e</w:t>
      </w:r>
      <w:r w:rsidR="00BF4766">
        <w:rPr>
          <w:rFonts w:ascii="Arial" w:hAnsi="Arial" w:cs="Arial"/>
        </w:rPr>
        <w:t>mpresas que reconocen entre</w:t>
      </w:r>
      <w:r w:rsidR="00D1382C" w:rsidRPr="00BE2CF3">
        <w:rPr>
          <w:rFonts w:ascii="Arial" w:hAnsi="Arial" w:cs="Arial"/>
        </w:rPr>
        <w:t xml:space="preserve"> 11-15 tipos</w:t>
      </w:r>
      <w:r w:rsidR="00DB2FE5">
        <w:rPr>
          <w:rFonts w:ascii="Arial" w:hAnsi="Arial" w:cs="Arial"/>
        </w:rPr>
        <w:t xml:space="preserve"> de ahorros</w:t>
      </w:r>
      <w:r w:rsidR="00D1382C" w:rsidRPr="00BE2CF3">
        <w:rPr>
          <w:rFonts w:ascii="Arial" w:hAnsi="Arial" w:cs="Arial"/>
        </w:rPr>
        <w:t xml:space="preserve"> el 58,3% </w:t>
      </w:r>
      <w:r w:rsidR="00594882">
        <w:rPr>
          <w:rFonts w:ascii="Arial" w:hAnsi="Arial" w:cs="Arial"/>
        </w:rPr>
        <w:t xml:space="preserve">cuenta con </w:t>
      </w:r>
      <w:r w:rsidR="00D1382C" w:rsidRPr="00BE2CF3">
        <w:rPr>
          <w:rFonts w:ascii="Arial" w:hAnsi="Arial" w:cs="Arial"/>
        </w:rPr>
        <w:t>al menos uno de sus tres principales ahorros relacionado con los recursos naturales.</w:t>
      </w:r>
      <w:r w:rsidR="00AF2227" w:rsidRPr="00D1382C">
        <w:rPr>
          <w:rFonts w:ascii="Arial" w:hAnsi="Arial" w:cs="Arial"/>
        </w:rPr>
        <w:t xml:space="preserve"> </w:t>
      </w:r>
    </w:p>
    <w:p w14:paraId="5E1ABC7E" w14:textId="21F96011" w:rsidR="00F161E9" w:rsidRPr="005222D3" w:rsidRDefault="005222D3" w:rsidP="00705E36">
      <w:pPr>
        <w:ind w:right="140"/>
        <w:rPr>
          <w:rFonts w:ascii="Arial" w:hAnsi="Arial" w:cs="Arial"/>
        </w:rPr>
      </w:pPr>
      <w:r w:rsidRPr="00BE2CF3">
        <w:rPr>
          <w:rFonts w:ascii="Arial" w:hAnsi="Arial" w:cs="Arial"/>
        </w:rPr>
        <w:t xml:space="preserve">Estos datos ponen de manifiesto </w:t>
      </w:r>
      <w:r w:rsidR="00C96D0A">
        <w:rPr>
          <w:rFonts w:ascii="Arial" w:hAnsi="Arial" w:cs="Arial"/>
        </w:rPr>
        <w:t>la</w:t>
      </w:r>
      <w:r w:rsidRPr="00BE2CF3">
        <w:rPr>
          <w:rFonts w:ascii="Arial" w:hAnsi="Arial" w:cs="Arial"/>
        </w:rPr>
        <w:t xml:space="preserve"> relación entre l</w:t>
      </w:r>
      <w:r w:rsidR="00F55F48">
        <w:rPr>
          <w:rFonts w:ascii="Arial" w:hAnsi="Arial" w:cs="Arial"/>
        </w:rPr>
        <w:t xml:space="preserve">os ahorros en las empresas y los </w:t>
      </w:r>
      <w:r w:rsidRPr="00BE2CF3">
        <w:rPr>
          <w:rFonts w:ascii="Arial" w:hAnsi="Arial" w:cs="Arial"/>
        </w:rPr>
        <w:t>recursos naturales.</w:t>
      </w:r>
      <w:r w:rsidR="00DE7424">
        <w:rPr>
          <w:rFonts w:ascii="Arial" w:hAnsi="Arial" w:cs="Arial"/>
        </w:rPr>
        <w:t xml:space="preserve"> A mayor número de ahorros reconocidos incrementa el porcentaje de </w:t>
      </w:r>
      <w:r w:rsidR="00CB41C2">
        <w:rPr>
          <w:rFonts w:ascii="Arial" w:hAnsi="Arial" w:cs="Arial"/>
        </w:rPr>
        <w:t>estos que están relacionados con las categorías intensivas en recursos naturales.</w:t>
      </w:r>
      <w:r w:rsidRPr="00BE2CF3">
        <w:rPr>
          <w:rFonts w:ascii="Arial" w:hAnsi="Arial" w:cs="Arial"/>
        </w:rPr>
        <w:t xml:space="preserve"> Con una mayoría del 54,7% del total de encuestados con al menos uno de sus ahorros más importantes logrado por </w:t>
      </w:r>
      <w:r w:rsidR="0058360A">
        <w:rPr>
          <w:rFonts w:ascii="Arial" w:hAnsi="Arial" w:cs="Arial"/>
        </w:rPr>
        <w:t>compras</w:t>
      </w:r>
      <w:r w:rsidRPr="00BE2CF3">
        <w:rPr>
          <w:rFonts w:ascii="Arial" w:hAnsi="Arial" w:cs="Arial"/>
        </w:rPr>
        <w:t xml:space="preserve">, entre las categorías de gasto relacionadas con los recursos naturales. </w:t>
      </w:r>
      <w:r w:rsidR="00211178">
        <w:rPr>
          <w:rFonts w:ascii="Arial" w:hAnsi="Arial" w:cs="Arial"/>
        </w:rPr>
        <w:t>Y, p</w:t>
      </w:r>
      <w:r w:rsidR="00F161E9" w:rsidRPr="00BE2CF3">
        <w:rPr>
          <w:rFonts w:ascii="Arial" w:hAnsi="Arial" w:cs="Arial"/>
        </w:rPr>
        <w:t>or lo tanto, generando efectos positivos en el medio ambiente</w:t>
      </w:r>
      <w:r w:rsidR="00F161E9" w:rsidRPr="005222D3">
        <w:rPr>
          <w:rFonts w:ascii="Arial" w:hAnsi="Arial" w:cs="Arial"/>
        </w:rPr>
        <w:t>.</w:t>
      </w:r>
    </w:p>
    <w:p w14:paraId="2737D59A" w14:textId="75ABA6EC" w:rsidR="004E25C2" w:rsidRPr="005222D3" w:rsidRDefault="00211178" w:rsidP="00705E36">
      <w:pPr>
        <w:ind w:right="140"/>
        <w:rPr>
          <w:rFonts w:ascii="Arial" w:hAnsi="Arial" w:cs="Arial"/>
        </w:rPr>
      </w:pPr>
      <w:r>
        <w:rPr>
          <w:rFonts w:ascii="Arial" w:hAnsi="Arial" w:cs="Arial"/>
        </w:rPr>
        <w:t xml:space="preserve">Se considera </w:t>
      </w:r>
      <w:r w:rsidR="005222D3" w:rsidRPr="00BE2CF3">
        <w:rPr>
          <w:rFonts w:ascii="Arial" w:hAnsi="Arial" w:cs="Arial"/>
        </w:rPr>
        <w:t xml:space="preserve">un resultado significativo para confirmar la relación directa entre el número de tipos de ahorro y </w:t>
      </w:r>
      <w:r w:rsidR="00687A6B">
        <w:rPr>
          <w:rFonts w:ascii="Arial" w:hAnsi="Arial" w:cs="Arial"/>
        </w:rPr>
        <w:t xml:space="preserve">los efectos positivos en el medioambiente </w:t>
      </w:r>
      <w:r w:rsidR="0040169A">
        <w:rPr>
          <w:rFonts w:ascii="Arial" w:hAnsi="Arial" w:cs="Arial"/>
        </w:rPr>
        <w:t xml:space="preserve">por la reducción en el consumo de recursos naturales </w:t>
      </w:r>
      <w:r w:rsidR="00687A6B">
        <w:rPr>
          <w:rFonts w:ascii="Arial" w:hAnsi="Arial" w:cs="Arial"/>
        </w:rPr>
        <w:t xml:space="preserve">que generan los </w:t>
      </w:r>
      <w:r w:rsidR="005222D3" w:rsidRPr="00BE2CF3">
        <w:rPr>
          <w:rFonts w:ascii="Arial" w:hAnsi="Arial" w:cs="Arial"/>
        </w:rPr>
        <w:t>ahorro</w:t>
      </w:r>
      <w:r w:rsidR="00687A6B">
        <w:rPr>
          <w:rFonts w:ascii="Arial" w:hAnsi="Arial" w:cs="Arial"/>
        </w:rPr>
        <w:t>s</w:t>
      </w:r>
      <w:r w:rsidR="005222D3" w:rsidRPr="00BE2CF3">
        <w:rPr>
          <w:rFonts w:ascii="Arial" w:hAnsi="Arial" w:cs="Arial"/>
        </w:rPr>
        <w:t xml:space="preserve"> en </w:t>
      </w:r>
      <w:r w:rsidR="001B16E1">
        <w:rPr>
          <w:rFonts w:ascii="Arial" w:hAnsi="Arial" w:cs="Arial"/>
        </w:rPr>
        <w:t>estas</w:t>
      </w:r>
      <w:r w:rsidR="005222D3" w:rsidRPr="00BE2CF3">
        <w:rPr>
          <w:rFonts w:ascii="Arial" w:hAnsi="Arial" w:cs="Arial"/>
        </w:rPr>
        <w:t xml:space="preserve"> categorías de gasto </w:t>
      </w:r>
      <w:r w:rsidR="001B16E1">
        <w:rPr>
          <w:rFonts w:ascii="Arial" w:hAnsi="Arial" w:cs="Arial"/>
        </w:rPr>
        <w:t xml:space="preserve">intensivas en </w:t>
      </w:r>
      <w:r w:rsidR="005222D3" w:rsidRPr="00BE2CF3">
        <w:rPr>
          <w:rFonts w:ascii="Arial" w:hAnsi="Arial" w:cs="Arial"/>
        </w:rPr>
        <w:t xml:space="preserve">recursos naturales. </w:t>
      </w:r>
    </w:p>
    <w:p w14:paraId="60DE8776" w14:textId="77777777" w:rsidR="00754051" w:rsidRPr="005222D3" w:rsidRDefault="00754051" w:rsidP="00705E36">
      <w:pPr>
        <w:pStyle w:val="Caption"/>
        <w:spacing w:after="60"/>
        <w:ind w:right="140"/>
        <w:rPr>
          <w:rFonts w:ascii="Arial" w:hAnsi="Arial" w:cs="Arial"/>
        </w:rPr>
      </w:pPr>
    </w:p>
    <w:p w14:paraId="3F457431" w14:textId="77777777" w:rsidR="005038A5" w:rsidRPr="00FF7F70" w:rsidRDefault="00784059" w:rsidP="00705E36">
      <w:pPr>
        <w:pStyle w:val="Caption"/>
        <w:spacing w:after="60"/>
        <w:ind w:left="-170" w:right="140"/>
        <w:rPr>
          <w:rFonts w:ascii="Calibri" w:eastAsia="Calibri" w:hAnsi="Calibri" w:cs="Times New Roman"/>
          <w:b w:val="0"/>
          <w:bCs w:val="0"/>
          <w:i/>
          <w:iCs/>
        </w:rPr>
      </w:pPr>
      <w:r w:rsidRPr="005038A5">
        <w:rPr>
          <w:rFonts w:ascii="Arial" w:hAnsi="Arial" w:cs="Arial"/>
        </w:rPr>
        <w:t>Tabl</w:t>
      </w:r>
      <w:r w:rsidR="00BC377B" w:rsidRPr="005038A5">
        <w:rPr>
          <w:rFonts w:ascii="Arial" w:hAnsi="Arial" w:cs="Arial"/>
        </w:rPr>
        <w:t>e</w:t>
      </w:r>
      <w:r w:rsidR="006B389E" w:rsidRPr="005038A5">
        <w:rPr>
          <w:rFonts w:ascii="Arial" w:hAnsi="Arial" w:cs="Arial"/>
        </w:rPr>
        <w:t>.11</w:t>
      </w:r>
      <w:r w:rsidRPr="005038A5">
        <w:rPr>
          <w:rFonts w:ascii="Arial" w:hAnsi="Arial" w:cs="Arial"/>
        </w:rPr>
        <w:t xml:space="preserve">: </w:t>
      </w:r>
      <w:r w:rsidR="005038A5" w:rsidRPr="00FF7F70">
        <w:rPr>
          <w:rFonts w:ascii="Calibri" w:eastAsia="Calibri" w:hAnsi="Calibri" w:cs="Times New Roman"/>
          <w:b w:val="0"/>
          <w:bCs w:val="0"/>
          <w:i/>
          <w:iCs/>
        </w:rPr>
        <w:t>Tabla de contingencia y prueba de Chi-cuadrado. Variables: Presencia de recursos naturales entre los 3 principales ahorros frente al número de tipos de ahorro. Medida del tamaño del efecto: V de Cramer.</w:t>
      </w:r>
    </w:p>
    <w:tbl>
      <w:tblPr>
        <w:tblW w:w="8785" w:type="dxa"/>
        <w:tblInd w:w="-280" w:type="dxa"/>
        <w:tblLayout w:type="fixed"/>
        <w:tblCellMar>
          <w:left w:w="70" w:type="dxa"/>
          <w:right w:w="70" w:type="dxa"/>
        </w:tblCellMar>
        <w:tblLook w:val="04A0" w:firstRow="1" w:lastRow="0" w:firstColumn="1" w:lastColumn="0" w:noHBand="0" w:noVBand="1"/>
      </w:tblPr>
      <w:tblGrid>
        <w:gridCol w:w="989"/>
        <w:gridCol w:w="992"/>
        <w:gridCol w:w="1067"/>
        <w:gridCol w:w="1349"/>
        <w:gridCol w:w="936"/>
        <w:gridCol w:w="160"/>
        <w:gridCol w:w="457"/>
        <w:gridCol w:w="709"/>
        <w:gridCol w:w="992"/>
        <w:gridCol w:w="1134"/>
      </w:tblGrid>
      <w:tr w:rsidR="00A97F1E" w:rsidRPr="003C1F6C" w14:paraId="3C51A519" w14:textId="77777777" w:rsidTr="00BC2433">
        <w:trPr>
          <w:trHeight w:val="20"/>
        </w:trPr>
        <w:tc>
          <w:tcPr>
            <w:tcW w:w="989" w:type="dxa"/>
            <w:vMerge w:val="restart"/>
            <w:tcBorders>
              <w:top w:val="single" w:sz="4" w:space="0" w:color="auto"/>
              <w:left w:val="nil"/>
            </w:tcBorders>
            <w:shd w:val="clear" w:color="000000" w:fill="D9D9D9"/>
            <w:noWrap/>
            <w:vAlign w:val="center"/>
            <w:hideMark/>
          </w:tcPr>
          <w:p w14:paraId="66876034" w14:textId="77777777" w:rsidR="005038A5" w:rsidRDefault="005038A5" w:rsidP="00705E36">
            <w:pPr>
              <w:spacing w:after="0" w:line="240" w:lineRule="auto"/>
              <w:ind w:right="140"/>
              <w:jc w:val="center"/>
              <w:rPr>
                <w:rFonts w:asciiTheme="majorHAnsi" w:hAnsiTheme="majorHAnsi" w:cstheme="majorHAnsi"/>
                <w:b/>
                <w:bCs/>
                <w:color w:val="000000"/>
                <w:sz w:val="15"/>
                <w:szCs w:val="15"/>
              </w:rPr>
            </w:pPr>
            <w:r>
              <w:rPr>
                <w:rFonts w:asciiTheme="majorHAnsi" w:hAnsiTheme="majorHAnsi" w:cstheme="majorHAnsi"/>
                <w:b/>
                <w:bCs/>
                <w:color w:val="000000"/>
                <w:sz w:val="15"/>
                <w:szCs w:val="15"/>
              </w:rPr>
              <w:t>Recursos</w:t>
            </w:r>
          </w:p>
          <w:p w14:paraId="72829403" w14:textId="77777777" w:rsidR="005038A5" w:rsidRPr="00BE2CF3" w:rsidRDefault="005038A5" w:rsidP="00705E36">
            <w:pPr>
              <w:spacing w:after="0" w:line="240" w:lineRule="auto"/>
              <w:ind w:right="140"/>
              <w:jc w:val="center"/>
              <w:rPr>
                <w:rFonts w:ascii="Arial" w:eastAsia="Times New Roman" w:hAnsi="Arial" w:cs="Arial"/>
                <w:color w:val="000000"/>
                <w:sz w:val="16"/>
                <w:szCs w:val="16"/>
                <w:lang w:val="en-GB" w:eastAsia="es-ES"/>
              </w:rPr>
            </w:pPr>
            <w:r>
              <w:rPr>
                <w:rFonts w:asciiTheme="majorHAnsi" w:hAnsiTheme="majorHAnsi" w:cstheme="majorHAnsi"/>
                <w:b/>
                <w:bCs/>
                <w:color w:val="000000"/>
                <w:sz w:val="15"/>
                <w:szCs w:val="15"/>
              </w:rPr>
              <w:t>Naturales</w:t>
            </w:r>
          </w:p>
        </w:tc>
        <w:tc>
          <w:tcPr>
            <w:tcW w:w="3408" w:type="dxa"/>
            <w:gridSpan w:val="3"/>
            <w:tcBorders>
              <w:top w:val="single" w:sz="4" w:space="0" w:color="auto"/>
              <w:bottom w:val="single" w:sz="4" w:space="0" w:color="auto"/>
            </w:tcBorders>
            <w:shd w:val="clear" w:color="000000" w:fill="D9D9D9"/>
            <w:noWrap/>
            <w:vAlign w:val="center"/>
            <w:hideMark/>
          </w:tcPr>
          <w:p w14:paraId="1675313A" w14:textId="77777777" w:rsidR="005038A5" w:rsidRPr="005038A5" w:rsidRDefault="005038A5" w:rsidP="00705E36">
            <w:pPr>
              <w:spacing w:before="20" w:after="20" w:line="240" w:lineRule="auto"/>
              <w:ind w:left="57" w:right="140"/>
              <w:jc w:val="center"/>
              <w:rPr>
                <w:rFonts w:ascii="Arial" w:eastAsia="Times New Roman" w:hAnsi="Arial" w:cs="Arial"/>
                <w:b/>
                <w:bCs/>
                <w:color w:val="000000"/>
                <w:sz w:val="16"/>
                <w:szCs w:val="16"/>
                <w:lang w:eastAsia="es-ES"/>
              </w:rPr>
            </w:pPr>
            <w:r w:rsidRPr="00D60AAE">
              <w:rPr>
                <w:rFonts w:asciiTheme="majorHAnsi" w:hAnsiTheme="majorHAnsi" w:cstheme="majorHAnsi"/>
                <w:b/>
                <w:bCs/>
                <w:color w:val="000000"/>
                <w:sz w:val="15"/>
                <w:szCs w:val="15"/>
              </w:rPr>
              <w:t>N</w:t>
            </w:r>
            <w:r>
              <w:rPr>
                <w:rFonts w:asciiTheme="majorHAnsi" w:hAnsiTheme="majorHAnsi" w:cstheme="majorHAnsi"/>
                <w:b/>
                <w:bCs/>
                <w:color w:val="000000"/>
                <w:sz w:val="15"/>
                <w:szCs w:val="15"/>
              </w:rPr>
              <w:t>úmero de tipos de ahorro</w:t>
            </w:r>
          </w:p>
        </w:tc>
        <w:tc>
          <w:tcPr>
            <w:tcW w:w="936" w:type="dxa"/>
            <w:tcBorders>
              <w:top w:val="single" w:sz="4" w:space="0" w:color="auto"/>
              <w:left w:val="nil"/>
              <w:right w:val="nil"/>
            </w:tcBorders>
            <w:shd w:val="clear" w:color="000000" w:fill="D9D9D9"/>
            <w:noWrap/>
            <w:vAlign w:val="center"/>
            <w:hideMark/>
          </w:tcPr>
          <w:p w14:paraId="28EE348B" w14:textId="77777777" w:rsidR="005038A5" w:rsidRPr="005038A5" w:rsidRDefault="005038A5" w:rsidP="00705E36">
            <w:pPr>
              <w:spacing w:after="0" w:line="240" w:lineRule="auto"/>
              <w:ind w:right="140"/>
              <w:jc w:val="center"/>
              <w:rPr>
                <w:rFonts w:ascii="Arial" w:eastAsia="Times New Roman" w:hAnsi="Arial" w:cs="Arial"/>
                <w:color w:val="000000"/>
                <w:sz w:val="16"/>
                <w:szCs w:val="16"/>
                <w:lang w:eastAsia="es-ES"/>
              </w:rPr>
            </w:pPr>
            <w:r w:rsidRPr="005038A5">
              <w:rPr>
                <w:rFonts w:ascii="Arial" w:eastAsia="Times New Roman" w:hAnsi="Arial" w:cs="Arial"/>
                <w:color w:val="000000"/>
                <w:sz w:val="16"/>
                <w:szCs w:val="16"/>
                <w:lang w:eastAsia="es-ES"/>
              </w:rPr>
              <w:t> </w:t>
            </w:r>
          </w:p>
        </w:tc>
        <w:tc>
          <w:tcPr>
            <w:tcW w:w="160" w:type="dxa"/>
            <w:tcBorders>
              <w:top w:val="nil"/>
              <w:left w:val="nil"/>
              <w:bottom w:val="nil"/>
              <w:right w:val="nil"/>
            </w:tcBorders>
            <w:shd w:val="clear" w:color="auto" w:fill="auto"/>
            <w:noWrap/>
            <w:vAlign w:val="center"/>
            <w:hideMark/>
          </w:tcPr>
          <w:p w14:paraId="5562945B" w14:textId="77777777" w:rsidR="005038A5" w:rsidRPr="005038A5" w:rsidRDefault="005038A5" w:rsidP="00705E36">
            <w:pPr>
              <w:spacing w:after="0" w:line="240" w:lineRule="auto"/>
              <w:ind w:right="140"/>
              <w:jc w:val="center"/>
              <w:rPr>
                <w:rFonts w:ascii="Arial" w:eastAsia="Times New Roman" w:hAnsi="Arial" w:cs="Arial"/>
                <w:color w:val="000000"/>
                <w:sz w:val="16"/>
                <w:szCs w:val="16"/>
                <w:lang w:eastAsia="es-ES"/>
              </w:rPr>
            </w:pPr>
          </w:p>
        </w:tc>
        <w:tc>
          <w:tcPr>
            <w:tcW w:w="457" w:type="dxa"/>
            <w:tcBorders>
              <w:top w:val="nil"/>
              <w:left w:val="nil"/>
              <w:bottom w:val="nil"/>
              <w:right w:val="nil"/>
            </w:tcBorders>
            <w:shd w:val="clear" w:color="auto" w:fill="auto"/>
            <w:noWrap/>
            <w:vAlign w:val="center"/>
            <w:hideMark/>
          </w:tcPr>
          <w:p w14:paraId="41E25B6C" w14:textId="77777777" w:rsidR="005038A5" w:rsidRPr="005038A5" w:rsidRDefault="005038A5" w:rsidP="00705E36">
            <w:pPr>
              <w:spacing w:after="0" w:line="240" w:lineRule="auto"/>
              <w:ind w:right="140"/>
              <w:jc w:val="center"/>
              <w:rPr>
                <w:rFonts w:ascii="Arial" w:eastAsia="Times New Roman" w:hAnsi="Arial" w:cs="Arial"/>
                <w:sz w:val="20"/>
                <w:szCs w:val="20"/>
                <w:lang w:eastAsia="es-ES"/>
              </w:rPr>
            </w:pPr>
          </w:p>
        </w:tc>
        <w:tc>
          <w:tcPr>
            <w:tcW w:w="709" w:type="dxa"/>
            <w:tcBorders>
              <w:top w:val="nil"/>
              <w:left w:val="nil"/>
              <w:bottom w:val="nil"/>
              <w:right w:val="nil"/>
            </w:tcBorders>
            <w:shd w:val="clear" w:color="auto" w:fill="auto"/>
            <w:noWrap/>
            <w:vAlign w:val="center"/>
            <w:hideMark/>
          </w:tcPr>
          <w:p w14:paraId="23DA1B72" w14:textId="77777777" w:rsidR="005038A5" w:rsidRPr="005038A5" w:rsidRDefault="005038A5" w:rsidP="00705E36">
            <w:pPr>
              <w:spacing w:after="0" w:line="240" w:lineRule="auto"/>
              <w:ind w:right="140"/>
              <w:jc w:val="center"/>
              <w:rPr>
                <w:rFonts w:ascii="Arial" w:eastAsia="Times New Roman" w:hAnsi="Arial" w:cs="Arial"/>
                <w:sz w:val="20"/>
                <w:szCs w:val="20"/>
                <w:lang w:eastAsia="es-ES"/>
              </w:rPr>
            </w:pPr>
          </w:p>
        </w:tc>
        <w:tc>
          <w:tcPr>
            <w:tcW w:w="992" w:type="dxa"/>
            <w:tcBorders>
              <w:top w:val="nil"/>
              <w:left w:val="nil"/>
              <w:bottom w:val="nil"/>
              <w:right w:val="nil"/>
            </w:tcBorders>
            <w:shd w:val="clear" w:color="auto" w:fill="auto"/>
            <w:noWrap/>
            <w:vAlign w:val="center"/>
            <w:hideMark/>
          </w:tcPr>
          <w:p w14:paraId="015BBCC2" w14:textId="77777777" w:rsidR="005038A5" w:rsidRPr="005038A5" w:rsidRDefault="005038A5" w:rsidP="00705E36">
            <w:pPr>
              <w:spacing w:after="0" w:line="240" w:lineRule="auto"/>
              <w:ind w:right="140"/>
              <w:jc w:val="center"/>
              <w:rPr>
                <w:rFonts w:ascii="Arial" w:eastAsia="Times New Roman" w:hAnsi="Arial" w:cs="Arial"/>
                <w:sz w:val="20"/>
                <w:szCs w:val="20"/>
                <w:lang w:eastAsia="es-ES"/>
              </w:rPr>
            </w:pPr>
          </w:p>
        </w:tc>
        <w:tc>
          <w:tcPr>
            <w:tcW w:w="1134" w:type="dxa"/>
            <w:tcBorders>
              <w:top w:val="nil"/>
              <w:left w:val="nil"/>
              <w:bottom w:val="nil"/>
              <w:right w:val="nil"/>
            </w:tcBorders>
            <w:shd w:val="clear" w:color="auto" w:fill="auto"/>
            <w:noWrap/>
            <w:vAlign w:val="center"/>
            <w:hideMark/>
          </w:tcPr>
          <w:p w14:paraId="376517DF" w14:textId="77777777" w:rsidR="005038A5" w:rsidRPr="005038A5" w:rsidRDefault="005038A5" w:rsidP="00705E36">
            <w:pPr>
              <w:spacing w:after="0" w:line="240" w:lineRule="auto"/>
              <w:ind w:right="140"/>
              <w:jc w:val="center"/>
              <w:rPr>
                <w:rFonts w:ascii="Arial" w:eastAsia="Times New Roman" w:hAnsi="Arial" w:cs="Arial"/>
                <w:sz w:val="20"/>
                <w:szCs w:val="20"/>
                <w:lang w:eastAsia="es-ES"/>
              </w:rPr>
            </w:pPr>
          </w:p>
        </w:tc>
      </w:tr>
      <w:tr w:rsidR="002855BF" w:rsidRPr="00BE2CF3" w14:paraId="00006A03" w14:textId="77777777" w:rsidTr="00BC2433">
        <w:trPr>
          <w:trHeight w:val="20"/>
        </w:trPr>
        <w:tc>
          <w:tcPr>
            <w:tcW w:w="989" w:type="dxa"/>
            <w:vMerge/>
            <w:tcBorders>
              <w:left w:val="nil"/>
              <w:bottom w:val="single" w:sz="4" w:space="0" w:color="auto"/>
            </w:tcBorders>
            <w:shd w:val="clear" w:color="000000" w:fill="D9D9D9"/>
            <w:noWrap/>
            <w:vAlign w:val="center"/>
            <w:hideMark/>
          </w:tcPr>
          <w:p w14:paraId="23378248" w14:textId="77777777" w:rsidR="005038A5" w:rsidRPr="00D60AAE" w:rsidRDefault="005038A5" w:rsidP="00705E36">
            <w:pPr>
              <w:spacing w:before="20" w:after="20" w:line="240" w:lineRule="auto"/>
              <w:ind w:left="57" w:right="140"/>
              <w:jc w:val="center"/>
              <w:rPr>
                <w:rFonts w:asciiTheme="majorHAnsi" w:hAnsiTheme="majorHAnsi" w:cstheme="majorHAnsi"/>
                <w:b/>
                <w:bCs/>
                <w:color w:val="000000"/>
                <w:sz w:val="15"/>
                <w:szCs w:val="15"/>
              </w:rPr>
            </w:pPr>
          </w:p>
        </w:tc>
        <w:tc>
          <w:tcPr>
            <w:tcW w:w="992" w:type="dxa"/>
            <w:tcBorders>
              <w:top w:val="single" w:sz="4" w:space="0" w:color="auto"/>
              <w:left w:val="nil"/>
              <w:bottom w:val="single" w:sz="4" w:space="0" w:color="auto"/>
              <w:right w:val="nil"/>
            </w:tcBorders>
            <w:shd w:val="clear" w:color="auto" w:fill="F2F2F2" w:themeFill="background1" w:themeFillShade="F2"/>
            <w:noWrap/>
            <w:vAlign w:val="center"/>
            <w:hideMark/>
          </w:tcPr>
          <w:p w14:paraId="50C72F46" w14:textId="77777777" w:rsidR="00010FDB" w:rsidRDefault="005038A5" w:rsidP="00705E36">
            <w:pPr>
              <w:spacing w:before="20" w:after="20" w:line="240" w:lineRule="auto"/>
              <w:ind w:left="57" w:right="140"/>
              <w:jc w:val="center"/>
              <w:rPr>
                <w:rFonts w:asciiTheme="majorHAnsi" w:hAnsiTheme="majorHAnsi" w:cstheme="majorHAnsi"/>
                <w:b/>
                <w:bCs/>
                <w:color w:val="000000"/>
                <w:sz w:val="15"/>
                <w:szCs w:val="15"/>
              </w:rPr>
            </w:pPr>
            <w:r>
              <w:rPr>
                <w:rFonts w:asciiTheme="majorHAnsi" w:hAnsiTheme="majorHAnsi" w:cstheme="majorHAnsi"/>
                <w:b/>
                <w:bCs/>
                <w:color w:val="000000"/>
                <w:sz w:val="15"/>
                <w:szCs w:val="15"/>
              </w:rPr>
              <w:t xml:space="preserve">Pocos </w:t>
            </w:r>
          </w:p>
          <w:p w14:paraId="238DC199" w14:textId="074A846E" w:rsidR="005038A5" w:rsidRPr="00D60AAE" w:rsidRDefault="005038A5" w:rsidP="00705E36">
            <w:pPr>
              <w:spacing w:before="20" w:after="20" w:line="240" w:lineRule="auto"/>
              <w:ind w:left="57" w:right="140"/>
              <w:jc w:val="center"/>
              <w:rPr>
                <w:rFonts w:asciiTheme="majorHAnsi" w:hAnsiTheme="majorHAnsi" w:cstheme="majorHAnsi"/>
                <w:b/>
                <w:bCs/>
                <w:color w:val="000000"/>
                <w:sz w:val="15"/>
                <w:szCs w:val="15"/>
              </w:rPr>
            </w:pPr>
            <w:r w:rsidRPr="00D60AAE">
              <w:rPr>
                <w:rFonts w:asciiTheme="majorHAnsi" w:hAnsiTheme="majorHAnsi" w:cstheme="majorHAnsi"/>
                <w:b/>
                <w:bCs/>
                <w:color w:val="000000"/>
                <w:sz w:val="15"/>
                <w:szCs w:val="15"/>
              </w:rPr>
              <w:t>(1-5)</w:t>
            </w:r>
          </w:p>
        </w:tc>
        <w:tc>
          <w:tcPr>
            <w:tcW w:w="1067" w:type="dxa"/>
            <w:tcBorders>
              <w:top w:val="single" w:sz="4" w:space="0" w:color="auto"/>
              <w:left w:val="nil"/>
              <w:bottom w:val="single" w:sz="4" w:space="0" w:color="auto"/>
              <w:right w:val="nil"/>
            </w:tcBorders>
            <w:shd w:val="clear" w:color="auto" w:fill="F2F2F2" w:themeFill="background1" w:themeFillShade="F2"/>
            <w:noWrap/>
            <w:vAlign w:val="center"/>
            <w:hideMark/>
          </w:tcPr>
          <w:p w14:paraId="775E6A88" w14:textId="77777777" w:rsidR="00010FDB" w:rsidRDefault="005038A5" w:rsidP="00705E36">
            <w:pPr>
              <w:spacing w:before="20" w:after="20" w:line="240" w:lineRule="auto"/>
              <w:ind w:left="57" w:right="140"/>
              <w:jc w:val="center"/>
              <w:rPr>
                <w:rFonts w:asciiTheme="majorHAnsi" w:hAnsiTheme="majorHAnsi" w:cstheme="majorHAnsi"/>
                <w:b/>
                <w:bCs/>
                <w:color w:val="000000"/>
                <w:sz w:val="15"/>
                <w:szCs w:val="15"/>
              </w:rPr>
            </w:pPr>
            <w:r w:rsidRPr="00D60AAE">
              <w:rPr>
                <w:rFonts w:asciiTheme="majorHAnsi" w:hAnsiTheme="majorHAnsi" w:cstheme="majorHAnsi"/>
                <w:b/>
                <w:bCs/>
                <w:color w:val="000000"/>
                <w:sz w:val="15"/>
                <w:szCs w:val="15"/>
              </w:rPr>
              <w:t>Med</w:t>
            </w:r>
            <w:r w:rsidR="000F2093">
              <w:rPr>
                <w:rFonts w:asciiTheme="majorHAnsi" w:hAnsiTheme="majorHAnsi" w:cstheme="majorHAnsi"/>
                <w:b/>
                <w:bCs/>
                <w:color w:val="000000"/>
                <w:sz w:val="15"/>
                <w:szCs w:val="15"/>
              </w:rPr>
              <w:t>i</w:t>
            </w:r>
            <w:r>
              <w:rPr>
                <w:rFonts w:asciiTheme="majorHAnsi" w:hAnsiTheme="majorHAnsi" w:cstheme="majorHAnsi"/>
                <w:b/>
                <w:bCs/>
                <w:color w:val="000000"/>
                <w:sz w:val="15"/>
                <w:szCs w:val="15"/>
              </w:rPr>
              <w:t>os</w:t>
            </w:r>
            <w:r w:rsidRPr="00D60AAE">
              <w:rPr>
                <w:rFonts w:asciiTheme="majorHAnsi" w:hAnsiTheme="majorHAnsi" w:cstheme="majorHAnsi"/>
                <w:b/>
                <w:bCs/>
                <w:color w:val="000000"/>
                <w:sz w:val="15"/>
                <w:szCs w:val="15"/>
              </w:rPr>
              <w:t xml:space="preserve"> </w:t>
            </w:r>
          </w:p>
          <w:p w14:paraId="1048E254" w14:textId="046D7CEE" w:rsidR="005038A5" w:rsidRPr="00D60AAE" w:rsidRDefault="005038A5" w:rsidP="00705E36">
            <w:pPr>
              <w:spacing w:before="20" w:after="20" w:line="240" w:lineRule="auto"/>
              <w:ind w:left="57" w:right="140"/>
              <w:jc w:val="center"/>
              <w:rPr>
                <w:rFonts w:asciiTheme="majorHAnsi" w:hAnsiTheme="majorHAnsi" w:cstheme="majorHAnsi"/>
                <w:b/>
                <w:bCs/>
                <w:color w:val="000000"/>
                <w:sz w:val="15"/>
                <w:szCs w:val="15"/>
              </w:rPr>
            </w:pPr>
            <w:r w:rsidRPr="00D60AAE">
              <w:rPr>
                <w:rFonts w:asciiTheme="majorHAnsi" w:hAnsiTheme="majorHAnsi" w:cstheme="majorHAnsi"/>
                <w:b/>
                <w:bCs/>
                <w:color w:val="000000"/>
                <w:sz w:val="15"/>
                <w:szCs w:val="15"/>
              </w:rPr>
              <w:t>(6-10)</w:t>
            </w:r>
          </w:p>
        </w:tc>
        <w:tc>
          <w:tcPr>
            <w:tcW w:w="1349" w:type="dxa"/>
            <w:tcBorders>
              <w:top w:val="single" w:sz="4" w:space="0" w:color="auto"/>
              <w:left w:val="nil"/>
              <w:bottom w:val="single" w:sz="4" w:space="0" w:color="auto"/>
            </w:tcBorders>
            <w:shd w:val="clear" w:color="auto" w:fill="F2F2F2" w:themeFill="background1" w:themeFillShade="F2"/>
            <w:noWrap/>
            <w:vAlign w:val="center"/>
            <w:hideMark/>
          </w:tcPr>
          <w:p w14:paraId="6F6F3995" w14:textId="77777777" w:rsidR="00010FDB" w:rsidRDefault="005038A5" w:rsidP="00705E36">
            <w:pPr>
              <w:spacing w:before="20" w:after="20" w:line="240" w:lineRule="auto"/>
              <w:ind w:left="57" w:right="140"/>
              <w:jc w:val="center"/>
              <w:rPr>
                <w:rFonts w:asciiTheme="majorHAnsi" w:hAnsiTheme="majorHAnsi" w:cstheme="majorHAnsi"/>
                <w:b/>
                <w:bCs/>
                <w:color w:val="000000"/>
                <w:sz w:val="15"/>
                <w:szCs w:val="15"/>
              </w:rPr>
            </w:pPr>
            <w:r w:rsidRPr="00D60AAE">
              <w:rPr>
                <w:rFonts w:asciiTheme="majorHAnsi" w:hAnsiTheme="majorHAnsi" w:cstheme="majorHAnsi"/>
                <w:b/>
                <w:bCs/>
                <w:color w:val="000000"/>
                <w:sz w:val="15"/>
                <w:szCs w:val="15"/>
              </w:rPr>
              <w:t>M</w:t>
            </w:r>
            <w:r>
              <w:rPr>
                <w:rFonts w:asciiTheme="majorHAnsi" w:hAnsiTheme="majorHAnsi" w:cstheme="majorHAnsi"/>
                <w:b/>
                <w:bCs/>
                <w:color w:val="000000"/>
                <w:sz w:val="15"/>
                <w:szCs w:val="15"/>
              </w:rPr>
              <w:t xml:space="preserve">uchos </w:t>
            </w:r>
          </w:p>
          <w:p w14:paraId="571F5887" w14:textId="7C29ECD2" w:rsidR="005038A5" w:rsidRPr="00D60AAE" w:rsidRDefault="005038A5" w:rsidP="00705E36">
            <w:pPr>
              <w:spacing w:before="20" w:after="20" w:line="240" w:lineRule="auto"/>
              <w:ind w:left="57" w:right="140"/>
              <w:jc w:val="center"/>
              <w:rPr>
                <w:rFonts w:asciiTheme="majorHAnsi" w:hAnsiTheme="majorHAnsi" w:cstheme="majorHAnsi"/>
                <w:b/>
                <w:bCs/>
                <w:color w:val="000000"/>
                <w:sz w:val="15"/>
                <w:szCs w:val="15"/>
              </w:rPr>
            </w:pPr>
            <w:r w:rsidRPr="00D60AAE">
              <w:rPr>
                <w:rFonts w:asciiTheme="majorHAnsi" w:hAnsiTheme="majorHAnsi" w:cstheme="majorHAnsi"/>
                <w:b/>
                <w:bCs/>
                <w:color w:val="000000"/>
                <w:sz w:val="15"/>
                <w:szCs w:val="15"/>
              </w:rPr>
              <w:t>(11-15)</w:t>
            </w:r>
          </w:p>
        </w:tc>
        <w:tc>
          <w:tcPr>
            <w:tcW w:w="936" w:type="dxa"/>
            <w:tcBorders>
              <w:bottom w:val="single" w:sz="4" w:space="0" w:color="auto"/>
              <w:right w:val="nil"/>
            </w:tcBorders>
            <w:shd w:val="clear" w:color="000000" w:fill="D9D9D9"/>
            <w:noWrap/>
            <w:vAlign w:val="center"/>
            <w:hideMark/>
          </w:tcPr>
          <w:p w14:paraId="68940CBB" w14:textId="77777777" w:rsidR="005038A5" w:rsidRPr="00D60AAE" w:rsidRDefault="005038A5" w:rsidP="00705E36">
            <w:pPr>
              <w:spacing w:before="20" w:after="20" w:line="240" w:lineRule="auto"/>
              <w:ind w:left="57" w:right="140"/>
              <w:jc w:val="center"/>
              <w:rPr>
                <w:rFonts w:asciiTheme="majorHAnsi" w:hAnsiTheme="majorHAnsi" w:cstheme="majorHAnsi"/>
                <w:b/>
                <w:bCs/>
                <w:color w:val="000000"/>
                <w:sz w:val="15"/>
                <w:szCs w:val="15"/>
              </w:rPr>
            </w:pPr>
            <w:r>
              <w:rPr>
                <w:rFonts w:asciiTheme="majorHAnsi" w:hAnsiTheme="majorHAnsi" w:cstheme="majorHAnsi"/>
                <w:b/>
                <w:bCs/>
                <w:color w:val="000000"/>
                <w:sz w:val="15"/>
                <w:szCs w:val="15"/>
              </w:rPr>
              <w:t>Total</w:t>
            </w:r>
          </w:p>
        </w:tc>
        <w:tc>
          <w:tcPr>
            <w:tcW w:w="160" w:type="dxa"/>
            <w:tcBorders>
              <w:top w:val="nil"/>
              <w:left w:val="nil"/>
              <w:bottom w:val="nil"/>
              <w:right w:val="nil"/>
            </w:tcBorders>
            <w:shd w:val="clear" w:color="auto" w:fill="auto"/>
            <w:noWrap/>
            <w:vAlign w:val="center"/>
            <w:hideMark/>
          </w:tcPr>
          <w:p w14:paraId="12B94C09" w14:textId="77777777" w:rsidR="005038A5" w:rsidRPr="00BE2CF3" w:rsidRDefault="005038A5" w:rsidP="00705E36">
            <w:pPr>
              <w:spacing w:after="0" w:line="240" w:lineRule="auto"/>
              <w:ind w:right="140"/>
              <w:jc w:val="center"/>
              <w:rPr>
                <w:rFonts w:ascii="Arial" w:eastAsia="Times New Roman" w:hAnsi="Arial" w:cs="Arial"/>
                <w:b/>
                <w:bCs/>
                <w:color w:val="000000"/>
                <w:sz w:val="16"/>
                <w:szCs w:val="16"/>
                <w:lang w:eastAsia="es-ES"/>
              </w:rPr>
            </w:pPr>
          </w:p>
        </w:tc>
        <w:tc>
          <w:tcPr>
            <w:tcW w:w="457" w:type="dxa"/>
            <w:tcBorders>
              <w:top w:val="nil"/>
              <w:left w:val="nil"/>
              <w:bottom w:val="nil"/>
              <w:right w:val="nil"/>
            </w:tcBorders>
            <w:shd w:val="clear" w:color="auto" w:fill="auto"/>
            <w:noWrap/>
            <w:vAlign w:val="center"/>
            <w:hideMark/>
          </w:tcPr>
          <w:p w14:paraId="69A6B089" w14:textId="77777777" w:rsidR="005038A5" w:rsidRPr="00BE2CF3" w:rsidRDefault="005038A5" w:rsidP="00705E36">
            <w:pPr>
              <w:spacing w:after="0" w:line="240" w:lineRule="auto"/>
              <w:ind w:right="140"/>
              <w:jc w:val="center"/>
              <w:rPr>
                <w:rFonts w:ascii="Arial" w:eastAsia="Times New Roman" w:hAnsi="Arial" w:cs="Arial"/>
                <w:color w:val="000000"/>
                <w:sz w:val="16"/>
                <w:szCs w:val="16"/>
                <w:lang w:eastAsia="es-ES"/>
              </w:rPr>
            </w:pPr>
            <w:r w:rsidRPr="00BE2CF3">
              <w:rPr>
                <w:rFonts w:ascii="Arial" w:eastAsia="Times New Roman" w:hAnsi="Arial" w:cs="Arial"/>
                <w:color w:val="000000"/>
                <w:sz w:val="16"/>
                <w:szCs w:val="16"/>
                <w:lang w:eastAsia="es-ES"/>
              </w:rPr>
              <w:t xml:space="preserve"> </w:t>
            </w:r>
          </w:p>
        </w:tc>
        <w:tc>
          <w:tcPr>
            <w:tcW w:w="709" w:type="dxa"/>
            <w:tcBorders>
              <w:top w:val="single" w:sz="4" w:space="0" w:color="auto"/>
              <w:left w:val="nil"/>
              <w:bottom w:val="single" w:sz="4" w:space="0" w:color="auto"/>
              <w:right w:val="nil"/>
            </w:tcBorders>
            <w:shd w:val="clear" w:color="auto" w:fill="D9D9D9" w:themeFill="background1" w:themeFillShade="D9"/>
            <w:noWrap/>
            <w:vAlign w:val="center"/>
            <w:hideMark/>
          </w:tcPr>
          <w:p w14:paraId="3ACF6B9C" w14:textId="77777777" w:rsidR="005038A5" w:rsidRPr="00D60AAE" w:rsidRDefault="005038A5" w:rsidP="00705E36">
            <w:pPr>
              <w:spacing w:before="20" w:after="20" w:line="240" w:lineRule="auto"/>
              <w:ind w:left="57" w:right="140"/>
              <w:jc w:val="center"/>
              <w:rPr>
                <w:rFonts w:asciiTheme="majorHAnsi" w:hAnsiTheme="majorHAnsi" w:cstheme="majorHAnsi"/>
                <w:b/>
                <w:bCs/>
                <w:color w:val="000000"/>
                <w:sz w:val="15"/>
                <w:szCs w:val="15"/>
              </w:rPr>
            </w:pPr>
            <w:r w:rsidRPr="00D60AAE">
              <w:rPr>
                <w:rFonts w:asciiTheme="majorHAnsi" w:hAnsiTheme="majorHAnsi" w:cstheme="majorHAnsi"/>
                <w:b/>
                <w:bCs/>
                <w:color w:val="000000"/>
                <w:sz w:val="15"/>
                <w:szCs w:val="15"/>
              </w:rPr>
              <w:t>p-val</w:t>
            </w:r>
            <w:r>
              <w:rPr>
                <w:rFonts w:asciiTheme="majorHAnsi" w:hAnsiTheme="majorHAnsi" w:cstheme="majorHAnsi"/>
                <w:b/>
                <w:bCs/>
                <w:color w:val="000000"/>
                <w:sz w:val="15"/>
                <w:szCs w:val="15"/>
              </w:rPr>
              <w:t>or</w:t>
            </w:r>
          </w:p>
        </w:tc>
        <w:tc>
          <w:tcPr>
            <w:tcW w:w="992" w:type="dxa"/>
            <w:tcBorders>
              <w:top w:val="single" w:sz="4" w:space="0" w:color="auto"/>
              <w:left w:val="nil"/>
              <w:bottom w:val="single" w:sz="4" w:space="0" w:color="auto"/>
              <w:right w:val="nil"/>
            </w:tcBorders>
            <w:shd w:val="clear" w:color="auto" w:fill="D9D9D9" w:themeFill="background1" w:themeFillShade="D9"/>
            <w:noWrap/>
            <w:vAlign w:val="center"/>
            <w:hideMark/>
          </w:tcPr>
          <w:p w14:paraId="42601278" w14:textId="77777777" w:rsidR="005038A5" w:rsidRPr="00D60AAE" w:rsidRDefault="005038A5" w:rsidP="00705E36">
            <w:pPr>
              <w:spacing w:before="20" w:after="20" w:line="240" w:lineRule="auto"/>
              <w:ind w:left="57" w:right="140"/>
              <w:jc w:val="center"/>
              <w:rPr>
                <w:rFonts w:asciiTheme="majorHAnsi" w:hAnsiTheme="majorHAnsi" w:cstheme="majorHAnsi"/>
                <w:b/>
                <w:bCs/>
                <w:color w:val="000000"/>
                <w:sz w:val="15"/>
                <w:szCs w:val="15"/>
              </w:rPr>
            </w:pPr>
            <w:r>
              <w:rPr>
                <w:rFonts w:asciiTheme="majorHAnsi" w:hAnsiTheme="majorHAnsi" w:cstheme="majorHAnsi"/>
                <w:b/>
                <w:bCs/>
                <w:color w:val="000000"/>
                <w:sz w:val="15"/>
                <w:szCs w:val="15"/>
              </w:rPr>
              <w:t>Estadístico</w:t>
            </w:r>
          </w:p>
        </w:tc>
        <w:tc>
          <w:tcPr>
            <w:tcW w:w="1134" w:type="dxa"/>
            <w:tcBorders>
              <w:top w:val="single" w:sz="4" w:space="0" w:color="auto"/>
              <w:left w:val="nil"/>
              <w:bottom w:val="single" w:sz="4" w:space="0" w:color="auto"/>
              <w:right w:val="nil"/>
            </w:tcBorders>
            <w:shd w:val="clear" w:color="auto" w:fill="D9D9D9" w:themeFill="background1" w:themeFillShade="D9"/>
            <w:noWrap/>
            <w:vAlign w:val="center"/>
            <w:hideMark/>
          </w:tcPr>
          <w:p w14:paraId="7AB1546A" w14:textId="77777777" w:rsidR="005038A5" w:rsidRPr="00D60AAE" w:rsidRDefault="005038A5" w:rsidP="00705E36">
            <w:pPr>
              <w:spacing w:before="20" w:after="20" w:line="240" w:lineRule="auto"/>
              <w:ind w:left="57" w:right="140"/>
              <w:jc w:val="center"/>
              <w:rPr>
                <w:rFonts w:asciiTheme="majorHAnsi" w:hAnsiTheme="majorHAnsi" w:cstheme="majorHAnsi"/>
                <w:b/>
                <w:bCs/>
                <w:color w:val="000000"/>
                <w:sz w:val="15"/>
                <w:szCs w:val="15"/>
              </w:rPr>
            </w:pPr>
            <w:r w:rsidRPr="00D60AAE">
              <w:rPr>
                <w:rFonts w:asciiTheme="majorHAnsi" w:hAnsiTheme="majorHAnsi" w:cstheme="majorHAnsi"/>
                <w:b/>
                <w:bCs/>
                <w:color w:val="000000"/>
                <w:sz w:val="15"/>
                <w:szCs w:val="15"/>
              </w:rPr>
              <w:t>Result</w:t>
            </w:r>
            <w:r>
              <w:rPr>
                <w:rFonts w:asciiTheme="majorHAnsi" w:hAnsiTheme="majorHAnsi" w:cstheme="majorHAnsi"/>
                <w:b/>
                <w:bCs/>
                <w:color w:val="000000"/>
                <w:sz w:val="15"/>
                <w:szCs w:val="15"/>
              </w:rPr>
              <w:t>ado</w:t>
            </w:r>
          </w:p>
        </w:tc>
      </w:tr>
      <w:tr w:rsidR="00A97F1E" w:rsidRPr="00BE2CF3" w14:paraId="0F574B6D" w14:textId="77777777" w:rsidTr="00BC2433">
        <w:trPr>
          <w:trHeight w:val="20"/>
        </w:trPr>
        <w:tc>
          <w:tcPr>
            <w:tcW w:w="989" w:type="dxa"/>
            <w:tcBorders>
              <w:top w:val="single" w:sz="4" w:space="0" w:color="auto"/>
              <w:left w:val="nil"/>
            </w:tcBorders>
            <w:shd w:val="clear" w:color="000000" w:fill="F2F2F2"/>
            <w:noWrap/>
            <w:vAlign w:val="center"/>
            <w:hideMark/>
          </w:tcPr>
          <w:p w14:paraId="2AEFA02D" w14:textId="77777777" w:rsidR="005038A5" w:rsidRPr="0002489C" w:rsidRDefault="005038A5" w:rsidP="00705E36">
            <w:pPr>
              <w:spacing w:after="0" w:line="240" w:lineRule="auto"/>
              <w:ind w:right="140"/>
              <w:jc w:val="right"/>
              <w:rPr>
                <w:rFonts w:asciiTheme="majorHAnsi" w:eastAsia="Times New Roman" w:hAnsiTheme="majorHAnsi" w:cs="Arial"/>
                <w:color w:val="000000"/>
                <w:sz w:val="15"/>
                <w:szCs w:val="15"/>
                <w:lang w:eastAsia="es-ES"/>
              </w:rPr>
            </w:pPr>
            <w:r w:rsidRPr="0002489C">
              <w:rPr>
                <w:rFonts w:asciiTheme="majorHAnsi" w:eastAsia="Times New Roman" w:hAnsiTheme="majorHAnsi" w:cs="Arial"/>
                <w:color w:val="000000"/>
                <w:sz w:val="15"/>
                <w:szCs w:val="15"/>
                <w:lang w:eastAsia="es-ES"/>
              </w:rPr>
              <w:t xml:space="preserve">No </w:t>
            </w:r>
            <w:r>
              <w:rPr>
                <w:rFonts w:asciiTheme="majorHAnsi" w:eastAsia="Times New Roman" w:hAnsiTheme="majorHAnsi" w:cs="Arial"/>
                <w:color w:val="000000"/>
                <w:sz w:val="15"/>
                <w:szCs w:val="15"/>
                <w:lang w:eastAsia="es-ES"/>
              </w:rPr>
              <w:t>listado</w:t>
            </w:r>
          </w:p>
        </w:tc>
        <w:tc>
          <w:tcPr>
            <w:tcW w:w="992" w:type="dxa"/>
            <w:tcBorders>
              <w:top w:val="single" w:sz="4" w:space="0" w:color="auto"/>
              <w:left w:val="nil"/>
              <w:bottom w:val="nil"/>
              <w:right w:val="nil"/>
            </w:tcBorders>
            <w:shd w:val="clear" w:color="auto" w:fill="auto"/>
            <w:noWrap/>
            <w:vAlign w:val="center"/>
            <w:hideMark/>
          </w:tcPr>
          <w:p w14:paraId="45E0A2D5" w14:textId="77777777" w:rsidR="005038A5" w:rsidRPr="00D60AAE"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52 (46.0%)</w:t>
            </w:r>
          </w:p>
        </w:tc>
        <w:tc>
          <w:tcPr>
            <w:tcW w:w="1067" w:type="dxa"/>
            <w:tcBorders>
              <w:top w:val="single" w:sz="4" w:space="0" w:color="auto"/>
              <w:left w:val="nil"/>
              <w:bottom w:val="nil"/>
              <w:right w:val="nil"/>
            </w:tcBorders>
            <w:shd w:val="clear" w:color="auto" w:fill="auto"/>
            <w:noWrap/>
            <w:vAlign w:val="center"/>
            <w:hideMark/>
          </w:tcPr>
          <w:p w14:paraId="55D3ADC1" w14:textId="77777777" w:rsidR="005038A5" w:rsidRPr="00D60AAE"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20 (45.5%)</w:t>
            </w:r>
          </w:p>
        </w:tc>
        <w:tc>
          <w:tcPr>
            <w:tcW w:w="1349" w:type="dxa"/>
            <w:tcBorders>
              <w:top w:val="single" w:sz="4" w:space="0" w:color="auto"/>
              <w:left w:val="nil"/>
              <w:bottom w:val="nil"/>
              <w:right w:val="single" w:sz="4" w:space="0" w:color="auto"/>
            </w:tcBorders>
            <w:shd w:val="clear" w:color="auto" w:fill="auto"/>
            <w:noWrap/>
            <w:vAlign w:val="center"/>
            <w:hideMark/>
          </w:tcPr>
          <w:p w14:paraId="589ECA50" w14:textId="77777777" w:rsidR="00010FDB"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 xml:space="preserve">10 </w:t>
            </w:r>
          </w:p>
          <w:p w14:paraId="34BD9FED" w14:textId="19010EBB" w:rsidR="005038A5" w:rsidRPr="00D60AAE"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(41.7%)</w:t>
            </w:r>
          </w:p>
        </w:tc>
        <w:tc>
          <w:tcPr>
            <w:tcW w:w="936" w:type="dxa"/>
            <w:tcBorders>
              <w:top w:val="single" w:sz="4" w:space="0" w:color="auto"/>
              <w:left w:val="single" w:sz="4" w:space="0" w:color="auto"/>
              <w:bottom w:val="nil"/>
              <w:right w:val="nil"/>
            </w:tcBorders>
            <w:shd w:val="clear" w:color="auto" w:fill="auto"/>
            <w:noWrap/>
            <w:vAlign w:val="center"/>
            <w:hideMark/>
          </w:tcPr>
          <w:p w14:paraId="69AD26A1" w14:textId="77777777" w:rsidR="005038A5" w:rsidRPr="00D60AAE"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82 (45.3%)</w:t>
            </w:r>
          </w:p>
        </w:tc>
        <w:tc>
          <w:tcPr>
            <w:tcW w:w="160" w:type="dxa"/>
            <w:tcBorders>
              <w:top w:val="nil"/>
              <w:left w:val="nil"/>
              <w:bottom w:val="nil"/>
              <w:right w:val="nil"/>
            </w:tcBorders>
            <w:shd w:val="clear" w:color="auto" w:fill="auto"/>
            <w:noWrap/>
            <w:vAlign w:val="center"/>
            <w:hideMark/>
          </w:tcPr>
          <w:p w14:paraId="32AFDF08" w14:textId="77777777" w:rsidR="005038A5" w:rsidRPr="00BE2CF3" w:rsidRDefault="005038A5" w:rsidP="00705E36">
            <w:pPr>
              <w:spacing w:after="0" w:line="240" w:lineRule="auto"/>
              <w:ind w:right="140"/>
              <w:jc w:val="center"/>
              <w:rPr>
                <w:rFonts w:ascii="Arial" w:eastAsia="Times New Roman" w:hAnsi="Arial" w:cs="Arial"/>
                <w:color w:val="000000"/>
                <w:sz w:val="16"/>
                <w:szCs w:val="16"/>
                <w:lang w:eastAsia="es-ES"/>
              </w:rPr>
            </w:pPr>
          </w:p>
        </w:tc>
        <w:tc>
          <w:tcPr>
            <w:tcW w:w="457" w:type="dxa"/>
            <w:tcBorders>
              <w:top w:val="single" w:sz="4" w:space="0" w:color="auto"/>
              <w:left w:val="nil"/>
              <w:bottom w:val="single" w:sz="4" w:space="0" w:color="auto"/>
              <w:right w:val="nil"/>
            </w:tcBorders>
            <w:shd w:val="clear" w:color="auto" w:fill="D9D9D9" w:themeFill="background1" w:themeFillShade="D9"/>
            <w:noWrap/>
            <w:vAlign w:val="center"/>
            <w:hideMark/>
          </w:tcPr>
          <w:p w14:paraId="200C0901" w14:textId="77777777" w:rsidR="005038A5" w:rsidRPr="00BE2CF3" w:rsidRDefault="005038A5" w:rsidP="00705E36">
            <w:pPr>
              <w:spacing w:before="20" w:after="20" w:line="240" w:lineRule="auto"/>
              <w:ind w:left="57" w:right="140"/>
              <w:jc w:val="center"/>
              <w:rPr>
                <w:rFonts w:ascii="Arial" w:eastAsia="Times New Roman" w:hAnsi="Arial" w:cs="Arial"/>
                <w:b/>
                <w:bCs/>
                <w:color w:val="000000"/>
                <w:sz w:val="16"/>
                <w:szCs w:val="16"/>
                <w:lang w:eastAsia="es-ES"/>
              </w:rPr>
            </w:pPr>
            <w:r w:rsidRPr="00D60AAE">
              <w:rPr>
                <w:rFonts w:asciiTheme="majorHAnsi" w:hAnsiTheme="majorHAnsi" w:cstheme="majorHAnsi"/>
                <w:b/>
                <w:bCs/>
                <w:color w:val="000000"/>
                <w:sz w:val="15"/>
                <w:szCs w:val="15"/>
              </w:rPr>
              <w:t>χ</w:t>
            </w:r>
            <w:r w:rsidRPr="006A26D0">
              <w:rPr>
                <w:rFonts w:asciiTheme="majorHAnsi" w:hAnsiTheme="majorHAnsi" w:cstheme="majorHAnsi"/>
                <w:b/>
                <w:bCs/>
                <w:color w:val="000000"/>
                <w:sz w:val="15"/>
                <w:szCs w:val="15"/>
                <w:vertAlign w:val="superscript"/>
              </w:rPr>
              <w:t>2</w:t>
            </w:r>
          </w:p>
        </w:tc>
        <w:tc>
          <w:tcPr>
            <w:tcW w:w="709" w:type="dxa"/>
            <w:tcBorders>
              <w:top w:val="nil"/>
              <w:left w:val="nil"/>
              <w:bottom w:val="nil"/>
              <w:right w:val="nil"/>
            </w:tcBorders>
            <w:shd w:val="clear" w:color="auto" w:fill="auto"/>
            <w:noWrap/>
            <w:vAlign w:val="center"/>
            <w:hideMark/>
          </w:tcPr>
          <w:p w14:paraId="08C22FB4" w14:textId="77777777" w:rsidR="005038A5" w:rsidRPr="00D60AAE" w:rsidRDefault="005038A5" w:rsidP="00705E36">
            <w:pPr>
              <w:spacing w:before="20" w:after="20" w:line="240" w:lineRule="auto"/>
              <w:ind w:left="57" w:right="140"/>
              <w:jc w:val="center"/>
              <w:rPr>
                <w:rFonts w:ascii="Cambria" w:hAnsi="Cambria" w:cs="Calibri"/>
                <w:b/>
                <w:bCs/>
                <w:color w:val="000000"/>
                <w:sz w:val="16"/>
                <w:szCs w:val="16"/>
              </w:rPr>
            </w:pPr>
            <w:r w:rsidRPr="00D60AAE">
              <w:rPr>
                <w:rFonts w:ascii="Cambria" w:hAnsi="Cambria" w:cs="Calibri"/>
                <w:b/>
                <w:bCs/>
                <w:color w:val="000000"/>
                <w:sz w:val="16"/>
                <w:szCs w:val="16"/>
              </w:rPr>
              <w:t>.027</w:t>
            </w:r>
          </w:p>
        </w:tc>
        <w:tc>
          <w:tcPr>
            <w:tcW w:w="992" w:type="dxa"/>
            <w:tcBorders>
              <w:top w:val="nil"/>
              <w:left w:val="nil"/>
              <w:bottom w:val="nil"/>
              <w:right w:val="nil"/>
            </w:tcBorders>
            <w:shd w:val="clear" w:color="auto" w:fill="auto"/>
            <w:noWrap/>
            <w:vAlign w:val="center"/>
            <w:hideMark/>
          </w:tcPr>
          <w:p w14:paraId="1CACB2AE" w14:textId="77777777" w:rsidR="005038A5" w:rsidRPr="00D60AAE" w:rsidRDefault="005038A5" w:rsidP="00705E36">
            <w:pPr>
              <w:spacing w:before="20" w:after="20" w:line="240" w:lineRule="auto"/>
              <w:ind w:left="57" w:right="140"/>
              <w:jc w:val="center"/>
              <w:rPr>
                <w:rFonts w:ascii="Cambria" w:hAnsi="Cambria" w:cs="Calibri"/>
                <w:b/>
                <w:bCs/>
                <w:color w:val="000000"/>
                <w:sz w:val="16"/>
                <w:szCs w:val="16"/>
              </w:rPr>
            </w:pPr>
            <w:r w:rsidRPr="00D60AAE">
              <w:rPr>
                <w:rFonts w:ascii="Cambria" w:hAnsi="Cambria" w:cs="Calibri"/>
                <w:b/>
                <w:bCs/>
                <w:color w:val="000000"/>
                <w:sz w:val="16"/>
                <w:szCs w:val="16"/>
              </w:rPr>
              <w:t>10.92*</w:t>
            </w:r>
          </w:p>
        </w:tc>
        <w:tc>
          <w:tcPr>
            <w:tcW w:w="1134" w:type="dxa"/>
            <w:tcBorders>
              <w:top w:val="nil"/>
              <w:left w:val="nil"/>
              <w:bottom w:val="single" w:sz="4" w:space="0" w:color="auto"/>
              <w:right w:val="nil"/>
            </w:tcBorders>
            <w:shd w:val="clear" w:color="auto" w:fill="auto"/>
            <w:noWrap/>
            <w:vAlign w:val="center"/>
            <w:hideMark/>
          </w:tcPr>
          <w:p w14:paraId="284F9015" w14:textId="7E4CF0EA" w:rsidR="005038A5" w:rsidRPr="00705E36" w:rsidRDefault="005038A5" w:rsidP="00705E36">
            <w:pPr>
              <w:spacing w:before="20" w:after="20" w:line="240" w:lineRule="auto"/>
              <w:ind w:left="57" w:right="140"/>
              <w:jc w:val="center"/>
              <w:rPr>
                <w:rFonts w:ascii="Cambria" w:hAnsi="Cambria" w:cs="Calibri"/>
                <w:b/>
                <w:bCs/>
                <w:color w:val="000000"/>
                <w:sz w:val="14"/>
                <w:szCs w:val="14"/>
              </w:rPr>
            </w:pPr>
            <w:r w:rsidRPr="00705E36">
              <w:rPr>
                <w:rFonts w:ascii="Cambria" w:hAnsi="Cambria" w:cs="Calibri"/>
                <w:b/>
                <w:bCs/>
                <w:color w:val="000000"/>
                <w:sz w:val="14"/>
                <w:szCs w:val="14"/>
              </w:rPr>
              <w:t>Significat</w:t>
            </w:r>
            <w:r w:rsidR="00705E36" w:rsidRPr="00705E36">
              <w:rPr>
                <w:rFonts w:ascii="Cambria" w:hAnsi="Cambria" w:cs="Calibri"/>
                <w:b/>
                <w:bCs/>
                <w:color w:val="000000"/>
                <w:sz w:val="14"/>
                <w:szCs w:val="14"/>
              </w:rPr>
              <w:t>ivo</w:t>
            </w:r>
          </w:p>
        </w:tc>
      </w:tr>
      <w:tr w:rsidR="00A97F1E" w:rsidRPr="00BE2CF3" w14:paraId="37BB1090" w14:textId="77777777" w:rsidTr="00BC2433">
        <w:trPr>
          <w:trHeight w:val="20"/>
        </w:trPr>
        <w:tc>
          <w:tcPr>
            <w:tcW w:w="989" w:type="dxa"/>
            <w:tcBorders>
              <w:left w:val="nil"/>
            </w:tcBorders>
            <w:shd w:val="clear" w:color="000000" w:fill="F2F2F2"/>
            <w:noWrap/>
            <w:vAlign w:val="center"/>
            <w:hideMark/>
          </w:tcPr>
          <w:p w14:paraId="22F54740" w14:textId="77777777" w:rsidR="005038A5" w:rsidRPr="0002489C" w:rsidRDefault="005038A5" w:rsidP="00705E36">
            <w:pPr>
              <w:spacing w:after="0" w:line="240" w:lineRule="auto"/>
              <w:ind w:right="140"/>
              <w:jc w:val="right"/>
              <w:rPr>
                <w:rFonts w:asciiTheme="majorHAnsi" w:eastAsia="Times New Roman" w:hAnsiTheme="majorHAnsi" w:cs="Arial"/>
                <w:color w:val="000000"/>
                <w:sz w:val="15"/>
                <w:szCs w:val="15"/>
                <w:lang w:eastAsia="es-ES"/>
              </w:rPr>
            </w:pPr>
            <w:r w:rsidRPr="0002489C">
              <w:rPr>
                <w:rFonts w:asciiTheme="majorHAnsi" w:eastAsia="Times New Roman" w:hAnsiTheme="majorHAnsi" w:cs="Arial"/>
                <w:color w:val="000000"/>
                <w:sz w:val="15"/>
                <w:szCs w:val="15"/>
                <w:lang w:eastAsia="es-ES"/>
              </w:rPr>
              <w:t>List</w:t>
            </w:r>
            <w:r>
              <w:rPr>
                <w:rFonts w:asciiTheme="majorHAnsi" w:eastAsia="Times New Roman" w:hAnsiTheme="majorHAnsi" w:cs="Arial"/>
                <w:color w:val="000000"/>
                <w:sz w:val="15"/>
                <w:szCs w:val="15"/>
                <w:lang w:eastAsia="es-ES"/>
              </w:rPr>
              <w:t>a</w:t>
            </w:r>
            <w:r w:rsidRPr="0002489C">
              <w:rPr>
                <w:rFonts w:asciiTheme="majorHAnsi" w:eastAsia="Times New Roman" w:hAnsiTheme="majorHAnsi" w:cs="Arial"/>
                <w:color w:val="000000"/>
                <w:sz w:val="15"/>
                <w:szCs w:val="15"/>
                <w:lang w:eastAsia="es-ES"/>
              </w:rPr>
              <w:t>d</w:t>
            </w:r>
            <w:r>
              <w:rPr>
                <w:rFonts w:asciiTheme="majorHAnsi" w:eastAsia="Times New Roman" w:hAnsiTheme="majorHAnsi" w:cs="Arial"/>
                <w:color w:val="000000"/>
                <w:sz w:val="15"/>
                <w:szCs w:val="15"/>
                <w:lang w:eastAsia="es-ES"/>
              </w:rPr>
              <w:t>o</w:t>
            </w:r>
            <w:r w:rsidRPr="0002489C">
              <w:rPr>
                <w:rFonts w:asciiTheme="majorHAnsi" w:eastAsia="Times New Roman" w:hAnsiTheme="majorHAnsi" w:cs="Arial"/>
                <w:color w:val="000000"/>
                <w:sz w:val="15"/>
                <w:szCs w:val="15"/>
                <w:lang w:eastAsia="es-ES"/>
              </w:rPr>
              <w:t xml:space="preserve"> 1</w:t>
            </w:r>
          </w:p>
        </w:tc>
        <w:tc>
          <w:tcPr>
            <w:tcW w:w="992" w:type="dxa"/>
            <w:tcBorders>
              <w:top w:val="nil"/>
              <w:left w:val="nil"/>
              <w:bottom w:val="nil"/>
              <w:right w:val="nil"/>
            </w:tcBorders>
            <w:shd w:val="clear" w:color="auto" w:fill="auto"/>
            <w:noWrap/>
            <w:vAlign w:val="center"/>
            <w:hideMark/>
          </w:tcPr>
          <w:p w14:paraId="36BB33FF" w14:textId="77777777" w:rsidR="005038A5" w:rsidRPr="00D60AAE"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42 (37.2%)</w:t>
            </w:r>
          </w:p>
        </w:tc>
        <w:tc>
          <w:tcPr>
            <w:tcW w:w="1067" w:type="dxa"/>
            <w:tcBorders>
              <w:top w:val="nil"/>
              <w:left w:val="nil"/>
              <w:bottom w:val="nil"/>
              <w:right w:val="nil"/>
            </w:tcBorders>
            <w:shd w:val="clear" w:color="auto" w:fill="auto"/>
            <w:noWrap/>
            <w:vAlign w:val="center"/>
            <w:hideMark/>
          </w:tcPr>
          <w:p w14:paraId="46C69DFF" w14:textId="77777777" w:rsidR="005038A5" w:rsidRPr="00D60AAE"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22 (50.0%)</w:t>
            </w:r>
          </w:p>
        </w:tc>
        <w:tc>
          <w:tcPr>
            <w:tcW w:w="1349" w:type="dxa"/>
            <w:tcBorders>
              <w:top w:val="nil"/>
              <w:left w:val="nil"/>
              <w:bottom w:val="nil"/>
              <w:right w:val="single" w:sz="4" w:space="0" w:color="auto"/>
            </w:tcBorders>
            <w:shd w:val="clear" w:color="auto" w:fill="auto"/>
            <w:noWrap/>
            <w:vAlign w:val="center"/>
            <w:hideMark/>
          </w:tcPr>
          <w:p w14:paraId="2B48CAC0" w14:textId="77777777" w:rsidR="00010FDB"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 xml:space="preserve">6 </w:t>
            </w:r>
          </w:p>
          <w:p w14:paraId="4CA809BE" w14:textId="5EC4499C" w:rsidR="005038A5" w:rsidRPr="00D60AAE"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(25.0%)</w:t>
            </w:r>
          </w:p>
        </w:tc>
        <w:tc>
          <w:tcPr>
            <w:tcW w:w="936" w:type="dxa"/>
            <w:tcBorders>
              <w:top w:val="nil"/>
              <w:left w:val="single" w:sz="4" w:space="0" w:color="auto"/>
              <w:bottom w:val="nil"/>
              <w:right w:val="nil"/>
            </w:tcBorders>
            <w:shd w:val="clear" w:color="auto" w:fill="auto"/>
            <w:noWrap/>
            <w:vAlign w:val="center"/>
            <w:hideMark/>
          </w:tcPr>
          <w:p w14:paraId="658A8A26" w14:textId="77777777" w:rsidR="005038A5" w:rsidRPr="00D60AAE"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70 (38.7%)</w:t>
            </w:r>
          </w:p>
        </w:tc>
        <w:tc>
          <w:tcPr>
            <w:tcW w:w="160" w:type="dxa"/>
            <w:tcBorders>
              <w:top w:val="nil"/>
              <w:left w:val="nil"/>
              <w:bottom w:val="nil"/>
              <w:right w:val="nil"/>
            </w:tcBorders>
            <w:shd w:val="clear" w:color="auto" w:fill="auto"/>
            <w:noWrap/>
            <w:vAlign w:val="center"/>
            <w:hideMark/>
          </w:tcPr>
          <w:p w14:paraId="0EE2C2A0" w14:textId="77777777" w:rsidR="005038A5" w:rsidRPr="00BE2CF3" w:rsidRDefault="005038A5" w:rsidP="00705E36">
            <w:pPr>
              <w:spacing w:after="0" w:line="240" w:lineRule="auto"/>
              <w:ind w:right="140"/>
              <w:jc w:val="center"/>
              <w:rPr>
                <w:rFonts w:ascii="Arial" w:eastAsia="Times New Roman" w:hAnsi="Arial" w:cs="Arial"/>
                <w:color w:val="000000"/>
                <w:sz w:val="16"/>
                <w:szCs w:val="16"/>
                <w:lang w:eastAsia="es-ES"/>
              </w:rPr>
            </w:pPr>
          </w:p>
        </w:tc>
        <w:tc>
          <w:tcPr>
            <w:tcW w:w="457" w:type="dxa"/>
            <w:tcBorders>
              <w:top w:val="nil"/>
              <w:left w:val="nil"/>
              <w:bottom w:val="nil"/>
              <w:right w:val="nil"/>
            </w:tcBorders>
            <w:shd w:val="clear" w:color="auto" w:fill="auto"/>
            <w:noWrap/>
            <w:vAlign w:val="center"/>
            <w:hideMark/>
          </w:tcPr>
          <w:p w14:paraId="2C514067" w14:textId="77777777" w:rsidR="005038A5" w:rsidRPr="00BE2CF3" w:rsidRDefault="005038A5" w:rsidP="00705E36">
            <w:pPr>
              <w:spacing w:after="0" w:line="240" w:lineRule="auto"/>
              <w:ind w:right="140"/>
              <w:jc w:val="center"/>
              <w:rPr>
                <w:rFonts w:ascii="Arial" w:eastAsia="Times New Roman" w:hAnsi="Arial" w:cs="Arial"/>
                <w:sz w:val="20"/>
                <w:szCs w:val="20"/>
                <w:lang w:eastAsia="es-ES"/>
              </w:rPr>
            </w:pPr>
          </w:p>
        </w:tc>
        <w:tc>
          <w:tcPr>
            <w:tcW w:w="709" w:type="dxa"/>
            <w:tcBorders>
              <w:top w:val="single" w:sz="4" w:space="0" w:color="auto"/>
              <w:left w:val="nil"/>
              <w:bottom w:val="single" w:sz="4" w:space="0" w:color="auto"/>
              <w:right w:val="nil"/>
            </w:tcBorders>
            <w:shd w:val="clear" w:color="auto" w:fill="D9D9D9" w:themeFill="background1" w:themeFillShade="D9"/>
            <w:noWrap/>
            <w:vAlign w:val="center"/>
            <w:hideMark/>
          </w:tcPr>
          <w:p w14:paraId="442085CF" w14:textId="77777777" w:rsidR="005038A5" w:rsidRPr="00D60AAE" w:rsidRDefault="005038A5" w:rsidP="00705E36">
            <w:pPr>
              <w:spacing w:before="20" w:after="20" w:line="240" w:lineRule="auto"/>
              <w:ind w:left="57" w:right="140"/>
              <w:jc w:val="center"/>
              <w:rPr>
                <w:rFonts w:asciiTheme="majorHAnsi" w:hAnsiTheme="majorHAnsi" w:cstheme="majorHAnsi"/>
                <w:b/>
                <w:bCs/>
                <w:color w:val="000000"/>
                <w:sz w:val="15"/>
                <w:szCs w:val="15"/>
              </w:rPr>
            </w:pPr>
            <w:r w:rsidRPr="00D60AAE">
              <w:rPr>
                <w:rFonts w:asciiTheme="majorHAnsi" w:hAnsiTheme="majorHAnsi" w:cstheme="majorHAnsi"/>
                <w:b/>
                <w:bCs/>
                <w:color w:val="000000"/>
                <w:sz w:val="15"/>
                <w:szCs w:val="15"/>
              </w:rPr>
              <w:t>Val</w:t>
            </w:r>
            <w:r>
              <w:rPr>
                <w:rFonts w:asciiTheme="majorHAnsi" w:hAnsiTheme="majorHAnsi" w:cstheme="majorHAnsi"/>
                <w:b/>
                <w:bCs/>
                <w:color w:val="000000"/>
                <w:sz w:val="15"/>
                <w:szCs w:val="15"/>
              </w:rPr>
              <w:t>or</w:t>
            </w:r>
          </w:p>
        </w:tc>
        <w:tc>
          <w:tcPr>
            <w:tcW w:w="992" w:type="dxa"/>
            <w:tcBorders>
              <w:top w:val="single" w:sz="4" w:space="0" w:color="auto"/>
              <w:left w:val="nil"/>
              <w:bottom w:val="single" w:sz="4" w:space="0" w:color="auto"/>
              <w:right w:val="nil"/>
            </w:tcBorders>
            <w:shd w:val="clear" w:color="auto" w:fill="D9D9D9" w:themeFill="background1" w:themeFillShade="D9"/>
            <w:noWrap/>
            <w:vAlign w:val="center"/>
            <w:hideMark/>
          </w:tcPr>
          <w:p w14:paraId="2EBA4099" w14:textId="77777777" w:rsidR="005038A5" w:rsidRPr="00D60AAE" w:rsidRDefault="005038A5" w:rsidP="00705E36">
            <w:pPr>
              <w:spacing w:before="20" w:after="20" w:line="240" w:lineRule="auto"/>
              <w:ind w:left="57" w:right="140"/>
              <w:jc w:val="center"/>
              <w:rPr>
                <w:rFonts w:asciiTheme="majorHAnsi" w:hAnsiTheme="majorHAnsi" w:cstheme="majorHAnsi"/>
                <w:b/>
                <w:bCs/>
                <w:color w:val="000000"/>
                <w:sz w:val="15"/>
                <w:szCs w:val="15"/>
              </w:rPr>
            </w:pPr>
            <w:r>
              <w:rPr>
                <w:rFonts w:asciiTheme="majorHAnsi" w:hAnsiTheme="majorHAnsi" w:cstheme="majorHAnsi"/>
                <w:b/>
                <w:bCs/>
                <w:color w:val="000000"/>
                <w:sz w:val="15"/>
                <w:szCs w:val="15"/>
              </w:rPr>
              <w:t>Resultado</w:t>
            </w:r>
          </w:p>
        </w:tc>
        <w:tc>
          <w:tcPr>
            <w:tcW w:w="1134" w:type="dxa"/>
            <w:tcBorders>
              <w:top w:val="nil"/>
              <w:left w:val="nil"/>
              <w:bottom w:val="nil"/>
              <w:right w:val="nil"/>
            </w:tcBorders>
            <w:shd w:val="clear" w:color="auto" w:fill="auto"/>
            <w:noWrap/>
            <w:vAlign w:val="center"/>
            <w:hideMark/>
          </w:tcPr>
          <w:p w14:paraId="3A4D04B9" w14:textId="77777777" w:rsidR="005038A5" w:rsidRPr="00BE2CF3" w:rsidRDefault="005038A5" w:rsidP="00705E36">
            <w:pPr>
              <w:spacing w:after="0" w:line="240" w:lineRule="auto"/>
              <w:ind w:right="140"/>
              <w:jc w:val="center"/>
              <w:rPr>
                <w:rFonts w:ascii="Arial" w:eastAsia="Times New Roman" w:hAnsi="Arial" w:cs="Arial"/>
                <w:b/>
                <w:bCs/>
                <w:color w:val="000000"/>
                <w:sz w:val="16"/>
                <w:szCs w:val="16"/>
                <w:lang w:eastAsia="es-ES"/>
              </w:rPr>
            </w:pPr>
          </w:p>
        </w:tc>
      </w:tr>
      <w:tr w:rsidR="00A97F1E" w:rsidRPr="00BE2CF3" w14:paraId="7EDB1360" w14:textId="77777777" w:rsidTr="00BC2433">
        <w:trPr>
          <w:trHeight w:val="20"/>
        </w:trPr>
        <w:tc>
          <w:tcPr>
            <w:tcW w:w="989" w:type="dxa"/>
            <w:tcBorders>
              <w:left w:val="nil"/>
            </w:tcBorders>
            <w:shd w:val="clear" w:color="000000" w:fill="F2F2F2"/>
            <w:noWrap/>
            <w:vAlign w:val="center"/>
          </w:tcPr>
          <w:p w14:paraId="1E77389C" w14:textId="77777777" w:rsidR="005038A5" w:rsidRPr="0002489C" w:rsidRDefault="005038A5" w:rsidP="00705E36">
            <w:pPr>
              <w:spacing w:after="0" w:line="240" w:lineRule="auto"/>
              <w:ind w:right="140"/>
              <w:jc w:val="right"/>
              <w:rPr>
                <w:rFonts w:asciiTheme="majorHAnsi" w:eastAsia="Times New Roman" w:hAnsiTheme="majorHAnsi" w:cs="Arial"/>
                <w:color w:val="000000"/>
                <w:sz w:val="15"/>
                <w:szCs w:val="15"/>
                <w:lang w:eastAsia="es-ES"/>
              </w:rPr>
            </w:pPr>
            <w:r w:rsidRPr="0002489C">
              <w:rPr>
                <w:rFonts w:asciiTheme="majorHAnsi" w:eastAsia="Times New Roman" w:hAnsiTheme="majorHAnsi" w:cs="Arial"/>
                <w:color w:val="000000"/>
                <w:sz w:val="15"/>
                <w:szCs w:val="15"/>
                <w:lang w:eastAsia="es-ES"/>
              </w:rPr>
              <w:t>List</w:t>
            </w:r>
            <w:r>
              <w:rPr>
                <w:rFonts w:asciiTheme="majorHAnsi" w:eastAsia="Times New Roman" w:hAnsiTheme="majorHAnsi" w:cs="Arial"/>
                <w:color w:val="000000"/>
                <w:sz w:val="15"/>
                <w:szCs w:val="15"/>
                <w:lang w:eastAsia="es-ES"/>
              </w:rPr>
              <w:t>a</w:t>
            </w:r>
            <w:r w:rsidRPr="0002489C">
              <w:rPr>
                <w:rFonts w:asciiTheme="majorHAnsi" w:eastAsia="Times New Roman" w:hAnsiTheme="majorHAnsi" w:cs="Arial"/>
                <w:color w:val="000000"/>
                <w:sz w:val="15"/>
                <w:szCs w:val="15"/>
                <w:lang w:eastAsia="es-ES"/>
              </w:rPr>
              <w:t>d</w:t>
            </w:r>
            <w:r>
              <w:rPr>
                <w:rFonts w:asciiTheme="majorHAnsi" w:eastAsia="Times New Roman" w:hAnsiTheme="majorHAnsi" w:cs="Arial"/>
                <w:color w:val="000000"/>
                <w:sz w:val="15"/>
                <w:szCs w:val="15"/>
                <w:lang w:eastAsia="es-ES"/>
              </w:rPr>
              <w:t>o</w:t>
            </w:r>
            <w:r w:rsidRPr="0002489C">
              <w:rPr>
                <w:rFonts w:asciiTheme="majorHAnsi" w:eastAsia="Times New Roman" w:hAnsiTheme="majorHAnsi" w:cs="Arial"/>
                <w:color w:val="000000"/>
                <w:sz w:val="15"/>
                <w:szCs w:val="15"/>
                <w:lang w:eastAsia="es-ES"/>
              </w:rPr>
              <w:t xml:space="preserve"> 2</w:t>
            </w:r>
          </w:p>
        </w:tc>
        <w:tc>
          <w:tcPr>
            <w:tcW w:w="992" w:type="dxa"/>
            <w:tcBorders>
              <w:top w:val="nil"/>
              <w:left w:val="nil"/>
              <w:bottom w:val="single" w:sz="4" w:space="0" w:color="auto"/>
              <w:right w:val="nil"/>
            </w:tcBorders>
            <w:shd w:val="clear" w:color="auto" w:fill="auto"/>
            <w:noWrap/>
            <w:vAlign w:val="center"/>
          </w:tcPr>
          <w:p w14:paraId="5EC37969" w14:textId="77777777" w:rsidR="005038A5" w:rsidRPr="00D60AAE"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19 (16.8%)</w:t>
            </w:r>
          </w:p>
        </w:tc>
        <w:tc>
          <w:tcPr>
            <w:tcW w:w="1067" w:type="dxa"/>
            <w:tcBorders>
              <w:top w:val="nil"/>
              <w:left w:val="nil"/>
              <w:bottom w:val="single" w:sz="4" w:space="0" w:color="auto"/>
              <w:right w:val="nil"/>
            </w:tcBorders>
            <w:shd w:val="clear" w:color="auto" w:fill="auto"/>
            <w:noWrap/>
            <w:vAlign w:val="center"/>
          </w:tcPr>
          <w:p w14:paraId="17E48F00" w14:textId="77777777" w:rsidR="00010FDB"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 xml:space="preserve">2 </w:t>
            </w:r>
          </w:p>
          <w:p w14:paraId="0C158897" w14:textId="6FE74F92" w:rsidR="005038A5" w:rsidRPr="00D60AAE"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(4.5%)</w:t>
            </w:r>
          </w:p>
        </w:tc>
        <w:tc>
          <w:tcPr>
            <w:tcW w:w="1349" w:type="dxa"/>
            <w:tcBorders>
              <w:top w:val="nil"/>
              <w:left w:val="nil"/>
              <w:bottom w:val="single" w:sz="4" w:space="0" w:color="auto"/>
              <w:right w:val="single" w:sz="4" w:space="0" w:color="auto"/>
            </w:tcBorders>
            <w:shd w:val="clear" w:color="auto" w:fill="auto"/>
            <w:noWrap/>
            <w:vAlign w:val="center"/>
          </w:tcPr>
          <w:p w14:paraId="1655AD55" w14:textId="77777777" w:rsidR="00010FDB"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 xml:space="preserve">8 </w:t>
            </w:r>
          </w:p>
          <w:p w14:paraId="3125BB5C" w14:textId="229702DD" w:rsidR="005038A5" w:rsidRPr="00D60AAE"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(33.3%)</w:t>
            </w:r>
          </w:p>
        </w:tc>
        <w:tc>
          <w:tcPr>
            <w:tcW w:w="936" w:type="dxa"/>
            <w:tcBorders>
              <w:top w:val="nil"/>
              <w:left w:val="single" w:sz="4" w:space="0" w:color="auto"/>
              <w:right w:val="nil"/>
            </w:tcBorders>
            <w:shd w:val="clear" w:color="auto" w:fill="auto"/>
            <w:noWrap/>
            <w:vAlign w:val="center"/>
          </w:tcPr>
          <w:p w14:paraId="0F917C3C" w14:textId="77777777" w:rsidR="005038A5" w:rsidRPr="00D60AAE"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29 (16.0%)</w:t>
            </w:r>
          </w:p>
        </w:tc>
        <w:tc>
          <w:tcPr>
            <w:tcW w:w="160" w:type="dxa"/>
            <w:tcBorders>
              <w:top w:val="nil"/>
              <w:left w:val="nil"/>
              <w:bottom w:val="nil"/>
              <w:right w:val="nil"/>
            </w:tcBorders>
            <w:shd w:val="clear" w:color="auto" w:fill="auto"/>
            <w:noWrap/>
            <w:vAlign w:val="center"/>
          </w:tcPr>
          <w:p w14:paraId="5B57CC08" w14:textId="77777777" w:rsidR="005038A5" w:rsidRPr="00BE2CF3" w:rsidRDefault="005038A5" w:rsidP="00705E36">
            <w:pPr>
              <w:spacing w:after="0" w:line="240" w:lineRule="auto"/>
              <w:ind w:right="140"/>
              <w:jc w:val="center"/>
              <w:rPr>
                <w:rFonts w:ascii="Arial" w:eastAsia="Times New Roman" w:hAnsi="Arial" w:cs="Arial"/>
                <w:color w:val="000000"/>
                <w:sz w:val="16"/>
                <w:szCs w:val="16"/>
                <w:lang w:eastAsia="es-ES"/>
              </w:rPr>
            </w:pPr>
          </w:p>
        </w:tc>
        <w:tc>
          <w:tcPr>
            <w:tcW w:w="457" w:type="dxa"/>
            <w:tcBorders>
              <w:top w:val="single" w:sz="4" w:space="0" w:color="auto"/>
              <w:left w:val="nil"/>
              <w:bottom w:val="single" w:sz="4" w:space="0" w:color="auto"/>
              <w:right w:val="nil"/>
            </w:tcBorders>
            <w:shd w:val="clear" w:color="auto" w:fill="D9D9D9" w:themeFill="background1" w:themeFillShade="D9"/>
            <w:noWrap/>
            <w:vAlign w:val="center"/>
          </w:tcPr>
          <w:p w14:paraId="523B3EA0" w14:textId="77777777" w:rsidR="005038A5" w:rsidRPr="00BE2CF3" w:rsidRDefault="005038A5" w:rsidP="00705E36">
            <w:pPr>
              <w:spacing w:before="20" w:after="20" w:line="240" w:lineRule="auto"/>
              <w:ind w:left="57" w:right="140"/>
              <w:jc w:val="center"/>
              <w:rPr>
                <w:rFonts w:ascii="Arial" w:eastAsia="Times New Roman" w:hAnsi="Arial" w:cs="Arial"/>
                <w:sz w:val="20"/>
                <w:szCs w:val="20"/>
                <w:lang w:eastAsia="es-ES"/>
              </w:rPr>
            </w:pPr>
            <w:r w:rsidRPr="00D60AAE">
              <w:rPr>
                <w:rFonts w:asciiTheme="majorHAnsi" w:hAnsiTheme="majorHAnsi" w:cstheme="majorHAnsi"/>
                <w:b/>
                <w:bCs/>
                <w:color w:val="000000"/>
                <w:sz w:val="15"/>
                <w:szCs w:val="15"/>
              </w:rPr>
              <w:t>V</w:t>
            </w:r>
          </w:p>
        </w:tc>
        <w:tc>
          <w:tcPr>
            <w:tcW w:w="709" w:type="dxa"/>
            <w:tcBorders>
              <w:top w:val="nil"/>
              <w:left w:val="nil"/>
              <w:bottom w:val="single" w:sz="4" w:space="0" w:color="auto"/>
              <w:right w:val="nil"/>
            </w:tcBorders>
            <w:shd w:val="clear" w:color="auto" w:fill="auto"/>
            <w:noWrap/>
            <w:vAlign w:val="center"/>
          </w:tcPr>
          <w:p w14:paraId="45DE534C" w14:textId="77777777" w:rsidR="005038A5" w:rsidRPr="00D60AAE" w:rsidRDefault="005038A5" w:rsidP="00705E36">
            <w:pPr>
              <w:spacing w:before="20" w:after="20" w:line="240" w:lineRule="auto"/>
              <w:ind w:left="57" w:right="140"/>
              <w:jc w:val="center"/>
              <w:rPr>
                <w:rFonts w:ascii="Cambria" w:hAnsi="Cambria" w:cs="Calibri"/>
                <w:b/>
                <w:bCs/>
                <w:color w:val="000000"/>
                <w:sz w:val="16"/>
                <w:szCs w:val="16"/>
              </w:rPr>
            </w:pPr>
            <w:r w:rsidRPr="00D60AAE">
              <w:rPr>
                <w:rFonts w:ascii="Cambria" w:hAnsi="Cambria" w:cs="Calibri"/>
                <w:b/>
                <w:bCs/>
                <w:color w:val="000000"/>
                <w:sz w:val="16"/>
                <w:szCs w:val="16"/>
              </w:rPr>
              <w:t>.17</w:t>
            </w:r>
          </w:p>
        </w:tc>
        <w:tc>
          <w:tcPr>
            <w:tcW w:w="992" w:type="dxa"/>
            <w:tcBorders>
              <w:top w:val="nil"/>
              <w:left w:val="nil"/>
              <w:bottom w:val="single" w:sz="4" w:space="0" w:color="auto"/>
              <w:right w:val="nil"/>
            </w:tcBorders>
            <w:shd w:val="clear" w:color="auto" w:fill="auto"/>
            <w:noWrap/>
            <w:vAlign w:val="center"/>
          </w:tcPr>
          <w:p w14:paraId="7D2E55E9" w14:textId="77777777" w:rsidR="005038A5" w:rsidRPr="00D60AAE" w:rsidRDefault="005038A5" w:rsidP="00705E36">
            <w:pPr>
              <w:spacing w:before="20" w:after="20" w:line="240" w:lineRule="auto"/>
              <w:ind w:left="57" w:right="140"/>
              <w:jc w:val="center"/>
              <w:rPr>
                <w:rFonts w:ascii="Cambria" w:hAnsi="Cambria" w:cs="Calibri"/>
                <w:b/>
                <w:bCs/>
                <w:color w:val="000000"/>
                <w:sz w:val="16"/>
                <w:szCs w:val="16"/>
              </w:rPr>
            </w:pPr>
            <w:r>
              <w:rPr>
                <w:rFonts w:ascii="Cambria" w:hAnsi="Cambria" w:cs="Calibri"/>
                <w:b/>
                <w:bCs/>
                <w:color w:val="000000"/>
                <w:sz w:val="16"/>
                <w:szCs w:val="16"/>
              </w:rPr>
              <w:t>Bajo</w:t>
            </w:r>
          </w:p>
        </w:tc>
        <w:tc>
          <w:tcPr>
            <w:tcW w:w="1134" w:type="dxa"/>
            <w:tcBorders>
              <w:top w:val="nil"/>
              <w:left w:val="nil"/>
              <w:bottom w:val="nil"/>
              <w:right w:val="nil"/>
            </w:tcBorders>
            <w:shd w:val="clear" w:color="auto" w:fill="auto"/>
            <w:noWrap/>
            <w:vAlign w:val="center"/>
          </w:tcPr>
          <w:p w14:paraId="75A2BA89" w14:textId="77777777" w:rsidR="005038A5" w:rsidRPr="00BE2CF3" w:rsidRDefault="005038A5" w:rsidP="00705E36">
            <w:pPr>
              <w:spacing w:after="0" w:line="240" w:lineRule="auto"/>
              <w:ind w:right="140"/>
              <w:jc w:val="center"/>
              <w:rPr>
                <w:rFonts w:ascii="Arial" w:eastAsia="Times New Roman" w:hAnsi="Arial" w:cs="Arial"/>
                <w:b/>
                <w:bCs/>
                <w:color w:val="000000"/>
                <w:sz w:val="16"/>
                <w:szCs w:val="16"/>
                <w:lang w:eastAsia="es-ES"/>
              </w:rPr>
            </w:pPr>
          </w:p>
        </w:tc>
      </w:tr>
      <w:tr w:rsidR="00A97F1E" w:rsidRPr="00BE2CF3" w14:paraId="1113514F" w14:textId="77777777" w:rsidTr="00BC2433">
        <w:trPr>
          <w:trHeight w:val="20"/>
        </w:trPr>
        <w:tc>
          <w:tcPr>
            <w:tcW w:w="989" w:type="dxa"/>
            <w:tcBorders>
              <w:left w:val="nil"/>
              <w:bottom w:val="single" w:sz="4" w:space="0" w:color="auto"/>
              <w:right w:val="nil"/>
            </w:tcBorders>
            <w:shd w:val="clear" w:color="000000" w:fill="F2F2F2"/>
            <w:noWrap/>
            <w:vAlign w:val="center"/>
            <w:hideMark/>
          </w:tcPr>
          <w:p w14:paraId="35834296" w14:textId="77777777" w:rsidR="005038A5" w:rsidRPr="00BE2CF3" w:rsidRDefault="005038A5" w:rsidP="00705E36">
            <w:pPr>
              <w:spacing w:before="20" w:after="20" w:line="240" w:lineRule="auto"/>
              <w:ind w:left="57" w:right="140"/>
              <w:jc w:val="center"/>
              <w:rPr>
                <w:rFonts w:ascii="Arial" w:eastAsia="Times New Roman" w:hAnsi="Arial" w:cs="Arial"/>
                <w:b/>
                <w:bCs/>
                <w:color w:val="000000"/>
                <w:sz w:val="16"/>
                <w:szCs w:val="16"/>
                <w:lang w:eastAsia="es-ES"/>
              </w:rPr>
            </w:pPr>
            <w:r w:rsidRPr="00D60AAE">
              <w:rPr>
                <w:rFonts w:asciiTheme="majorHAnsi" w:hAnsiTheme="majorHAnsi" w:cstheme="majorHAnsi"/>
                <w:b/>
                <w:bCs/>
                <w:color w:val="000000"/>
                <w:sz w:val="15"/>
                <w:szCs w:val="15"/>
              </w:rPr>
              <w:t>Total</w:t>
            </w:r>
          </w:p>
        </w:tc>
        <w:tc>
          <w:tcPr>
            <w:tcW w:w="992" w:type="dxa"/>
            <w:tcBorders>
              <w:top w:val="single" w:sz="4" w:space="0" w:color="auto"/>
              <w:left w:val="nil"/>
              <w:bottom w:val="single" w:sz="4" w:space="0" w:color="auto"/>
              <w:right w:val="nil"/>
            </w:tcBorders>
            <w:shd w:val="clear" w:color="auto" w:fill="auto"/>
            <w:noWrap/>
            <w:vAlign w:val="center"/>
            <w:hideMark/>
          </w:tcPr>
          <w:p w14:paraId="079E3FF3" w14:textId="77777777" w:rsidR="005038A5" w:rsidRPr="00D60AAE"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113 (62.4%)</w:t>
            </w:r>
          </w:p>
        </w:tc>
        <w:tc>
          <w:tcPr>
            <w:tcW w:w="1067" w:type="dxa"/>
            <w:tcBorders>
              <w:top w:val="single" w:sz="4" w:space="0" w:color="auto"/>
              <w:left w:val="nil"/>
              <w:bottom w:val="single" w:sz="4" w:space="0" w:color="auto"/>
              <w:right w:val="nil"/>
            </w:tcBorders>
            <w:shd w:val="clear" w:color="auto" w:fill="auto"/>
            <w:noWrap/>
            <w:vAlign w:val="center"/>
            <w:hideMark/>
          </w:tcPr>
          <w:p w14:paraId="5D07FD61" w14:textId="77777777" w:rsidR="005038A5" w:rsidRPr="00D60AAE"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44 (24.3%)</w:t>
            </w:r>
          </w:p>
        </w:tc>
        <w:tc>
          <w:tcPr>
            <w:tcW w:w="1349" w:type="dxa"/>
            <w:tcBorders>
              <w:top w:val="single" w:sz="4" w:space="0" w:color="auto"/>
              <w:left w:val="nil"/>
              <w:bottom w:val="single" w:sz="4" w:space="0" w:color="auto"/>
            </w:tcBorders>
            <w:shd w:val="clear" w:color="auto" w:fill="auto"/>
            <w:noWrap/>
            <w:vAlign w:val="center"/>
            <w:hideMark/>
          </w:tcPr>
          <w:p w14:paraId="02C2A315" w14:textId="77777777" w:rsidR="00010FDB"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 xml:space="preserve">24 </w:t>
            </w:r>
          </w:p>
          <w:p w14:paraId="1690639C" w14:textId="364EA953" w:rsidR="005038A5" w:rsidRPr="00D60AAE"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(13.3%)</w:t>
            </w:r>
          </w:p>
        </w:tc>
        <w:tc>
          <w:tcPr>
            <w:tcW w:w="936" w:type="dxa"/>
            <w:tcBorders>
              <w:bottom w:val="single" w:sz="4" w:space="0" w:color="auto"/>
              <w:right w:val="nil"/>
            </w:tcBorders>
            <w:shd w:val="clear" w:color="auto" w:fill="auto"/>
            <w:noWrap/>
            <w:vAlign w:val="center"/>
            <w:hideMark/>
          </w:tcPr>
          <w:p w14:paraId="3C4A0454" w14:textId="77777777" w:rsidR="005038A5" w:rsidRPr="00D60AAE" w:rsidRDefault="005038A5" w:rsidP="00705E36">
            <w:pPr>
              <w:spacing w:before="20" w:after="20" w:line="240" w:lineRule="auto"/>
              <w:ind w:left="57" w:right="140"/>
              <w:jc w:val="center"/>
              <w:rPr>
                <w:rFonts w:ascii="Cambria" w:hAnsi="Cambria" w:cs="Calibri"/>
                <w:color w:val="000000"/>
                <w:sz w:val="16"/>
                <w:szCs w:val="16"/>
              </w:rPr>
            </w:pPr>
            <w:r w:rsidRPr="00D60AAE">
              <w:rPr>
                <w:rFonts w:ascii="Cambria" w:hAnsi="Cambria" w:cs="Calibri"/>
                <w:color w:val="000000"/>
                <w:sz w:val="16"/>
                <w:szCs w:val="16"/>
              </w:rPr>
              <w:t>181</w:t>
            </w:r>
          </w:p>
        </w:tc>
        <w:tc>
          <w:tcPr>
            <w:tcW w:w="160" w:type="dxa"/>
            <w:tcBorders>
              <w:top w:val="nil"/>
              <w:left w:val="nil"/>
              <w:bottom w:val="single" w:sz="4" w:space="0" w:color="auto"/>
              <w:right w:val="nil"/>
            </w:tcBorders>
            <w:shd w:val="clear" w:color="auto" w:fill="auto"/>
            <w:noWrap/>
            <w:vAlign w:val="center"/>
            <w:hideMark/>
          </w:tcPr>
          <w:p w14:paraId="7E94EE3E" w14:textId="77777777" w:rsidR="005038A5" w:rsidRPr="00BE2CF3" w:rsidRDefault="005038A5" w:rsidP="00705E36">
            <w:pPr>
              <w:spacing w:after="0" w:line="240" w:lineRule="auto"/>
              <w:ind w:right="140"/>
              <w:jc w:val="center"/>
              <w:rPr>
                <w:rFonts w:ascii="Arial" w:eastAsia="Times New Roman" w:hAnsi="Arial" w:cs="Arial"/>
                <w:color w:val="000000"/>
                <w:sz w:val="16"/>
                <w:szCs w:val="16"/>
                <w:lang w:eastAsia="es-ES"/>
              </w:rPr>
            </w:pPr>
          </w:p>
        </w:tc>
        <w:tc>
          <w:tcPr>
            <w:tcW w:w="457" w:type="dxa"/>
            <w:tcBorders>
              <w:top w:val="single" w:sz="4" w:space="0" w:color="auto"/>
              <w:left w:val="nil"/>
              <w:bottom w:val="single" w:sz="4" w:space="0" w:color="auto"/>
              <w:right w:val="nil"/>
            </w:tcBorders>
            <w:shd w:val="clear" w:color="auto" w:fill="auto"/>
            <w:noWrap/>
            <w:vAlign w:val="center"/>
          </w:tcPr>
          <w:p w14:paraId="3284B7A9" w14:textId="77777777" w:rsidR="005038A5" w:rsidRPr="00BE2CF3" w:rsidRDefault="005038A5" w:rsidP="00705E36">
            <w:pPr>
              <w:spacing w:after="0" w:line="240" w:lineRule="auto"/>
              <w:ind w:right="140"/>
              <w:jc w:val="center"/>
              <w:rPr>
                <w:rFonts w:ascii="Arial" w:eastAsia="Times New Roman" w:hAnsi="Arial" w:cs="Arial"/>
                <w:b/>
                <w:bCs/>
                <w:color w:val="000000"/>
                <w:sz w:val="16"/>
                <w:szCs w:val="16"/>
                <w:lang w:eastAsia="es-ES"/>
              </w:rPr>
            </w:pPr>
          </w:p>
        </w:tc>
        <w:tc>
          <w:tcPr>
            <w:tcW w:w="709" w:type="dxa"/>
            <w:tcBorders>
              <w:top w:val="single" w:sz="4" w:space="0" w:color="auto"/>
              <w:left w:val="nil"/>
              <w:bottom w:val="single" w:sz="4" w:space="0" w:color="auto"/>
              <w:right w:val="nil"/>
            </w:tcBorders>
            <w:shd w:val="clear" w:color="auto" w:fill="auto"/>
            <w:noWrap/>
            <w:vAlign w:val="center"/>
          </w:tcPr>
          <w:p w14:paraId="2886A10B" w14:textId="77777777" w:rsidR="005038A5" w:rsidRPr="00BE2CF3" w:rsidRDefault="005038A5" w:rsidP="00705E36">
            <w:pPr>
              <w:spacing w:after="0" w:line="240" w:lineRule="auto"/>
              <w:ind w:right="140"/>
              <w:jc w:val="center"/>
              <w:rPr>
                <w:rFonts w:ascii="Arial" w:eastAsia="Times New Roman" w:hAnsi="Arial" w:cs="Arial"/>
                <w:color w:val="000000"/>
                <w:sz w:val="16"/>
                <w:szCs w:val="16"/>
                <w:lang w:eastAsia="es-ES"/>
              </w:rPr>
            </w:pPr>
          </w:p>
        </w:tc>
        <w:tc>
          <w:tcPr>
            <w:tcW w:w="992" w:type="dxa"/>
            <w:tcBorders>
              <w:top w:val="single" w:sz="4" w:space="0" w:color="auto"/>
              <w:left w:val="nil"/>
              <w:bottom w:val="single" w:sz="4" w:space="0" w:color="auto"/>
              <w:right w:val="nil"/>
            </w:tcBorders>
            <w:shd w:val="clear" w:color="auto" w:fill="auto"/>
            <w:noWrap/>
            <w:vAlign w:val="center"/>
          </w:tcPr>
          <w:p w14:paraId="4FDCE3E2" w14:textId="77777777" w:rsidR="005038A5" w:rsidRPr="00BE2CF3" w:rsidRDefault="005038A5" w:rsidP="00705E36">
            <w:pPr>
              <w:spacing w:after="0" w:line="240" w:lineRule="auto"/>
              <w:ind w:right="140"/>
              <w:jc w:val="center"/>
              <w:rPr>
                <w:rFonts w:ascii="Arial" w:eastAsia="Times New Roman" w:hAnsi="Arial" w:cs="Arial"/>
                <w:color w:val="000000"/>
                <w:sz w:val="16"/>
                <w:szCs w:val="16"/>
                <w:lang w:eastAsia="es-ES"/>
              </w:rPr>
            </w:pPr>
          </w:p>
        </w:tc>
        <w:tc>
          <w:tcPr>
            <w:tcW w:w="1134" w:type="dxa"/>
            <w:tcBorders>
              <w:top w:val="nil"/>
              <w:left w:val="nil"/>
              <w:bottom w:val="single" w:sz="4" w:space="0" w:color="auto"/>
              <w:right w:val="nil"/>
            </w:tcBorders>
            <w:shd w:val="clear" w:color="auto" w:fill="auto"/>
            <w:noWrap/>
            <w:vAlign w:val="center"/>
            <w:hideMark/>
          </w:tcPr>
          <w:p w14:paraId="681F3A7A" w14:textId="77777777" w:rsidR="005038A5" w:rsidRPr="00BE2CF3" w:rsidRDefault="005038A5" w:rsidP="00705E36">
            <w:pPr>
              <w:spacing w:after="0" w:line="240" w:lineRule="auto"/>
              <w:ind w:right="140"/>
              <w:jc w:val="center"/>
              <w:rPr>
                <w:rFonts w:ascii="Arial" w:eastAsia="Times New Roman" w:hAnsi="Arial" w:cs="Arial"/>
                <w:color w:val="000000"/>
                <w:sz w:val="16"/>
                <w:szCs w:val="16"/>
                <w:lang w:eastAsia="es-ES"/>
              </w:rPr>
            </w:pPr>
          </w:p>
        </w:tc>
      </w:tr>
      <w:tr w:rsidR="005038A5" w:rsidRPr="00BE2CF3" w14:paraId="3400AD89" w14:textId="77777777" w:rsidTr="00BC2433">
        <w:trPr>
          <w:trHeight w:val="20"/>
        </w:trPr>
        <w:tc>
          <w:tcPr>
            <w:tcW w:w="8785" w:type="dxa"/>
            <w:gridSpan w:val="10"/>
            <w:tcBorders>
              <w:top w:val="single" w:sz="4" w:space="0" w:color="auto"/>
              <w:left w:val="nil"/>
              <w:bottom w:val="single" w:sz="4" w:space="0" w:color="auto"/>
              <w:right w:val="nil"/>
            </w:tcBorders>
            <w:shd w:val="clear" w:color="auto" w:fill="auto"/>
            <w:noWrap/>
            <w:vAlign w:val="center"/>
          </w:tcPr>
          <w:p w14:paraId="2D230843" w14:textId="77777777" w:rsidR="005038A5" w:rsidRPr="00BE2CF3" w:rsidRDefault="005038A5" w:rsidP="00705E36">
            <w:pPr>
              <w:spacing w:after="0" w:line="240" w:lineRule="auto"/>
              <w:ind w:right="140"/>
              <w:jc w:val="center"/>
              <w:rPr>
                <w:rFonts w:ascii="Arial" w:eastAsia="Times New Roman" w:hAnsi="Arial" w:cs="Arial"/>
                <w:color w:val="000000"/>
                <w:sz w:val="16"/>
                <w:szCs w:val="16"/>
                <w:lang w:eastAsia="es-ES"/>
              </w:rPr>
            </w:pPr>
            <w:r w:rsidRPr="00197E61">
              <w:rPr>
                <w:rFonts w:asciiTheme="majorHAnsi" w:hAnsiTheme="majorHAnsi" w:cstheme="majorHAnsi"/>
                <w:sz w:val="16"/>
                <w:szCs w:val="16"/>
                <w:vertAlign w:val="superscript"/>
              </w:rPr>
              <w:t>NS</w:t>
            </w:r>
            <w:r w:rsidRPr="00197E61">
              <w:rPr>
                <w:rFonts w:asciiTheme="majorHAnsi" w:hAnsiTheme="majorHAnsi" w:cstheme="majorHAnsi"/>
                <w:i/>
                <w:iCs/>
                <w:sz w:val="16"/>
                <w:szCs w:val="16"/>
              </w:rPr>
              <w:t xml:space="preserve"> No significativo, </w:t>
            </w:r>
            <w:r w:rsidRPr="00197E61">
              <w:rPr>
                <w:rFonts w:asciiTheme="majorHAnsi" w:hAnsiTheme="majorHAnsi" w:cstheme="majorHAnsi"/>
                <w:i/>
                <w:iCs/>
                <w:sz w:val="16"/>
                <w:szCs w:val="16"/>
                <w:vertAlign w:val="superscript"/>
              </w:rPr>
              <w:t>†</w:t>
            </w:r>
            <w:r w:rsidRPr="00197E61">
              <w:rPr>
                <w:rFonts w:asciiTheme="majorHAnsi" w:hAnsiTheme="majorHAnsi" w:cstheme="majorHAnsi"/>
                <w:i/>
                <w:iCs/>
                <w:sz w:val="16"/>
                <w:szCs w:val="16"/>
              </w:rPr>
              <w:t xml:space="preserve"> Casi significativo (p&lt;.10), * Significativo (p&lt;.05) y ** Altamente significativo (p&lt;.01)</w:t>
            </w:r>
          </w:p>
        </w:tc>
      </w:tr>
      <w:tr w:rsidR="005038A5" w:rsidRPr="00BE2CF3" w14:paraId="4F05A5B6" w14:textId="77777777" w:rsidTr="00BC2433">
        <w:trPr>
          <w:trHeight w:val="20"/>
        </w:trPr>
        <w:tc>
          <w:tcPr>
            <w:tcW w:w="8785" w:type="dxa"/>
            <w:gridSpan w:val="10"/>
            <w:tcBorders>
              <w:left w:val="nil"/>
              <w:bottom w:val="single" w:sz="4" w:space="0" w:color="auto"/>
              <w:right w:val="nil"/>
            </w:tcBorders>
            <w:shd w:val="clear" w:color="auto" w:fill="auto"/>
            <w:noWrap/>
            <w:vAlign w:val="center"/>
          </w:tcPr>
          <w:p w14:paraId="190E2748" w14:textId="77777777" w:rsidR="005038A5" w:rsidRPr="00BE2CF3" w:rsidRDefault="005038A5" w:rsidP="00705E36">
            <w:pPr>
              <w:spacing w:after="0" w:line="240" w:lineRule="auto"/>
              <w:ind w:right="140"/>
              <w:jc w:val="center"/>
              <w:rPr>
                <w:rFonts w:ascii="Arial" w:eastAsia="Times New Roman" w:hAnsi="Arial" w:cs="Arial"/>
                <w:color w:val="000000"/>
                <w:sz w:val="16"/>
                <w:szCs w:val="16"/>
                <w:lang w:eastAsia="es-ES"/>
              </w:rPr>
            </w:pPr>
            <w:r w:rsidRPr="00197E61">
              <w:rPr>
                <w:rFonts w:asciiTheme="majorHAnsi" w:hAnsiTheme="majorHAnsi" w:cstheme="majorHAnsi"/>
                <w:i/>
                <w:iCs/>
                <w:sz w:val="16"/>
                <w:szCs w:val="16"/>
              </w:rPr>
              <w:t>Test estadístico/contraste: χ² - Chi Cuadrado. Tamaño o magnitud del efecto: V – V de Cramer.</w:t>
            </w:r>
          </w:p>
        </w:tc>
      </w:tr>
    </w:tbl>
    <w:p w14:paraId="745BC75B" w14:textId="26B30592" w:rsidR="00E871A5" w:rsidRPr="005038A5" w:rsidRDefault="00E871A5" w:rsidP="00705E36">
      <w:pPr>
        <w:pStyle w:val="Caption"/>
        <w:spacing w:after="60"/>
        <w:ind w:right="140"/>
        <w:rPr>
          <w:rFonts w:ascii="Arial" w:hAnsi="Arial" w:cs="Arial"/>
        </w:rPr>
      </w:pPr>
    </w:p>
    <w:p w14:paraId="76E59367" w14:textId="32283E00" w:rsidR="007439C5" w:rsidRPr="00040EDE" w:rsidRDefault="00DD5978" w:rsidP="00705E36">
      <w:pPr>
        <w:pStyle w:val="Heading1"/>
        <w:ind w:right="140"/>
        <w:rPr>
          <w:rFonts w:ascii="Arial" w:hAnsi="Arial" w:cs="Arial"/>
        </w:rPr>
      </w:pPr>
      <w:bookmarkStart w:id="21" w:name="_Toc183376726"/>
      <w:r w:rsidRPr="00040EDE">
        <w:rPr>
          <w:rFonts w:ascii="Arial" w:hAnsi="Arial" w:cs="Arial"/>
        </w:rPr>
        <w:t xml:space="preserve">6. </w:t>
      </w:r>
      <w:r w:rsidR="00A3683F" w:rsidRPr="00040EDE">
        <w:rPr>
          <w:rFonts w:ascii="Arial" w:hAnsi="Arial" w:cs="Arial"/>
        </w:rPr>
        <w:t xml:space="preserve"> </w:t>
      </w:r>
      <w:r w:rsidR="00A3683F" w:rsidRPr="00040EDE">
        <w:rPr>
          <w:rFonts w:ascii="Arial" w:hAnsi="Arial" w:cs="Arial"/>
        </w:rPr>
        <w:tab/>
      </w:r>
      <w:r w:rsidR="00802BEB" w:rsidRPr="00BE2CF3">
        <w:rPr>
          <w:rFonts w:ascii="Arial" w:hAnsi="Arial" w:cs="Arial"/>
        </w:rPr>
        <w:t>Conclusiones</w:t>
      </w:r>
      <w:bookmarkEnd w:id="21"/>
      <w:r w:rsidR="00802BEB" w:rsidRPr="00BE2CF3">
        <w:rPr>
          <w:rFonts w:ascii="Arial" w:hAnsi="Arial" w:cs="Arial"/>
        </w:rPr>
        <w:t xml:space="preserve"> </w:t>
      </w:r>
    </w:p>
    <w:p w14:paraId="5953C011" w14:textId="77777777" w:rsidR="00857990" w:rsidRPr="00040EDE" w:rsidRDefault="00857990" w:rsidP="00705E36">
      <w:pPr>
        <w:ind w:right="140"/>
        <w:rPr>
          <w:rFonts w:ascii="Arial" w:hAnsi="Arial" w:cs="Arial"/>
        </w:rPr>
      </w:pPr>
    </w:p>
    <w:p w14:paraId="5132B27A" w14:textId="2AD0EFA0" w:rsidR="00517FA2" w:rsidRDefault="0099184C" w:rsidP="00705E36">
      <w:pPr>
        <w:ind w:right="140"/>
        <w:rPr>
          <w:rFonts w:ascii="Arial" w:hAnsi="Arial" w:cs="Arial"/>
        </w:rPr>
      </w:pPr>
      <w:r w:rsidRPr="00B22E18">
        <w:rPr>
          <w:rFonts w:ascii="Arial" w:hAnsi="Arial" w:cs="Arial"/>
        </w:rPr>
        <w:t xml:space="preserve">Resumido en la tabla 12, se puede concluir </w:t>
      </w:r>
      <w:r w:rsidR="00D5280E" w:rsidRPr="00B22E18">
        <w:rPr>
          <w:rFonts w:ascii="Arial" w:hAnsi="Arial" w:cs="Arial"/>
        </w:rPr>
        <w:t>que,</w:t>
      </w:r>
      <w:r w:rsidRPr="00B22E18">
        <w:rPr>
          <w:rFonts w:ascii="Arial" w:hAnsi="Arial" w:cs="Arial"/>
        </w:rPr>
        <w:t xml:space="preserve"> </w:t>
      </w:r>
      <w:r w:rsidR="000D2B20">
        <w:rPr>
          <w:rFonts w:ascii="Arial" w:hAnsi="Arial" w:cs="Arial"/>
        </w:rPr>
        <w:t>a la vista de los resultados</w:t>
      </w:r>
      <w:r w:rsidR="00C65F88">
        <w:rPr>
          <w:rFonts w:ascii="Arial" w:hAnsi="Arial" w:cs="Arial"/>
        </w:rPr>
        <w:t xml:space="preserve"> con la muestra conseguida</w:t>
      </w:r>
      <w:r w:rsidR="000D2B20">
        <w:rPr>
          <w:rFonts w:ascii="Arial" w:hAnsi="Arial" w:cs="Arial"/>
        </w:rPr>
        <w:t xml:space="preserve">, </w:t>
      </w:r>
      <w:r w:rsidRPr="00B22E18">
        <w:rPr>
          <w:rFonts w:ascii="Arial" w:hAnsi="Arial" w:cs="Arial"/>
        </w:rPr>
        <w:t xml:space="preserve">las empresas más maduras </w:t>
      </w:r>
      <w:r w:rsidR="00D5280E">
        <w:rPr>
          <w:rFonts w:ascii="Arial" w:hAnsi="Arial" w:cs="Arial"/>
        </w:rPr>
        <w:t>reconocen</w:t>
      </w:r>
      <w:r w:rsidRPr="00B22E18">
        <w:rPr>
          <w:rFonts w:ascii="Arial" w:hAnsi="Arial" w:cs="Arial"/>
        </w:rPr>
        <w:t xml:space="preserve"> más tipos de ahorros </w:t>
      </w:r>
      <w:r w:rsidR="00BF7732">
        <w:rPr>
          <w:rFonts w:ascii="Arial" w:hAnsi="Arial" w:cs="Arial"/>
        </w:rPr>
        <w:t>indirectos</w:t>
      </w:r>
      <w:r w:rsidRPr="00B22E18">
        <w:rPr>
          <w:rFonts w:ascii="Arial" w:hAnsi="Arial" w:cs="Arial"/>
        </w:rPr>
        <w:t xml:space="preserve"> complejos. Mostrando que hay una evolución de los ahorros </w:t>
      </w:r>
      <w:r w:rsidR="000B6A9B">
        <w:rPr>
          <w:rFonts w:ascii="Arial" w:hAnsi="Arial" w:cs="Arial"/>
        </w:rPr>
        <w:t>directos</w:t>
      </w:r>
      <w:r w:rsidRPr="00B22E18">
        <w:rPr>
          <w:rFonts w:ascii="Arial" w:hAnsi="Arial" w:cs="Arial"/>
        </w:rPr>
        <w:t xml:space="preserve"> a los ahorros </w:t>
      </w:r>
      <w:r w:rsidR="000B6A9B">
        <w:rPr>
          <w:rFonts w:ascii="Arial" w:hAnsi="Arial" w:cs="Arial"/>
        </w:rPr>
        <w:t>indirectos</w:t>
      </w:r>
      <w:r w:rsidRPr="00B22E18">
        <w:rPr>
          <w:rFonts w:ascii="Arial" w:hAnsi="Arial" w:cs="Arial"/>
        </w:rPr>
        <w:t xml:space="preserve">, especialmente los complejos, donde la colaboración con </w:t>
      </w:r>
      <w:r w:rsidR="00DC04E5">
        <w:rPr>
          <w:rFonts w:ascii="Arial" w:hAnsi="Arial" w:cs="Arial"/>
        </w:rPr>
        <w:t>otras partes y grupos de interés</w:t>
      </w:r>
      <w:r w:rsidR="00B452CC">
        <w:rPr>
          <w:rFonts w:ascii="Arial" w:hAnsi="Arial" w:cs="Arial"/>
        </w:rPr>
        <w:t>,</w:t>
      </w:r>
      <w:r w:rsidRPr="00B22E18">
        <w:rPr>
          <w:rFonts w:ascii="Arial" w:hAnsi="Arial" w:cs="Arial"/>
        </w:rPr>
        <w:t xml:space="preserve"> </w:t>
      </w:r>
      <w:r w:rsidR="00DC04E5">
        <w:rPr>
          <w:rFonts w:ascii="Arial" w:hAnsi="Arial" w:cs="Arial"/>
        </w:rPr>
        <w:t>dentro y fuera de la empresa</w:t>
      </w:r>
      <w:r w:rsidR="00B452CC">
        <w:rPr>
          <w:rFonts w:ascii="Arial" w:hAnsi="Arial" w:cs="Arial"/>
        </w:rPr>
        <w:t>,</w:t>
      </w:r>
      <w:r w:rsidR="00DC04E5">
        <w:rPr>
          <w:rFonts w:ascii="Arial" w:hAnsi="Arial" w:cs="Arial"/>
        </w:rPr>
        <w:t xml:space="preserve"> </w:t>
      </w:r>
      <w:r w:rsidRPr="00B22E18">
        <w:rPr>
          <w:rFonts w:ascii="Arial" w:hAnsi="Arial" w:cs="Arial"/>
        </w:rPr>
        <w:t>es más necesaria</w:t>
      </w:r>
      <w:r w:rsidR="00787728" w:rsidRPr="0099184C">
        <w:rPr>
          <w:rFonts w:ascii="Arial" w:hAnsi="Arial" w:cs="Arial"/>
        </w:rPr>
        <w:t>.</w:t>
      </w:r>
      <w:r w:rsidR="0091676F" w:rsidRPr="0099184C">
        <w:rPr>
          <w:rFonts w:ascii="Arial" w:hAnsi="Arial" w:cs="Arial"/>
        </w:rPr>
        <w:t xml:space="preserve"> </w:t>
      </w:r>
      <w:r w:rsidR="0091676F" w:rsidRPr="0041212B">
        <w:rPr>
          <w:rFonts w:ascii="Arial" w:hAnsi="Arial" w:cs="Arial"/>
        </w:rPr>
        <w:t>Fig.3.</w:t>
      </w:r>
      <w:r w:rsidR="00E14DD8" w:rsidRPr="0041212B">
        <w:rPr>
          <w:rFonts w:ascii="Arial" w:hAnsi="Arial" w:cs="Arial"/>
        </w:rPr>
        <w:t xml:space="preserve"> </w:t>
      </w:r>
    </w:p>
    <w:p w14:paraId="270EF42A" w14:textId="5D1A0831" w:rsidR="00CB5ED8" w:rsidRPr="006B39ED" w:rsidRDefault="00D817DA" w:rsidP="00CB5ED8">
      <w:pPr>
        <w:ind w:right="140"/>
        <w:rPr>
          <w:rFonts w:ascii="Arial" w:hAnsi="Arial" w:cs="Arial"/>
        </w:rPr>
      </w:pPr>
      <w:r w:rsidRPr="007E4B30">
        <w:rPr>
          <w:rFonts w:ascii="Arial" w:hAnsi="Arial" w:cs="Arial"/>
        </w:rPr>
        <w:t>E</w:t>
      </w:r>
      <w:r w:rsidR="00CB5ED8" w:rsidRPr="007E4B30">
        <w:rPr>
          <w:rFonts w:ascii="Arial" w:hAnsi="Arial" w:cs="Arial"/>
        </w:rPr>
        <w:t xml:space="preserve">n mercados maduros y con productos estandarizados, </w:t>
      </w:r>
      <w:r w:rsidR="003160D2" w:rsidRPr="007E4B30">
        <w:rPr>
          <w:rFonts w:ascii="Arial" w:hAnsi="Arial" w:cs="Arial"/>
        </w:rPr>
        <w:t xml:space="preserve">como los actuales, </w:t>
      </w:r>
      <w:r w:rsidR="00CB5ED8" w:rsidRPr="007E4B30">
        <w:rPr>
          <w:rFonts w:ascii="Arial" w:hAnsi="Arial" w:cs="Arial"/>
        </w:rPr>
        <w:t xml:space="preserve">hay </w:t>
      </w:r>
      <w:r w:rsidR="00871902" w:rsidRPr="007E4B30">
        <w:rPr>
          <w:rFonts w:ascii="Arial" w:hAnsi="Arial" w:cs="Arial"/>
        </w:rPr>
        <w:t xml:space="preserve">menos </w:t>
      </w:r>
      <w:r w:rsidR="00CB5ED8" w:rsidRPr="007E4B30">
        <w:rPr>
          <w:rFonts w:ascii="Arial" w:hAnsi="Arial" w:cs="Arial"/>
        </w:rPr>
        <w:t xml:space="preserve">espacio para descuentos en precios </w:t>
      </w:r>
      <w:r w:rsidR="00460043" w:rsidRPr="007E4B30">
        <w:rPr>
          <w:rFonts w:ascii="Arial" w:hAnsi="Arial" w:cs="Arial"/>
        </w:rPr>
        <w:t xml:space="preserve">o </w:t>
      </w:r>
      <w:r w:rsidR="00CB5ED8" w:rsidRPr="007E4B30">
        <w:rPr>
          <w:rFonts w:ascii="Arial" w:hAnsi="Arial" w:cs="Arial"/>
        </w:rPr>
        <w:t xml:space="preserve">ahorros directos, lo que obliga a la búsqueda de ahorros indirectos y más complejos para </w:t>
      </w:r>
      <w:r w:rsidR="005E229A" w:rsidRPr="007E4B30">
        <w:rPr>
          <w:rFonts w:ascii="Arial" w:hAnsi="Arial" w:cs="Arial"/>
        </w:rPr>
        <w:t xml:space="preserve">poder </w:t>
      </w:r>
      <w:r w:rsidR="00CB5ED8" w:rsidRPr="007E4B30">
        <w:rPr>
          <w:rFonts w:ascii="Arial" w:hAnsi="Arial" w:cs="Arial"/>
        </w:rPr>
        <w:t>optimizar el uso de los recursos</w:t>
      </w:r>
      <w:r w:rsidR="003270DE" w:rsidRPr="007E4B30">
        <w:rPr>
          <w:rFonts w:ascii="Arial" w:hAnsi="Arial" w:cs="Arial"/>
        </w:rPr>
        <w:t xml:space="preserve"> disponibles, </w:t>
      </w:r>
      <w:r w:rsidR="007E4B30" w:rsidRPr="007E4B30">
        <w:rPr>
          <w:rFonts w:ascii="Arial" w:hAnsi="Arial" w:cs="Arial"/>
        </w:rPr>
        <w:t xml:space="preserve">y aumentar </w:t>
      </w:r>
      <w:r w:rsidR="003270DE" w:rsidRPr="007E4B30">
        <w:rPr>
          <w:rFonts w:ascii="Arial" w:hAnsi="Arial" w:cs="Arial"/>
        </w:rPr>
        <w:t>así la eficiencia y la productividad</w:t>
      </w:r>
      <w:r w:rsidR="00CB5ED8" w:rsidRPr="007E4B30">
        <w:rPr>
          <w:rFonts w:ascii="Arial" w:hAnsi="Arial" w:cs="Arial"/>
        </w:rPr>
        <w:t xml:space="preserve">. </w:t>
      </w:r>
    </w:p>
    <w:p w14:paraId="354AAC5F" w14:textId="31A17B35" w:rsidR="002029AB" w:rsidRPr="008960EB" w:rsidRDefault="00F86EA3" w:rsidP="00705E36">
      <w:pPr>
        <w:ind w:right="140"/>
        <w:rPr>
          <w:rFonts w:ascii="Arial" w:hAnsi="Arial" w:cs="Arial"/>
        </w:rPr>
      </w:pPr>
      <w:r>
        <w:rPr>
          <w:rFonts w:ascii="Arial" w:hAnsi="Arial" w:cs="Arial"/>
        </w:rPr>
        <w:t>Por otro lado</w:t>
      </w:r>
      <w:r w:rsidR="008960EB" w:rsidRPr="00246645">
        <w:rPr>
          <w:rFonts w:ascii="Arial" w:hAnsi="Arial" w:cs="Arial"/>
        </w:rPr>
        <w:t>,</w:t>
      </w:r>
      <w:r>
        <w:rPr>
          <w:rFonts w:ascii="Arial" w:hAnsi="Arial" w:cs="Arial"/>
        </w:rPr>
        <w:t xml:space="preserve"> </w:t>
      </w:r>
      <w:r w:rsidR="00DF692C">
        <w:rPr>
          <w:rFonts w:ascii="Arial" w:hAnsi="Arial" w:cs="Arial"/>
        </w:rPr>
        <w:t>una</w:t>
      </w:r>
      <w:r>
        <w:rPr>
          <w:rFonts w:ascii="Arial" w:hAnsi="Arial" w:cs="Arial"/>
        </w:rPr>
        <w:t xml:space="preserve"> mayoría de</w:t>
      </w:r>
      <w:r w:rsidR="008960EB" w:rsidRPr="00246645">
        <w:rPr>
          <w:rFonts w:ascii="Arial" w:hAnsi="Arial" w:cs="Arial"/>
        </w:rPr>
        <w:t xml:space="preserve"> estos ahorros se encuentran entre las categorías que </w:t>
      </w:r>
      <w:r w:rsidR="00B46E0B">
        <w:rPr>
          <w:rFonts w:ascii="Arial" w:hAnsi="Arial" w:cs="Arial"/>
        </w:rPr>
        <w:t>más consumen</w:t>
      </w:r>
      <w:r w:rsidR="008960EB" w:rsidRPr="00246645">
        <w:rPr>
          <w:rFonts w:ascii="Arial" w:hAnsi="Arial" w:cs="Arial"/>
        </w:rPr>
        <w:t xml:space="preserve"> recursos naturales, por lo que tienen efectos positivos en el medio ambiente</w:t>
      </w:r>
      <w:r w:rsidR="00246645" w:rsidRPr="008960EB">
        <w:rPr>
          <w:rFonts w:ascii="Arial" w:hAnsi="Arial" w:cs="Arial"/>
        </w:rPr>
        <w:t>.</w:t>
      </w:r>
    </w:p>
    <w:p w14:paraId="37B855C6" w14:textId="77777777" w:rsidR="006A3B8F" w:rsidRPr="008960EB" w:rsidRDefault="006A3B8F" w:rsidP="00705E36">
      <w:pPr>
        <w:ind w:right="140"/>
        <w:rPr>
          <w:rFonts w:ascii="Arial" w:hAnsi="Arial" w:cs="Arial"/>
          <w:b/>
          <w:bCs/>
          <w:kern w:val="0"/>
          <w:sz w:val="18"/>
          <w:szCs w:val="18"/>
          <w14:ligatures w14:val="none"/>
        </w:rPr>
      </w:pPr>
    </w:p>
    <w:p w14:paraId="1519D5DF" w14:textId="4529C1D8" w:rsidR="00B42953" w:rsidRPr="00BE4233" w:rsidRDefault="00B42953" w:rsidP="00705E36">
      <w:pPr>
        <w:ind w:right="140"/>
        <w:rPr>
          <w:rFonts w:ascii="Arial" w:hAnsi="Arial" w:cs="Arial"/>
          <w:b/>
          <w:bCs/>
          <w:kern w:val="0"/>
          <w:sz w:val="18"/>
          <w:szCs w:val="18"/>
          <w14:ligatures w14:val="none"/>
        </w:rPr>
      </w:pPr>
      <w:r w:rsidRPr="00BE4233">
        <w:rPr>
          <w:rFonts w:ascii="Arial" w:hAnsi="Arial" w:cs="Arial"/>
          <w:b/>
          <w:bCs/>
          <w:kern w:val="0"/>
          <w:sz w:val="18"/>
          <w:szCs w:val="18"/>
          <w14:ligatures w14:val="none"/>
        </w:rPr>
        <w:t>Tabl</w:t>
      </w:r>
      <w:r w:rsidR="008960EB" w:rsidRPr="00BE4233">
        <w:rPr>
          <w:rFonts w:ascii="Arial" w:hAnsi="Arial" w:cs="Arial"/>
          <w:b/>
          <w:bCs/>
          <w:kern w:val="0"/>
          <w:sz w:val="18"/>
          <w:szCs w:val="18"/>
          <w14:ligatures w14:val="none"/>
        </w:rPr>
        <w:t>a</w:t>
      </w:r>
      <w:r w:rsidR="006B389E" w:rsidRPr="00BE4233">
        <w:rPr>
          <w:rFonts w:ascii="Arial" w:hAnsi="Arial" w:cs="Arial"/>
          <w:b/>
          <w:bCs/>
          <w:kern w:val="0"/>
          <w:sz w:val="18"/>
          <w:szCs w:val="18"/>
          <w14:ligatures w14:val="none"/>
        </w:rPr>
        <w:t>.12</w:t>
      </w:r>
      <w:r w:rsidRPr="00BE4233">
        <w:rPr>
          <w:rFonts w:ascii="Arial" w:hAnsi="Arial" w:cs="Arial"/>
          <w:b/>
          <w:bCs/>
          <w:kern w:val="0"/>
          <w:sz w:val="18"/>
          <w:szCs w:val="18"/>
          <w14:ligatures w14:val="none"/>
        </w:rPr>
        <w:t xml:space="preserve">: </w:t>
      </w:r>
      <w:r w:rsidR="00BE4233" w:rsidRPr="00BE2CF3">
        <w:rPr>
          <w:rFonts w:ascii="Arial" w:hAnsi="Arial" w:cs="Arial"/>
          <w:i/>
          <w:iCs/>
          <w:kern w:val="0"/>
          <w:sz w:val="18"/>
          <w:szCs w:val="18"/>
          <w14:ligatures w14:val="none"/>
        </w:rPr>
        <w:t>Resumen de la prueba de hipótesis</w:t>
      </w:r>
      <w:r w:rsidRPr="00BE4233">
        <w:rPr>
          <w:rFonts w:ascii="Arial" w:hAnsi="Arial" w:cs="Arial"/>
          <w:i/>
          <w:iCs/>
          <w:kern w:val="0"/>
          <w:sz w:val="18"/>
          <w:szCs w:val="18"/>
          <w14:ligatures w14:val="none"/>
        </w:rPr>
        <w:t>.</w:t>
      </w:r>
    </w:p>
    <w:tbl>
      <w:tblPr>
        <w:tblStyle w:val="TableGrid"/>
        <w:tblW w:w="8118" w:type="dxa"/>
        <w:jc w:val="center"/>
        <w:tblLook w:val="04A0" w:firstRow="1" w:lastRow="0" w:firstColumn="1" w:lastColumn="0" w:noHBand="0" w:noVBand="1"/>
      </w:tblPr>
      <w:tblGrid>
        <w:gridCol w:w="587"/>
        <w:gridCol w:w="4569"/>
        <w:gridCol w:w="1420"/>
        <w:gridCol w:w="1542"/>
      </w:tblGrid>
      <w:tr w:rsidR="008A6DBC" w:rsidRPr="00BE2CF3" w14:paraId="4AEBD69B" w14:textId="77777777" w:rsidTr="0087647E">
        <w:trPr>
          <w:trHeight w:val="504"/>
          <w:jc w:val="center"/>
        </w:trPr>
        <w:tc>
          <w:tcPr>
            <w:tcW w:w="5840" w:type="dxa"/>
            <w:gridSpan w:val="2"/>
          </w:tcPr>
          <w:p w14:paraId="3BBDBECE" w14:textId="163BD2B8" w:rsidR="008A6DBC" w:rsidRPr="00BE4233" w:rsidRDefault="00BE4233" w:rsidP="00705E36">
            <w:pPr>
              <w:ind w:right="140"/>
              <w:jc w:val="center"/>
              <w:rPr>
                <w:rFonts w:ascii="Arial" w:hAnsi="Arial" w:cs="Arial"/>
                <w:b/>
                <w:bCs/>
              </w:rPr>
            </w:pPr>
            <w:r w:rsidRPr="00BE2CF3">
              <w:rPr>
                <w:rFonts w:ascii="Arial" w:hAnsi="Arial" w:cs="Arial"/>
                <w:b/>
                <w:bCs/>
              </w:rPr>
              <w:t>Resumen de la prueba de hipótesis</w:t>
            </w:r>
          </w:p>
        </w:tc>
        <w:tc>
          <w:tcPr>
            <w:tcW w:w="1231" w:type="dxa"/>
          </w:tcPr>
          <w:p w14:paraId="794DC245" w14:textId="3D2FE70A" w:rsidR="008A6DBC" w:rsidRPr="00BE2CF3" w:rsidRDefault="00CB7126" w:rsidP="00705E36">
            <w:pPr>
              <w:ind w:right="140"/>
              <w:rPr>
                <w:rFonts w:ascii="Arial" w:hAnsi="Arial" w:cs="Arial"/>
                <w:b/>
                <w:bCs/>
                <w:lang w:val="en-GB"/>
              </w:rPr>
            </w:pPr>
            <w:r w:rsidRPr="00BE2CF3">
              <w:rPr>
                <w:rFonts w:ascii="Arial" w:hAnsi="Arial" w:cs="Arial"/>
                <w:b/>
                <w:bCs/>
              </w:rPr>
              <w:t xml:space="preserve">Dirección propuesta </w:t>
            </w:r>
          </w:p>
        </w:tc>
        <w:tc>
          <w:tcPr>
            <w:tcW w:w="1047" w:type="dxa"/>
          </w:tcPr>
          <w:p w14:paraId="3722BE50" w14:textId="3D6B7CC5" w:rsidR="008A6DBC" w:rsidRPr="00BE2CF3" w:rsidRDefault="00CB7126" w:rsidP="00705E36">
            <w:pPr>
              <w:ind w:right="140"/>
              <w:rPr>
                <w:rFonts w:ascii="Arial" w:hAnsi="Arial" w:cs="Arial"/>
                <w:b/>
                <w:bCs/>
                <w:lang w:val="en-GB"/>
              </w:rPr>
            </w:pPr>
            <w:r w:rsidRPr="00BE2CF3">
              <w:rPr>
                <w:rFonts w:ascii="Arial" w:hAnsi="Arial" w:cs="Arial"/>
                <w:b/>
                <w:bCs/>
              </w:rPr>
              <w:t>Resultados</w:t>
            </w:r>
          </w:p>
        </w:tc>
      </w:tr>
      <w:tr w:rsidR="008A6DBC" w:rsidRPr="00BE2CF3" w14:paraId="6AAB4644" w14:textId="77777777" w:rsidTr="0087647E">
        <w:trPr>
          <w:trHeight w:val="416"/>
          <w:jc w:val="center"/>
        </w:trPr>
        <w:tc>
          <w:tcPr>
            <w:tcW w:w="537" w:type="dxa"/>
          </w:tcPr>
          <w:p w14:paraId="158B3DD5" w14:textId="19295C3C" w:rsidR="008A6DBC" w:rsidRPr="00BE2CF3" w:rsidRDefault="008A6DBC" w:rsidP="00705E36">
            <w:pPr>
              <w:ind w:right="140"/>
              <w:rPr>
                <w:rFonts w:ascii="Arial" w:hAnsi="Arial" w:cs="Arial"/>
                <w:sz w:val="18"/>
                <w:szCs w:val="18"/>
                <w:lang w:val="en-GB"/>
              </w:rPr>
            </w:pPr>
            <w:r w:rsidRPr="00BE2CF3">
              <w:rPr>
                <w:rFonts w:ascii="Arial" w:hAnsi="Arial" w:cs="Arial"/>
                <w:sz w:val="18"/>
                <w:szCs w:val="18"/>
                <w:lang w:val="en-GB"/>
              </w:rPr>
              <w:t>H</w:t>
            </w:r>
            <w:r w:rsidR="00064769">
              <w:rPr>
                <w:rFonts w:ascii="Arial" w:hAnsi="Arial" w:cs="Arial"/>
                <w:sz w:val="18"/>
                <w:szCs w:val="18"/>
                <w:lang w:val="en-GB"/>
              </w:rPr>
              <w:t>1</w:t>
            </w:r>
          </w:p>
        </w:tc>
        <w:tc>
          <w:tcPr>
            <w:tcW w:w="5303" w:type="dxa"/>
          </w:tcPr>
          <w:p w14:paraId="19CFD7E4" w14:textId="3EF994C0" w:rsidR="008A6DBC" w:rsidRPr="006C4E19" w:rsidRDefault="00AA1083" w:rsidP="00705E36">
            <w:pPr>
              <w:ind w:right="140"/>
              <w:rPr>
                <w:rFonts w:ascii="Arial" w:hAnsi="Arial" w:cs="Arial"/>
                <w:sz w:val="18"/>
                <w:szCs w:val="18"/>
              </w:rPr>
            </w:pPr>
            <w:r w:rsidRPr="00AA1083">
              <w:rPr>
                <w:rFonts w:ascii="Arial" w:hAnsi="Arial" w:cs="Arial"/>
                <w:sz w:val="18"/>
                <w:szCs w:val="18"/>
              </w:rPr>
              <w:t>Una función de compras más madura (MPF) reconoce más ahorros indirectos complejos</w:t>
            </w:r>
            <w:r w:rsidR="00181612" w:rsidRPr="006C4E19">
              <w:rPr>
                <w:rFonts w:ascii="Arial" w:hAnsi="Arial" w:cs="Arial"/>
                <w:sz w:val="18"/>
                <w:szCs w:val="18"/>
              </w:rPr>
              <w:t>.</w:t>
            </w:r>
          </w:p>
        </w:tc>
        <w:tc>
          <w:tcPr>
            <w:tcW w:w="1231" w:type="dxa"/>
          </w:tcPr>
          <w:p w14:paraId="559A128E" w14:textId="77777777" w:rsidR="008A6DBC" w:rsidRPr="00BE2CF3" w:rsidRDefault="008A6DBC" w:rsidP="00705E36">
            <w:pPr>
              <w:ind w:right="140"/>
              <w:jc w:val="center"/>
              <w:rPr>
                <w:rFonts w:ascii="Arial" w:hAnsi="Arial" w:cs="Arial"/>
                <w:sz w:val="18"/>
                <w:szCs w:val="18"/>
                <w:lang w:val="en-GB"/>
              </w:rPr>
            </w:pPr>
            <w:r w:rsidRPr="00BE2CF3">
              <w:rPr>
                <w:rFonts w:ascii="Arial" w:hAnsi="Arial" w:cs="Arial"/>
                <w:sz w:val="18"/>
                <w:szCs w:val="18"/>
                <w:lang w:val="en-GB"/>
              </w:rPr>
              <w:t>+</w:t>
            </w:r>
          </w:p>
        </w:tc>
        <w:tc>
          <w:tcPr>
            <w:tcW w:w="1047" w:type="dxa"/>
          </w:tcPr>
          <w:p w14:paraId="12C6AB6E" w14:textId="425E9630" w:rsidR="008A6DBC" w:rsidRPr="00BE2CF3" w:rsidRDefault="00CB7126" w:rsidP="00705E36">
            <w:pPr>
              <w:ind w:right="140"/>
              <w:rPr>
                <w:rFonts w:ascii="Arial" w:hAnsi="Arial" w:cs="Arial"/>
                <w:sz w:val="18"/>
                <w:szCs w:val="18"/>
                <w:lang w:val="en-GB"/>
              </w:rPr>
            </w:pPr>
            <w:r>
              <w:rPr>
                <w:rFonts w:ascii="Arial" w:hAnsi="Arial" w:cs="Arial"/>
                <w:sz w:val="18"/>
                <w:szCs w:val="18"/>
              </w:rPr>
              <w:t>Demostrado</w:t>
            </w:r>
          </w:p>
        </w:tc>
      </w:tr>
      <w:tr w:rsidR="008A6DBC" w:rsidRPr="00BE2CF3" w14:paraId="08BF1F8A" w14:textId="77777777" w:rsidTr="0087647E">
        <w:trPr>
          <w:trHeight w:val="416"/>
          <w:jc w:val="center"/>
        </w:trPr>
        <w:tc>
          <w:tcPr>
            <w:tcW w:w="537" w:type="dxa"/>
          </w:tcPr>
          <w:p w14:paraId="0BB199F6" w14:textId="2F800BD8" w:rsidR="008A6DBC" w:rsidRPr="00BE2CF3" w:rsidRDefault="008A6DBC" w:rsidP="00705E36">
            <w:pPr>
              <w:ind w:right="140"/>
              <w:rPr>
                <w:rFonts w:ascii="Arial" w:hAnsi="Arial" w:cs="Arial"/>
                <w:sz w:val="18"/>
                <w:szCs w:val="18"/>
                <w:lang w:val="en-GB"/>
              </w:rPr>
            </w:pPr>
            <w:r w:rsidRPr="00BE2CF3">
              <w:rPr>
                <w:rFonts w:ascii="Arial" w:hAnsi="Arial" w:cs="Arial"/>
                <w:sz w:val="18"/>
                <w:szCs w:val="18"/>
                <w:lang w:val="en-GB"/>
              </w:rPr>
              <w:t>H</w:t>
            </w:r>
            <w:r w:rsidR="00064769">
              <w:rPr>
                <w:rFonts w:ascii="Arial" w:hAnsi="Arial" w:cs="Arial"/>
                <w:sz w:val="18"/>
                <w:szCs w:val="18"/>
                <w:lang w:val="en-GB"/>
              </w:rPr>
              <w:t>2</w:t>
            </w:r>
          </w:p>
        </w:tc>
        <w:tc>
          <w:tcPr>
            <w:tcW w:w="5303" w:type="dxa"/>
          </w:tcPr>
          <w:p w14:paraId="4953D3E5" w14:textId="5EAB2E82" w:rsidR="008A6DBC" w:rsidRPr="00CB7126" w:rsidRDefault="00CB7126" w:rsidP="00705E36">
            <w:pPr>
              <w:ind w:right="140"/>
              <w:rPr>
                <w:rFonts w:ascii="Arial" w:hAnsi="Arial" w:cs="Arial"/>
                <w:sz w:val="18"/>
                <w:szCs w:val="18"/>
              </w:rPr>
            </w:pPr>
            <w:r w:rsidRPr="00CB7126">
              <w:rPr>
                <w:rFonts w:ascii="Arial" w:hAnsi="Arial" w:cs="Arial"/>
                <w:sz w:val="18"/>
                <w:szCs w:val="18"/>
              </w:rPr>
              <w:t>Cuantos más ahorros reconocidos dentro de la empresa, más efectos positivos en el medio ambiente</w:t>
            </w:r>
            <w:r w:rsidR="008A6DBC" w:rsidRPr="00CB7126">
              <w:rPr>
                <w:rFonts w:ascii="Arial" w:hAnsi="Arial" w:cs="Arial"/>
                <w:sz w:val="18"/>
                <w:szCs w:val="18"/>
              </w:rPr>
              <w:t>.</w:t>
            </w:r>
          </w:p>
        </w:tc>
        <w:tc>
          <w:tcPr>
            <w:tcW w:w="1231" w:type="dxa"/>
          </w:tcPr>
          <w:p w14:paraId="2FF4C153" w14:textId="77777777" w:rsidR="008A6DBC" w:rsidRPr="00BE2CF3" w:rsidRDefault="008A6DBC" w:rsidP="00705E36">
            <w:pPr>
              <w:ind w:right="140"/>
              <w:jc w:val="center"/>
              <w:rPr>
                <w:rFonts w:ascii="Arial" w:hAnsi="Arial" w:cs="Arial"/>
                <w:sz w:val="18"/>
                <w:szCs w:val="18"/>
                <w:lang w:val="en-GB"/>
              </w:rPr>
            </w:pPr>
            <w:r w:rsidRPr="00BE2CF3">
              <w:rPr>
                <w:rFonts w:ascii="Arial" w:hAnsi="Arial" w:cs="Arial"/>
                <w:sz w:val="18"/>
                <w:szCs w:val="18"/>
                <w:lang w:val="en-GB"/>
              </w:rPr>
              <w:t>+</w:t>
            </w:r>
          </w:p>
        </w:tc>
        <w:tc>
          <w:tcPr>
            <w:tcW w:w="1047" w:type="dxa"/>
          </w:tcPr>
          <w:p w14:paraId="5BA94B6B" w14:textId="4EAD0B68" w:rsidR="008A6DBC" w:rsidRPr="00BE2CF3" w:rsidRDefault="00CB7126" w:rsidP="00705E36">
            <w:pPr>
              <w:ind w:right="140"/>
              <w:rPr>
                <w:rFonts w:ascii="Arial" w:hAnsi="Arial" w:cs="Arial"/>
                <w:sz w:val="18"/>
                <w:szCs w:val="18"/>
                <w:lang w:val="en-GB"/>
              </w:rPr>
            </w:pPr>
            <w:r>
              <w:rPr>
                <w:rFonts w:ascii="Arial" w:hAnsi="Arial" w:cs="Arial"/>
                <w:sz w:val="18"/>
                <w:szCs w:val="18"/>
              </w:rPr>
              <w:t>Demostrado</w:t>
            </w:r>
          </w:p>
        </w:tc>
      </w:tr>
    </w:tbl>
    <w:p w14:paraId="64BC7C81" w14:textId="77777777" w:rsidR="00393DDE" w:rsidRDefault="00393DDE" w:rsidP="00705E36">
      <w:pPr>
        <w:ind w:right="140"/>
        <w:rPr>
          <w:rFonts w:ascii="Arial" w:hAnsi="Arial" w:cs="Arial"/>
          <w:noProof/>
          <w:lang w:val="en-GB"/>
        </w:rPr>
      </w:pPr>
    </w:p>
    <w:p w14:paraId="308CBCA9" w14:textId="34E271A8" w:rsidR="00393DDE" w:rsidRPr="00BE2CF3" w:rsidRDefault="00393DDE" w:rsidP="00705E36">
      <w:pPr>
        <w:pStyle w:val="Caption"/>
        <w:ind w:right="140"/>
        <w:jc w:val="left"/>
        <w:rPr>
          <w:rFonts w:ascii="Arial" w:hAnsi="Arial" w:cs="Arial"/>
          <w:b w:val="0"/>
          <w:bCs w:val="0"/>
          <w:i/>
          <w:iCs/>
          <w:lang w:val="en-GB"/>
        </w:rPr>
      </w:pPr>
      <w:r w:rsidRPr="00BE2CF3">
        <w:rPr>
          <w:rFonts w:ascii="Arial" w:hAnsi="Arial" w:cs="Arial"/>
          <w:lang w:val="en-GB"/>
        </w:rPr>
        <w:t>Fig</w:t>
      </w:r>
      <w:r w:rsidR="00AA0D39">
        <w:rPr>
          <w:rFonts w:ascii="Arial" w:hAnsi="Arial" w:cs="Arial"/>
          <w:lang w:val="en-GB"/>
        </w:rPr>
        <w:t>.</w:t>
      </w:r>
      <w:r w:rsidRPr="00BE2CF3">
        <w:rPr>
          <w:rFonts w:ascii="Arial" w:hAnsi="Arial" w:cs="Arial"/>
          <w:lang w:val="en-GB"/>
        </w:rPr>
        <w:t xml:space="preserve"> </w:t>
      </w:r>
      <w:r w:rsidR="009E0E4A">
        <w:rPr>
          <w:rFonts w:ascii="Arial" w:hAnsi="Arial" w:cs="Arial"/>
          <w:lang w:val="en-GB"/>
        </w:rPr>
        <w:t>3</w:t>
      </w:r>
      <w:r w:rsidRPr="00BE2CF3">
        <w:rPr>
          <w:rFonts w:ascii="Arial" w:hAnsi="Arial" w:cs="Arial"/>
          <w:lang w:val="en-GB"/>
        </w:rPr>
        <w:t xml:space="preserve">: </w:t>
      </w:r>
      <w:r>
        <w:rPr>
          <w:rFonts w:ascii="Arial" w:hAnsi="Arial" w:cs="Arial"/>
          <w:lang w:val="en-GB"/>
        </w:rPr>
        <w:t>Evolution of savings</w:t>
      </w:r>
    </w:p>
    <w:p w14:paraId="641116FF" w14:textId="77777777" w:rsidR="00393DDE" w:rsidRDefault="00393DDE" w:rsidP="00705E36">
      <w:pPr>
        <w:ind w:right="140"/>
        <w:rPr>
          <w:rFonts w:ascii="Arial" w:hAnsi="Arial" w:cs="Arial"/>
          <w:noProof/>
          <w:lang w:val="en-GB"/>
        </w:rPr>
      </w:pPr>
    </w:p>
    <w:p w14:paraId="78B8DDE3" w14:textId="2127303A" w:rsidR="008647E1" w:rsidRDefault="00474FE3" w:rsidP="00705E36">
      <w:pPr>
        <w:ind w:right="140"/>
        <w:jc w:val="center"/>
        <w:rPr>
          <w:rFonts w:ascii="Arial" w:hAnsi="Arial" w:cs="Arial"/>
          <w:lang w:val="en-GB"/>
        </w:rPr>
      </w:pPr>
      <w:r>
        <w:rPr>
          <w:rFonts w:ascii="Arial" w:hAnsi="Arial" w:cs="Arial"/>
          <w:noProof/>
          <w:lang w:val="en-GB"/>
        </w:rPr>
        <w:drawing>
          <wp:inline distT="0" distB="0" distL="0" distR="0" wp14:anchorId="3608C371" wp14:editId="2545FD28">
            <wp:extent cx="4933950" cy="3244965"/>
            <wp:effectExtent l="0" t="0" r="0" b="0"/>
            <wp:docPr id="19748455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40908" cy="3249541"/>
                    </a:xfrm>
                    <a:prstGeom prst="rect">
                      <a:avLst/>
                    </a:prstGeom>
                    <a:noFill/>
                  </pic:spPr>
                </pic:pic>
              </a:graphicData>
            </a:graphic>
          </wp:inline>
        </w:drawing>
      </w:r>
    </w:p>
    <w:p w14:paraId="4764E2AE" w14:textId="77777777" w:rsidR="003C3FCC" w:rsidRDefault="003C3FCC" w:rsidP="00705E36">
      <w:pPr>
        <w:ind w:right="140"/>
        <w:rPr>
          <w:rFonts w:ascii="Arial" w:hAnsi="Arial" w:cs="Arial"/>
          <w:lang w:val="en-GB"/>
        </w:rPr>
      </w:pPr>
    </w:p>
    <w:p w14:paraId="35E03A33" w14:textId="73B3DC65" w:rsidR="006861BE" w:rsidRPr="003F7D37" w:rsidRDefault="003F7D37" w:rsidP="00705E36">
      <w:pPr>
        <w:ind w:right="140"/>
        <w:rPr>
          <w:rFonts w:ascii="Arial" w:hAnsi="Arial" w:cs="Arial"/>
        </w:rPr>
      </w:pPr>
      <w:r w:rsidRPr="006861BE">
        <w:rPr>
          <w:rFonts w:ascii="Arial" w:hAnsi="Arial" w:cs="Arial"/>
        </w:rPr>
        <w:t xml:space="preserve">Las evidencias generadas </w:t>
      </w:r>
      <w:r w:rsidR="00E361FE">
        <w:rPr>
          <w:rFonts w:ascii="Arial" w:hAnsi="Arial" w:cs="Arial"/>
        </w:rPr>
        <w:t xml:space="preserve">con este estudio </w:t>
      </w:r>
      <w:r w:rsidRPr="006861BE">
        <w:rPr>
          <w:rFonts w:ascii="Arial" w:hAnsi="Arial" w:cs="Arial"/>
        </w:rPr>
        <w:t>llevan a poder responder a las preguntas de investigación de esta manera</w:t>
      </w:r>
      <w:r w:rsidR="006861BE" w:rsidRPr="003F7D37">
        <w:rPr>
          <w:rFonts w:ascii="Arial" w:hAnsi="Arial" w:cs="Arial"/>
        </w:rPr>
        <w:t>:</w:t>
      </w:r>
    </w:p>
    <w:p w14:paraId="76258CD7" w14:textId="0FF91698" w:rsidR="006861BE" w:rsidRPr="003F7D37" w:rsidRDefault="006861BE" w:rsidP="00705E36">
      <w:pPr>
        <w:ind w:right="140"/>
        <w:rPr>
          <w:rFonts w:ascii="Arial" w:hAnsi="Arial" w:cs="Arial"/>
        </w:rPr>
      </w:pPr>
      <w:r w:rsidRPr="003F7D37">
        <w:rPr>
          <w:rFonts w:ascii="Arial" w:hAnsi="Arial" w:cs="Arial"/>
        </w:rPr>
        <w:t>RQ1.-</w:t>
      </w:r>
      <w:r w:rsidRPr="003F7D37">
        <w:rPr>
          <w:rFonts w:ascii="Arial" w:hAnsi="Arial" w:cs="Arial"/>
        </w:rPr>
        <w:tab/>
      </w:r>
      <w:r w:rsidR="003F7D37" w:rsidRPr="006861BE">
        <w:rPr>
          <w:rFonts w:ascii="Arial" w:hAnsi="Arial" w:cs="Arial"/>
        </w:rPr>
        <w:t xml:space="preserve">La evolución de la madurez de la función PSM </w:t>
      </w:r>
      <w:r w:rsidR="003D2CAF">
        <w:rPr>
          <w:rFonts w:ascii="Arial" w:hAnsi="Arial" w:cs="Arial"/>
        </w:rPr>
        <w:t>tiene una relación directa</w:t>
      </w:r>
      <w:r w:rsidR="003F7D37" w:rsidRPr="006861BE">
        <w:rPr>
          <w:rFonts w:ascii="Arial" w:hAnsi="Arial" w:cs="Arial"/>
        </w:rPr>
        <w:t xml:space="preserve"> con los ahorros reconocidos, </w:t>
      </w:r>
      <w:r w:rsidR="00120F0C">
        <w:rPr>
          <w:rFonts w:ascii="Arial" w:hAnsi="Arial" w:cs="Arial"/>
        </w:rPr>
        <w:t xml:space="preserve">evolucionando </w:t>
      </w:r>
      <w:r w:rsidR="003F7D37" w:rsidRPr="006861BE">
        <w:rPr>
          <w:rFonts w:ascii="Arial" w:hAnsi="Arial" w:cs="Arial"/>
        </w:rPr>
        <w:t>desde los más simples</w:t>
      </w:r>
      <w:r w:rsidR="00167D4A">
        <w:rPr>
          <w:rFonts w:ascii="Arial" w:hAnsi="Arial" w:cs="Arial"/>
        </w:rPr>
        <w:t xml:space="preserve"> </w:t>
      </w:r>
      <w:r w:rsidR="003F7D37" w:rsidRPr="006861BE">
        <w:rPr>
          <w:rFonts w:ascii="Arial" w:hAnsi="Arial" w:cs="Arial"/>
        </w:rPr>
        <w:t xml:space="preserve">ahorros </w:t>
      </w:r>
      <w:r w:rsidR="00376D28">
        <w:rPr>
          <w:rFonts w:ascii="Arial" w:hAnsi="Arial" w:cs="Arial"/>
        </w:rPr>
        <w:t>directos</w:t>
      </w:r>
      <w:r w:rsidR="003F7D37" w:rsidRPr="006861BE">
        <w:rPr>
          <w:rFonts w:ascii="Arial" w:hAnsi="Arial" w:cs="Arial"/>
        </w:rPr>
        <w:t xml:space="preserve"> en precio</w:t>
      </w:r>
      <w:r w:rsidR="00167D4A">
        <w:rPr>
          <w:rFonts w:ascii="Arial" w:hAnsi="Arial" w:cs="Arial"/>
        </w:rPr>
        <w:t>,</w:t>
      </w:r>
      <w:r w:rsidR="003F7D37" w:rsidRPr="006861BE">
        <w:rPr>
          <w:rFonts w:ascii="Arial" w:hAnsi="Arial" w:cs="Arial"/>
        </w:rPr>
        <w:t xml:space="preserve"> hasta los ahorros </w:t>
      </w:r>
      <w:r w:rsidR="00376D28">
        <w:rPr>
          <w:rFonts w:ascii="Arial" w:hAnsi="Arial" w:cs="Arial"/>
        </w:rPr>
        <w:t xml:space="preserve">indirectos </w:t>
      </w:r>
      <w:r w:rsidR="003F7D37" w:rsidRPr="006861BE">
        <w:rPr>
          <w:rFonts w:ascii="Arial" w:hAnsi="Arial" w:cs="Arial"/>
        </w:rPr>
        <w:t xml:space="preserve">más complejos. Y esta es una forma </w:t>
      </w:r>
      <w:r w:rsidR="00EE07B6">
        <w:rPr>
          <w:rFonts w:ascii="Arial" w:hAnsi="Arial" w:cs="Arial"/>
        </w:rPr>
        <w:t xml:space="preserve">tangible que tiene </w:t>
      </w:r>
      <w:r w:rsidR="00D97EC9">
        <w:rPr>
          <w:rFonts w:ascii="Arial" w:hAnsi="Arial" w:cs="Arial"/>
        </w:rPr>
        <w:t xml:space="preserve">la función de compras </w:t>
      </w:r>
      <w:r w:rsidR="003F7D37" w:rsidRPr="006861BE">
        <w:rPr>
          <w:rFonts w:ascii="Arial" w:hAnsi="Arial" w:cs="Arial"/>
        </w:rPr>
        <w:t xml:space="preserve">de atender a una gran variedad de </w:t>
      </w:r>
      <w:r w:rsidR="00532380">
        <w:rPr>
          <w:rFonts w:ascii="Arial" w:hAnsi="Arial" w:cs="Arial"/>
        </w:rPr>
        <w:t>grupos de interés</w:t>
      </w:r>
      <w:r w:rsidRPr="003F7D37">
        <w:rPr>
          <w:rFonts w:ascii="Arial" w:hAnsi="Arial" w:cs="Arial"/>
        </w:rPr>
        <w:t>.</w:t>
      </w:r>
    </w:p>
    <w:p w14:paraId="43C90400" w14:textId="3A3E9356" w:rsidR="002F0FE1" w:rsidRPr="00EE07B6" w:rsidRDefault="006861BE" w:rsidP="00705E36">
      <w:pPr>
        <w:ind w:right="140"/>
        <w:rPr>
          <w:rFonts w:ascii="Arial" w:hAnsi="Arial" w:cs="Arial"/>
        </w:rPr>
      </w:pPr>
      <w:r w:rsidRPr="00EE07B6">
        <w:rPr>
          <w:rFonts w:ascii="Arial" w:hAnsi="Arial" w:cs="Arial"/>
        </w:rPr>
        <w:t>RQ2.-</w:t>
      </w:r>
      <w:r w:rsidRPr="00EE07B6">
        <w:rPr>
          <w:rFonts w:ascii="Arial" w:hAnsi="Arial" w:cs="Arial"/>
        </w:rPr>
        <w:tab/>
      </w:r>
      <w:r w:rsidR="00EE07B6" w:rsidRPr="00621C23">
        <w:rPr>
          <w:rFonts w:ascii="Arial" w:hAnsi="Arial" w:cs="Arial"/>
        </w:rPr>
        <w:t xml:space="preserve">Los ahorros tienen efectos positivos en temas ambientales, ya que se </w:t>
      </w:r>
      <w:r w:rsidR="00355D0A">
        <w:rPr>
          <w:rFonts w:ascii="Arial" w:hAnsi="Arial" w:cs="Arial"/>
        </w:rPr>
        <w:t>comprueba</w:t>
      </w:r>
      <w:r w:rsidR="00EE07B6" w:rsidRPr="00621C23">
        <w:rPr>
          <w:rFonts w:ascii="Arial" w:hAnsi="Arial" w:cs="Arial"/>
        </w:rPr>
        <w:t xml:space="preserve"> que se reconocen principalmente dentro de las categorías </w:t>
      </w:r>
      <w:r w:rsidR="00AE5C78">
        <w:rPr>
          <w:rFonts w:ascii="Arial" w:hAnsi="Arial" w:cs="Arial"/>
        </w:rPr>
        <w:t xml:space="preserve">de gasto </w:t>
      </w:r>
      <w:r w:rsidR="00EE07B6" w:rsidRPr="00621C23">
        <w:rPr>
          <w:rFonts w:ascii="Arial" w:hAnsi="Arial" w:cs="Arial"/>
        </w:rPr>
        <w:t xml:space="preserve">que implican mayor consumo de recursos naturales. </w:t>
      </w:r>
      <w:r w:rsidR="00AE5C78">
        <w:rPr>
          <w:rFonts w:ascii="Arial" w:hAnsi="Arial" w:cs="Arial"/>
        </w:rPr>
        <w:t>P</w:t>
      </w:r>
      <w:r w:rsidR="00EE07B6" w:rsidRPr="00621C23">
        <w:rPr>
          <w:rFonts w:ascii="Arial" w:hAnsi="Arial" w:cs="Arial"/>
        </w:rPr>
        <w:t xml:space="preserve">or lo tanto, </w:t>
      </w:r>
      <w:r w:rsidR="00355D0A">
        <w:rPr>
          <w:rFonts w:ascii="Arial" w:hAnsi="Arial" w:cs="Arial"/>
        </w:rPr>
        <w:t>suponen</w:t>
      </w:r>
      <w:r w:rsidR="00EE07B6" w:rsidRPr="00621C23">
        <w:rPr>
          <w:rFonts w:ascii="Arial" w:hAnsi="Arial" w:cs="Arial"/>
        </w:rPr>
        <w:t xml:space="preserve"> una reducción </w:t>
      </w:r>
      <w:r w:rsidR="00AE5C78">
        <w:rPr>
          <w:rFonts w:ascii="Arial" w:hAnsi="Arial" w:cs="Arial"/>
        </w:rPr>
        <w:t>de</w:t>
      </w:r>
      <w:r w:rsidR="00EE07B6" w:rsidRPr="00621C23">
        <w:rPr>
          <w:rFonts w:ascii="Arial" w:hAnsi="Arial" w:cs="Arial"/>
        </w:rPr>
        <w:t xml:space="preserve"> </w:t>
      </w:r>
      <w:r w:rsidR="003E0E5B">
        <w:rPr>
          <w:rFonts w:ascii="Arial" w:hAnsi="Arial" w:cs="Arial"/>
        </w:rPr>
        <w:t xml:space="preserve">este </w:t>
      </w:r>
      <w:r w:rsidR="00EE07B6" w:rsidRPr="00621C23">
        <w:rPr>
          <w:rFonts w:ascii="Arial" w:hAnsi="Arial" w:cs="Arial"/>
        </w:rPr>
        <w:t>consumo</w:t>
      </w:r>
      <w:r w:rsidRPr="00EE07B6">
        <w:rPr>
          <w:rFonts w:ascii="Arial" w:hAnsi="Arial" w:cs="Arial"/>
        </w:rPr>
        <w:t>.</w:t>
      </w:r>
    </w:p>
    <w:p w14:paraId="4A6CC527" w14:textId="77777777" w:rsidR="006861BE" w:rsidRPr="00EE07B6" w:rsidRDefault="006861BE" w:rsidP="00705E36">
      <w:pPr>
        <w:ind w:right="140"/>
        <w:rPr>
          <w:rFonts w:ascii="Arial" w:hAnsi="Arial" w:cs="Arial"/>
        </w:rPr>
      </w:pPr>
    </w:p>
    <w:p w14:paraId="1A5404D9" w14:textId="77777777" w:rsidR="00CD1DF7" w:rsidRPr="00BE2CF3" w:rsidRDefault="00CD1DF7" w:rsidP="00705E36">
      <w:pPr>
        <w:pStyle w:val="ListParagraph"/>
        <w:keepNext/>
        <w:keepLines/>
        <w:numPr>
          <w:ilvl w:val="0"/>
          <w:numId w:val="2"/>
        </w:numPr>
        <w:spacing w:before="40" w:after="0"/>
        <w:ind w:right="140"/>
        <w:contextualSpacing w:val="0"/>
        <w:outlineLvl w:val="1"/>
        <w:rPr>
          <w:rFonts w:ascii="Arial" w:eastAsiaTheme="majorEastAsia" w:hAnsi="Arial" w:cs="Arial"/>
          <w:vanish/>
          <w:color w:val="0F4761" w:themeColor="accent1" w:themeShade="BF"/>
          <w:sz w:val="26"/>
          <w:szCs w:val="26"/>
          <w:lang w:val="en-GB"/>
        </w:rPr>
      </w:pPr>
      <w:bookmarkStart w:id="22" w:name="_Toc158560218"/>
      <w:bookmarkStart w:id="23" w:name="_Toc158560344"/>
      <w:bookmarkStart w:id="24" w:name="_Toc158560381"/>
      <w:bookmarkStart w:id="25" w:name="_Toc160267940"/>
      <w:bookmarkStart w:id="26" w:name="_Toc160422821"/>
      <w:bookmarkStart w:id="27" w:name="_Toc162130894"/>
      <w:bookmarkStart w:id="28" w:name="_Toc162130934"/>
      <w:bookmarkStart w:id="29" w:name="_Toc162131132"/>
      <w:bookmarkStart w:id="30" w:name="_Toc162131635"/>
      <w:bookmarkStart w:id="31" w:name="_Toc162160721"/>
      <w:bookmarkStart w:id="32" w:name="_Toc162161411"/>
      <w:bookmarkStart w:id="33" w:name="_Toc162162424"/>
      <w:bookmarkStart w:id="34" w:name="_Toc162174189"/>
      <w:bookmarkStart w:id="35" w:name="_Toc162325519"/>
      <w:bookmarkStart w:id="36" w:name="_Toc162357897"/>
      <w:bookmarkStart w:id="37" w:name="_Toc163014021"/>
      <w:bookmarkStart w:id="38" w:name="_Toc163014062"/>
      <w:bookmarkStart w:id="39" w:name="_Toc164088485"/>
      <w:bookmarkStart w:id="40" w:name="_Toc164088522"/>
      <w:bookmarkStart w:id="41" w:name="_Toc164093359"/>
      <w:bookmarkStart w:id="42" w:name="_Toc164155250"/>
      <w:bookmarkStart w:id="43" w:name="_Toc164166745"/>
      <w:bookmarkStart w:id="44" w:name="_Toc164166779"/>
      <w:bookmarkStart w:id="45" w:name="_Toc164174286"/>
      <w:bookmarkStart w:id="46" w:name="_Toc164272609"/>
      <w:bookmarkStart w:id="47" w:name="_Toc164419368"/>
      <w:bookmarkStart w:id="48" w:name="_Toc164592967"/>
      <w:bookmarkStart w:id="49" w:name="_Toc164696335"/>
      <w:bookmarkStart w:id="50" w:name="_Toc165103074"/>
      <w:bookmarkStart w:id="51" w:name="_Toc165103431"/>
      <w:bookmarkStart w:id="52" w:name="_Toc167513507"/>
      <w:bookmarkStart w:id="53" w:name="_Toc168141477"/>
      <w:bookmarkStart w:id="54" w:name="_Toc169635610"/>
      <w:bookmarkStart w:id="55" w:name="_Toc169635645"/>
      <w:bookmarkStart w:id="56" w:name="_Toc169635682"/>
      <w:bookmarkStart w:id="57" w:name="_Toc169635717"/>
      <w:bookmarkStart w:id="58" w:name="_Toc169635750"/>
      <w:bookmarkStart w:id="59" w:name="_Toc169635783"/>
      <w:bookmarkStart w:id="60" w:name="_Toc169636949"/>
      <w:bookmarkStart w:id="61" w:name="_Toc169639325"/>
      <w:bookmarkStart w:id="62" w:name="_Toc169639357"/>
      <w:bookmarkStart w:id="63" w:name="_Toc169640366"/>
      <w:bookmarkStart w:id="64" w:name="_Toc169640504"/>
      <w:bookmarkStart w:id="65" w:name="_Toc169732331"/>
      <w:bookmarkStart w:id="66" w:name="_Toc169929911"/>
      <w:bookmarkStart w:id="67" w:name="_Toc169931072"/>
      <w:bookmarkStart w:id="68" w:name="_Toc170623252"/>
      <w:bookmarkStart w:id="69" w:name="_Toc174949420"/>
      <w:bookmarkStart w:id="70" w:name="_Toc174950283"/>
      <w:bookmarkStart w:id="71" w:name="_Toc176929053"/>
      <w:bookmarkStart w:id="72" w:name="_Toc176929314"/>
      <w:bookmarkStart w:id="73" w:name="_Toc180320158"/>
      <w:bookmarkStart w:id="74" w:name="_Toc182028927"/>
      <w:bookmarkStart w:id="75" w:name="_Toc182028953"/>
      <w:bookmarkStart w:id="76" w:name="_Toc183340386"/>
      <w:bookmarkStart w:id="77" w:name="_Toc183376727"/>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14:paraId="5F0EEC63" w14:textId="77777777" w:rsidR="00CD1DF7" w:rsidRPr="00BE2CF3" w:rsidRDefault="00CD1DF7" w:rsidP="00705E36">
      <w:pPr>
        <w:pStyle w:val="ListParagraph"/>
        <w:keepNext/>
        <w:keepLines/>
        <w:numPr>
          <w:ilvl w:val="0"/>
          <w:numId w:val="2"/>
        </w:numPr>
        <w:spacing w:before="40" w:after="0"/>
        <w:ind w:right="140"/>
        <w:contextualSpacing w:val="0"/>
        <w:outlineLvl w:val="1"/>
        <w:rPr>
          <w:rFonts w:ascii="Arial" w:eastAsiaTheme="majorEastAsia" w:hAnsi="Arial" w:cs="Arial"/>
          <w:vanish/>
          <w:color w:val="0F4761" w:themeColor="accent1" w:themeShade="BF"/>
          <w:sz w:val="26"/>
          <w:szCs w:val="26"/>
          <w:lang w:val="en-GB"/>
        </w:rPr>
      </w:pPr>
      <w:bookmarkStart w:id="78" w:name="_Toc158560219"/>
      <w:bookmarkStart w:id="79" w:name="_Toc158560345"/>
      <w:bookmarkStart w:id="80" w:name="_Toc158560382"/>
      <w:bookmarkStart w:id="81" w:name="_Toc160267941"/>
      <w:bookmarkStart w:id="82" w:name="_Toc160422822"/>
      <w:bookmarkStart w:id="83" w:name="_Toc162130895"/>
      <w:bookmarkStart w:id="84" w:name="_Toc162130935"/>
      <w:bookmarkStart w:id="85" w:name="_Toc162131133"/>
      <w:bookmarkStart w:id="86" w:name="_Toc162131636"/>
      <w:bookmarkStart w:id="87" w:name="_Toc162160722"/>
      <w:bookmarkStart w:id="88" w:name="_Toc162161412"/>
      <w:bookmarkStart w:id="89" w:name="_Toc162162425"/>
      <w:bookmarkStart w:id="90" w:name="_Toc162174190"/>
      <w:bookmarkStart w:id="91" w:name="_Toc162325520"/>
      <w:bookmarkStart w:id="92" w:name="_Toc162357898"/>
      <w:bookmarkStart w:id="93" w:name="_Toc163014022"/>
      <w:bookmarkStart w:id="94" w:name="_Toc163014063"/>
      <w:bookmarkStart w:id="95" w:name="_Toc164088486"/>
      <w:bookmarkStart w:id="96" w:name="_Toc164088523"/>
      <w:bookmarkStart w:id="97" w:name="_Toc164093360"/>
      <w:bookmarkStart w:id="98" w:name="_Toc164155251"/>
      <w:bookmarkStart w:id="99" w:name="_Toc164166746"/>
      <w:bookmarkStart w:id="100" w:name="_Toc164166780"/>
      <w:bookmarkStart w:id="101" w:name="_Toc164174287"/>
      <w:bookmarkStart w:id="102" w:name="_Toc164272610"/>
      <w:bookmarkStart w:id="103" w:name="_Toc164419369"/>
      <w:bookmarkStart w:id="104" w:name="_Toc164592968"/>
      <w:bookmarkStart w:id="105" w:name="_Toc164696336"/>
      <w:bookmarkStart w:id="106" w:name="_Toc165103075"/>
      <w:bookmarkStart w:id="107" w:name="_Toc165103432"/>
      <w:bookmarkStart w:id="108" w:name="_Toc167513508"/>
      <w:bookmarkStart w:id="109" w:name="_Toc168141478"/>
      <w:bookmarkStart w:id="110" w:name="_Toc169635611"/>
      <w:bookmarkStart w:id="111" w:name="_Toc169635646"/>
      <w:bookmarkStart w:id="112" w:name="_Toc169635683"/>
      <w:bookmarkStart w:id="113" w:name="_Toc169635718"/>
      <w:bookmarkStart w:id="114" w:name="_Toc169635751"/>
      <w:bookmarkStart w:id="115" w:name="_Toc169635784"/>
      <w:bookmarkStart w:id="116" w:name="_Toc169636950"/>
      <w:bookmarkStart w:id="117" w:name="_Toc169639326"/>
      <w:bookmarkStart w:id="118" w:name="_Toc169639358"/>
      <w:bookmarkStart w:id="119" w:name="_Toc169640367"/>
      <w:bookmarkStart w:id="120" w:name="_Toc169640505"/>
      <w:bookmarkStart w:id="121" w:name="_Toc169732332"/>
      <w:bookmarkStart w:id="122" w:name="_Toc169929912"/>
      <w:bookmarkStart w:id="123" w:name="_Toc169931073"/>
      <w:bookmarkStart w:id="124" w:name="_Toc170623253"/>
      <w:bookmarkStart w:id="125" w:name="_Toc174949421"/>
      <w:bookmarkStart w:id="126" w:name="_Toc174950284"/>
      <w:bookmarkStart w:id="127" w:name="_Toc176929054"/>
      <w:bookmarkStart w:id="128" w:name="_Toc176929315"/>
      <w:bookmarkStart w:id="129" w:name="_Toc180320159"/>
      <w:bookmarkStart w:id="130" w:name="_Toc182028928"/>
      <w:bookmarkStart w:id="131" w:name="_Toc182028954"/>
      <w:bookmarkStart w:id="132" w:name="_Toc183340387"/>
      <w:bookmarkStart w:id="133" w:name="_Toc183376728"/>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14:paraId="4EE1E492" w14:textId="77777777" w:rsidR="00CD1DF7" w:rsidRPr="00BE2CF3" w:rsidRDefault="00CD1DF7" w:rsidP="00705E36">
      <w:pPr>
        <w:pStyle w:val="ListParagraph"/>
        <w:keepNext/>
        <w:keepLines/>
        <w:numPr>
          <w:ilvl w:val="0"/>
          <w:numId w:val="2"/>
        </w:numPr>
        <w:spacing w:before="40" w:after="0"/>
        <w:ind w:right="140"/>
        <w:contextualSpacing w:val="0"/>
        <w:outlineLvl w:val="1"/>
        <w:rPr>
          <w:rFonts w:ascii="Arial" w:eastAsiaTheme="majorEastAsia" w:hAnsi="Arial" w:cs="Arial"/>
          <w:vanish/>
          <w:color w:val="0F4761" w:themeColor="accent1" w:themeShade="BF"/>
          <w:sz w:val="26"/>
          <w:szCs w:val="26"/>
          <w:lang w:val="en-GB"/>
        </w:rPr>
      </w:pPr>
      <w:bookmarkStart w:id="134" w:name="_Toc158560220"/>
      <w:bookmarkStart w:id="135" w:name="_Toc158560346"/>
      <w:bookmarkStart w:id="136" w:name="_Toc158560383"/>
      <w:bookmarkStart w:id="137" w:name="_Toc160267942"/>
      <w:bookmarkStart w:id="138" w:name="_Toc160422823"/>
      <w:bookmarkStart w:id="139" w:name="_Toc162130896"/>
      <w:bookmarkStart w:id="140" w:name="_Toc162130936"/>
      <w:bookmarkStart w:id="141" w:name="_Toc162131134"/>
      <w:bookmarkStart w:id="142" w:name="_Toc162131637"/>
      <w:bookmarkStart w:id="143" w:name="_Toc162160723"/>
      <w:bookmarkStart w:id="144" w:name="_Toc162161413"/>
      <w:bookmarkStart w:id="145" w:name="_Toc162162426"/>
      <w:bookmarkStart w:id="146" w:name="_Toc162174191"/>
      <w:bookmarkStart w:id="147" w:name="_Toc162325521"/>
      <w:bookmarkStart w:id="148" w:name="_Toc162357899"/>
      <w:bookmarkStart w:id="149" w:name="_Toc163014023"/>
      <w:bookmarkStart w:id="150" w:name="_Toc163014064"/>
      <w:bookmarkStart w:id="151" w:name="_Toc164088487"/>
      <w:bookmarkStart w:id="152" w:name="_Toc164088524"/>
      <w:bookmarkStart w:id="153" w:name="_Toc164093361"/>
      <w:bookmarkStart w:id="154" w:name="_Toc164155252"/>
      <w:bookmarkStart w:id="155" w:name="_Toc164166747"/>
      <w:bookmarkStart w:id="156" w:name="_Toc164166781"/>
      <w:bookmarkStart w:id="157" w:name="_Toc164174288"/>
      <w:bookmarkStart w:id="158" w:name="_Toc164272611"/>
      <w:bookmarkStart w:id="159" w:name="_Toc164419370"/>
      <w:bookmarkStart w:id="160" w:name="_Toc164592969"/>
      <w:bookmarkStart w:id="161" w:name="_Toc164696337"/>
      <w:bookmarkStart w:id="162" w:name="_Toc165103076"/>
      <w:bookmarkStart w:id="163" w:name="_Toc165103433"/>
      <w:bookmarkStart w:id="164" w:name="_Toc167513509"/>
      <w:bookmarkStart w:id="165" w:name="_Toc168141479"/>
      <w:bookmarkStart w:id="166" w:name="_Toc169635612"/>
      <w:bookmarkStart w:id="167" w:name="_Toc169635647"/>
      <w:bookmarkStart w:id="168" w:name="_Toc169635684"/>
      <w:bookmarkStart w:id="169" w:name="_Toc169635719"/>
      <w:bookmarkStart w:id="170" w:name="_Toc169635752"/>
      <w:bookmarkStart w:id="171" w:name="_Toc169635785"/>
      <w:bookmarkStart w:id="172" w:name="_Toc169636951"/>
      <w:bookmarkStart w:id="173" w:name="_Toc169639327"/>
      <w:bookmarkStart w:id="174" w:name="_Toc169639359"/>
      <w:bookmarkStart w:id="175" w:name="_Toc169640368"/>
      <w:bookmarkStart w:id="176" w:name="_Toc169640506"/>
      <w:bookmarkStart w:id="177" w:name="_Toc169732333"/>
      <w:bookmarkStart w:id="178" w:name="_Toc169929913"/>
      <w:bookmarkStart w:id="179" w:name="_Toc169931074"/>
      <w:bookmarkStart w:id="180" w:name="_Toc170623254"/>
      <w:bookmarkStart w:id="181" w:name="_Toc174949422"/>
      <w:bookmarkStart w:id="182" w:name="_Toc174950285"/>
      <w:bookmarkStart w:id="183" w:name="_Toc176929055"/>
      <w:bookmarkStart w:id="184" w:name="_Toc176929316"/>
      <w:bookmarkStart w:id="185" w:name="_Toc180320160"/>
      <w:bookmarkStart w:id="186" w:name="_Toc182028929"/>
      <w:bookmarkStart w:id="187" w:name="_Toc182028955"/>
      <w:bookmarkStart w:id="188" w:name="_Toc183340388"/>
      <w:bookmarkStart w:id="189" w:name="_Toc183376729"/>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p>
    <w:p w14:paraId="70F549F0" w14:textId="77777777" w:rsidR="00CD1DF7" w:rsidRPr="00BE2CF3" w:rsidRDefault="00CD1DF7" w:rsidP="00705E36">
      <w:pPr>
        <w:pStyle w:val="ListParagraph"/>
        <w:keepNext/>
        <w:keepLines/>
        <w:numPr>
          <w:ilvl w:val="0"/>
          <w:numId w:val="2"/>
        </w:numPr>
        <w:spacing w:before="40" w:after="0"/>
        <w:ind w:right="140"/>
        <w:contextualSpacing w:val="0"/>
        <w:outlineLvl w:val="1"/>
        <w:rPr>
          <w:rFonts w:ascii="Arial" w:eastAsiaTheme="majorEastAsia" w:hAnsi="Arial" w:cs="Arial"/>
          <w:vanish/>
          <w:color w:val="0F4761" w:themeColor="accent1" w:themeShade="BF"/>
          <w:sz w:val="26"/>
          <w:szCs w:val="26"/>
          <w:lang w:val="en-GB"/>
        </w:rPr>
      </w:pPr>
      <w:bookmarkStart w:id="190" w:name="_Toc158560221"/>
      <w:bookmarkStart w:id="191" w:name="_Toc158560347"/>
      <w:bookmarkStart w:id="192" w:name="_Toc158560384"/>
      <w:bookmarkStart w:id="193" w:name="_Toc160267943"/>
      <w:bookmarkStart w:id="194" w:name="_Toc160422824"/>
      <w:bookmarkStart w:id="195" w:name="_Toc162130897"/>
      <w:bookmarkStart w:id="196" w:name="_Toc162130937"/>
      <w:bookmarkStart w:id="197" w:name="_Toc162131135"/>
      <w:bookmarkStart w:id="198" w:name="_Toc162131638"/>
      <w:bookmarkStart w:id="199" w:name="_Toc162160724"/>
      <w:bookmarkStart w:id="200" w:name="_Toc162161414"/>
      <w:bookmarkStart w:id="201" w:name="_Toc162162427"/>
      <w:bookmarkStart w:id="202" w:name="_Toc162174192"/>
      <w:bookmarkStart w:id="203" w:name="_Toc162325522"/>
      <w:bookmarkStart w:id="204" w:name="_Toc162357900"/>
      <w:bookmarkStart w:id="205" w:name="_Toc163014024"/>
      <w:bookmarkStart w:id="206" w:name="_Toc163014065"/>
      <w:bookmarkStart w:id="207" w:name="_Toc164088488"/>
      <w:bookmarkStart w:id="208" w:name="_Toc164088525"/>
      <w:bookmarkStart w:id="209" w:name="_Toc164093362"/>
      <w:bookmarkStart w:id="210" w:name="_Toc164155253"/>
      <w:bookmarkStart w:id="211" w:name="_Toc164166748"/>
      <w:bookmarkStart w:id="212" w:name="_Toc164166782"/>
      <w:bookmarkStart w:id="213" w:name="_Toc164174289"/>
      <w:bookmarkStart w:id="214" w:name="_Toc164272612"/>
      <w:bookmarkStart w:id="215" w:name="_Toc164419371"/>
      <w:bookmarkStart w:id="216" w:name="_Toc164592970"/>
      <w:bookmarkStart w:id="217" w:name="_Toc164696338"/>
      <w:bookmarkStart w:id="218" w:name="_Toc165103077"/>
      <w:bookmarkStart w:id="219" w:name="_Toc165103434"/>
      <w:bookmarkStart w:id="220" w:name="_Toc167513510"/>
      <w:bookmarkStart w:id="221" w:name="_Toc168141480"/>
      <w:bookmarkStart w:id="222" w:name="_Toc169635613"/>
      <w:bookmarkStart w:id="223" w:name="_Toc169635648"/>
      <w:bookmarkStart w:id="224" w:name="_Toc169635685"/>
      <w:bookmarkStart w:id="225" w:name="_Toc169635720"/>
      <w:bookmarkStart w:id="226" w:name="_Toc169635753"/>
      <w:bookmarkStart w:id="227" w:name="_Toc169635786"/>
      <w:bookmarkStart w:id="228" w:name="_Toc169636952"/>
      <w:bookmarkStart w:id="229" w:name="_Toc169639328"/>
      <w:bookmarkStart w:id="230" w:name="_Toc169639360"/>
      <w:bookmarkStart w:id="231" w:name="_Toc169640369"/>
      <w:bookmarkStart w:id="232" w:name="_Toc169640507"/>
      <w:bookmarkStart w:id="233" w:name="_Toc169732334"/>
      <w:bookmarkStart w:id="234" w:name="_Toc169929914"/>
      <w:bookmarkStart w:id="235" w:name="_Toc169931075"/>
      <w:bookmarkStart w:id="236" w:name="_Toc170623255"/>
      <w:bookmarkStart w:id="237" w:name="_Toc174949423"/>
      <w:bookmarkStart w:id="238" w:name="_Toc174950286"/>
      <w:bookmarkStart w:id="239" w:name="_Toc176929056"/>
      <w:bookmarkStart w:id="240" w:name="_Toc176929317"/>
      <w:bookmarkStart w:id="241" w:name="_Toc180320161"/>
      <w:bookmarkStart w:id="242" w:name="_Toc182028930"/>
      <w:bookmarkStart w:id="243" w:name="_Toc182028956"/>
      <w:bookmarkStart w:id="244" w:name="_Toc183340389"/>
      <w:bookmarkStart w:id="245" w:name="_Toc183376730"/>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p>
    <w:p w14:paraId="7FF0CFBA" w14:textId="77777777" w:rsidR="00CD1DF7" w:rsidRPr="00BE2CF3" w:rsidRDefault="00CD1DF7" w:rsidP="00705E36">
      <w:pPr>
        <w:pStyle w:val="ListParagraph"/>
        <w:keepNext/>
        <w:keepLines/>
        <w:numPr>
          <w:ilvl w:val="0"/>
          <w:numId w:val="2"/>
        </w:numPr>
        <w:spacing w:before="40" w:after="0"/>
        <w:ind w:right="140"/>
        <w:contextualSpacing w:val="0"/>
        <w:outlineLvl w:val="1"/>
        <w:rPr>
          <w:rFonts w:ascii="Arial" w:eastAsiaTheme="majorEastAsia" w:hAnsi="Arial" w:cs="Arial"/>
          <w:vanish/>
          <w:color w:val="0F4761" w:themeColor="accent1" w:themeShade="BF"/>
          <w:sz w:val="26"/>
          <w:szCs w:val="26"/>
          <w:lang w:val="en-GB"/>
        </w:rPr>
      </w:pPr>
      <w:bookmarkStart w:id="246" w:name="_Toc158560222"/>
      <w:bookmarkStart w:id="247" w:name="_Toc158560348"/>
      <w:bookmarkStart w:id="248" w:name="_Toc158560385"/>
      <w:bookmarkStart w:id="249" w:name="_Toc160267944"/>
      <w:bookmarkStart w:id="250" w:name="_Toc160422825"/>
      <w:bookmarkStart w:id="251" w:name="_Toc162130898"/>
      <w:bookmarkStart w:id="252" w:name="_Toc162130938"/>
      <w:bookmarkStart w:id="253" w:name="_Toc162131136"/>
      <w:bookmarkStart w:id="254" w:name="_Toc162131639"/>
      <w:bookmarkStart w:id="255" w:name="_Toc162160725"/>
      <w:bookmarkStart w:id="256" w:name="_Toc162161415"/>
      <w:bookmarkStart w:id="257" w:name="_Toc162162428"/>
      <w:bookmarkStart w:id="258" w:name="_Toc162174193"/>
      <w:bookmarkStart w:id="259" w:name="_Toc162325523"/>
      <w:bookmarkStart w:id="260" w:name="_Toc162357901"/>
      <w:bookmarkStart w:id="261" w:name="_Toc163014025"/>
      <w:bookmarkStart w:id="262" w:name="_Toc163014066"/>
      <w:bookmarkStart w:id="263" w:name="_Toc164088489"/>
      <w:bookmarkStart w:id="264" w:name="_Toc164088526"/>
      <w:bookmarkStart w:id="265" w:name="_Toc164093363"/>
      <w:bookmarkStart w:id="266" w:name="_Toc164155254"/>
      <w:bookmarkStart w:id="267" w:name="_Toc164166749"/>
      <w:bookmarkStart w:id="268" w:name="_Toc164166783"/>
      <w:bookmarkStart w:id="269" w:name="_Toc164174290"/>
      <w:bookmarkStart w:id="270" w:name="_Toc164272613"/>
      <w:bookmarkStart w:id="271" w:name="_Toc164419372"/>
      <w:bookmarkStart w:id="272" w:name="_Toc164592971"/>
      <w:bookmarkStart w:id="273" w:name="_Toc164696339"/>
      <w:bookmarkStart w:id="274" w:name="_Toc165103078"/>
      <w:bookmarkStart w:id="275" w:name="_Toc165103435"/>
      <w:bookmarkStart w:id="276" w:name="_Toc167513511"/>
      <w:bookmarkStart w:id="277" w:name="_Toc168141481"/>
      <w:bookmarkStart w:id="278" w:name="_Toc169635614"/>
      <w:bookmarkStart w:id="279" w:name="_Toc169635649"/>
      <w:bookmarkStart w:id="280" w:name="_Toc169635686"/>
      <w:bookmarkStart w:id="281" w:name="_Toc169635721"/>
      <w:bookmarkStart w:id="282" w:name="_Toc169635754"/>
      <w:bookmarkStart w:id="283" w:name="_Toc169635787"/>
      <w:bookmarkStart w:id="284" w:name="_Toc169636953"/>
      <w:bookmarkStart w:id="285" w:name="_Toc169639329"/>
      <w:bookmarkStart w:id="286" w:name="_Toc169639361"/>
      <w:bookmarkStart w:id="287" w:name="_Toc169640370"/>
      <w:bookmarkStart w:id="288" w:name="_Toc169640508"/>
      <w:bookmarkStart w:id="289" w:name="_Toc169732335"/>
      <w:bookmarkStart w:id="290" w:name="_Toc169929915"/>
      <w:bookmarkStart w:id="291" w:name="_Toc169931076"/>
      <w:bookmarkStart w:id="292" w:name="_Toc170623256"/>
      <w:bookmarkStart w:id="293" w:name="_Toc174949424"/>
      <w:bookmarkStart w:id="294" w:name="_Toc174950287"/>
      <w:bookmarkStart w:id="295" w:name="_Toc176929057"/>
      <w:bookmarkStart w:id="296" w:name="_Toc176929318"/>
      <w:bookmarkStart w:id="297" w:name="_Toc180320162"/>
      <w:bookmarkStart w:id="298" w:name="_Toc182028931"/>
      <w:bookmarkStart w:id="299" w:name="_Toc182028957"/>
      <w:bookmarkStart w:id="300" w:name="_Toc183340390"/>
      <w:bookmarkStart w:id="301" w:name="_Toc183376731"/>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14:paraId="359343D1" w14:textId="77777777" w:rsidR="00CD1DF7" w:rsidRPr="00BE2CF3" w:rsidRDefault="00CD1DF7" w:rsidP="00705E36">
      <w:pPr>
        <w:pStyle w:val="ListParagraph"/>
        <w:keepNext/>
        <w:keepLines/>
        <w:numPr>
          <w:ilvl w:val="0"/>
          <w:numId w:val="2"/>
        </w:numPr>
        <w:spacing w:before="40" w:after="0"/>
        <w:ind w:right="140"/>
        <w:contextualSpacing w:val="0"/>
        <w:outlineLvl w:val="1"/>
        <w:rPr>
          <w:rFonts w:ascii="Arial" w:eastAsiaTheme="majorEastAsia" w:hAnsi="Arial" w:cs="Arial"/>
          <w:vanish/>
          <w:color w:val="0F4761" w:themeColor="accent1" w:themeShade="BF"/>
          <w:sz w:val="26"/>
          <w:szCs w:val="26"/>
          <w:lang w:val="en-GB"/>
        </w:rPr>
      </w:pPr>
      <w:bookmarkStart w:id="302" w:name="_Toc158560223"/>
      <w:bookmarkStart w:id="303" w:name="_Toc158560349"/>
      <w:bookmarkStart w:id="304" w:name="_Toc158560386"/>
      <w:bookmarkStart w:id="305" w:name="_Toc160267945"/>
      <w:bookmarkStart w:id="306" w:name="_Toc160422826"/>
      <w:bookmarkStart w:id="307" w:name="_Toc162130899"/>
      <w:bookmarkStart w:id="308" w:name="_Toc162130939"/>
      <w:bookmarkStart w:id="309" w:name="_Toc162131137"/>
      <w:bookmarkStart w:id="310" w:name="_Toc162131640"/>
      <w:bookmarkStart w:id="311" w:name="_Toc162160726"/>
      <w:bookmarkStart w:id="312" w:name="_Toc162161416"/>
      <w:bookmarkStart w:id="313" w:name="_Toc162162429"/>
      <w:bookmarkStart w:id="314" w:name="_Toc162174194"/>
      <w:bookmarkStart w:id="315" w:name="_Toc162325524"/>
      <w:bookmarkStart w:id="316" w:name="_Toc162357902"/>
      <w:bookmarkStart w:id="317" w:name="_Toc163014026"/>
      <w:bookmarkStart w:id="318" w:name="_Toc163014067"/>
      <w:bookmarkStart w:id="319" w:name="_Toc164088490"/>
      <w:bookmarkStart w:id="320" w:name="_Toc164088527"/>
      <w:bookmarkStart w:id="321" w:name="_Toc164093364"/>
      <w:bookmarkStart w:id="322" w:name="_Toc164155255"/>
      <w:bookmarkStart w:id="323" w:name="_Toc164166750"/>
      <w:bookmarkStart w:id="324" w:name="_Toc164166784"/>
      <w:bookmarkStart w:id="325" w:name="_Toc164174291"/>
      <w:bookmarkStart w:id="326" w:name="_Toc164272614"/>
      <w:bookmarkStart w:id="327" w:name="_Toc164419373"/>
      <w:bookmarkStart w:id="328" w:name="_Toc164592972"/>
      <w:bookmarkStart w:id="329" w:name="_Toc164696340"/>
      <w:bookmarkStart w:id="330" w:name="_Toc165103079"/>
      <w:bookmarkStart w:id="331" w:name="_Toc165103436"/>
      <w:bookmarkStart w:id="332" w:name="_Toc167513512"/>
      <w:bookmarkStart w:id="333" w:name="_Toc168141482"/>
      <w:bookmarkStart w:id="334" w:name="_Toc169635615"/>
      <w:bookmarkStart w:id="335" w:name="_Toc169635650"/>
      <w:bookmarkStart w:id="336" w:name="_Toc169635687"/>
      <w:bookmarkStart w:id="337" w:name="_Toc169635722"/>
      <w:bookmarkStart w:id="338" w:name="_Toc169635755"/>
      <w:bookmarkStart w:id="339" w:name="_Toc169635788"/>
      <w:bookmarkStart w:id="340" w:name="_Toc169636954"/>
      <w:bookmarkStart w:id="341" w:name="_Toc169639330"/>
      <w:bookmarkStart w:id="342" w:name="_Toc169639362"/>
      <w:bookmarkStart w:id="343" w:name="_Toc169640371"/>
      <w:bookmarkStart w:id="344" w:name="_Toc169640509"/>
      <w:bookmarkStart w:id="345" w:name="_Toc169732336"/>
      <w:bookmarkStart w:id="346" w:name="_Toc169929916"/>
      <w:bookmarkStart w:id="347" w:name="_Toc169931077"/>
      <w:bookmarkStart w:id="348" w:name="_Toc170623257"/>
      <w:bookmarkStart w:id="349" w:name="_Toc174949425"/>
      <w:bookmarkStart w:id="350" w:name="_Toc174950288"/>
      <w:bookmarkStart w:id="351" w:name="_Toc176929058"/>
      <w:bookmarkStart w:id="352" w:name="_Toc176929319"/>
      <w:bookmarkStart w:id="353" w:name="_Toc180320163"/>
      <w:bookmarkStart w:id="354" w:name="_Toc182028932"/>
      <w:bookmarkStart w:id="355" w:name="_Toc182028958"/>
      <w:bookmarkStart w:id="356" w:name="_Toc183340391"/>
      <w:bookmarkStart w:id="357" w:name="_Toc183376732"/>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p>
    <w:p w14:paraId="430F9608" w14:textId="637220EF" w:rsidR="00FA34A9" w:rsidRPr="0082450C" w:rsidRDefault="0082450C" w:rsidP="00705E36">
      <w:pPr>
        <w:pStyle w:val="Heading2"/>
        <w:numPr>
          <w:ilvl w:val="1"/>
          <w:numId w:val="2"/>
        </w:numPr>
        <w:ind w:right="140"/>
        <w:rPr>
          <w:rFonts w:ascii="Arial" w:hAnsi="Arial" w:cs="Arial"/>
        </w:rPr>
      </w:pPr>
      <w:bookmarkStart w:id="358" w:name="_Toc183376733"/>
      <w:r w:rsidRPr="00BE2CF3">
        <w:rPr>
          <w:rFonts w:ascii="Arial" w:hAnsi="Arial" w:cs="Arial"/>
        </w:rPr>
        <w:t>Contribuciones a la teoría y a la práctica</w:t>
      </w:r>
      <w:bookmarkEnd w:id="358"/>
    </w:p>
    <w:p w14:paraId="29470427" w14:textId="77777777" w:rsidR="00B62E95" w:rsidRPr="0082450C" w:rsidRDefault="00B62E95" w:rsidP="00705E36">
      <w:pPr>
        <w:ind w:right="140"/>
        <w:rPr>
          <w:rFonts w:ascii="Arial" w:hAnsi="Arial" w:cs="Arial"/>
        </w:rPr>
      </w:pPr>
    </w:p>
    <w:p w14:paraId="4D6A39E1" w14:textId="6A8B6B9A" w:rsidR="000E1D28" w:rsidRDefault="0082450C" w:rsidP="00705E36">
      <w:pPr>
        <w:ind w:right="140"/>
        <w:rPr>
          <w:rFonts w:ascii="Arial" w:hAnsi="Arial" w:cs="Arial"/>
        </w:rPr>
      </w:pPr>
      <w:r w:rsidRPr="000E1D28">
        <w:rPr>
          <w:rFonts w:ascii="Arial" w:hAnsi="Arial" w:cs="Arial"/>
        </w:rPr>
        <w:t xml:space="preserve">Para el análisis fue necesario dividir el ahorro </w:t>
      </w:r>
      <w:r>
        <w:rPr>
          <w:rFonts w:ascii="Arial" w:hAnsi="Arial" w:cs="Arial"/>
        </w:rPr>
        <w:t>indirecto</w:t>
      </w:r>
      <w:r w:rsidRPr="000E1D28">
        <w:rPr>
          <w:rFonts w:ascii="Arial" w:hAnsi="Arial" w:cs="Arial"/>
        </w:rPr>
        <w:t xml:space="preserve"> en dos grupos, ya que la gran mayoría del ahorro </w:t>
      </w:r>
      <w:r w:rsidR="0033268E">
        <w:rPr>
          <w:rFonts w:ascii="Arial" w:hAnsi="Arial" w:cs="Arial"/>
        </w:rPr>
        <w:t xml:space="preserve">reconocido actualmente en las empresas </w:t>
      </w:r>
      <w:r w:rsidRPr="000E1D28">
        <w:rPr>
          <w:rFonts w:ascii="Arial" w:hAnsi="Arial" w:cs="Arial"/>
        </w:rPr>
        <w:t xml:space="preserve">se </w:t>
      </w:r>
      <w:r w:rsidR="0033268E">
        <w:rPr>
          <w:rFonts w:ascii="Arial" w:hAnsi="Arial" w:cs="Arial"/>
        </w:rPr>
        <w:t>encuentra dentro de est</w:t>
      </w:r>
      <w:r w:rsidR="00234A5E">
        <w:rPr>
          <w:rFonts w:ascii="Arial" w:hAnsi="Arial" w:cs="Arial"/>
        </w:rPr>
        <w:t>e grupo</w:t>
      </w:r>
      <w:r w:rsidR="00641942">
        <w:rPr>
          <w:rFonts w:ascii="Arial" w:hAnsi="Arial" w:cs="Arial"/>
        </w:rPr>
        <w:t xml:space="preserve">, </w:t>
      </w:r>
      <w:r w:rsidR="00311C8C">
        <w:rPr>
          <w:rFonts w:ascii="Arial" w:hAnsi="Arial" w:cs="Arial"/>
        </w:rPr>
        <w:t>l</w:t>
      </w:r>
      <w:r w:rsidR="006F1198">
        <w:rPr>
          <w:rFonts w:ascii="Arial" w:hAnsi="Arial" w:cs="Arial"/>
        </w:rPr>
        <w:t xml:space="preserve">o </w:t>
      </w:r>
      <w:r w:rsidR="00D208B2">
        <w:rPr>
          <w:rFonts w:ascii="Arial" w:hAnsi="Arial" w:cs="Arial"/>
        </w:rPr>
        <w:t>que le resta utilidad</w:t>
      </w:r>
      <w:r w:rsidR="00234A5E">
        <w:rPr>
          <w:rFonts w:ascii="Arial" w:hAnsi="Arial" w:cs="Arial"/>
        </w:rPr>
        <w:t>.</w:t>
      </w:r>
      <w:r w:rsidRPr="000E1D28">
        <w:rPr>
          <w:rFonts w:ascii="Arial" w:hAnsi="Arial" w:cs="Arial"/>
        </w:rPr>
        <w:t xml:space="preserve"> </w:t>
      </w:r>
      <w:r w:rsidRPr="007E0898">
        <w:rPr>
          <w:rFonts w:ascii="Arial" w:hAnsi="Arial" w:cs="Arial"/>
        </w:rPr>
        <w:t xml:space="preserve">Quedando así </w:t>
      </w:r>
      <w:r w:rsidR="00806BB9">
        <w:rPr>
          <w:rFonts w:ascii="Arial" w:hAnsi="Arial" w:cs="Arial"/>
        </w:rPr>
        <w:t>cuatro</w:t>
      </w:r>
      <w:r w:rsidRPr="007E0898">
        <w:rPr>
          <w:rFonts w:ascii="Arial" w:hAnsi="Arial" w:cs="Arial"/>
        </w:rPr>
        <w:t xml:space="preserve"> grupos </w:t>
      </w:r>
      <w:r w:rsidR="00EF5F63">
        <w:rPr>
          <w:rFonts w:ascii="Arial" w:hAnsi="Arial" w:cs="Arial"/>
        </w:rPr>
        <w:t xml:space="preserve">representativos de los ahorros, para </w:t>
      </w:r>
      <w:r w:rsidR="00002D0A">
        <w:rPr>
          <w:rFonts w:ascii="Arial" w:hAnsi="Arial" w:cs="Arial"/>
        </w:rPr>
        <w:t>futuras investigaciones. Estos grupos son</w:t>
      </w:r>
      <w:r w:rsidR="00CE754B">
        <w:rPr>
          <w:rFonts w:ascii="Arial" w:hAnsi="Arial" w:cs="Arial"/>
        </w:rPr>
        <w:t xml:space="preserve"> los </w:t>
      </w:r>
      <w:r w:rsidR="007E0898" w:rsidRPr="007E0898">
        <w:rPr>
          <w:rFonts w:ascii="Arial" w:hAnsi="Arial" w:cs="Arial"/>
        </w:rPr>
        <w:t>ahorros directos</w:t>
      </w:r>
      <w:r w:rsidRPr="007E0898">
        <w:rPr>
          <w:rFonts w:ascii="Arial" w:hAnsi="Arial" w:cs="Arial"/>
        </w:rPr>
        <w:t>,</w:t>
      </w:r>
      <w:r w:rsidR="00CE754B">
        <w:rPr>
          <w:rFonts w:ascii="Arial" w:hAnsi="Arial" w:cs="Arial"/>
        </w:rPr>
        <w:t xml:space="preserve"> el</w:t>
      </w:r>
      <w:r w:rsidRPr="007E0898">
        <w:rPr>
          <w:rFonts w:ascii="Arial" w:hAnsi="Arial" w:cs="Arial"/>
        </w:rPr>
        <w:t xml:space="preserve"> </w:t>
      </w:r>
      <w:r w:rsidR="007E0898">
        <w:rPr>
          <w:rFonts w:ascii="Arial" w:hAnsi="Arial" w:cs="Arial"/>
        </w:rPr>
        <w:t>coste evitado</w:t>
      </w:r>
      <w:r w:rsidRPr="007E0898">
        <w:rPr>
          <w:rFonts w:ascii="Arial" w:hAnsi="Arial" w:cs="Arial"/>
        </w:rPr>
        <w:t>,</w:t>
      </w:r>
      <w:r w:rsidR="00CE754B">
        <w:rPr>
          <w:rFonts w:ascii="Arial" w:hAnsi="Arial" w:cs="Arial"/>
        </w:rPr>
        <w:t xml:space="preserve"> los</w:t>
      </w:r>
      <w:r w:rsidRPr="007E0898">
        <w:rPr>
          <w:rFonts w:ascii="Arial" w:hAnsi="Arial" w:cs="Arial"/>
        </w:rPr>
        <w:t xml:space="preserve"> </w:t>
      </w:r>
      <w:r w:rsidR="007E0898">
        <w:rPr>
          <w:rFonts w:ascii="Arial" w:hAnsi="Arial" w:cs="Arial"/>
        </w:rPr>
        <w:t>ahorros indirectos simples</w:t>
      </w:r>
      <w:r w:rsidRPr="007E0898">
        <w:rPr>
          <w:rFonts w:ascii="Arial" w:hAnsi="Arial" w:cs="Arial"/>
        </w:rPr>
        <w:t xml:space="preserve"> y </w:t>
      </w:r>
      <w:r w:rsidR="00CE754B">
        <w:rPr>
          <w:rFonts w:ascii="Arial" w:hAnsi="Arial" w:cs="Arial"/>
        </w:rPr>
        <w:t xml:space="preserve">los </w:t>
      </w:r>
      <w:r w:rsidR="007E0898">
        <w:rPr>
          <w:rFonts w:ascii="Arial" w:hAnsi="Arial" w:cs="Arial"/>
        </w:rPr>
        <w:t>ahorros indirectos complejos</w:t>
      </w:r>
      <w:r w:rsidR="002255C2" w:rsidRPr="007E0898">
        <w:rPr>
          <w:rFonts w:ascii="Arial" w:hAnsi="Arial" w:cs="Arial"/>
        </w:rPr>
        <w:t>.</w:t>
      </w:r>
    </w:p>
    <w:p w14:paraId="42A23B7C" w14:textId="4BAAFD59" w:rsidR="00BA0D3C" w:rsidRPr="00965466" w:rsidRDefault="00965466" w:rsidP="00705E36">
      <w:pPr>
        <w:ind w:right="140"/>
        <w:rPr>
          <w:rFonts w:ascii="Arial" w:hAnsi="Arial" w:cs="Arial"/>
        </w:rPr>
      </w:pPr>
      <w:r w:rsidRPr="00907CB2">
        <w:rPr>
          <w:rFonts w:ascii="Arial" w:hAnsi="Arial" w:cs="Arial"/>
        </w:rPr>
        <w:t>Más allá del clásico impacto del ahorro en los resultados financieros, se ha puesto de manifiesto otro efecto relevante del ahorro, que es el impacto positivo en cuestiones medioambientales, y por tanto en la sostenibilidad</w:t>
      </w:r>
      <w:r w:rsidR="00907CB2" w:rsidRPr="00965466">
        <w:rPr>
          <w:rFonts w:ascii="Arial" w:hAnsi="Arial" w:cs="Arial"/>
        </w:rPr>
        <w:t>.</w:t>
      </w:r>
      <w:r w:rsidR="00907CB2" w:rsidRPr="00965466" w:rsidDel="00907CB2">
        <w:rPr>
          <w:rFonts w:ascii="Arial" w:hAnsi="Arial" w:cs="Arial"/>
        </w:rPr>
        <w:t xml:space="preserve"> </w:t>
      </w:r>
      <w:r w:rsidR="00BF687A" w:rsidRPr="00965466">
        <w:rPr>
          <w:rFonts w:ascii="Arial" w:hAnsi="Arial" w:cs="Arial"/>
        </w:rPr>
        <w:t xml:space="preserve"> </w:t>
      </w:r>
    </w:p>
    <w:p w14:paraId="40F492E4" w14:textId="4587A97C" w:rsidR="00F46294" w:rsidRPr="00CE63C3" w:rsidRDefault="00CE63C3" w:rsidP="00705E36">
      <w:pPr>
        <w:ind w:right="140"/>
        <w:rPr>
          <w:rFonts w:ascii="Arial" w:hAnsi="Arial" w:cs="Arial"/>
        </w:rPr>
      </w:pPr>
      <w:r w:rsidRPr="00B701DB">
        <w:rPr>
          <w:rFonts w:ascii="Arial" w:hAnsi="Arial" w:cs="Arial"/>
        </w:rPr>
        <w:t xml:space="preserve">Así, se amplía el abanico de </w:t>
      </w:r>
      <w:r w:rsidR="001B6B10">
        <w:rPr>
          <w:rFonts w:ascii="Arial" w:hAnsi="Arial" w:cs="Arial"/>
        </w:rPr>
        <w:t xml:space="preserve">grupos interesados </w:t>
      </w:r>
      <w:r w:rsidRPr="00B701DB">
        <w:rPr>
          <w:rFonts w:ascii="Arial" w:hAnsi="Arial" w:cs="Arial"/>
        </w:rPr>
        <w:t xml:space="preserve">por el ahorro, especialmente con los </w:t>
      </w:r>
      <w:r w:rsidR="00E64CB8">
        <w:rPr>
          <w:rFonts w:ascii="Arial" w:hAnsi="Arial" w:cs="Arial"/>
        </w:rPr>
        <w:t>indirectos complejos</w:t>
      </w:r>
      <w:r w:rsidRPr="00B701DB">
        <w:rPr>
          <w:rFonts w:ascii="Arial" w:hAnsi="Arial" w:cs="Arial"/>
        </w:rPr>
        <w:t>, ya que buscan beneficios más allá de los monetarios clásicos</w:t>
      </w:r>
      <w:r w:rsidR="00CE3D25">
        <w:rPr>
          <w:rFonts w:ascii="Arial" w:hAnsi="Arial" w:cs="Arial"/>
        </w:rPr>
        <w:t xml:space="preserve"> </w:t>
      </w:r>
      <w:r w:rsidR="004D3104">
        <w:rPr>
          <w:rFonts w:ascii="Arial" w:hAnsi="Arial" w:cs="Arial"/>
        </w:rPr>
        <w:t>de corto plazo</w:t>
      </w:r>
      <w:r w:rsidRPr="00B701DB">
        <w:rPr>
          <w:rFonts w:ascii="Arial" w:hAnsi="Arial" w:cs="Arial"/>
        </w:rPr>
        <w:t xml:space="preserve">. Por lo tanto, este estudio agrega evidencia empírica de que la generación de ahorros </w:t>
      </w:r>
      <w:r w:rsidR="00F73747">
        <w:rPr>
          <w:rFonts w:ascii="Arial" w:hAnsi="Arial" w:cs="Arial"/>
        </w:rPr>
        <w:t xml:space="preserve">se puede interpretar </w:t>
      </w:r>
      <w:r w:rsidR="0007727B">
        <w:rPr>
          <w:rFonts w:ascii="Arial" w:hAnsi="Arial" w:cs="Arial"/>
        </w:rPr>
        <w:t xml:space="preserve">y </w:t>
      </w:r>
      <w:r w:rsidRPr="00B701DB">
        <w:rPr>
          <w:rFonts w:ascii="Arial" w:hAnsi="Arial" w:cs="Arial"/>
        </w:rPr>
        <w:t>apoya</w:t>
      </w:r>
      <w:r w:rsidR="0007727B">
        <w:rPr>
          <w:rFonts w:ascii="Arial" w:hAnsi="Arial" w:cs="Arial"/>
        </w:rPr>
        <w:t xml:space="preserve">r desde </w:t>
      </w:r>
      <w:r w:rsidRPr="00B701DB">
        <w:rPr>
          <w:rFonts w:ascii="Arial" w:hAnsi="Arial" w:cs="Arial"/>
        </w:rPr>
        <w:t xml:space="preserve">la </w:t>
      </w:r>
      <w:r w:rsidR="0007727B">
        <w:rPr>
          <w:rFonts w:ascii="Arial" w:hAnsi="Arial" w:cs="Arial"/>
        </w:rPr>
        <w:t>“Teoría de los grupos de interés”</w:t>
      </w:r>
      <w:r w:rsidR="001541D5">
        <w:rPr>
          <w:rFonts w:ascii="Arial" w:hAnsi="Arial" w:cs="Arial"/>
        </w:rPr>
        <w:t>.</w:t>
      </w:r>
    </w:p>
    <w:p w14:paraId="465536D3" w14:textId="32E1CFD6" w:rsidR="00A53465" w:rsidRPr="005970F6" w:rsidRDefault="00C96890" w:rsidP="00705E36">
      <w:pPr>
        <w:ind w:right="140"/>
        <w:rPr>
          <w:rFonts w:ascii="Arial" w:hAnsi="Arial" w:cs="Arial"/>
        </w:rPr>
      </w:pPr>
      <w:r w:rsidRPr="00DB727A">
        <w:rPr>
          <w:rFonts w:ascii="Arial" w:hAnsi="Arial" w:cs="Arial"/>
        </w:rPr>
        <w:t xml:space="preserve">Se podría concluir que el ahorro </w:t>
      </w:r>
      <w:r>
        <w:rPr>
          <w:rFonts w:ascii="Arial" w:hAnsi="Arial" w:cs="Arial"/>
        </w:rPr>
        <w:t>ha pasado</w:t>
      </w:r>
      <w:r w:rsidRPr="00DB727A">
        <w:rPr>
          <w:rFonts w:ascii="Arial" w:hAnsi="Arial" w:cs="Arial"/>
        </w:rPr>
        <w:t xml:space="preserve"> de una percepción táctica a un análisis más complejo y con una mayor variedad de opciones, donde la gestión de datos es crítica para establecer líneas base y cálculos de ahorro</w:t>
      </w:r>
      <w:r w:rsidR="00A53465" w:rsidRPr="00C96890">
        <w:rPr>
          <w:rFonts w:ascii="Arial" w:hAnsi="Arial" w:cs="Arial"/>
        </w:rPr>
        <w:t xml:space="preserve">. </w:t>
      </w:r>
      <w:r w:rsidRPr="00BE2CF3">
        <w:rPr>
          <w:rFonts w:ascii="Arial" w:hAnsi="Arial" w:cs="Arial"/>
        </w:rPr>
        <w:t>Entre las diez principales competencias futuras para los profesionales de PSM se encuentra la siguiente</w:t>
      </w:r>
      <w:r w:rsidR="00A53465" w:rsidRPr="00C96890">
        <w:rPr>
          <w:rFonts w:ascii="Arial" w:hAnsi="Arial" w:cs="Arial"/>
        </w:rPr>
        <w:t xml:space="preserve"> </w:t>
      </w:r>
      <w:r w:rsidR="00A53465" w:rsidRPr="00BE2CF3">
        <w:rPr>
          <w:rFonts w:ascii="Arial" w:hAnsi="Arial" w:cs="Arial"/>
          <w:lang w:val="en-GB"/>
        </w:rPr>
        <w:fldChar w:fldCharType="begin"/>
      </w:r>
      <w:r w:rsidR="00A53465" w:rsidRPr="00C96890">
        <w:rPr>
          <w:rFonts w:ascii="Arial" w:hAnsi="Arial" w:cs="Arial"/>
        </w:rPr>
        <w:instrText xml:space="preserve"> ADDIN ZOTERO_ITEM CSL_CITATION {"citationID":"YMOFmJuN","properties":{"formattedCitation":"(Bals et al., 2019)","plainCitation":"(Bals et al., 2019)","noteIndex":0},"citationItems":[{"id":490,"uris":["http://zotero.org/users/9514289/items/25DR23X6"],"itemData":{"id":490,"type":"article-journal","abstract":"Purchasing &amp; Supply Management (PSM) competencies are the individual-level foundations of organisational PSM performance. In light of recent developments in the workplace and the external environment, the question of what PSM competencies are needed now, as well as in the future, becomes one of increasing importance. Analysing qualitative data from 46 interviews from 16 companies, this paper identifies what current and future competencies are required by PSM professionals, categorizes PSM competencies according to the framework established by Tassabehji and Moorhouse (2008) and establishes how these competency requirements have changed over the last ten years. The most important current competencies required by PSM professionals are negotiation, communication and relationship management (e.g. ‘Interpersonal communication’), strategy and analytics (e.g. ‘Strategic thinking’), as well as professional knowledge requirements (e.g. ‘Basic knowledge on PSM role &amp; processes’). When looking at future requirements, competencies in the areas of sustainability and digitisation were identified as becoming increasingly important. Overall, 17 competencies in addition to those shown in Tassabehji and Moorhouse (2008) were identified. The most prominent new competency areas are related to digitisation (e.g. ‘eProcurement Technology’, ‘Automation’), innovation (e.g. ‘Innovative sourcing’) and sustainability. The interviewees also identified 11 new competencies within the interpersonal skills cluster, most of them at the intersection between competencies and traits (e.g. ‘Deal with Ambiguity’, ‘Curiosity’, ‘Passion’).","container-title":"Journal of Purchasing and Supply Management","DOI":"10.1016/j.pursup.2019.100572","ISSN":"14784092","issue":"5","journalAbbreviation":"Journal of Purchasing and Supply Management","language":"en","page":"100572","source":"DOI.org (Crossref)","title":"Purchasing and supply management (PSM) competencies: Current and future requirements","title-short":"Purchasing and supply management (PSM) competencies","volume":"25","author":[{"family":"Bals","given":"Lydia"},{"family":"Schulze","given":"Heike"},{"family":"Kelly","given":"Stephen"},{"family":"Stek","given":"Klaas"}],"issued":{"date-parts":[["2019",12]]}}}],"schema":"https://github.com/citation-style-language/schema/raw/master/csl-citation.json"} </w:instrText>
      </w:r>
      <w:r w:rsidR="00A53465" w:rsidRPr="00BE2CF3">
        <w:rPr>
          <w:rFonts w:ascii="Arial" w:hAnsi="Arial" w:cs="Arial"/>
          <w:lang w:val="en-GB"/>
        </w:rPr>
        <w:fldChar w:fldCharType="separate"/>
      </w:r>
      <w:r w:rsidR="00A53465" w:rsidRPr="00C96890">
        <w:rPr>
          <w:rFonts w:ascii="Arial" w:hAnsi="Arial" w:cs="Arial"/>
        </w:rPr>
        <w:t xml:space="preserve">(Bals et </w:t>
      </w:r>
      <w:r w:rsidR="00A53465" w:rsidRPr="008E7716">
        <w:rPr>
          <w:rFonts w:ascii="Arial" w:hAnsi="Arial" w:cs="Arial"/>
        </w:rPr>
        <w:t>al.</w:t>
      </w:r>
      <w:r w:rsidR="00A53465" w:rsidRPr="005970F6">
        <w:rPr>
          <w:rFonts w:ascii="Arial" w:hAnsi="Arial" w:cs="Arial"/>
        </w:rPr>
        <w:t>, 2019)</w:t>
      </w:r>
      <w:r w:rsidR="00A53465" w:rsidRPr="00BE2CF3">
        <w:rPr>
          <w:rFonts w:ascii="Arial" w:hAnsi="Arial" w:cs="Arial"/>
          <w:lang w:val="en-GB"/>
        </w:rPr>
        <w:fldChar w:fldCharType="end"/>
      </w:r>
      <w:r w:rsidR="00A53465" w:rsidRPr="005970F6">
        <w:rPr>
          <w:rFonts w:ascii="Arial" w:hAnsi="Arial" w:cs="Arial"/>
        </w:rPr>
        <w:t xml:space="preserve"> </w:t>
      </w:r>
      <w:r w:rsidR="008E7716" w:rsidRPr="00BE2CF3">
        <w:rPr>
          <w:rFonts w:ascii="Arial" w:hAnsi="Arial" w:cs="Arial"/>
        </w:rPr>
        <w:t>e</w:t>
      </w:r>
      <w:r w:rsidR="008E7716">
        <w:rPr>
          <w:rFonts w:ascii="Arial" w:hAnsi="Arial" w:cs="Arial"/>
        </w:rPr>
        <w:t>l</w:t>
      </w:r>
      <w:r w:rsidR="008E7716" w:rsidRPr="00BE2CF3">
        <w:rPr>
          <w:rFonts w:ascii="Arial" w:hAnsi="Arial" w:cs="Arial"/>
        </w:rPr>
        <w:t xml:space="preserve"> Big Data Analytics</w:t>
      </w:r>
      <w:r w:rsidR="00A53465" w:rsidRPr="005970F6">
        <w:rPr>
          <w:rFonts w:ascii="Arial" w:hAnsi="Arial" w:cs="Arial"/>
        </w:rPr>
        <w:t xml:space="preserve">. </w:t>
      </w:r>
    </w:p>
    <w:p w14:paraId="1B5FF1CA" w14:textId="4EFEF62D" w:rsidR="000F2A96" w:rsidRPr="005970F6" w:rsidRDefault="005970F6" w:rsidP="00705E36">
      <w:pPr>
        <w:ind w:right="140"/>
        <w:rPr>
          <w:rFonts w:ascii="Arial" w:hAnsi="Arial" w:cs="Arial"/>
        </w:rPr>
      </w:pPr>
      <w:r w:rsidRPr="00961140">
        <w:rPr>
          <w:rFonts w:ascii="Arial" w:hAnsi="Arial" w:cs="Arial"/>
        </w:rPr>
        <w:t xml:space="preserve">Los resultados avalan </w:t>
      </w:r>
      <w:r w:rsidR="007D5AF2">
        <w:rPr>
          <w:rFonts w:ascii="Arial" w:hAnsi="Arial" w:cs="Arial"/>
        </w:rPr>
        <w:t>la</w:t>
      </w:r>
      <w:r w:rsidRPr="00961140">
        <w:rPr>
          <w:rFonts w:ascii="Arial" w:hAnsi="Arial" w:cs="Arial"/>
        </w:rPr>
        <w:t xml:space="preserve"> evolución de </w:t>
      </w:r>
      <w:r w:rsidR="00487976">
        <w:rPr>
          <w:rFonts w:ascii="Arial" w:hAnsi="Arial" w:cs="Arial"/>
        </w:rPr>
        <w:t xml:space="preserve">compras </w:t>
      </w:r>
      <w:r w:rsidRPr="00961140">
        <w:rPr>
          <w:rFonts w:ascii="Arial" w:hAnsi="Arial" w:cs="Arial"/>
        </w:rPr>
        <w:t xml:space="preserve">a lo largo de las últimas décadas, ganando alcance e influencia en sus responsabilidades dentro de las empresas, algo que ha afectado a la forma de medir el rendimiento </w:t>
      </w:r>
      <w:r w:rsidR="00946C88">
        <w:rPr>
          <w:rFonts w:ascii="Arial" w:hAnsi="Arial" w:cs="Arial"/>
        </w:rPr>
        <w:t xml:space="preserve">por tratarse de una </w:t>
      </w:r>
      <w:r w:rsidRPr="00961140">
        <w:rPr>
          <w:rFonts w:ascii="Arial" w:hAnsi="Arial" w:cs="Arial"/>
        </w:rPr>
        <w:t xml:space="preserve">actividad </w:t>
      </w:r>
      <w:r w:rsidR="009B4D9E">
        <w:rPr>
          <w:rFonts w:ascii="Arial" w:hAnsi="Arial" w:cs="Arial"/>
        </w:rPr>
        <w:t xml:space="preserve">cada vez más </w:t>
      </w:r>
      <w:r w:rsidR="00FC6B4D">
        <w:rPr>
          <w:rFonts w:ascii="Arial" w:hAnsi="Arial" w:cs="Arial"/>
        </w:rPr>
        <w:t>estratégica</w:t>
      </w:r>
      <w:r w:rsidRPr="00961140">
        <w:rPr>
          <w:rFonts w:ascii="Arial" w:hAnsi="Arial" w:cs="Arial"/>
        </w:rPr>
        <w:t xml:space="preserve">, evolucionando </w:t>
      </w:r>
      <w:r w:rsidR="00E13A1E">
        <w:rPr>
          <w:rFonts w:ascii="Arial" w:hAnsi="Arial" w:cs="Arial"/>
        </w:rPr>
        <w:t xml:space="preserve">el tradicional indicador </w:t>
      </w:r>
      <w:r w:rsidR="006E26BB">
        <w:rPr>
          <w:rFonts w:ascii="Arial" w:hAnsi="Arial" w:cs="Arial"/>
        </w:rPr>
        <w:t xml:space="preserve">de los ahorros </w:t>
      </w:r>
      <w:r w:rsidRPr="00961140">
        <w:rPr>
          <w:rFonts w:ascii="Arial" w:hAnsi="Arial" w:cs="Arial"/>
        </w:rPr>
        <w:t>hacia ahorros más complejos</w:t>
      </w:r>
      <w:r w:rsidR="00451D45" w:rsidRPr="005970F6">
        <w:rPr>
          <w:rFonts w:ascii="Arial" w:hAnsi="Arial" w:cs="Arial"/>
        </w:rPr>
        <w:t>.</w:t>
      </w:r>
    </w:p>
    <w:p w14:paraId="76783436" w14:textId="77777777" w:rsidR="0016154E" w:rsidRPr="005970F6" w:rsidRDefault="0016154E" w:rsidP="00705E36">
      <w:pPr>
        <w:ind w:right="140"/>
        <w:rPr>
          <w:rFonts w:ascii="Arial" w:hAnsi="Arial" w:cs="Arial"/>
        </w:rPr>
      </w:pPr>
    </w:p>
    <w:p w14:paraId="33B8BDF4" w14:textId="6DF53748" w:rsidR="009212AA" w:rsidRPr="00BE2CF3" w:rsidRDefault="00290C6D" w:rsidP="00705E36">
      <w:pPr>
        <w:pStyle w:val="Heading2"/>
        <w:numPr>
          <w:ilvl w:val="1"/>
          <w:numId w:val="2"/>
        </w:numPr>
        <w:ind w:right="140"/>
        <w:rPr>
          <w:rFonts w:ascii="Arial" w:hAnsi="Arial" w:cs="Arial"/>
          <w:lang w:val="en-GB"/>
        </w:rPr>
      </w:pPr>
      <w:bookmarkStart w:id="359" w:name="_Toc183376734"/>
      <w:r w:rsidRPr="00BE2CF3">
        <w:rPr>
          <w:rFonts w:ascii="Arial" w:hAnsi="Arial" w:cs="Arial"/>
        </w:rPr>
        <w:t>Limitaciones e investigaciones futuras</w:t>
      </w:r>
      <w:bookmarkEnd w:id="359"/>
    </w:p>
    <w:p w14:paraId="1A086E84" w14:textId="77777777" w:rsidR="009212AA" w:rsidRPr="00BE2CF3" w:rsidRDefault="009212AA" w:rsidP="00705E36">
      <w:pPr>
        <w:ind w:right="140"/>
        <w:rPr>
          <w:rFonts w:ascii="Arial" w:hAnsi="Arial" w:cs="Arial"/>
          <w:lang w:val="en-GB"/>
        </w:rPr>
      </w:pPr>
    </w:p>
    <w:p w14:paraId="54425391" w14:textId="4513897C" w:rsidR="00156609" w:rsidRDefault="0064070D" w:rsidP="00156609">
      <w:pPr>
        <w:ind w:right="140"/>
        <w:rPr>
          <w:rFonts w:ascii="Arial" w:hAnsi="Arial" w:cs="Arial"/>
        </w:rPr>
      </w:pPr>
      <w:r>
        <w:rPr>
          <w:rFonts w:ascii="Arial" w:hAnsi="Arial" w:cs="Arial"/>
        </w:rPr>
        <w:t>Existe un</w:t>
      </w:r>
      <w:r w:rsidR="001249C4">
        <w:rPr>
          <w:rFonts w:ascii="Arial" w:hAnsi="Arial" w:cs="Arial"/>
        </w:rPr>
        <w:t xml:space="preserve"> </w:t>
      </w:r>
      <w:r w:rsidR="00156609">
        <w:rPr>
          <w:rFonts w:ascii="Arial" w:hAnsi="Arial" w:cs="Arial"/>
        </w:rPr>
        <w:t xml:space="preserve">sesgo </w:t>
      </w:r>
      <w:r w:rsidR="002645D7">
        <w:rPr>
          <w:rFonts w:ascii="Arial" w:hAnsi="Arial" w:cs="Arial"/>
        </w:rPr>
        <w:t>por el</w:t>
      </w:r>
      <w:r w:rsidR="00156609">
        <w:rPr>
          <w:rFonts w:ascii="Arial" w:hAnsi="Arial" w:cs="Arial"/>
        </w:rPr>
        <w:t xml:space="preserve"> rendimiento marginal decreciente en la búsqueda de ahorros</w:t>
      </w:r>
      <w:r w:rsidR="003A42F1">
        <w:rPr>
          <w:rFonts w:ascii="Arial" w:hAnsi="Arial" w:cs="Arial"/>
        </w:rPr>
        <w:t>,</w:t>
      </w:r>
      <w:r w:rsidR="007F39DD">
        <w:rPr>
          <w:rFonts w:ascii="Arial" w:hAnsi="Arial" w:cs="Arial"/>
        </w:rPr>
        <w:t xml:space="preserve"> </w:t>
      </w:r>
      <w:r w:rsidR="003A42F1">
        <w:rPr>
          <w:rFonts w:ascii="Arial" w:hAnsi="Arial" w:cs="Arial"/>
        </w:rPr>
        <w:t>e</w:t>
      </w:r>
      <w:r w:rsidR="007F39DD">
        <w:rPr>
          <w:rFonts w:ascii="Arial" w:hAnsi="Arial" w:cs="Arial"/>
        </w:rPr>
        <w:t>s decir</w:t>
      </w:r>
      <w:r w:rsidR="000F7ECB">
        <w:rPr>
          <w:rFonts w:ascii="Arial" w:hAnsi="Arial" w:cs="Arial"/>
        </w:rPr>
        <w:t>,</w:t>
      </w:r>
      <w:r w:rsidR="007F39DD">
        <w:rPr>
          <w:rFonts w:ascii="Arial" w:hAnsi="Arial" w:cs="Arial"/>
        </w:rPr>
        <w:t xml:space="preserve"> </w:t>
      </w:r>
      <w:r w:rsidR="00920C1D">
        <w:rPr>
          <w:rFonts w:ascii="Arial" w:hAnsi="Arial" w:cs="Arial"/>
        </w:rPr>
        <w:t>los ahorros tradicionales ya no se generan o cuesta mucho</w:t>
      </w:r>
      <w:r w:rsidR="003A2902">
        <w:rPr>
          <w:rFonts w:ascii="Arial" w:hAnsi="Arial" w:cs="Arial"/>
        </w:rPr>
        <w:t xml:space="preserve"> conseguirlos.</w:t>
      </w:r>
      <w:r w:rsidR="00083861">
        <w:rPr>
          <w:rFonts w:ascii="Arial" w:hAnsi="Arial" w:cs="Arial"/>
        </w:rPr>
        <w:t xml:space="preserve"> </w:t>
      </w:r>
      <w:r w:rsidR="00BD61BF">
        <w:rPr>
          <w:rFonts w:ascii="Arial" w:hAnsi="Arial" w:cs="Arial"/>
        </w:rPr>
        <w:t xml:space="preserve">Y como los </w:t>
      </w:r>
      <w:r w:rsidR="002F25EA">
        <w:rPr>
          <w:rFonts w:ascii="Arial" w:hAnsi="Arial" w:cs="Arial"/>
        </w:rPr>
        <w:t xml:space="preserve">ahorros </w:t>
      </w:r>
      <w:r w:rsidR="00BD61BF">
        <w:rPr>
          <w:rFonts w:ascii="Arial" w:hAnsi="Arial" w:cs="Arial"/>
        </w:rPr>
        <w:t>son</w:t>
      </w:r>
      <w:r w:rsidR="002F25EA">
        <w:rPr>
          <w:rFonts w:ascii="Arial" w:hAnsi="Arial" w:cs="Arial"/>
        </w:rPr>
        <w:t xml:space="preserve"> un resultado tangible y esperado de los departamentos de compras, </w:t>
      </w:r>
      <w:r w:rsidR="00316BE8">
        <w:rPr>
          <w:rFonts w:ascii="Arial" w:hAnsi="Arial" w:cs="Arial"/>
        </w:rPr>
        <w:t>estos se</w:t>
      </w:r>
      <w:r w:rsidR="00920C1D">
        <w:rPr>
          <w:rFonts w:ascii="Arial" w:hAnsi="Arial" w:cs="Arial"/>
        </w:rPr>
        <w:t xml:space="preserve"> ven obligados a buscar nuevas propuestas</w:t>
      </w:r>
      <w:r w:rsidR="005C010D">
        <w:rPr>
          <w:rFonts w:ascii="Arial" w:hAnsi="Arial" w:cs="Arial"/>
        </w:rPr>
        <w:t>,</w:t>
      </w:r>
      <w:r w:rsidR="00340BE1">
        <w:rPr>
          <w:rFonts w:ascii="Arial" w:hAnsi="Arial" w:cs="Arial"/>
        </w:rPr>
        <w:t xml:space="preserve"> </w:t>
      </w:r>
      <w:r w:rsidR="00054E19">
        <w:rPr>
          <w:rFonts w:ascii="Arial" w:hAnsi="Arial" w:cs="Arial"/>
        </w:rPr>
        <w:t xml:space="preserve">lo </w:t>
      </w:r>
      <w:r w:rsidR="000007DC">
        <w:rPr>
          <w:rFonts w:ascii="Arial" w:hAnsi="Arial" w:cs="Arial"/>
        </w:rPr>
        <w:t>que</w:t>
      </w:r>
      <w:r w:rsidR="007F1B1A">
        <w:rPr>
          <w:rFonts w:ascii="Arial" w:hAnsi="Arial" w:cs="Arial"/>
        </w:rPr>
        <w:t xml:space="preserve"> </w:t>
      </w:r>
      <w:r w:rsidR="00054E19">
        <w:rPr>
          <w:rFonts w:ascii="Arial" w:hAnsi="Arial" w:cs="Arial"/>
        </w:rPr>
        <w:t xml:space="preserve">puede </w:t>
      </w:r>
      <w:r w:rsidR="00E123CB">
        <w:rPr>
          <w:rFonts w:ascii="Arial" w:hAnsi="Arial" w:cs="Arial"/>
        </w:rPr>
        <w:t xml:space="preserve">estar </w:t>
      </w:r>
      <w:r w:rsidR="00054E19">
        <w:rPr>
          <w:rFonts w:ascii="Arial" w:hAnsi="Arial" w:cs="Arial"/>
        </w:rPr>
        <w:t>afecta</w:t>
      </w:r>
      <w:r w:rsidR="00E123CB">
        <w:rPr>
          <w:rFonts w:ascii="Arial" w:hAnsi="Arial" w:cs="Arial"/>
        </w:rPr>
        <w:t>ndo</w:t>
      </w:r>
      <w:r w:rsidR="00054E19">
        <w:rPr>
          <w:rFonts w:ascii="Arial" w:hAnsi="Arial" w:cs="Arial"/>
        </w:rPr>
        <w:t xml:space="preserve"> </w:t>
      </w:r>
      <w:r w:rsidR="00E123CB">
        <w:rPr>
          <w:rFonts w:ascii="Arial" w:hAnsi="Arial" w:cs="Arial"/>
        </w:rPr>
        <w:t>al número de tipo de ahorros</w:t>
      </w:r>
      <w:r w:rsidR="001F7CF7">
        <w:rPr>
          <w:rFonts w:ascii="Arial" w:hAnsi="Arial" w:cs="Arial"/>
        </w:rPr>
        <w:t xml:space="preserve"> reconocidos en las empresas</w:t>
      </w:r>
      <w:r w:rsidR="00871C8E">
        <w:rPr>
          <w:rFonts w:ascii="Arial" w:hAnsi="Arial" w:cs="Arial"/>
        </w:rPr>
        <w:t>.</w:t>
      </w:r>
      <w:r w:rsidR="00701277">
        <w:rPr>
          <w:rFonts w:ascii="Arial" w:hAnsi="Arial" w:cs="Arial"/>
        </w:rPr>
        <w:t xml:space="preserve"> </w:t>
      </w:r>
    </w:p>
    <w:p w14:paraId="3D8E893D" w14:textId="1257B856" w:rsidR="007F4B27" w:rsidRPr="00290C6D" w:rsidRDefault="00290C6D" w:rsidP="00705E36">
      <w:pPr>
        <w:ind w:right="140"/>
        <w:rPr>
          <w:rFonts w:ascii="Arial" w:hAnsi="Arial" w:cs="Arial"/>
        </w:rPr>
      </w:pPr>
      <w:r w:rsidRPr="00BC78A3">
        <w:rPr>
          <w:rFonts w:ascii="Arial" w:hAnsi="Arial" w:cs="Arial"/>
        </w:rPr>
        <w:t xml:space="preserve">Una muestra más grande de diferentes países sería beneficiosa para evitar </w:t>
      </w:r>
      <w:r w:rsidR="0067378A">
        <w:rPr>
          <w:rFonts w:ascii="Arial" w:hAnsi="Arial" w:cs="Arial"/>
        </w:rPr>
        <w:t xml:space="preserve">los </w:t>
      </w:r>
      <w:r w:rsidRPr="00BC78A3">
        <w:rPr>
          <w:rFonts w:ascii="Arial" w:hAnsi="Arial" w:cs="Arial"/>
        </w:rPr>
        <w:t>sesgos regionales</w:t>
      </w:r>
      <w:r w:rsidR="00BC78A3" w:rsidRPr="00290C6D">
        <w:rPr>
          <w:rFonts w:ascii="Arial" w:hAnsi="Arial" w:cs="Arial"/>
        </w:rPr>
        <w:t>.</w:t>
      </w:r>
      <w:r w:rsidR="00ED0106">
        <w:rPr>
          <w:rFonts w:ascii="Arial" w:hAnsi="Arial" w:cs="Arial"/>
        </w:rPr>
        <w:t xml:space="preserve"> Algo que podría hacerse con </w:t>
      </w:r>
      <w:r>
        <w:rPr>
          <w:rFonts w:ascii="Arial" w:hAnsi="Arial" w:cs="Arial"/>
        </w:rPr>
        <w:t xml:space="preserve">encuestas similares en otras regiones y asociaciones nacionales para los profesionales de PSM, para </w:t>
      </w:r>
      <w:r w:rsidR="00BD54BA">
        <w:rPr>
          <w:rFonts w:ascii="Arial" w:hAnsi="Arial" w:cs="Arial"/>
        </w:rPr>
        <w:t xml:space="preserve">conseguir </w:t>
      </w:r>
      <w:r>
        <w:rPr>
          <w:rFonts w:ascii="Arial" w:hAnsi="Arial" w:cs="Arial"/>
        </w:rPr>
        <w:t>una mayor generalización</w:t>
      </w:r>
      <w:r w:rsidR="007F4B27" w:rsidRPr="00290C6D">
        <w:rPr>
          <w:rFonts w:ascii="Arial" w:hAnsi="Arial" w:cs="Arial"/>
        </w:rPr>
        <w:t>.</w:t>
      </w:r>
    </w:p>
    <w:p w14:paraId="51F11BF7" w14:textId="77777777" w:rsidR="00F6443C" w:rsidRPr="00290C6D" w:rsidRDefault="00F6443C" w:rsidP="00705E36">
      <w:pPr>
        <w:ind w:right="140"/>
        <w:rPr>
          <w:rFonts w:ascii="Arial" w:hAnsi="Arial" w:cs="Arial"/>
        </w:rPr>
      </w:pPr>
    </w:p>
    <w:p w14:paraId="04934A9C" w14:textId="1246F403" w:rsidR="00B62E95" w:rsidRPr="004035EC" w:rsidRDefault="00A3683F" w:rsidP="00705E36">
      <w:pPr>
        <w:pStyle w:val="Heading1"/>
        <w:ind w:right="140"/>
        <w:rPr>
          <w:rFonts w:ascii="Arial" w:hAnsi="Arial" w:cs="Arial"/>
        </w:rPr>
      </w:pPr>
      <w:bookmarkStart w:id="360" w:name="_Toc183376735"/>
      <w:r w:rsidRPr="004035EC">
        <w:rPr>
          <w:rFonts w:ascii="Arial" w:hAnsi="Arial" w:cs="Arial"/>
        </w:rPr>
        <w:t xml:space="preserve">7. </w:t>
      </w:r>
      <w:r w:rsidRPr="004035EC">
        <w:rPr>
          <w:rFonts w:ascii="Arial" w:hAnsi="Arial" w:cs="Arial"/>
        </w:rPr>
        <w:tab/>
      </w:r>
      <w:r w:rsidR="00290C6D" w:rsidRPr="004035EC">
        <w:rPr>
          <w:rFonts w:ascii="Arial" w:hAnsi="Arial" w:cs="Arial"/>
        </w:rPr>
        <w:t>Referencias</w:t>
      </w:r>
      <w:bookmarkEnd w:id="360"/>
      <w:r w:rsidR="00B62E95" w:rsidRPr="004035EC">
        <w:rPr>
          <w:rFonts w:ascii="Arial" w:hAnsi="Arial" w:cs="Arial"/>
        </w:rPr>
        <w:t xml:space="preserve"> </w:t>
      </w:r>
    </w:p>
    <w:p w14:paraId="524197EA" w14:textId="77777777" w:rsidR="00A87374" w:rsidRPr="004035EC" w:rsidRDefault="00A87374" w:rsidP="00705E36">
      <w:pPr>
        <w:ind w:right="140"/>
        <w:rPr>
          <w:rFonts w:ascii="Arial" w:hAnsi="Arial" w:cs="Arial"/>
        </w:rPr>
      </w:pPr>
    </w:p>
    <w:p w14:paraId="48309A25" w14:textId="77777777" w:rsidR="00CC1D85" w:rsidRPr="004D761E" w:rsidRDefault="00CC1D85" w:rsidP="00705E36">
      <w:pPr>
        <w:pStyle w:val="Bibliography"/>
        <w:ind w:right="140"/>
        <w:rPr>
          <w:rFonts w:ascii="Times New Roman" w:hAnsi="Times New Roman" w:cs="Times New Roman"/>
          <w:kern w:val="0"/>
          <w:lang w:val="en-GB"/>
        </w:rPr>
      </w:pPr>
      <w:r w:rsidRPr="00B701DB">
        <w:rPr>
          <w:rFonts w:ascii="Times New Roman" w:hAnsi="Times New Roman" w:cs="Times New Roman"/>
          <w:kern w:val="0"/>
        </w:rPr>
        <w:t xml:space="preserve">Akın Ateş, M., van Raaij, E.M., Wynstra, F., 2018. </w:t>
      </w:r>
      <w:r w:rsidRPr="004D761E">
        <w:rPr>
          <w:rFonts w:ascii="Times New Roman" w:hAnsi="Times New Roman" w:cs="Times New Roman"/>
          <w:kern w:val="0"/>
          <w:lang w:val="en-GB"/>
        </w:rPr>
        <w:t>The impact of purchasing strategy-structure (mis)fit on purchasing cost and innovation performance. J. Purch. Supply Manag. 24, 68–82. https://doi.org/10.1016/j.pursup.2017.05.002</w:t>
      </w:r>
    </w:p>
    <w:p w14:paraId="348F012B" w14:textId="5A4627F0" w:rsidR="000968AF" w:rsidRPr="000968AF" w:rsidRDefault="00D83A30" w:rsidP="000968AF">
      <w:pPr>
        <w:pStyle w:val="Bibliography"/>
        <w:rPr>
          <w:rFonts w:ascii="Times New Roman" w:hAnsi="Times New Roman" w:cs="Times New Roman"/>
          <w:kern w:val="0"/>
          <w:lang w:val="en-GB"/>
        </w:rPr>
      </w:pPr>
      <w:r w:rsidRPr="00A87374">
        <w:fldChar w:fldCharType="begin"/>
      </w:r>
      <w:r w:rsidR="000968AF">
        <w:rPr>
          <w:lang w:val="en-GB"/>
        </w:rPr>
        <w:instrText xml:space="preserve"> ADDIN ZOTERO_BIBL {"uncited":[["http://zotero.org/users/9514289/items/B35SHWCL"],["http://zotero.org/users/9514289/items/UHIKU7V2"],["http://zotero.org/users/9514289/items/QVWMUGF4"],["http://zotero.org/users/9514289/items/Y2HEKC2P"],["http://zotero.org/users/9514289/items/H6XGK85X"]],"omitted":[],"custom":[]} CSL_BIBLIOGRAPHY </w:instrText>
      </w:r>
      <w:r w:rsidRPr="00A87374">
        <w:fldChar w:fldCharType="separate"/>
      </w:r>
      <w:r w:rsidR="000968AF" w:rsidRPr="000968AF">
        <w:rPr>
          <w:rFonts w:ascii="Times New Roman" w:hAnsi="Times New Roman" w:cs="Times New Roman"/>
          <w:kern w:val="0"/>
          <w:lang w:val="en-GB"/>
        </w:rPr>
        <w:t>Angell, L.C., Klassen, R.D., 1999. Integrating environmental issues into the mainstream: an agenda for research in operations management. J. Oper. Manag. 17, 575–598. https://doi.org/10.1016/S0272-6963(99)00006-6</w:t>
      </w:r>
    </w:p>
    <w:p w14:paraId="63FA178A"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Bals, L., Schulze, H., Kelly, S., Stek, K., 2019. Purchasing and supply management (PSM) competencies: Current and future requirements. J. Purch. Supply Manag. 25, 100572. https://doi.org/10.1016/j.pursup.2019.100572</w:t>
      </w:r>
    </w:p>
    <w:p w14:paraId="0C65F45C"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Baraldi, E., Ciabuschi, F., Lindahl, O., Fratocchi, L., 2018. A network perspective on the reshoring process: The relevance of the home- and the host-country contexts. Ind. Mark. Manag. 70, 156–166. https://doi.org/10.1016/j.indmarman.2017.08.016</w:t>
      </w:r>
    </w:p>
    <w:p w14:paraId="6EFC8E02"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Carr, A.S., Smeltzer, L.R., 2000. An Empirical Study of the Relationships among Purchasing Skills and Strategic Purchasing, Financial Performance, and Supplier Responsiveness. J. Supply Chain Manag. 36, 40–54. https://doi.org/10.1111/j.1745-493X.2000.tb00250.x</w:t>
      </w:r>
    </w:p>
    <w:p w14:paraId="69E0E181"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Chiang, C., Kocabasoglu‐Hillmer, C., Suresh, N., 2012. An empirical investigation of the impact of strategic sourcing and flexibility on firm’s supply chain agility. Int. J. Oper. Prod. Manag. 32, 49–78. https://doi.org/10.1108/01443571211195736</w:t>
      </w:r>
    </w:p>
    <w:p w14:paraId="7337F896"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Contractor, F.J., Kumar, V., Kundu, S.K., Pedersen, T., 2010. Reconceptualizing the Firm in a World of Outsourcing and Offshoring: The Organizational and Geographical Relocation of High‐Value Company Functions. J. Manag. Stud. 47, 1417–1433. https://doi.org/10.1111/j.1467-6486.2010.00945.x</w:t>
      </w:r>
    </w:p>
    <w:p w14:paraId="454893D2"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Cousins, P.D., Lawson, B., Squire, B., 2006. An empirical taxonomy of purchasing functions. Int. J. Oper. Prod. Manag. 26, 775–794. https://doi.org/10.1108/01443570610672239</w:t>
      </w:r>
    </w:p>
    <w:p w14:paraId="0C5BA68D"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Dasgupta, P., 2009. The Welfare Economic Theory of Green National Accounts. Environ. Resour. Econ. 42, 3–38. https://doi.org/10.1007/s10640-008-9223-y</w:t>
      </w:r>
    </w:p>
    <w:p w14:paraId="331118BC"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Dmytrenko, A.L., 1997. Cost benefit analysis. Rec. Manag. Q. 31, 16-16–19.</w:t>
      </w:r>
    </w:p>
    <w:p w14:paraId="31EEAFE7"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Easton, L., Murphy, D.J., Pearson, J.N., 2002. Purchasing performance evaluation: with data envelopment analysis. Eur. J. Purch. Supply Manag. 8, 123–134. https://doi.org/10.1016/S0969-7012(02)00002-3</w:t>
      </w:r>
    </w:p>
    <w:p w14:paraId="2CDEEEF6"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Ellegaard, C., 2012. Book reviews. J. Purch. Supply Manag. 18, 122. https://doi.org/10.1016/j.pursup.2011.07.001</w:t>
      </w:r>
    </w:p>
    <w:p w14:paraId="7F821620"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Ellram, L.M., 2005. [No title found]. J. Purch. Supply Manag. 11, 156–157. https://doi.org/10.1016/j.pursup.2005.08.002</w:t>
      </w:r>
    </w:p>
    <w:p w14:paraId="3C97C3C2"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Ellram, L.M., Harland, C.M., van Weele, A., Essig, M., Johnsen, T., Nassimbeni, G., Pagell, M., van Raaij, E., Rozemeijer, F., Tate, W.L., Wynstra, F., 2020a. Purchasing and supply management’s identity: Crisis? What crisis? J. Purch. Supply Manag. 26, 100583. https://doi.org/10.1016/j.pursup.2019.100583</w:t>
      </w:r>
    </w:p>
    <w:p w14:paraId="253DC651"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Ellram, L.M., Maltz, A.B., 1995. The Use of Total Cost of Ownership Concepts to Model the Outsourcing Decision. Int. J. Logist. Manag. 6, 55–66. https://doi.org/10.1108/09574099510805341</w:t>
      </w:r>
    </w:p>
    <w:p w14:paraId="4DEDC6ED"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Ellram, L.M., Tate, W.L., Choi, T.Y., 2020b. The Conflicted Role of Purchasing in New Product Development Costing. J. Supply Chain Manag. 56, 3–32. https://doi.org/10.1111/jscm.12217</w:t>
      </w:r>
    </w:p>
    <w:p w14:paraId="35F54019"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Freeman, R.E., Harrison, J.S., Wicks, A.C., 2007. Managing for stakeholders: survival, reputation, and success, The Business Roundtable Institute For Corporate Ethics series in ethics and leadership. Yale University Press, New Haven.</w:t>
      </w:r>
    </w:p>
    <w:p w14:paraId="1CA8DC4C"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Gamache, D.L., Neville, F., Bundy, J., Short, C.E., 2020. Serving differently: CEO regulatory focus and firm stakeholder strategy. Strateg. Manag. J. 41, 1305–1335. https://doi.org/10.1002/smj.3134</w:t>
      </w:r>
    </w:p>
    <w:p w14:paraId="15180197"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Giannakis, M., Papadopoulos, T., 2016. Supply chain sustainability: A risk management approach. Int. J. Prod. Econ. 171, 455–470. https://doi.org/10.1016/j.ijpe.2015.06.032</w:t>
      </w:r>
    </w:p>
    <w:p w14:paraId="5501B740"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Giunipero, L.C., Bittner, S., Shanks, I., Cho, M.H., 2019. Analyzing the sourcing literature: Over two decades of research. J. Purch. Supply Manag. 25, 100521. https://doi.org/10.1016/j.pursup.2018.11.001</w:t>
      </w:r>
    </w:p>
    <w:p w14:paraId="3DDFF156"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González-Benito, J., 2007. A theory of purchasing’s contribution to business performance. J. Oper. Manag. 25, 901–917. https://doi.org/10.1016/j.jom.2007.02.001</w:t>
      </w:r>
    </w:p>
    <w:p w14:paraId="533A36F9"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Hallikas, J., Puumalainen, K., Vesterinen, T., Virolainen, V.-M., 2005. Risk-based classification of supplier relationships. J. Purch. Supply Manag. 11, 72–82. https://doi.org/10.1016/j.pursup.2005.10.005</w:t>
      </w:r>
    </w:p>
    <w:p w14:paraId="7B5BDA47"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Hanley, N., Dupuy, L., McLaughlin, E., 2015. GENUINE SAVINGS AND SUSTAINABILITY: GENUINE SAVINGS AND SUSTAINABILITY. J. Econ. Surv. 29, 779–806. https://doi.org/10.1111/joes.12120</w:t>
      </w:r>
    </w:p>
    <w:p w14:paraId="0DD1BE3F"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Harrison, J.S., Bosse, D.A., Phillips, R.A., 2010. Managing for stakeholders, stakeholder utility functions, and competitive advantage. Strateg. Manag. J. 31, 58–74. https://doi.org/10.1002/smj.801</w:t>
      </w:r>
    </w:p>
    <w:p w14:paraId="427C3274"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Hartmann, E., Kerkfeld, D., Henke, M., 2012. Top and bottom line relevance of purchasing and supply management. J. Purch. Supply Manag. 18, 22–34. https://doi.org/10.1016/j.pursup.2011.12.001</w:t>
      </w:r>
    </w:p>
    <w:p w14:paraId="31A8757E"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Jääskeläinen, A., Heikkilä, J., 2019. Purchasing and supply management practices in customer value creation. Supply Chain Manag. Int. J. 24, 317–333. https://doi.org/10.1108/SCM-04-2018-0173</w:t>
      </w:r>
    </w:p>
    <w:p w14:paraId="26B02516"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Johnson, P.F., Shafiq, A., Awaysheh, A., Leenders, M., 2014. Supply organizations in North America: A 24 year perspective on roles and responsibilities 1987–2011. J. Purch. Supply Manag. 20, 130–141. https://doi.org/10.1016/j.pursup.2014.01.003</w:t>
      </w:r>
    </w:p>
    <w:p w14:paraId="4E8B8D51"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Jüttner, U., 2005. Supply chain risk management: Understanding the business requirements from a practitioner perspective. Int. J. Logist. Manag. 16, 120–141. https://doi.org/10.1108/09574090510617385</w:t>
      </w:r>
    </w:p>
    <w:p w14:paraId="5AB92B79"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Kähkönen, A.-K., Marttinen, K., Kontio, A., Lintukangas, K., 2023. Practices and strategies for sustainability-related risk management in multi-tier supply chains. J. Purch. Supply Manag. 29, 100848. https://doi.org/10.1016/j.pursup.2023.100848</w:t>
      </w:r>
    </w:p>
    <w:p w14:paraId="0CC5B300"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Kilpi, V., Lorentz, H., Solakivi, T., Malmsten, J., 2018. The effect of external supply knowledge acquisition, development activities and organizational status on the supply performance of SMEs. J. Purch. Supply Manag. 24, 247–259. https://doi.org/10.1016/j.pursup.2017.08.001</w:t>
      </w:r>
    </w:p>
    <w:p w14:paraId="1770CC03"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Laplume, A.O., Sonpar, K., Litz, R.A., 2008. Stakeholder Theory: Reviewing a Theory That Moves Us. J. Manag. 34, 1152–1189. https://doi.org/10.1177/0149206308324322</w:t>
      </w:r>
    </w:p>
    <w:p w14:paraId="5D4F4DBA"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Longauer, D., Hauck, Z., Vasvári, T., 2023. Make-or-buy strategies in a multi-stage manufacturing process and the role of learning effect in relocation decisions. Comput. Ind. Eng. 180, 109259. https://doi.org/10.1016/j.cie.2023.109259</w:t>
      </w:r>
    </w:p>
    <w:p w14:paraId="4665D314"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Medina, A., Cámara, Á., Monrobel, J.-R., 2016. Measuring the Socioeconomic and Environmental Effects of Energy Efficiency Investments for a More Sustainable Spanish Economy. Sustainability 8, 1039. https://doi.org/10.3390/su8101039</w:t>
      </w:r>
    </w:p>
    <w:p w14:paraId="4B5F7F6E"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Melnyk, S.A., Page, T.J., Wu, S.J., Burns, L.A., 2012. Would you mind completing this survey: Assessing the state of survey research in supply chain management. J. Purch. Supply Manag. 18, 35–45. https://doi.org/10.1016/j.pursup.2011.12.002</w:t>
      </w:r>
    </w:p>
    <w:p w14:paraId="29A87EA5"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Monczka, R.M., Trent, R.J., Callahan, T.J., 1993. Supply Base Strategies to Maximize Supplier Performance. Int. J. Phys. Distrib. Logist. Manag. 23, 42–54. https://doi.org/10.1108/09600039310041509</w:t>
      </w:r>
    </w:p>
    <w:p w14:paraId="400F580F"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Narasimhan, R., Das, A., 2001. The impact of purchasing integration and practices on manufacturing performance. J. Oper. Manag. 19, 593–609. https://doi.org/10.1016/S0272-6963(01)00055-9</w:t>
      </w:r>
    </w:p>
    <w:p w14:paraId="27B2024E"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Nollet, J., Calvi, R., Audet, E., Côté, M., 2008. When excessive cost savings measurement drowns the objectives. J. Purch. Supply Manag. 14, 125–135. https://doi.org/10.1016/j.pursup.2008.03.002</w:t>
      </w:r>
    </w:p>
    <w:p w14:paraId="730F2F6B"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Podsakoff, P.M., MacKenzie, S.B., Lee, J.-Y., Podsakoff, N.P., 2003. Common method biases in behavioral research: A critical review of the literature and recommended remedies. J. Appl. Psychol. 88, 879–903. https://doi.org/10.1037/0021-9010.88.5.879</w:t>
      </w:r>
    </w:p>
    <w:p w14:paraId="289B07D8"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Pohl, M., Förstl, K., 2011. Achieving purchasing competence through purchasing performance measurement system design—A multiple-case study analysis. J. Purch. Supply Manag. 17, 231–245. https://doi.org/10.1016/j.pursup.2011.04.001</w:t>
      </w:r>
    </w:p>
    <w:p w14:paraId="5E88B991"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Schiele, H., 2007. Supply-management maturity, cost savings and purchasing absorptive capacity: Testing the procurement–performance link. J. Purch. Supply Manag. 13, 274–293. https://doi.org/10.1016/j.pursup.2007.10.002</w:t>
      </w:r>
    </w:p>
    <w:p w14:paraId="3E43D02F"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Schiele, H., 2006. How to distinguish innovative suppliers? Identifying innovative suppliers as new task for purchasing. Ind. Mark. Manag. 35, 925–935. https://doi.org/10.1016/j.indmarman.2006.05.003</w:t>
      </w:r>
    </w:p>
    <w:p w14:paraId="4A96731D"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Schütz, K., Kässer, M., Blome, C., Foerstl, K., 2020. How to achieve cost savings and strategic performance in purchasing simultaneously: A knowledge-based view. J. Purch. Supply Manag. 26, 100534. https://doi.org/10.1016/j.pursup.2019.04.002</w:t>
      </w:r>
    </w:p>
    <w:p w14:paraId="08CB09CA"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Shin, H., Collier, D.A., Wilson, D.D., 2000. Supply management orientation and supplierrbuyer performance 17.</w:t>
      </w:r>
    </w:p>
    <w:p w14:paraId="70432D39"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Tchokogué, A., Nollet, J., Robineau, J., 2017. Supply’s strategic contribution: An empirical reality. J. Purch. Supply Manag. 23, 105–122. https://doi.org/10.1016/j.pursup.2016.07.003</w:t>
      </w:r>
    </w:p>
    <w:p w14:paraId="715FB6E1" w14:textId="77777777" w:rsidR="000968AF" w:rsidRPr="000968AF" w:rsidRDefault="000968AF" w:rsidP="000968AF">
      <w:pPr>
        <w:pStyle w:val="Bibliography"/>
        <w:rPr>
          <w:rFonts w:ascii="Times New Roman" w:hAnsi="Times New Roman" w:cs="Times New Roman"/>
          <w:kern w:val="0"/>
          <w:lang w:val="en-GB"/>
        </w:rPr>
      </w:pPr>
      <w:r>
        <w:rPr>
          <w:rFonts w:ascii="Times New Roman" w:hAnsi="Times New Roman" w:cs="Times New Roman"/>
          <w:kern w:val="0"/>
        </w:rPr>
        <w:t xml:space="preserve">Úbeda, R., Alsua, C., Carrasco, N., 2015. </w:t>
      </w:r>
      <w:r w:rsidRPr="000968AF">
        <w:rPr>
          <w:rFonts w:ascii="Times New Roman" w:hAnsi="Times New Roman" w:cs="Times New Roman"/>
          <w:kern w:val="0"/>
          <w:lang w:val="en-GB"/>
        </w:rPr>
        <w:t>Purchasing models and organizational performance: a study of key strategic tools. J. Bus. Res. 68, 177–188. https://doi.org/10.1016/j.jbusres.2014.09.026</w:t>
      </w:r>
    </w:p>
    <w:p w14:paraId="7FF7C3E1"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Ueltschy Murfield, M.L., Ellram, L.M., Giunipero, L.C., 2021. Moving purchasing &amp; supply management beyond a cost-focused identity. J. Purch. Supply Manag. 27, 100687. https://doi.org/10.1016/j.pursup.2021.100687</w:t>
      </w:r>
    </w:p>
    <w:p w14:paraId="5F228F8A"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Uyar, M., 2014. A Research on Total Cost of Ownership and Firm Profitability. Res. J. Finance Account.</w:t>
      </w:r>
    </w:p>
    <w:p w14:paraId="4BE98443"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van Hoek, R., Sankararaman, V., Udesen, T., Geurts, T., Palumbo-Miele, D., 2020. Where we are heading and the research that can help us get there – Executive perspectives on the anniversary of the Journal of Purchasing and Supply Management. J. Purch. Supply Manag. 26, 100621. https://doi.org/10.1016/j.pursup.2020.100621</w:t>
      </w:r>
    </w:p>
    <w:p w14:paraId="5883E417"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van Weele, A.J., van Raaij, E.M., 2014. The Future of Purchasing and Supply Management Research: About Relevance and Rigor. J. Supply Chain Manag. 50, 56–72. https://doi.org/10.1111/jscm.12042</w:t>
      </w:r>
    </w:p>
    <w:p w14:paraId="56D239D2" w14:textId="77777777" w:rsidR="000968AF" w:rsidRPr="000968AF" w:rsidRDefault="000968AF" w:rsidP="000968AF">
      <w:pPr>
        <w:pStyle w:val="Bibliography"/>
        <w:rPr>
          <w:rFonts w:ascii="Times New Roman" w:hAnsi="Times New Roman" w:cs="Times New Roman"/>
          <w:kern w:val="0"/>
          <w:lang w:val="en-GB"/>
        </w:rPr>
      </w:pPr>
      <w:r w:rsidRPr="000968AF">
        <w:rPr>
          <w:rFonts w:ascii="Times New Roman" w:hAnsi="Times New Roman" w:cs="Times New Roman"/>
          <w:kern w:val="0"/>
          <w:lang w:val="en-GB"/>
        </w:rPr>
        <w:t>Wheel Wright, S.C., 1984. Manufacturing strategy: Defining the missing link. Strateg. Manag. J. 5, 77–91. https://doi.org/10.1002/smj.4250050106</w:t>
      </w:r>
    </w:p>
    <w:p w14:paraId="5A01039B" w14:textId="77777777" w:rsidR="000968AF" w:rsidRDefault="000968AF" w:rsidP="000968AF">
      <w:pPr>
        <w:pStyle w:val="Bibliography"/>
        <w:rPr>
          <w:rFonts w:ascii="Times New Roman" w:hAnsi="Times New Roman" w:cs="Times New Roman"/>
          <w:kern w:val="0"/>
        </w:rPr>
      </w:pPr>
      <w:r w:rsidRPr="000968AF">
        <w:rPr>
          <w:rFonts w:ascii="Times New Roman" w:hAnsi="Times New Roman" w:cs="Times New Roman"/>
          <w:kern w:val="0"/>
          <w:lang w:val="en-GB"/>
        </w:rPr>
        <w:t xml:space="preserve">Wynstra, F., Suurmond, R., Nullmeier, F., 2019. Purchasing and supply management as a multidisciplinary research field: Unity in diversity? </w:t>
      </w:r>
      <w:r>
        <w:rPr>
          <w:rFonts w:ascii="Times New Roman" w:hAnsi="Times New Roman" w:cs="Times New Roman"/>
          <w:kern w:val="0"/>
        </w:rPr>
        <w:t>J. Purch. Supply Manag. 25, 100578. https://doi.org/10.1016/j.pursup.2019.100578</w:t>
      </w:r>
    </w:p>
    <w:p w14:paraId="3F5BC3F6" w14:textId="7A9811EB" w:rsidR="003B255D" w:rsidRPr="00EB17E5" w:rsidRDefault="00D83A30" w:rsidP="00705E36">
      <w:pPr>
        <w:pStyle w:val="Bibliography"/>
        <w:ind w:right="140"/>
        <w:rPr>
          <w:rFonts w:ascii="Times New Roman" w:hAnsi="Times New Roman" w:cs="Times New Roman"/>
          <w:lang w:val="en-US"/>
        </w:rPr>
      </w:pPr>
      <w:r w:rsidRPr="00A87374">
        <w:rPr>
          <w:rFonts w:ascii="Arial" w:hAnsi="Arial" w:cs="Arial"/>
        </w:rPr>
        <w:fldChar w:fldCharType="end"/>
      </w:r>
    </w:p>
    <w:sectPr w:rsidR="003B255D" w:rsidRPr="00EB17E5" w:rsidSect="006C3C8A">
      <w:footerReference w:type="default" r:id="rId20"/>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A2E94C" w14:textId="77777777" w:rsidR="00D377A3" w:rsidRDefault="00D377A3" w:rsidP="00EB6E88">
      <w:pPr>
        <w:spacing w:after="0" w:line="240" w:lineRule="auto"/>
      </w:pPr>
      <w:r>
        <w:separator/>
      </w:r>
    </w:p>
  </w:endnote>
  <w:endnote w:type="continuationSeparator" w:id="0">
    <w:p w14:paraId="56134582" w14:textId="77777777" w:rsidR="00D377A3" w:rsidRDefault="00D377A3" w:rsidP="00EB6E88">
      <w:pPr>
        <w:spacing w:after="0" w:line="240" w:lineRule="auto"/>
      </w:pPr>
      <w:r>
        <w:continuationSeparator/>
      </w:r>
    </w:p>
  </w:endnote>
  <w:endnote w:type="continuationNotice" w:id="1">
    <w:p w14:paraId="0EA932E4" w14:textId="77777777" w:rsidR="00D377A3" w:rsidRDefault="00D377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97562442"/>
      <w:docPartObj>
        <w:docPartGallery w:val="Page Numbers (Bottom of Page)"/>
        <w:docPartUnique/>
      </w:docPartObj>
    </w:sdtPr>
    <w:sdtEndPr/>
    <w:sdtContent>
      <w:p w14:paraId="66308EB4" w14:textId="2CE4C445" w:rsidR="00933E9D" w:rsidRDefault="00933E9D">
        <w:pPr>
          <w:pStyle w:val="Footer"/>
          <w:jc w:val="center"/>
        </w:pPr>
        <w:r>
          <w:fldChar w:fldCharType="begin"/>
        </w:r>
        <w:r>
          <w:instrText>PAGE   \* MERGEFORMAT</w:instrText>
        </w:r>
        <w:r>
          <w:fldChar w:fldCharType="separate"/>
        </w:r>
        <w:r>
          <w:t>2</w:t>
        </w:r>
        <w:r>
          <w:fldChar w:fldCharType="end"/>
        </w:r>
      </w:p>
    </w:sdtContent>
  </w:sdt>
  <w:p w14:paraId="286CE2E6" w14:textId="77777777" w:rsidR="00933E9D" w:rsidRDefault="00933E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CE19B0" w14:textId="77777777" w:rsidR="00D377A3" w:rsidRDefault="00D377A3" w:rsidP="00EB6E88">
      <w:pPr>
        <w:spacing w:after="0" w:line="240" w:lineRule="auto"/>
      </w:pPr>
      <w:r>
        <w:separator/>
      </w:r>
    </w:p>
  </w:footnote>
  <w:footnote w:type="continuationSeparator" w:id="0">
    <w:p w14:paraId="30264C00" w14:textId="77777777" w:rsidR="00D377A3" w:rsidRDefault="00D377A3" w:rsidP="00EB6E88">
      <w:pPr>
        <w:spacing w:after="0" w:line="240" w:lineRule="auto"/>
      </w:pPr>
      <w:r>
        <w:continuationSeparator/>
      </w:r>
    </w:p>
  </w:footnote>
  <w:footnote w:type="continuationNotice" w:id="1">
    <w:p w14:paraId="1ED12F91" w14:textId="77777777" w:rsidR="00D377A3" w:rsidRDefault="00D377A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3B04A0"/>
    <w:multiLevelType w:val="multilevel"/>
    <w:tmpl w:val="0C0A001F"/>
    <w:styleLink w:val="Estilo2"/>
    <w:lvl w:ilvl="0">
      <w:start w:val="5"/>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5227F13"/>
    <w:multiLevelType w:val="multilevel"/>
    <w:tmpl w:val="F61883E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7CA30BC"/>
    <w:multiLevelType w:val="multilevel"/>
    <w:tmpl w:val="CB06620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30B546EE"/>
    <w:multiLevelType w:val="multilevel"/>
    <w:tmpl w:val="1FBE2A06"/>
    <w:styleLink w:val="Estilo3"/>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DF513D7"/>
    <w:multiLevelType w:val="hybridMultilevel"/>
    <w:tmpl w:val="9384CF98"/>
    <w:lvl w:ilvl="0" w:tplc="0C0A000F">
      <w:start w:val="8"/>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5D4019F3"/>
    <w:multiLevelType w:val="multilevel"/>
    <w:tmpl w:val="EB64F39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5F5630F5"/>
    <w:multiLevelType w:val="multilevel"/>
    <w:tmpl w:val="0C0A001F"/>
    <w:styleLink w:val="Estilo4"/>
    <w:lvl w:ilvl="0">
      <w:start w:val="1"/>
      <w:numFmt w:val="decimal"/>
      <w:lvlText w:val="%1."/>
      <w:lvlJc w:val="left"/>
      <w:pPr>
        <w:ind w:left="360" w:hanging="360"/>
      </w:pPr>
      <w:rPr>
        <w:rFonts w:hint="default"/>
      </w:rPr>
    </w:lvl>
    <w:lvl w:ilvl="1">
      <w:start w:val="5"/>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6D68086E"/>
    <w:multiLevelType w:val="multilevel"/>
    <w:tmpl w:val="4CA4AA5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7FC44CA6"/>
    <w:multiLevelType w:val="multilevel"/>
    <w:tmpl w:val="0C0A001D"/>
    <w:styleLink w:val="Estilo1"/>
    <w:lvl w:ilvl="0">
      <w:start w:val="5"/>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254515493">
    <w:abstractNumId w:val="5"/>
  </w:num>
  <w:num w:numId="2" w16cid:durableId="1362702759">
    <w:abstractNumId w:val="1"/>
  </w:num>
  <w:num w:numId="3" w16cid:durableId="950013648">
    <w:abstractNumId w:val="8"/>
  </w:num>
  <w:num w:numId="4" w16cid:durableId="481166261">
    <w:abstractNumId w:val="0"/>
  </w:num>
  <w:num w:numId="5" w16cid:durableId="1351370766">
    <w:abstractNumId w:val="3"/>
  </w:num>
  <w:num w:numId="6" w16cid:durableId="1407261809">
    <w:abstractNumId w:val="6"/>
  </w:num>
  <w:num w:numId="7" w16cid:durableId="2039306664">
    <w:abstractNumId w:val="4"/>
  </w:num>
  <w:num w:numId="8" w16cid:durableId="2283445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5720744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6BDD"/>
    <w:rsid w:val="000004B1"/>
    <w:rsid w:val="000007DC"/>
    <w:rsid w:val="00000DFB"/>
    <w:rsid w:val="00000E42"/>
    <w:rsid w:val="0000102B"/>
    <w:rsid w:val="000010ED"/>
    <w:rsid w:val="000013BF"/>
    <w:rsid w:val="00001447"/>
    <w:rsid w:val="00001808"/>
    <w:rsid w:val="00001890"/>
    <w:rsid w:val="00001EF4"/>
    <w:rsid w:val="00001F5A"/>
    <w:rsid w:val="000024D2"/>
    <w:rsid w:val="00002CB9"/>
    <w:rsid w:val="00002D0A"/>
    <w:rsid w:val="00002EE1"/>
    <w:rsid w:val="00003682"/>
    <w:rsid w:val="0000373B"/>
    <w:rsid w:val="00003A00"/>
    <w:rsid w:val="00003DD7"/>
    <w:rsid w:val="00004030"/>
    <w:rsid w:val="000041FA"/>
    <w:rsid w:val="000042CB"/>
    <w:rsid w:val="00004314"/>
    <w:rsid w:val="0000446F"/>
    <w:rsid w:val="00004934"/>
    <w:rsid w:val="00004A31"/>
    <w:rsid w:val="00004BE2"/>
    <w:rsid w:val="0000513C"/>
    <w:rsid w:val="00005261"/>
    <w:rsid w:val="000058CC"/>
    <w:rsid w:val="00006256"/>
    <w:rsid w:val="0000625B"/>
    <w:rsid w:val="000063A4"/>
    <w:rsid w:val="0000658E"/>
    <w:rsid w:val="00006736"/>
    <w:rsid w:val="00006933"/>
    <w:rsid w:val="00006B9F"/>
    <w:rsid w:val="00006C5D"/>
    <w:rsid w:val="00006DF1"/>
    <w:rsid w:val="00007031"/>
    <w:rsid w:val="00007032"/>
    <w:rsid w:val="00007294"/>
    <w:rsid w:val="0000729E"/>
    <w:rsid w:val="0000750E"/>
    <w:rsid w:val="00007577"/>
    <w:rsid w:val="00007ACF"/>
    <w:rsid w:val="00007F23"/>
    <w:rsid w:val="000102A8"/>
    <w:rsid w:val="000108F2"/>
    <w:rsid w:val="0001098F"/>
    <w:rsid w:val="00010F9E"/>
    <w:rsid w:val="00010FDB"/>
    <w:rsid w:val="000110E8"/>
    <w:rsid w:val="00011BD9"/>
    <w:rsid w:val="00011E69"/>
    <w:rsid w:val="000120E9"/>
    <w:rsid w:val="000122AD"/>
    <w:rsid w:val="000122EA"/>
    <w:rsid w:val="00012382"/>
    <w:rsid w:val="00012415"/>
    <w:rsid w:val="000129B3"/>
    <w:rsid w:val="000131F4"/>
    <w:rsid w:val="00013269"/>
    <w:rsid w:val="0001333A"/>
    <w:rsid w:val="0001353E"/>
    <w:rsid w:val="0001358A"/>
    <w:rsid w:val="00013A26"/>
    <w:rsid w:val="0001413B"/>
    <w:rsid w:val="00014914"/>
    <w:rsid w:val="00014A3A"/>
    <w:rsid w:val="00014A64"/>
    <w:rsid w:val="0001507D"/>
    <w:rsid w:val="000159F7"/>
    <w:rsid w:val="00015BD0"/>
    <w:rsid w:val="00015BD8"/>
    <w:rsid w:val="00015C3B"/>
    <w:rsid w:val="00015C8C"/>
    <w:rsid w:val="00015FFE"/>
    <w:rsid w:val="00016569"/>
    <w:rsid w:val="000165C5"/>
    <w:rsid w:val="000168F4"/>
    <w:rsid w:val="00016A6E"/>
    <w:rsid w:val="00016AD2"/>
    <w:rsid w:val="00016EA0"/>
    <w:rsid w:val="00016FCF"/>
    <w:rsid w:val="00017870"/>
    <w:rsid w:val="00017B30"/>
    <w:rsid w:val="00017BD0"/>
    <w:rsid w:val="00017F51"/>
    <w:rsid w:val="00020175"/>
    <w:rsid w:val="00020867"/>
    <w:rsid w:val="00020C7C"/>
    <w:rsid w:val="00020D1E"/>
    <w:rsid w:val="0002153B"/>
    <w:rsid w:val="0002190D"/>
    <w:rsid w:val="00021B44"/>
    <w:rsid w:val="00021BB3"/>
    <w:rsid w:val="00021C47"/>
    <w:rsid w:val="00022052"/>
    <w:rsid w:val="00022114"/>
    <w:rsid w:val="0002256F"/>
    <w:rsid w:val="000229FC"/>
    <w:rsid w:val="00022BFA"/>
    <w:rsid w:val="00022D46"/>
    <w:rsid w:val="00022DA5"/>
    <w:rsid w:val="00023235"/>
    <w:rsid w:val="00023532"/>
    <w:rsid w:val="00023B92"/>
    <w:rsid w:val="00023DC4"/>
    <w:rsid w:val="00023E67"/>
    <w:rsid w:val="00023E88"/>
    <w:rsid w:val="00023ED9"/>
    <w:rsid w:val="00023F21"/>
    <w:rsid w:val="00023F63"/>
    <w:rsid w:val="00024050"/>
    <w:rsid w:val="00024474"/>
    <w:rsid w:val="00024CCF"/>
    <w:rsid w:val="00024CD8"/>
    <w:rsid w:val="00024D7A"/>
    <w:rsid w:val="00024E24"/>
    <w:rsid w:val="00024EAB"/>
    <w:rsid w:val="00024EF0"/>
    <w:rsid w:val="00024FE0"/>
    <w:rsid w:val="00025287"/>
    <w:rsid w:val="0002543C"/>
    <w:rsid w:val="00025466"/>
    <w:rsid w:val="00025824"/>
    <w:rsid w:val="000265A2"/>
    <w:rsid w:val="00026728"/>
    <w:rsid w:val="000268E9"/>
    <w:rsid w:val="00026A54"/>
    <w:rsid w:val="00026A89"/>
    <w:rsid w:val="00026E55"/>
    <w:rsid w:val="000271B3"/>
    <w:rsid w:val="000274CF"/>
    <w:rsid w:val="000274E4"/>
    <w:rsid w:val="0002773A"/>
    <w:rsid w:val="00027947"/>
    <w:rsid w:val="00027E0D"/>
    <w:rsid w:val="0003013F"/>
    <w:rsid w:val="000308C6"/>
    <w:rsid w:val="00030BF6"/>
    <w:rsid w:val="00030E9A"/>
    <w:rsid w:val="0003100B"/>
    <w:rsid w:val="000313A5"/>
    <w:rsid w:val="00031580"/>
    <w:rsid w:val="000315B1"/>
    <w:rsid w:val="00031871"/>
    <w:rsid w:val="00031D21"/>
    <w:rsid w:val="0003225D"/>
    <w:rsid w:val="00032540"/>
    <w:rsid w:val="00033073"/>
    <w:rsid w:val="000331B1"/>
    <w:rsid w:val="00033377"/>
    <w:rsid w:val="00033467"/>
    <w:rsid w:val="000334C2"/>
    <w:rsid w:val="000334DD"/>
    <w:rsid w:val="0003389D"/>
    <w:rsid w:val="00033B14"/>
    <w:rsid w:val="00033B5A"/>
    <w:rsid w:val="00033E43"/>
    <w:rsid w:val="00034393"/>
    <w:rsid w:val="000343FF"/>
    <w:rsid w:val="00034459"/>
    <w:rsid w:val="000344B0"/>
    <w:rsid w:val="000346FA"/>
    <w:rsid w:val="000348C2"/>
    <w:rsid w:val="00034E85"/>
    <w:rsid w:val="00034F1F"/>
    <w:rsid w:val="00034F6C"/>
    <w:rsid w:val="00035201"/>
    <w:rsid w:val="00035251"/>
    <w:rsid w:val="0003537E"/>
    <w:rsid w:val="0003567E"/>
    <w:rsid w:val="00035C31"/>
    <w:rsid w:val="00035E1F"/>
    <w:rsid w:val="00036190"/>
    <w:rsid w:val="00036445"/>
    <w:rsid w:val="00036688"/>
    <w:rsid w:val="00036926"/>
    <w:rsid w:val="00036D41"/>
    <w:rsid w:val="00036E5B"/>
    <w:rsid w:val="0003706C"/>
    <w:rsid w:val="000370F1"/>
    <w:rsid w:val="00037169"/>
    <w:rsid w:val="0003719F"/>
    <w:rsid w:val="000375C3"/>
    <w:rsid w:val="00037642"/>
    <w:rsid w:val="00037921"/>
    <w:rsid w:val="00040168"/>
    <w:rsid w:val="00040258"/>
    <w:rsid w:val="00040441"/>
    <w:rsid w:val="000406FE"/>
    <w:rsid w:val="0004074D"/>
    <w:rsid w:val="00040769"/>
    <w:rsid w:val="00040CC0"/>
    <w:rsid w:val="00040EDE"/>
    <w:rsid w:val="00040F60"/>
    <w:rsid w:val="000418A4"/>
    <w:rsid w:val="00041F5C"/>
    <w:rsid w:val="00042346"/>
    <w:rsid w:val="00042417"/>
    <w:rsid w:val="000425B8"/>
    <w:rsid w:val="00042701"/>
    <w:rsid w:val="00042AD3"/>
    <w:rsid w:val="00042D5B"/>
    <w:rsid w:val="00042D97"/>
    <w:rsid w:val="00042F95"/>
    <w:rsid w:val="000433D7"/>
    <w:rsid w:val="00043561"/>
    <w:rsid w:val="000438F0"/>
    <w:rsid w:val="00043C01"/>
    <w:rsid w:val="00043C61"/>
    <w:rsid w:val="00043D6E"/>
    <w:rsid w:val="00044222"/>
    <w:rsid w:val="00044224"/>
    <w:rsid w:val="000442E6"/>
    <w:rsid w:val="0004456E"/>
    <w:rsid w:val="00044A60"/>
    <w:rsid w:val="00044B25"/>
    <w:rsid w:val="00044C6E"/>
    <w:rsid w:val="00044CB8"/>
    <w:rsid w:val="00044F3C"/>
    <w:rsid w:val="00044FD9"/>
    <w:rsid w:val="00045B33"/>
    <w:rsid w:val="00045B6E"/>
    <w:rsid w:val="00046033"/>
    <w:rsid w:val="00046111"/>
    <w:rsid w:val="0004633E"/>
    <w:rsid w:val="00046442"/>
    <w:rsid w:val="00046637"/>
    <w:rsid w:val="00046685"/>
    <w:rsid w:val="00046D4D"/>
    <w:rsid w:val="00046DBA"/>
    <w:rsid w:val="00046EC9"/>
    <w:rsid w:val="000476BF"/>
    <w:rsid w:val="00047A12"/>
    <w:rsid w:val="00047DDA"/>
    <w:rsid w:val="00047E1A"/>
    <w:rsid w:val="00047FE5"/>
    <w:rsid w:val="000502E0"/>
    <w:rsid w:val="00050372"/>
    <w:rsid w:val="00050545"/>
    <w:rsid w:val="0005084A"/>
    <w:rsid w:val="00050C8A"/>
    <w:rsid w:val="00050F8B"/>
    <w:rsid w:val="00051178"/>
    <w:rsid w:val="00051B93"/>
    <w:rsid w:val="00051E26"/>
    <w:rsid w:val="00051EED"/>
    <w:rsid w:val="00052334"/>
    <w:rsid w:val="00052897"/>
    <w:rsid w:val="00052953"/>
    <w:rsid w:val="00052A12"/>
    <w:rsid w:val="00052B82"/>
    <w:rsid w:val="00052C23"/>
    <w:rsid w:val="00052E64"/>
    <w:rsid w:val="00052F0F"/>
    <w:rsid w:val="00053206"/>
    <w:rsid w:val="00053644"/>
    <w:rsid w:val="00053742"/>
    <w:rsid w:val="000537AE"/>
    <w:rsid w:val="00054010"/>
    <w:rsid w:val="00054190"/>
    <w:rsid w:val="000542D4"/>
    <w:rsid w:val="000543E7"/>
    <w:rsid w:val="0005459F"/>
    <w:rsid w:val="00054E19"/>
    <w:rsid w:val="00054EA7"/>
    <w:rsid w:val="00055069"/>
    <w:rsid w:val="000552D5"/>
    <w:rsid w:val="0005586E"/>
    <w:rsid w:val="0005588E"/>
    <w:rsid w:val="0005596A"/>
    <w:rsid w:val="00055A0E"/>
    <w:rsid w:val="00055E08"/>
    <w:rsid w:val="000562A4"/>
    <w:rsid w:val="00056372"/>
    <w:rsid w:val="00056387"/>
    <w:rsid w:val="00056770"/>
    <w:rsid w:val="00056C0C"/>
    <w:rsid w:val="00056D85"/>
    <w:rsid w:val="0005729F"/>
    <w:rsid w:val="000579ED"/>
    <w:rsid w:val="00057D84"/>
    <w:rsid w:val="00057EA1"/>
    <w:rsid w:val="000603E5"/>
    <w:rsid w:val="000606AC"/>
    <w:rsid w:val="00060B07"/>
    <w:rsid w:val="00061477"/>
    <w:rsid w:val="00061D85"/>
    <w:rsid w:val="00061EFD"/>
    <w:rsid w:val="00061F63"/>
    <w:rsid w:val="0006210C"/>
    <w:rsid w:val="0006239C"/>
    <w:rsid w:val="00062B36"/>
    <w:rsid w:val="00062BC8"/>
    <w:rsid w:val="000631AA"/>
    <w:rsid w:val="00063279"/>
    <w:rsid w:val="00063413"/>
    <w:rsid w:val="00063869"/>
    <w:rsid w:val="00063D01"/>
    <w:rsid w:val="00064026"/>
    <w:rsid w:val="00064060"/>
    <w:rsid w:val="00064769"/>
    <w:rsid w:val="00064B3D"/>
    <w:rsid w:val="00064BB7"/>
    <w:rsid w:val="00064F95"/>
    <w:rsid w:val="0006537A"/>
    <w:rsid w:val="00065450"/>
    <w:rsid w:val="00065692"/>
    <w:rsid w:val="000656B9"/>
    <w:rsid w:val="00065859"/>
    <w:rsid w:val="000658DF"/>
    <w:rsid w:val="000659DB"/>
    <w:rsid w:val="00065A61"/>
    <w:rsid w:val="0006604F"/>
    <w:rsid w:val="0006612E"/>
    <w:rsid w:val="00066393"/>
    <w:rsid w:val="0006681E"/>
    <w:rsid w:val="00066AFC"/>
    <w:rsid w:val="00066ED6"/>
    <w:rsid w:val="000674F5"/>
    <w:rsid w:val="000676DF"/>
    <w:rsid w:val="00067788"/>
    <w:rsid w:val="0006790A"/>
    <w:rsid w:val="0006795B"/>
    <w:rsid w:val="00067C00"/>
    <w:rsid w:val="00070773"/>
    <w:rsid w:val="00070C4F"/>
    <w:rsid w:val="00070E6E"/>
    <w:rsid w:val="00071114"/>
    <w:rsid w:val="0007146A"/>
    <w:rsid w:val="00071673"/>
    <w:rsid w:val="00071A6B"/>
    <w:rsid w:val="00071CD5"/>
    <w:rsid w:val="00072003"/>
    <w:rsid w:val="0007210D"/>
    <w:rsid w:val="00072157"/>
    <w:rsid w:val="000721CE"/>
    <w:rsid w:val="00072252"/>
    <w:rsid w:val="00072375"/>
    <w:rsid w:val="000723B9"/>
    <w:rsid w:val="000725D5"/>
    <w:rsid w:val="0007265A"/>
    <w:rsid w:val="000726BA"/>
    <w:rsid w:val="00072AC2"/>
    <w:rsid w:val="00072B02"/>
    <w:rsid w:val="00072D6D"/>
    <w:rsid w:val="00072D9D"/>
    <w:rsid w:val="00073247"/>
    <w:rsid w:val="00073405"/>
    <w:rsid w:val="00073456"/>
    <w:rsid w:val="00073472"/>
    <w:rsid w:val="0007376F"/>
    <w:rsid w:val="000737E6"/>
    <w:rsid w:val="00073BA2"/>
    <w:rsid w:val="00073BBE"/>
    <w:rsid w:val="0007400B"/>
    <w:rsid w:val="00074222"/>
    <w:rsid w:val="000746BE"/>
    <w:rsid w:val="00074777"/>
    <w:rsid w:val="0007496A"/>
    <w:rsid w:val="00074B47"/>
    <w:rsid w:val="00075000"/>
    <w:rsid w:val="000756B5"/>
    <w:rsid w:val="00075D61"/>
    <w:rsid w:val="00075F79"/>
    <w:rsid w:val="00076925"/>
    <w:rsid w:val="00076A55"/>
    <w:rsid w:val="00076ADE"/>
    <w:rsid w:val="00076D67"/>
    <w:rsid w:val="00076FAF"/>
    <w:rsid w:val="0007727B"/>
    <w:rsid w:val="00077BB1"/>
    <w:rsid w:val="00077DFA"/>
    <w:rsid w:val="000803F1"/>
    <w:rsid w:val="0008053D"/>
    <w:rsid w:val="0008053E"/>
    <w:rsid w:val="00080A2B"/>
    <w:rsid w:val="00081102"/>
    <w:rsid w:val="000820A3"/>
    <w:rsid w:val="000827FA"/>
    <w:rsid w:val="00082956"/>
    <w:rsid w:val="00082986"/>
    <w:rsid w:val="00082C3C"/>
    <w:rsid w:val="00083363"/>
    <w:rsid w:val="00083673"/>
    <w:rsid w:val="00083861"/>
    <w:rsid w:val="00083922"/>
    <w:rsid w:val="00083CC7"/>
    <w:rsid w:val="00083D10"/>
    <w:rsid w:val="000840DB"/>
    <w:rsid w:val="00084459"/>
    <w:rsid w:val="00084748"/>
    <w:rsid w:val="000853B4"/>
    <w:rsid w:val="0008541E"/>
    <w:rsid w:val="000854C3"/>
    <w:rsid w:val="000858B6"/>
    <w:rsid w:val="0008596F"/>
    <w:rsid w:val="000859AD"/>
    <w:rsid w:val="00085A5A"/>
    <w:rsid w:val="00085BDA"/>
    <w:rsid w:val="00085DB0"/>
    <w:rsid w:val="00085DC2"/>
    <w:rsid w:val="000863B0"/>
    <w:rsid w:val="000865D5"/>
    <w:rsid w:val="00086A9B"/>
    <w:rsid w:val="00086C33"/>
    <w:rsid w:val="0008738F"/>
    <w:rsid w:val="000874A0"/>
    <w:rsid w:val="00087576"/>
    <w:rsid w:val="00087BA9"/>
    <w:rsid w:val="00087F8B"/>
    <w:rsid w:val="00090593"/>
    <w:rsid w:val="00090875"/>
    <w:rsid w:val="000908F6"/>
    <w:rsid w:val="00090A60"/>
    <w:rsid w:val="00091021"/>
    <w:rsid w:val="000910ED"/>
    <w:rsid w:val="0009111E"/>
    <w:rsid w:val="0009130A"/>
    <w:rsid w:val="0009135F"/>
    <w:rsid w:val="00091423"/>
    <w:rsid w:val="00091425"/>
    <w:rsid w:val="00091526"/>
    <w:rsid w:val="0009183E"/>
    <w:rsid w:val="00091A8A"/>
    <w:rsid w:val="00091DF1"/>
    <w:rsid w:val="00091EF0"/>
    <w:rsid w:val="00091EF5"/>
    <w:rsid w:val="00091F6C"/>
    <w:rsid w:val="00092016"/>
    <w:rsid w:val="000920C2"/>
    <w:rsid w:val="00092387"/>
    <w:rsid w:val="0009259F"/>
    <w:rsid w:val="000925E3"/>
    <w:rsid w:val="00092A2F"/>
    <w:rsid w:val="00092A7E"/>
    <w:rsid w:val="00092CF1"/>
    <w:rsid w:val="000947B0"/>
    <w:rsid w:val="00094DC6"/>
    <w:rsid w:val="00094F27"/>
    <w:rsid w:val="0009517D"/>
    <w:rsid w:val="00095508"/>
    <w:rsid w:val="00095943"/>
    <w:rsid w:val="00095B10"/>
    <w:rsid w:val="00095F3A"/>
    <w:rsid w:val="000966A0"/>
    <w:rsid w:val="000968AF"/>
    <w:rsid w:val="00096A48"/>
    <w:rsid w:val="00096D43"/>
    <w:rsid w:val="00096E68"/>
    <w:rsid w:val="0009716F"/>
    <w:rsid w:val="00097268"/>
    <w:rsid w:val="00097C3E"/>
    <w:rsid w:val="00097CD2"/>
    <w:rsid w:val="00097DF0"/>
    <w:rsid w:val="00097F59"/>
    <w:rsid w:val="000A0046"/>
    <w:rsid w:val="000A031C"/>
    <w:rsid w:val="000A07FE"/>
    <w:rsid w:val="000A0E1C"/>
    <w:rsid w:val="000A102A"/>
    <w:rsid w:val="000A10FC"/>
    <w:rsid w:val="000A16E6"/>
    <w:rsid w:val="000A194D"/>
    <w:rsid w:val="000A1DE2"/>
    <w:rsid w:val="000A2432"/>
    <w:rsid w:val="000A28A7"/>
    <w:rsid w:val="000A2A34"/>
    <w:rsid w:val="000A2A85"/>
    <w:rsid w:val="000A2C90"/>
    <w:rsid w:val="000A2E13"/>
    <w:rsid w:val="000A2E28"/>
    <w:rsid w:val="000A2F0E"/>
    <w:rsid w:val="000A2F4A"/>
    <w:rsid w:val="000A2FC2"/>
    <w:rsid w:val="000A3162"/>
    <w:rsid w:val="000A3235"/>
    <w:rsid w:val="000A33F0"/>
    <w:rsid w:val="000A34A4"/>
    <w:rsid w:val="000A3757"/>
    <w:rsid w:val="000A381B"/>
    <w:rsid w:val="000A3BF0"/>
    <w:rsid w:val="000A4293"/>
    <w:rsid w:val="000A45DA"/>
    <w:rsid w:val="000A46F6"/>
    <w:rsid w:val="000A474B"/>
    <w:rsid w:val="000A494B"/>
    <w:rsid w:val="000A4C49"/>
    <w:rsid w:val="000A4D6E"/>
    <w:rsid w:val="000A4E03"/>
    <w:rsid w:val="000A4E46"/>
    <w:rsid w:val="000A4E4D"/>
    <w:rsid w:val="000A4E57"/>
    <w:rsid w:val="000A505D"/>
    <w:rsid w:val="000A51A9"/>
    <w:rsid w:val="000A5317"/>
    <w:rsid w:val="000A5478"/>
    <w:rsid w:val="000A56FB"/>
    <w:rsid w:val="000A5D8B"/>
    <w:rsid w:val="000A6433"/>
    <w:rsid w:val="000A6561"/>
    <w:rsid w:val="000A67DF"/>
    <w:rsid w:val="000A69B9"/>
    <w:rsid w:val="000A69C8"/>
    <w:rsid w:val="000A6B41"/>
    <w:rsid w:val="000A6D2D"/>
    <w:rsid w:val="000A6DBC"/>
    <w:rsid w:val="000A6DD2"/>
    <w:rsid w:val="000A74B5"/>
    <w:rsid w:val="000A7557"/>
    <w:rsid w:val="000A76CB"/>
    <w:rsid w:val="000A7D75"/>
    <w:rsid w:val="000A7F71"/>
    <w:rsid w:val="000A7F93"/>
    <w:rsid w:val="000B00D3"/>
    <w:rsid w:val="000B07BC"/>
    <w:rsid w:val="000B0CEF"/>
    <w:rsid w:val="000B0CF0"/>
    <w:rsid w:val="000B118B"/>
    <w:rsid w:val="000B1520"/>
    <w:rsid w:val="000B1632"/>
    <w:rsid w:val="000B1A66"/>
    <w:rsid w:val="000B1D0F"/>
    <w:rsid w:val="000B1DB4"/>
    <w:rsid w:val="000B1F6D"/>
    <w:rsid w:val="000B2280"/>
    <w:rsid w:val="000B22F3"/>
    <w:rsid w:val="000B24D5"/>
    <w:rsid w:val="000B2849"/>
    <w:rsid w:val="000B2AFE"/>
    <w:rsid w:val="000B31CA"/>
    <w:rsid w:val="000B324A"/>
    <w:rsid w:val="000B37B2"/>
    <w:rsid w:val="000B3F3C"/>
    <w:rsid w:val="000B4023"/>
    <w:rsid w:val="000B403C"/>
    <w:rsid w:val="000B4230"/>
    <w:rsid w:val="000B4B1D"/>
    <w:rsid w:val="000B4C93"/>
    <w:rsid w:val="000B4E7B"/>
    <w:rsid w:val="000B4EE8"/>
    <w:rsid w:val="000B52DB"/>
    <w:rsid w:val="000B5A12"/>
    <w:rsid w:val="000B5F63"/>
    <w:rsid w:val="000B65B1"/>
    <w:rsid w:val="000B67DA"/>
    <w:rsid w:val="000B6920"/>
    <w:rsid w:val="000B6A9B"/>
    <w:rsid w:val="000B6C75"/>
    <w:rsid w:val="000B72A6"/>
    <w:rsid w:val="000B72BB"/>
    <w:rsid w:val="000B73FD"/>
    <w:rsid w:val="000B743F"/>
    <w:rsid w:val="000B7585"/>
    <w:rsid w:val="000B782A"/>
    <w:rsid w:val="000B7AAE"/>
    <w:rsid w:val="000B7BCC"/>
    <w:rsid w:val="000B7D42"/>
    <w:rsid w:val="000C0381"/>
    <w:rsid w:val="000C0D67"/>
    <w:rsid w:val="000C10EE"/>
    <w:rsid w:val="000C1160"/>
    <w:rsid w:val="000C11F0"/>
    <w:rsid w:val="000C1425"/>
    <w:rsid w:val="000C14C7"/>
    <w:rsid w:val="000C14D4"/>
    <w:rsid w:val="000C1549"/>
    <w:rsid w:val="000C21FF"/>
    <w:rsid w:val="000C2304"/>
    <w:rsid w:val="000C25A3"/>
    <w:rsid w:val="000C26B0"/>
    <w:rsid w:val="000C26CA"/>
    <w:rsid w:val="000C26F6"/>
    <w:rsid w:val="000C2732"/>
    <w:rsid w:val="000C287C"/>
    <w:rsid w:val="000C2A20"/>
    <w:rsid w:val="000C2CAB"/>
    <w:rsid w:val="000C3252"/>
    <w:rsid w:val="000C325B"/>
    <w:rsid w:val="000C3268"/>
    <w:rsid w:val="000C3550"/>
    <w:rsid w:val="000C39D0"/>
    <w:rsid w:val="000C3DE6"/>
    <w:rsid w:val="000C3E05"/>
    <w:rsid w:val="000C3E57"/>
    <w:rsid w:val="000C3EF7"/>
    <w:rsid w:val="000C3F72"/>
    <w:rsid w:val="000C4025"/>
    <w:rsid w:val="000C4571"/>
    <w:rsid w:val="000C49B0"/>
    <w:rsid w:val="000C4BD0"/>
    <w:rsid w:val="000C5167"/>
    <w:rsid w:val="000C5397"/>
    <w:rsid w:val="000C53D0"/>
    <w:rsid w:val="000C585E"/>
    <w:rsid w:val="000C58E1"/>
    <w:rsid w:val="000C5C08"/>
    <w:rsid w:val="000C5C32"/>
    <w:rsid w:val="000C63CC"/>
    <w:rsid w:val="000C653A"/>
    <w:rsid w:val="000C6920"/>
    <w:rsid w:val="000C69E9"/>
    <w:rsid w:val="000C6BCA"/>
    <w:rsid w:val="000C6CC3"/>
    <w:rsid w:val="000C735F"/>
    <w:rsid w:val="000C75BE"/>
    <w:rsid w:val="000C76F0"/>
    <w:rsid w:val="000C7733"/>
    <w:rsid w:val="000C788D"/>
    <w:rsid w:val="000C7A6E"/>
    <w:rsid w:val="000D0073"/>
    <w:rsid w:val="000D0508"/>
    <w:rsid w:val="000D05A4"/>
    <w:rsid w:val="000D068B"/>
    <w:rsid w:val="000D083E"/>
    <w:rsid w:val="000D0BB5"/>
    <w:rsid w:val="000D1630"/>
    <w:rsid w:val="000D17E8"/>
    <w:rsid w:val="000D1886"/>
    <w:rsid w:val="000D1B73"/>
    <w:rsid w:val="000D1BAF"/>
    <w:rsid w:val="000D1F60"/>
    <w:rsid w:val="000D2092"/>
    <w:rsid w:val="000D2556"/>
    <w:rsid w:val="000D259D"/>
    <w:rsid w:val="000D26EB"/>
    <w:rsid w:val="000D27D4"/>
    <w:rsid w:val="000D2A9E"/>
    <w:rsid w:val="000D2B20"/>
    <w:rsid w:val="000D2B5F"/>
    <w:rsid w:val="000D2E25"/>
    <w:rsid w:val="000D3566"/>
    <w:rsid w:val="000D368D"/>
    <w:rsid w:val="000D37DA"/>
    <w:rsid w:val="000D3A8E"/>
    <w:rsid w:val="000D3D9E"/>
    <w:rsid w:val="000D4261"/>
    <w:rsid w:val="000D45FE"/>
    <w:rsid w:val="000D4847"/>
    <w:rsid w:val="000D4CB5"/>
    <w:rsid w:val="000D511A"/>
    <w:rsid w:val="000D528F"/>
    <w:rsid w:val="000D5881"/>
    <w:rsid w:val="000D6491"/>
    <w:rsid w:val="000D667D"/>
    <w:rsid w:val="000D6953"/>
    <w:rsid w:val="000D6BFF"/>
    <w:rsid w:val="000D6CF6"/>
    <w:rsid w:val="000D6D77"/>
    <w:rsid w:val="000D6FC5"/>
    <w:rsid w:val="000D764A"/>
    <w:rsid w:val="000D7739"/>
    <w:rsid w:val="000D7746"/>
    <w:rsid w:val="000D77E1"/>
    <w:rsid w:val="000D78BB"/>
    <w:rsid w:val="000D7C73"/>
    <w:rsid w:val="000D7DC0"/>
    <w:rsid w:val="000E004C"/>
    <w:rsid w:val="000E0080"/>
    <w:rsid w:val="000E03B7"/>
    <w:rsid w:val="000E0426"/>
    <w:rsid w:val="000E042B"/>
    <w:rsid w:val="000E0531"/>
    <w:rsid w:val="000E0D78"/>
    <w:rsid w:val="000E0DE1"/>
    <w:rsid w:val="000E0DE4"/>
    <w:rsid w:val="000E0EAC"/>
    <w:rsid w:val="000E12D5"/>
    <w:rsid w:val="000E12DF"/>
    <w:rsid w:val="000E14A1"/>
    <w:rsid w:val="000E1950"/>
    <w:rsid w:val="000E1D1E"/>
    <w:rsid w:val="000E1D28"/>
    <w:rsid w:val="000E20AE"/>
    <w:rsid w:val="000E2361"/>
    <w:rsid w:val="000E27F7"/>
    <w:rsid w:val="000E28E9"/>
    <w:rsid w:val="000E2BCC"/>
    <w:rsid w:val="000E2D3A"/>
    <w:rsid w:val="000E2DD6"/>
    <w:rsid w:val="000E3017"/>
    <w:rsid w:val="000E390D"/>
    <w:rsid w:val="000E3969"/>
    <w:rsid w:val="000E3DE8"/>
    <w:rsid w:val="000E3E29"/>
    <w:rsid w:val="000E41B9"/>
    <w:rsid w:val="000E45A5"/>
    <w:rsid w:val="000E4662"/>
    <w:rsid w:val="000E47D0"/>
    <w:rsid w:val="000E5353"/>
    <w:rsid w:val="000E5569"/>
    <w:rsid w:val="000E5889"/>
    <w:rsid w:val="000E5FB7"/>
    <w:rsid w:val="000E61DF"/>
    <w:rsid w:val="000E6287"/>
    <w:rsid w:val="000E63BF"/>
    <w:rsid w:val="000E6424"/>
    <w:rsid w:val="000E643A"/>
    <w:rsid w:val="000E67EC"/>
    <w:rsid w:val="000E6946"/>
    <w:rsid w:val="000E6E6B"/>
    <w:rsid w:val="000E7430"/>
    <w:rsid w:val="000E75F8"/>
    <w:rsid w:val="000E7758"/>
    <w:rsid w:val="000E79F5"/>
    <w:rsid w:val="000E7BE6"/>
    <w:rsid w:val="000F00F7"/>
    <w:rsid w:val="000F022B"/>
    <w:rsid w:val="000F040F"/>
    <w:rsid w:val="000F0672"/>
    <w:rsid w:val="000F077B"/>
    <w:rsid w:val="000F0A7B"/>
    <w:rsid w:val="000F0CF3"/>
    <w:rsid w:val="000F0D11"/>
    <w:rsid w:val="000F0E3A"/>
    <w:rsid w:val="000F0F11"/>
    <w:rsid w:val="000F0F2C"/>
    <w:rsid w:val="000F1054"/>
    <w:rsid w:val="000F1133"/>
    <w:rsid w:val="000F1183"/>
    <w:rsid w:val="000F1229"/>
    <w:rsid w:val="000F1310"/>
    <w:rsid w:val="000F1427"/>
    <w:rsid w:val="000F178C"/>
    <w:rsid w:val="000F1865"/>
    <w:rsid w:val="000F1B05"/>
    <w:rsid w:val="000F1C1B"/>
    <w:rsid w:val="000F1D22"/>
    <w:rsid w:val="000F1EFA"/>
    <w:rsid w:val="000F1F85"/>
    <w:rsid w:val="000F2093"/>
    <w:rsid w:val="000F22B4"/>
    <w:rsid w:val="000F2336"/>
    <w:rsid w:val="000F2391"/>
    <w:rsid w:val="000F23D0"/>
    <w:rsid w:val="000F2930"/>
    <w:rsid w:val="000F2A96"/>
    <w:rsid w:val="000F2F5A"/>
    <w:rsid w:val="000F377F"/>
    <w:rsid w:val="000F37A0"/>
    <w:rsid w:val="000F38B7"/>
    <w:rsid w:val="000F3B64"/>
    <w:rsid w:val="000F3C09"/>
    <w:rsid w:val="000F3D64"/>
    <w:rsid w:val="000F3DA4"/>
    <w:rsid w:val="000F45F1"/>
    <w:rsid w:val="000F47D7"/>
    <w:rsid w:val="000F4AAC"/>
    <w:rsid w:val="000F4B11"/>
    <w:rsid w:val="000F4C55"/>
    <w:rsid w:val="000F50F1"/>
    <w:rsid w:val="000F5191"/>
    <w:rsid w:val="000F5322"/>
    <w:rsid w:val="000F5BFB"/>
    <w:rsid w:val="000F5F39"/>
    <w:rsid w:val="000F64D2"/>
    <w:rsid w:val="000F66D2"/>
    <w:rsid w:val="000F6780"/>
    <w:rsid w:val="000F6874"/>
    <w:rsid w:val="000F6926"/>
    <w:rsid w:val="000F6A8F"/>
    <w:rsid w:val="000F727E"/>
    <w:rsid w:val="000F73B0"/>
    <w:rsid w:val="000F7834"/>
    <w:rsid w:val="000F7948"/>
    <w:rsid w:val="000F7B2E"/>
    <w:rsid w:val="000F7C21"/>
    <w:rsid w:val="000F7ECB"/>
    <w:rsid w:val="00100153"/>
    <w:rsid w:val="00100203"/>
    <w:rsid w:val="0010024B"/>
    <w:rsid w:val="0010138F"/>
    <w:rsid w:val="00101902"/>
    <w:rsid w:val="001019D1"/>
    <w:rsid w:val="00101A17"/>
    <w:rsid w:val="00101C56"/>
    <w:rsid w:val="00102008"/>
    <w:rsid w:val="001022D6"/>
    <w:rsid w:val="001025CC"/>
    <w:rsid w:val="001026F9"/>
    <w:rsid w:val="0010274E"/>
    <w:rsid w:val="00102C9A"/>
    <w:rsid w:val="00102D5C"/>
    <w:rsid w:val="00102E4E"/>
    <w:rsid w:val="001038E3"/>
    <w:rsid w:val="00103B72"/>
    <w:rsid w:val="0010405B"/>
    <w:rsid w:val="00104168"/>
    <w:rsid w:val="0010438F"/>
    <w:rsid w:val="00104549"/>
    <w:rsid w:val="00104FFA"/>
    <w:rsid w:val="00105614"/>
    <w:rsid w:val="00105812"/>
    <w:rsid w:val="0010582C"/>
    <w:rsid w:val="00105EC7"/>
    <w:rsid w:val="00106016"/>
    <w:rsid w:val="00106104"/>
    <w:rsid w:val="0010689C"/>
    <w:rsid w:val="00106E8F"/>
    <w:rsid w:val="001073B5"/>
    <w:rsid w:val="0010745B"/>
    <w:rsid w:val="00107686"/>
    <w:rsid w:val="001076DB"/>
    <w:rsid w:val="001078F4"/>
    <w:rsid w:val="00107A21"/>
    <w:rsid w:val="001107CA"/>
    <w:rsid w:val="00110A52"/>
    <w:rsid w:val="00110EF3"/>
    <w:rsid w:val="00111094"/>
    <w:rsid w:val="001110F9"/>
    <w:rsid w:val="001116F6"/>
    <w:rsid w:val="0011180E"/>
    <w:rsid w:val="00111A5A"/>
    <w:rsid w:val="00111AD0"/>
    <w:rsid w:val="00111C26"/>
    <w:rsid w:val="00111CA9"/>
    <w:rsid w:val="00111CBC"/>
    <w:rsid w:val="001120B0"/>
    <w:rsid w:val="00112598"/>
    <w:rsid w:val="00112D39"/>
    <w:rsid w:val="00112DA4"/>
    <w:rsid w:val="00112E04"/>
    <w:rsid w:val="001133B0"/>
    <w:rsid w:val="00113422"/>
    <w:rsid w:val="00113471"/>
    <w:rsid w:val="00113630"/>
    <w:rsid w:val="00113A67"/>
    <w:rsid w:val="001142EB"/>
    <w:rsid w:val="0011436F"/>
    <w:rsid w:val="00114508"/>
    <w:rsid w:val="001145C7"/>
    <w:rsid w:val="001145CA"/>
    <w:rsid w:val="001145D1"/>
    <w:rsid w:val="00114957"/>
    <w:rsid w:val="00114A32"/>
    <w:rsid w:val="00114DAE"/>
    <w:rsid w:val="00114E95"/>
    <w:rsid w:val="0011557E"/>
    <w:rsid w:val="001155AC"/>
    <w:rsid w:val="00115736"/>
    <w:rsid w:val="001158ED"/>
    <w:rsid w:val="00115EAA"/>
    <w:rsid w:val="0011642F"/>
    <w:rsid w:val="0011648E"/>
    <w:rsid w:val="001166E4"/>
    <w:rsid w:val="00116B11"/>
    <w:rsid w:val="00116FA8"/>
    <w:rsid w:val="00116FD3"/>
    <w:rsid w:val="001170E1"/>
    <w:rsid w:val="001171AA"/>
    <w:rsid w:val="00117208"/>
    <w:rsid w:val="001176B6"/>
    <w:rsid w:val="001177EA"/>
    <w:rsid w:val="0011792A"/>
    <w:rsid w:val="00117A07"/>
    <w:rsid w:val="00117A45"/>
    <w:rsid w:val="00117A57"/>
    <w:rsid w:val="00117CC0"/>
    <w:rsid w:val="00117EBC"/>
    <w:rsid w:val="00120072"/>
    <w:rsid w:val="001201B4"/>
    <w:rsid w:val="001205E0"/>
    <w:rsid w:val="00120CB0"/>
    <w:rsid w:val="00120EC9"/>
    <w:rsid w:val="00120F0C"/>
    <w:rsid w:val="001210DD"/>
    <w:rsid w:val="00121444"/>
    <w:rsid w:val="001217DC"/>
    <w:rsid w:val="00121A0E"/>
    <w:rsid w:val="00121D13"/>
    <w:rsid w:val="00121DFE"/>
    <w:rsid w:val="001220F2"/>
    <w:rsid w:val="00122443"/>
    <w:rsid w:val="0012271E"/>
    <w:rsid w:val="0012294F"/>
    <w:rsid w:val="00122DA9"/>
    <w:rsid w:val="00122ECF"/>
    <w:rsid w:val="00123559"/>
    <w:rsid w:val="001238C8"/>
    <w:rsid w:val="001238F7"/>
    <w:rsid w:val="00123A84"/>
    <w:rsid w:val="00123D34"/>
    <w:rsid w:val="00123DC6"/>
    <w:rsid w:val="001244C8"/>
    <w:rsid w:val="00124773"/>
    <w:rsid w:val="001249C4"/>
    <w:rsid w:val="00124F41"/>
    <w:rsid w:val="00125189"/>
    <w:rsid w:val="0012555E"/>
    <w:rsid w:val="00125B65"/>
    <w:rsid w:val="00125B91"/>
    <w:rsid w:val="00125CC0"/>
    <w:rsid w:val="00126169"/>
    <w:rsid w:val="0012652D"/>
    <w:rsid w:val="0012662E"/>
    <w:rsid w:val="00126876"/>
    <w:rsid w:val="00126954"/>
    <w:rsid w:val="00126ADB"/>
    <w:rsid w:val="00126B18"/>
    <w:rsid w:val="00126BC5"/>
    <w:rsid w:val="00126E9C"/>
    <w:rsid w:val="00127288"/>
    <w:rsid w:val="0012732F"/>
    <w:rsid w:val="001274C5"/>
    <w:rsid w:val="001276A1"/>
    <w:rsid w:val="00127951"/>
    <w:rsid w:val="00127A3C"/>
    <w:rsid w:val="00127BEC"/>
    <w:rsid w:val="00127ECA"/>
    <w:rsid w:val="0013049F"/>
    <w:rsid w:val="001317D7"/>
    <w:rsid w:val="00131CCF"/>
    <w:rsid w:val="001325D3"/>
    <w:rsid w:val="00132631"/>
    <w:rsid w:val="001328AA"/>
    <w:rsid w:val="001328E7"/>
    <w:rsid w:val="001330D1"/>
    <w:rsid w:val="001330E1"/>
    <w:rsid w:val="0013341D"/>
    <w:rsid w:val="00133579"/>
    <w:rsid w:val="001335EB"/>
    <w:rsid w:val="00133687"/>
    <w:rsid w:val="00133723"/>
    <w:rsid w:val="0013375F"/>
    <w:rsid w:val="0013400A"/>
    <w:rsid w:val="001341AC"/>
    <w:rsid w:val="001342E2"/>
    <w:rsid w:val="00134332"/>
    <w:rsid w:val="00134868"/>
    <w:rsid w:val="00134ABD"/>
    <w:rsid w:val="00134AE6"/>
    <w:rsid w:val="00134BC2"/>
    <w:rsid w:val="00134D35"/>
    <w:rsid w:val="00134DEB"/>
    <w:rsid w:val="00134F82"/>
    <w:rsid w:val="00135124"/>
    <w:rsid w:val="001356E9"/>
    <w:rsid w:val="00135ACE"/>
    <w:rsid w:val="00135BCC"/>
    <w:rsid w:val="00135CD0"/>
    <w:rsid w:val="00135E5F"/>
    <w:rsid w:val="00136220"/>
    <w:rsid w:val="001363B8"/>
    <w:rsid w:val="00136569"/>
    <w:rsid w:val="00136B0D"/>
    <w:rsid w:val="00136D05"/>
    <w:rsid w:val="00136FEE"/>
    <w:rsid w:val="00137004"/>
    <w:rsid w:val="001372F5"/>
    <w:rsid w:val="00137350"/>
    <w:rsid w:val="0013766D"/>
    <w:rsid w:val="00137C2A"/>
    <w:rsid w:val="00137D62"/>
    <w:rsid w:val="00137D71"/>
    <w:rsid w:val="0014077A"/>
    <w:rsid w:val="00140975"/>
    <w:rsid w:val="00140D36"/>
    <w:rsid w:val="00140D67"/>
    <w:rsid w:val="00140EBD"/>
    <w:rsid w:val="0014180E"/>
    <w:rsid w:val="00141C51"/>
    <w:rsid w:val="00141D33"/>
    <w:rsid w:val="00142256"/>
    <w:rsid w:val="00142328"/>
    <w:rsid w:val="0014252C"/>
    <w:rsid w:val="0014266B"/>
    <w:rsid w:val="001426A3"/>
    <w:rsid w:val="00142BE9"/>
    <w:rsid w:val="00142F85"/>
    <w:rsid w:val="001430D8"/>
    <w:rsid w:val="00143195"/>
    <w:rsid w:val="0014352F"/>
    <w:rsid w:val="00143CA8"/>
    <w:rsid w:val="00143CB8"/>
    <w:rsid w:val="00143D8E"/>
    <w:rsid w:val="001443AB"/>
    <w:rsid w:val="001448E2"/>
    <w:rsid w:val="00144C54"/>
    <w:rsid w:val="00144CAB"/>
    <w:rsid w:val="00144FC2"/>
    <w:rsid w:val="00144FFF"/>
    <w:rsid w:val="001451E6"/>
    <w:rsid w:val="001451E9"/>
    <w:rsid w:val="001455BB"/>
    <w:rsid w:val="001459B1"/>
    <w:rsid w:val="00145D8D"/>
    <w:rsid w:val="00146C29"/>
    <w:rsid w:val="001470C8"/>
    <w:rsid w:val="0014727C"/>
    <w:rsid w:val="00147369"/>
    <w:rsid w:val="001479CC"/>
    <w:rsid w:val="00147BB3"/>
    <w:rsid w:val="00147F27"/>
    <w:rsid w:val="0015004F"/>
    <w:rsid w:val="001502BE"/>
    <w:rsid w:val="001509DD"/>
    <w:rsid w:val="00150BD0"/>
    <w:rsid w:val="00150E87"/>
    <w:rsid w:val="00151697"/>
    <w:rsid w:val="0015191D"/>
    <w:rsid w:val="00151930"/>
    <w:rsid w:val="00151A94"/>
    <w:rsid w:val="00151C23"/>
    <w:rsid w:val="00151C45"/>
    <w:rsid w:val="0015212C"/>
    <w:rsid w:val="001526A5"/>
    <w:rsid w:val="00152D3B"/>
    <w:rsid w:val="00152DF2"/>
    <w:rsid w:val="001531CA"/>
    <w:rsid w:val="00153696"/>
    <w:rsid w:val="00153801"/>
    <w:rsid w:val="00154000"/>
    <w:rsid w:val="001541D5"/>
    <w:rsid w:val="001543E9"/>
    <w:rsid w:val="001545B4"/>
    <w:rsid w:val="00154BA6"/>
    <w:rsid w:val="00154D9C"/>
    <w:rsid w:val="00154DFD"/>
    <w:rsid w:val="001553AE"/>
    <w:rsid w:val="00155670"/>
    <w:rsid w:val="00155BE0"/>
    <w:rsid w:val="00155E30"/>
    <w:rsid w:val="00155E97"/>
    <w:rsid w:val="00155FA6"/>
    <w:rsid w:val="00156343"/>
    <w:rsid w:val="00156609"/>
    <w:rsid w:val="00156630"/>
    <w:rsid w:val="00156A14"/>
    <w:rsid w:val="00156AEA"/>
    <w:rsid w:val="00156DB1"/>
    <w:rsid w:val="00156FA1"/>
    <w:rsid w:val="00157155"/>
    <w:rsid w:val="001572C2"/>
    <w:rsid w:val="001572EE"/>
    <w:rsid w:val="001575E7"/>
    <w:rsid w:val="001576B8"/>
    <w:rsid w:val="00157899"/>
    <w:rsid w:val="0015798A"/>
    <w:rsid w:val="001579B1"/>
    <w:rsid w:val="001579D8"/>
    <w:rsid w:val="00157A61"/>
    <w:rsid w:val="00157ADB"/>
    <w:rsid w:val="00157B34"/>
    <w:rsid w:val="00157EDB"/>
    <w:rsid w:val="00157FDF"/>
    <w:rsid w:val="001600A2"/>
    <w:rsid w:val="00160101"/>
    <w:rsid w:val="001602DA"/>
    <w:rsid w:val="00160766"/>
    <w:rsid w:val="00160FBA"/>
    <w:rsid w:val="00160FF1"/>
    <w:rsid w:val="00161372"/>
    <w:rsid w:val="0016137D"/>
    <w:rsid w:val="0016152D"/>
    <w:rsid w:val="0016154E"/>
    <w:rsid w:val="00161A9D"/>
    <w:rsid w:val="00161B6C"/>
    <w:rsid w:val="0016214A"/>
    <w:rsid w:val="00162191"/>
    <w:rsid w:val="001624A2"/>
    <w:rsid w:val="0016261A"/>
    <w:rsid w:val="001626E3"/>
    <w:rsid w:val="00162747"/>
    <w:rsid w:val="00162AAF"/>
    <w:rsid w:val="00162C27"/>
    <w:rsid w:val="00162D20"/>
    <w:rsid w:val="00162D3D"/>
    <w:rsid w:val="001631CA"/>
    <w:rsid w:val="0016331E"/>
    <w:rsid w:val="0016357D"/>
    <w:rsid w:val="00163D59"/>
    <w:rsid w:val="00163E59"/>
    <w:rsid w:val="001642A1"/>
    <w:rsid w:val="00164314"/>
    <w:rsid w:val="0016442F"/>
    <w:rsid w:val="001644A7"/>
    <w:rsid w:val="001644C2"/>
    <w:rsid w:val="00164785"/>
    <w:rsid w:val="001651F2"/>
    <w:rsid w:val="00165223"/>
    <w:rsid w:val="00165242"/>
    <w:rsid w:val="00165400"/>
    <w:rsid w:val="00165469"/>
    <w:rsid w:val="001656CC"/>
    <w:rsid w:val="0016581A"/>
    <w:rsid w:val="001662B3"/>
    <w:rsid w:val="001667E3"/>
    <w:rsid w:val="00166B9B"/>
    <w:rsid w:val="00166C15"/>
    <w:rsid w:val="00166D9A"/>
    <w:rsid w:val="00166FD6"/>
    <w:rsid w:val="00167659"/>
    <w:rsid w:val="0016769F"/>
    <w:rsid w:val="001678C0"/>
    <w:rsid w:val="001678CE"/>
    <w:rsid w:val="00167962"/>
    <w:rsid w:val="0016798F"/>
    <w:rsid w:val="001679B2"/>
    <w:rsid w:val="00167B19"/>
    <w:rsid w:val="00167D4A"/>
    <w:rsid w:val="00167D84"/>
    <w:rsid w:val="00167E09"/>
    <w:rsid w:val="00170108"/>
    <w:rsid w:val="0017021A"/>
    <w:rsid w:val="001708ED"/>
    <w:rsid w:val="001709A1"/>
    <w:rsid w:val="00170CC4"/>
    <w:rsid w:val="00171072"/>
    <w:rsid w:val="00171158"/>
    <w:rsid w:val="001714A0"/>
    <w:rsid w:val="001715A7"/>
    <w:rsid w:val="001718E3"/>
    <w:rsid w:val="001719B9"/>
    <w:rsid w:val="00171A1B"/>
    <w:rsid w:val="00171B02"/>
    <w:rsid w:val="00171D58"/>
    <w:rsid w:val="00171DAE"/>
    <w:rsid w:val="00171F8E"/>
    <w:rsid w:val="001722FF"/>
    <w:rsid w:val="00172785"/>
    <w:rsid w:val="0017289C"/>
    <w:rsid w:val="001729A2"/>
    <w:rsid w:val="00172CAF"/>
    <w:rsid w:val="00172D38"/>
    <w:rsid w:val="00173196"/>
    <w:rsid w:val="001732B9"/>
    <w:rsid w:val="00173392"/>
    <w:rsid w:val="001737D0"/>
    <w:rsid w:val="00173A2E"/>
    <w:rsid w:val="00173B0E"/>
    <w:rsid w:val="00173DAB"/>
    <w:rsid w:val="001740A8"/>
    <w:rsid w:val="001740DD"/>
    <w:rsid w:val="001740DF"/>
    <w:rsid w:val="00174581"/>
    <w:rsid w:val="001745CE"/>
    <w:rsid w:val="0017481B"/>
    <w:rsid w:val="0017486E"/>
    <w:rsid w:val="00174DF1"/>
    <w:rsid w:val="0017554B"/>
    <w:rsid w:val="00175A9C"/>
    <w:rsid w:val="00175AB9"/>
    <w:rsid w:val="00175AF2"/>
    <w:rsid w:val="00175BA5"/>
    <w:rsid w:val="00175BBC"/>
    <w:rsid w:val="00175DB8"/>
    <w:rsid w:val="00175FA8"/>
    <w:rsid w:val="0017607A"/>
    <w:rsid w:val="001760E2"/>
    <w:rsid w:val="00176C05"/>
    <w:rsid w:val="00176F38"/>
    <w:rsid w:val="00177481"/>
    <w:rsid w:val="00177D79"/>
    <w:rsid w:val="00177EBD"/>
    <w:rsid w:val="00177EF4"/>
    <w:rsid w:val="001805FC"/>
    <w:rsid w:val="00180962"/>
    <w:rsid w:val="00180A9F"/>
    <w:rsid w:val="00180D8D"/>
    <w:rsid w:val="00180EF4"/>
    <w:rsid w:val="001815D3"/>
    <w:rsid w:val="00181612"/>
    <w:rsid w:val="00181924"/>
    <w:rsid w:val="00181D4C"/>
    <w:rsid w:val="0018200F"/>
    <w:rsid w:val="00182093"/>
    <w:rsid w:val="001821AD"/>
    <w:rsid w:val="001821B1"/>
    <w:rsid w:val="00182219"/>
    <w:rsid w:val="001827A5"/>
    <w:rsid w:val="00182895"/>
    <w:rsid w:val="00182A94"/>
    <w:rsid w:val="00182AFC"/>
    <w:rsid w:val="00182C43"/>
    <w:rsid w:val="00182E69"/>
    <w:rsid w:val="00182F5D"/>
    <w:rsid w:val="00183230"/>
    <w:rsid w:val="001833D8"/>
    <w:rsid w:val="001839C3"/>
    <w:rsid w:val="00183A4C"/>
    <w:rsid w:val="00183E06"/>
    <w:rsid w:val="001841EE"/>
    <w:rsid w:val="001841FE"/>
    <w:rsid w:val="001842C8"/>
    <w:rsid w:val="00184354"/>
    <w:rsid w:val="00184434"/>
    <w:rsid w:val="001844DB"/>
    <w:rsid w:val="00184638"/>
    <w:rsid w:val="00184719"/>
    <w:rsid w:val="001848BD"/>
    <w:rsid w:val="00184AD8"/>
    <w:rsid w:val="00184DDB"/>
    <w:rsid w:val="00184DF5"/>
    <w:rsid w:val="001856AE"/>
    <w:rsid w:val="00185777"/>
    <w:rsid w:val="001857C4"/>
    <w:rsid w:val="00185940"/>
    <w:rsid w:val="00185B65"/>
    <w:rsid w:val="00185B86"/>
    <w:rsid w:val="00185D20"/>
    <w:rsid w:val="00185ECF"/>
    <w:rsid w:val="00185F44"/>
    <w:rsid w:val="00186141"/>
    <w:rsid w:val="00186BFC"/>
    <w:rsid w:val="00186C66"/>
    <w:rsid w:val="00187187"/>
    <w:rsid w:val="001872E4"/>
    <w:rsid w:val="00187547"/>
    <w:rsid w:val="001876B6"/>
    <w:rsid w:val="00187A81"/>
    <w:rsid w:val="0019009C"/>
    <w:rsid w:val="001903BE"/>
    <w:rsid w:val="001903F9"/>
    <w:rsid w:val="001909FC"/>
    <w:rsid w:val="00190A08"/>
    <w:rsid w:val="00190ABB"/>
    <w:rsid w:val="00190C72"/>
    <w:rsid w:val="00191146"/>
    <w:rsid w:val="001912F2"/>
    <w:rsid w:val="00191583"/>
    <w:rsid w:val="0019158E"/>
    <w:rsid w:val="0019160C"/>
    <w:rsid w:val="00191B54"/>
    <w:rsid w:val="00191BDF"/>
    <w:rsid w:val="00191D52"/>
    <w:rsid w:val="00191FB4"/>
    <w:rsid w:val="0019245A"/>
    <w:rsid w:val="001924FF"/>
    <w:rsid w:val="00192C51"/>
    <w:rsid w:val="00193136"/>
    <w:rsid w:val="00193203"/>
    <w:rsid w:val="0019331C"/>
    <w:rsid w:val="001933EC"/>
    <w:rsid w:val="00193CD9"/>
    <w:rsid w:val="00193E08"/>
    <w:rsid w:val="00193F54"/>
    <w:rsid w:val="0019417D"/>
    <w:rsid w:val="001948E0"/>
    <w:rsid w:val="001949A7"/>
    <w:rsid w:val="00194D7D"/>
    <w:rsid w:val="00194DA6"/>
    <w:rsid w:val="00195086"/>
    <w:rsid w:val="00195995"/>
    <w:rsid w:val="00195B9A"/>
    <w:rsid w:val="001963EA"/>
    <w:rsid w:val="00196447"/>
    <w:rsid w:val="00196532"/>
    <w:rsid w:val="0019680D"/>
    <w:rsid w:val="00196A75"/>
    <w:rsid w:val="00196DD5"/>
    <w:rsid w:val="00196F8A"/>
    <w:rsid w:val="001970B4"/>
    <w:rsid w:val="001970EE"/>
    <w:rsid w:val="001974D3"/>
    <w:rsid w:val="0019756E"/>
    <w:rsid w:val="001975B8"/>
    <w:rsid w:val="001975C1"/>
    <w:rsid w:val="0019770B"/>
    <w:rsid w:val="00197884"/>
    <w:rsid w:val="00197AC9"/>
    <w:rsid w:val="00197E16"/>
    <w:rsid w:val="00197F5B"/>
    <w:rsid w:val="00197FF7"/>
    <w:rsid w:val="001A00BD"/>
    <w:rsid w:val="001A02F4"/>
    <w:rsid w:val="001A059B"/>
    <w:rsid w:val="001A05E6"/>
    <w:rsid w:val="001A088B"/>
    <w:rsid w:val="001A09F1"/>
    <w:rsid w:val="001A0D10"/>
    <w:rsid w:val="001A0F26"/>
    <w:rsid w:val="001A0F40"/>
    <w:rsid w:val="001A177B"/>
    <w:rsid w:val="001A1B3E"/>
    <w:rsid w:val="001A1DA6"/>
    <w:rsid w:val="001A1DB7"/>
    <w:rsid w:val="001A1DFC"/>
    <w:rsid w:val="001A1EC6"/>
    <w:rsid w:val="001A268B"/>
    <w:rsid w:val="001A276F"/>
    <w:rsid w:val="001A2EB6"/>
    <w:rsid w:val="001A37A8"/>
    <w:rsid w:val="001A405B"/>
    <w:rsid w:val="001A4241"/>
    <w:rsid w:val="001A426D"/>
    <w:rsid w:val="001A4670"/>
    <w:rsid w:val="001A46E7"/>
    <w:rsid w:val="001A49E4"/>
    <w:rsid w:val="001A4AE7"/>
    <w:rsid w:val="001A4FF5"/>
    <w:rsid w:val="001A56F5"/>
    <w:rsid w:val="001A5F03"/>
    <w:rsid w:val="001A5F80"/>
    <w:rsid w:val="001A5FF9"/>
    <w:rsid w:val="001A61AD"/>
    <w:rsid w:val="001A6246"/>
    <w:rsid w:val="001A65F8"/>
    <w:rsid w:val="001A668E"/>
    <w:rsid w:val="001A6816"/>
    <w:rsid w:val="001A6B2B"/>
    <w:rsid w:val="001A6B84"/>
    <w:rsid w:val="001A6E89"/>
    <w:rsid w:val="001A6FAC"/>
    <w:rsid w:val="001A6FB3"/>
    <w:rsid w:val="001A71A7"/>
    <w:rsid w:val="001A72A0"/>
    <w:rsid w:val="001A7B63"/>
    <w:rsid w:val="001A7E60"/>
    <w:rsid w:val="001A7F0F"/>
    <w:rsid w:val="001A7FD5"/>
    <w:rsid w:val="001B0496"/>
    <w:rsid w:val="001B0B56"/>
    <w:rsid w:val="001B0EB5"/>
    <w:rsid w:val="001B0EB6"/>
    <w:rsid w:val="001B12CC"/>
    <w:rsid w:val="001B1679"/>
    <w:rsid w:val="001B16E1"/>
    <w:rsid w:val="001B1A79"/>
    <w:rsid w:val="001B1B36"/>
    <w:rsid w:val="001B1CEE"/>
    <w:rsid w:val="001B1DBC"/>
    <w:rsid w:val="001B1F11"/>
    <w:rsid w:val="001B217B"/>
    <w:rsid w:val="001B24C5"/>
    <w:rsid w:val="001B282F"/>
    <w:rsid w:val="001B29A2"/>
    <w:rsid w:val="001B2A9C"/>
    <w:rsid w:val="001B2D72"/>
    <w:rsid w:val="001B308F"/>
    <w:rsid w:val="001B324A"/>
    <w:rsid w:val="001B35AB"/>
    <w:rsid w:val="001B3B6E"/>
    <w:rsid w:val="001B4659"/>
    <w:rsid w:val="001B4677"/>
    <w:rsid w:val="001B46C2"/>
    <w:rsid w:val="001B46DB"/>
    <w:rsid w:val="001B4764"/>
    <w:rsid w:val="001B4958"/>
    <w:rsid w:val="001B4BE2"/>
    <w:rsid w:val="001B4EBB"/>
    <w:rsid w:val="001B51E5"/>
    <w:rsid w:val="001B5344"/>
    <w:rsid w:val="001B5CC8"/>
    <w:rsid w:val="001B5DD8"/>
    <w:rsid w:val="001B5ED0"/>
    <w:rsid w:val="001B617E"/>
    <w:rsid w:val="001B6482"/>
    <w:rsid w:val="001B6ACC"/>
    <w:rsid w:val="001B6B10"/>
    <w:rsid w:val="001B6C28"/>
    <w:rsid w:val="001B6FE9"/>
    <w:rsid w:val="001B705C"/>
    <w:rsid w:val="001B720F"/>
    <w:rsid w:val="001B790A"/>
    <w:rsid w:val="001B7CE0"/>
    <w:rsid w:val="001B7E45"/>
    <w:rsid w:val="001B7FE6"/>
    <w:rsid w:val="001C0003"/>
    <w:rsid w:val="001C0245"/>
    <w:rsid w:val="001C0301"/>
    <w:rsid w:val="001C0583"/>
    <w:rsid w:val="001C05E3"/>
    <w:rsid w:val="001C06A1"/>
    <w:rsid w:val="001C07C3"/>
    <w:rsid w:val="001C0870"/>
    <w:rsid w:val="001C0907"/>
    <w:rsid w:val="001C0F46"/>
    <w:rsid w:val="001C1073"/>
    <w:rsid w:val="001C15E9"/>
    <w:rsid w:val="001C16BA"/>
    <w:rsid w:val="001C185D"/>
    <w:rsid w:val="001C2007"/>
    <w:rsid w:val="001C233E"/>
    <w:rsid w:val="001C2553"/>
    <w:rsid w:val="001C2570"/>
    <w:rsid w:val="001C2EE2"/>
    <w:rsid w:val="001C3293"/>
    <w:rsid w:val="001C37FF"/>
    <w:rsid w:val="001C384C"/>
    <w:rsid w:val="001C38E0"/>
    <w:rsid w:val="001C39EB"/>
    <w:rsid w:val="001C3F26"/>
    <w:rsid w:val="001C4300"/>
    <w:rsid w:val="001C4511"/>
    <w:rsid w:val="001C499E"/>
    <w:rsid w:val="001C4A49"/>
    <w:rsid w:val="001C4B3A"/>
    <w:rsid w:val="001C4C5F"/>
    <w:rsid w:val="001C4E8D"/>
    <w:rsid w:val="001C524E"/>
    <w:rsid w:val="001C5483"/>
    <w:rsid w:val="001C553F"/>
    <w:rsid w:val="001C56C7"/>
    <w:rsid w:val="001C5798"/>
    <w:rsid w:val="001C579B"/>
    <w:rsid w:val="001C607F"/>
    <w:rsid w:val="001C615E"/>
    <w:rsid w:val="001C617C"/>
    <w:rsid w:val="001C6309"/>
    <w:rsid w:val="001C6F69"/>
    <w:rsid w:val="001C7282"/>
    <w:rsid w:val="001C7420"/>
    <w:rsid w:val="001C7BDB"/>
    <w:rsid w:val="001D00DE"/>
    <w:rsid w:val="001D0250"/>
    <w:rsid w:val="001D08A7"/>
    <w:rsid w:val="001D0C08"/>
    <w:rsid w:val="001D0E54"/>
    <w:rsid w:val="001D0E71"/>
    <w:rsid w:val="001D1362"/>
    <w:rsid w:val="001D166B"/>
    <w:rsid w:val="001D1FE4"/>
    <w:rsid w:val="001D20BB"/>
    <w:rsid w:val="001D2820"/>
    <w:rsid w:val="001D285B"/>
    <w:rsid w:val="001D2BDC"/>
    <w:rsid w:val="001D2D14"/>
    <w:rsid w:val="001D3197"/>
    <w:rsid w:val="001D3762"/>
    <w:rsid w:val="001D3CF2"/>
    <w:rsid w:val="001D3E98"/>
    <w:rsid w:val="001D3FA5"/>
    <w:rsid w:val="001D41FA"/>
    <w:rsid w:val="001D431D"/>
    <w:rsid w:val="001D43F7"/>
    <w:rsid w:val="001D4449"/>
    <w:rsid w:val="001D448C"/>
    <w:rsid w:val="001D4543"/>
    <w:rsid w:val="001D4556"/>
    <w:rsid w:val="001D4605"/>
    <w:rsid w:val="001D4733"/>
    <w:rsid w:val="001D4A07"/>
    <w:rsid w:val="001D4B48"/>
    <w:rsid w:val="001D529E"/>
    <w:rsid w:val="001D52C1"/>
    <w:rsid w:val="001D558F"/>
    <w:rsid w:val="001D5797"/>
    <w:rsid w:val="001D57C9"/>
    <w:rsid w:val="001D5867"/>
    <w:rsid w:val="001D587C"/>
    <w:rsid w:val="001D59F7"/>
    <w:rsid w:val="001D5A87"/>
    <w:rsid w:val="001D5C78"/>
    <w:rsid w:val="001D5D4C"/>
    <w:rsid w:val="001D65F9"/>
    <w:rsid w:val="001D6677"/>
    <w:rsid w:val="001D6A49"/>
    <w:rsid w:val="001D6BEB"/>
    <w:rsid w:val="001D6CD2"/>
    <w:rsid w:val="001D6D6B"/>
    <w:rsid w:val="001D7199"/>
    <w:rsid w:val="001D73C2"/>
    <w:rsid w:val="001D7B30"/>
    <w:rsid w:val="001E0112"/>
    <w:rsid w:val="001E0186"/>
    <w:rsid w:val="001E0191"/>
    <w:rsid w:val="001E02F6"/>
    <w:rsid w:val="001E03A2"/>
    <w:rsid w:val="001E03F5"/>
    <w:rsid w:val="001E03FB"/>
    <w:rsid w:val="001E0425"/>
    <w:rsid w:val="001E0AA4"/>
    <w:rsid w:val="001E0CBC"/>
    <w:rsid w:val="001E12C6"/>
    <w:rsid w:val="001E12ED"/>
    <w:rsid w:val="001E147A"/>
    <w:rsid w:val="001E1DAA"/>
    <w:rsid w:val="001E1DE5"/>
    <w:rsid w:val="001E1F9E"/>
    <w:rsid w:val="001E251F"/>
    <w:rsid w:val="001E25BE"/>
    <w:rsid w:val="001E25BF"/>
    <w:rsid w:val="001E2BCD"/>
    <w:rsid w:val="001E3248"/>
    <w:rsid w:val="001E35CE"/>
    <w:rsid w:val="001E3BB1"/>
    <w:rsid w:val="001E3CB0"/>
    <w:rsid w:val="001E3CB1"/>
    <w:rsid w:val="001E4150"/>
    <w:rsid w:val="001E43DE"/>
    <w:rsid w:val="001E465A"/>
    <w:rsid w:val="001E4A3F"/>
    <w:rsid w:val="001E4BA7"/>
    <w:rsid w:val="001E4BBC"/>
    <w:rsid w:val="001E4FF9"/>
    <w:rsid w:val="001E5117"/>
    <w:rsid w:val="001E5CD8"/>
    <w:rsid w:val="001E5E73"/>
    <w:rsid w:val="001E603B"/>
    <w:rsid w:val="001E620E"/>
    <w:rsid w:val="001E62DB"/>
    <w:rsid w:val="001E6427"/>
    <w:rsid w:val="001E6788"/>
    <w:rsid w:val="001E6D36"/>
    <w:rsid w:val="001E700B"/>
    <w:rsid w:val="001E70A3"/>
    <w:rsid w:val="001E7383"/>
    <w:rsid w:val="001E7AB8"/>
    <w:rsid w:val="001E7F0B"/>
    <w:rsid w:val="001F0071"/>
    <w:rsid w:val="001F0134"/>
    <w:rsid w:val="001F0155"/>
    <w:rsid w:val="001F02E2"/>
    <w:rsid w:val="001F0308"/>
    <w:rsid w:val="001F05F6"/>
    <w:rsid w:val="001F0C36"/>
    <w:rsid w:val="001F0D76"/>
    <w:rsid w:val="001F1073"/>
    <w:rsid w:val="001F1502"/>
    <w:rsid w:val="001F155D"/>
    <w:rsid w:val="001F15E4"/>
    <w:rsid w:val="001F162F"/>
    <w:rsid w:val="001F17DA"/>
    <w:rsid w:val="001F1EE6"/>
    <w:rsid w:val="001F23B8"/>
    <w:rsid w:val="001F25A0"/>
    <w:rsid w:val="001F270F"/>
    <w:rsid w:val="001F275D"/>
    <w:rsid w:val="001F28BB"/>
    <w:rsid w:val="001F2A3B"/>
    <w:rsid w:val="001F2DC7"/>
    <w:rsid w:val="001F2FCC"/>
    <w:rsid w:val="001F30E2"/>
    <w:rsid w:val="001F31B1"/>
    <w:rsid w:val="001F3452"/>
    <w:rsid w:val="001F369A"/>
    <w:rsid w:val="001F3849"/>
    <w:rsid w:val="001F39B2"/>
    <w:rsid w:val="001F3F1D"/>
    <w:rsid w:val="001F42B9"/>
    <w:rsid w:val="001F43E8"/>
    <w:rsid w:val="001F4595"/>
    <w:rsid w:val="001F4A5F"/>
    <w:rsid w:val="001F4DF5"/>
    <w:rsid w:val="001F4E5E"/>
    <w:rsid w:val="001F4FB5"/>
    <w:rsid w:val="001F5253"/>
    <w:rsid w:val="001F54A1"/>
    <w:rsid w:val="001F5664"/>
    <w:rsid w:val="001F58FA"/>
    <w:rsid w:val="001F5B3D"/>
    <w:rsid w:val="001F5D06"/>
    <w:rsid w:val="001F5DF5"/>
    <w:rsid w:val="001F5E0D"/>
    <w:rsid w:val="001F603B"/>
    <w:rsid w:val="001F634B"/>
    <w:rsid w:val="001F6AB4"/>
    <w:rsid w:val="001F71AD"/>
    <w:rsid w:val="001F7291"/>
    <w:rsid w:val="001F72A5"/>
    <w:rsid w:val="001F7402"/>
    <w:rsid w:val="001F787B"/>
    <w:rsid w:val="001F7CF7"/>
    <w:rsid w:val="002003E0"/>
    <w:rsid w:val="002005B4"/>
    <w:rsid w:val="00200941"/>
    <w:rsid w:val="0020100B"/>
    <w:rsid w:val="0020115E"/>
    <w:rsid w:val="00201335"/>
    <w:rsid w:val="00201489"/>
    <w:rsid w:val="00201602"/>
    <w:rsid w:val="002016FD"/>
    <w:rsid w:val="0020178A"/>
    <w:rsid w:val="002018D4"/>
    <w:rsid w:val="00201971"/>
    <w:rsid w:val="00201B1C"/>
    <w:rsid w:val="00201E02"/>
    <w:rsid w:val="00201E12"/>
    <w:rsid w:val="0020268D"/>
    <w:rsid w:val="002028FB"/>
    <w:rsid w:val="002029AB"/>
    <w:rsid w:val="00202C29"/>
    <w:rsid w:val="00202E84"/>
    <w:rsid w:val="00202F78"/>
    <w:rsid w:val="002035C1"/>
    <w:rsid w:val="00203930"/>
    <w:rsid w:val="0020394D"/>
    <w:rsid w:val="00203A7D"/>
    <w:rsid w:val="00203C5C"/>
    <w:rsid w:val="00203D99"/>
    <w:rsid w:val="00203F41"/>
    <w:rsid w:val="00204375"/>
    <w:rsid w:val="002043BC"/>
    <w:rsid w:val="00204487"/>
    <w:rsid w:val="0020458D"/>
    <w:rsid w:val="00204D89"/>
    <w:rsid w:val="00205090"/>
    <w:rsid w:val="0020516F"/>
    <w:rsid w:val="00205459"/>
    <w:rsid w:val="002059BC"/>
    <w:rsid w:val="00205BFF"/>
    <w:rsid w:val="00205C5F"/>
    <w:rsid w:val="00205D51"/>
    <w:rsid w:val="00205DFC"/>
    <w:rsid w:val="00205E48"/>
    <w:rsid w:val="00205FD0"/>
    <w:rsid w:val="0020626E"/>
    <w:rsid w:val="00206727"/>
    <w:rsid w:val="00206B22"/>
    <w:rsid w:val="00206E1F"/>
    <w:rsid w:val="00207150"/>
    <w:rsid w:val="00207207"/>
    <w:rsid w:val="0020721C"/>
    <w:rsid w:val="002072C9"/>
    <w:rsid w:val="0020746B"/>
    <w:rsid w:val="00207612"/>
    <w:rsid w:val="002076E3"/>
    <w:rsid w:val="002078E5"/>
    <w:rsid w:val="00207C85"/>
    <w:rsid w:val="00207DA6"/>
    <w:rsid w:val="00210036"/>
    <w:rsid w:val="002104A4"/>
    <w:rsid w:val="0021076E"/>
    <w:rsid w:val="002108D2"/>
    <w:rsid w:val="00210EF0"/>
    <w:rsid w:val="0021111D"/>
    <w:rsid w:val="00211178"/>
    <w:rsid w:val="0021153A"/>
    <w:rsid w:val="00211658"/>
    <w:rsid w:val="0021194E"/>
    <w:rsid w:val="002124BE"/>
    <w:rsid w:val="00212A3F"/>
    <w:rsid w:val="002131DA"/>
    <w:rsid w:val="0021395A"/>
    <w:rsid w:val="00213A72"/>
    <w:rsid w:val="00213D78"/>
    <w:rsid w:val="00213FEC"/>
    <w:rsid w:val="002140EA"/>
    <w:rsid w:val="00214140"/>
    <w:rsid w:val="002142BB"/>
    <w:rsid w:val="002142FB"/>
    <w:rsid w:val="00214549"/>
    <w:rsid w:val="002146FB"/>
    <w:rsid w:val="00214D3D"/>
    <w:rsid w:val="00214F18"/>
    <w:rsid w:val="00214FB3"/>
    <w:rsid w:val="00215127"/>
    <w:rsid w:val="002151CF"/>
    <w:rsid w:val="00215456"/>
    <w:rsid w:val="002156E2"/>
    <w:rsid w:val="00215A74"/>
    <w:rsid w:val="00215E29"/>
    <w:rsid w:val="0021639E"/>
    <w:rsid w:val="002167E9"/>
    <w:rsid w:val="00216BDD"/>
    <w:rsid w:val="00217185"/>
    <w:rsid w:val="0021718E"/>
    <w:rsid w:val="0021737B"/>
    <w:rsid w:val="0021774D"/>
    <w:rsid w:val="00217BE9"/>
    <w:rsid w:val="0022010D"/>
    <w:rsid w:val="00220208"/>
    <w:rsid w:val="0022033D"/>
    <w:rsid w:val="00220667"/>
    <w:rsid w:val="00220880"/>
    <w:rsid w:val="00220DF0"/>
    <w:rsid w:val="00220FEE"/>
    <w:rsid w:val="00220FFE"/>
    <w:rsid w:val="00221511"/>
    <w:rsid w:val="00221BA8"/>
    <w:rsid w:val="00221CBA"/>
    <w:rsid w:val="00221FB9"/>
    <w:rsid w:val="0022234A"/>
    <w:rsid w:val="0022260A"/>
    <w:rsid w:val="0022299A"/>
    <w:rsid w:val="00222E15"/>
    <w:rsid w:val="00222F83"/>
    <w:rsid w:val="0022332E"/>
    <w:rsid w:val="00223B32"/>
    <w:rsid w:val="002240D3"/>
    <w:rsid w:val="00224285"/>
    <w:rsid w:val="002245B4"/>
    <w:rsid w:val="002246F3"/>
    <w:rsid w:val="002247DA"/>
    <w:rsid w:val="00224995"/>
    <w:rsid w:val="00224F89"/>
    <w:rsid w:val="00225064"/>
    <w:rsid w:val="00225171"/>
    <w:rsid w:val="00225200"/>
    <w:rsid w:val="00225243"/>
    <w:rsid w:val="00225502"/>
    <w:rsid w:val="002255C2"/>
    <w:rsid w:val="00225908"/>
    <w:rsid w:val="002259EB"/>
    <w:rsid w:val="00225AF0"/>
    <w:rsid w:val="00225E40"/>
    <w:rsid w:val="00225FC7"/>
    <w:rsid w:val="00225FCA"/>
    <w:rsid w:val="002261C3"/>
    <w:rsid w:val="00226306"/>
    <w:rsid w:val="00226347"/>
    <w:rsid w:val="002266B4"/>
    <w:rsid w:val="002266CA"/>
    <w:rsid w:val="002268EC"/>
    <w:rsid w:val="002269AD"/>
    <w:rsid w:val="00226DC9"/>
    <w:rsid w:val="00226DD8"/>
    <w:rsid w:val="00227140"/>
    <w:rsid w:val="002272CA"/>
    <w:rsid w:val="002273E5"/>
    <w:rsid w:val="002279AC"/>
    <w:rsid w:val="00227AC6"/>
    <w:rsid w:val="00227B40"/>
    <w:rsid w:val="00227D11"/>
    <w:rsid w:val="00227E70"/>
    <w:rsid w:val="00227FE7"/>
    <w:rsid w:val="002302FF"/>
    <w:rsid w:val="0023090F"/>
    <w:rsid w:val="00230A1E"/>
    <w:rsid w:val="00230D7E"/>
    <w:rsid w:val="00230E2C"/>
    <w:rsid w:val="00231158"/>
    <w:rsid w:val="00231275"/>
    <w:rsid w:val="00231490"/>
    <w:rsid w:val="002316C0"/>
    <w:rsid w:val="00231708"/>
    <w:rsid w:val="00231B65"/>
    <w:rsid w:val="00231BF7"/>
    <w:rsid w:val="00231D73"/>
    <w:rsid w:val="00231DCD"/>
    <w:rsid w:val="00231E02"/>
    <w:rsid w:val="00231EEB"/>
    <w:rsid w:val="0023207E"/>
    <w:rsid w:val="00232801"/>
    <w:rsid w:val="0023285A"/>
    <w:rsid w:val="0023295B"/>
    <w:rsid w:val="00232CF5"/>
    <w:rsid w:val="00232D13"/>
    <w:rsid w:val="00232DB7"/>
    <w:rsid w:val="00232DE5"/>
    <w:rsid w:val="00233577"/>
    <w:rsid w:val="002337BF"/>
    <w:rsid w:val="002337EE"/>
    <w:rsid w:val="00233885"/>
    <w:rsid w:val="00233A91"/>
    <w:rsid w:val="00233EC4"/>
    <w:rsid w:val="002347FB"/>
    <w:rsid w:val="002349A5"/>
    <w:rsid w:val="00234A5E"/>
    <w:rsid w:val="00234B3A"/>
    <w:rsid w:val="00234BAC"/>
    <w:rsid w:val="00235573"/>
    <w:rsid w:val="00235978"/>
    <w:rsid w:val="00235A3A"/>
    <w:rsid w:val="00235A92"/>
    <w:rsid w:val="00236048"/>
    <w:rsid w:val="00236103"/>
    <w:rsid w:val="0023623F"/>
    <w:rsid w:val="00236260"/>
    <w:rsid w:val="00236D0B"/>
    <w:rsid w:val="00236D37"/>
    <w:rsid w:val="00237028"/>
    <w:rsid w:val="00237073"/>
    <w:rsid w:val="002373AE"/>
    <w:rsid w:val="002373BE"/>
    <w:rsid w:val="00237507"/>
    <w:rsid w:val="00237903"/>
    <w:rsid w:val="00237934"/>
    <w:rsid w:val="00237C87"/>
    <w:rsid w:val="00237ECF"/>
    <w:rsid w:val="002408D1"/>
    <w:rsid w:val="00240EFD"/>
    <w:rsid w:val="00240FA6"/>
    <w:rsid w:val="00241383"/>
    <w:rsid w:val="002417D8"/>
    <w:rsid w:val="002417F7"/>
    <w:rsid w:val="00241D29"/>
    <w:rsid w:val="00241D41"/>
    <w:rsid w:val="00241D96"/>
    <w:rsid w:val="00241F1C"/>
    <w:rsid w:val="00241F95"/>
    <w:rsid w:val="00241FBD"/>
    <w:rsid w:val="00242114"/>
    <w:rsid w:val="00242738"/>
    <w:rsid w:val="002429DC"/>
    <w:rsid w:val="00242DEA"/>
    <w:rsid w:val="002430E9"/>
    <w:rsid w:val="002432BC"/>
    <w:rsid w:val="0024354A"/>
    <w:rsid w:val="0024387F"/>
    <w:rsid w:val="00243C95"/>
    <w:rsid w:val="00243CEF"/>
    <w:rsid w:val="00243EA7"/>
    <w:rsid w:val="002440D4"/>
    <w:rsid w:val="0024425E"/>
    <w:rsid w:val="002442F2"/>
    <w:rsid w:val="00244624"/>
    <w:rsid w:val="00244720"/>
    <w:rsid w:val="00244A5D"/>
    <w:rsid w:val="00244ED8"/>
    <w:rsid w:val="0024502B"/>
    <w:rsid w:val="0024538C"/>
    <w:rsid w:val="002455EF"/>
    <w:rsid w:val="00245A78"/>
    <w:rsid w:val="00245E5C"/>
    <w:rsid w:val="0024610F"/>
    <w:rsid w:val="00246630"/>
    <w:rsid w:val="00246645"/>
    <w:rsid w:val="002466FC"/>
    <w:rsid w:val="00246838"/>
    <w:rsid w:val="002468CD"/>
    <w:rsid w:val="00246C92"/>
    <w:rsid w:val="00246F9D"/>
    <w:rsid w:val="00246FA0"/>
    <w:rsid w:val="00247010"/>
    <w:rsid w:val="0024729C"/>
    <w:rsid w:val="00247368"/>
    <w:rsid w:val="002473F2"/>
    <w:rsid w:val="0024740C"/>
    <w:rsid w:val="002479D8"/>
    <w:rsid w:val="00247A53"/>
    <w:rsid w:val="00247B79"/>
    <w:rsid w:val="002509F9"/>
    <w:rsid w:val="00250A26"/>
    <w:rsid w:val="00250AF1"/>
    <w:rsid w:val="00250DB1"/>
    <w:rsid w:val="00250FED"/>
    <w:rsid w:val="00251274"/>
    <w:rsid w:val="002513DA"/>
    <w:rsid w:val="00251478"/>
    <w:rsid w:val="002514F3"/>
    <w:rsid w:val="00251801"/>
    <w:rsid w:val="002518F6"/>
    <w:rsid w:val="00251E95"/>
    <w:rsid w:val="00252868"/>
    <w:rsid w:val="002528F7"/>
    <w:rsid w:val="00252917"/>
    <w:rsid w:val="00252A23"/>
    <w:rsid w:val="00252D7D"/>
    <w:rsid w:val="002530F2"/>
    <w:rsid w:val="00253435"/>
    <w:rsid w:val="00253494"/>
    <w:rsid w:val="0025372B"/>
    <w:rsid w:val="00253A7E"/>
    <w:rsid w:val="00253D47"/>
    <w:rsid w:val="00253F6A"/>
    <w:rsid w:val="00253FD3"/>
    <w:rsid w:val="0025407C"/>
    <w:rsid w:val="00254370"/>
    <w:rsid w:val="0025456E"/>
    <w:rsid w:val="0025537B"/>
    <w:rsid w:val="002553FC"/>
    <w:rsid w:val="002559BA"/>
    <w:rsid w:val="00255FD9"/>
    <w:rsid w:val="00256406"/>
    <w:rsid w:val="00256458"/>
    <w:rsid w:val="0025649A"/>
    <w:rsid w:val="002567E9"/>
    <w:rsid w:val="002571BF"/>
    <w:rsid w:val="002573A0"/>
    <w:rsid w:val="002575FD"/>
    <w:rsid w:val="0025761A"/>
    <w:rsid w:val="00257915"/>
    <w:rsid w:val="00257982"/>
    <w:rsid w:val="002579CC"/>
    <w:rsid w:val="00257B6C"/>
    <w:rsid w:val="00257C85"/>
    <w:rsid w:val="00260045"/>
    <w:rsid w:val="00260225"/>
    <w:rsid w:val="002606D8"/>
    <w:rsid w:val="0026082A"/>
    <w:rsid w:val="00260969"/>
    <w:rsid w:val="00260D5C"/>
    <w:rsid w:val="00260DFE"/>
    <w:rsid w:val="00260F1C"/>
    <w:rsid w:val="00260F77"/>
    <w:rsid w:val="00261286"/>
    <w:rsid w:val="002613A7"/>
    <w:rsid w:val="002614D8"/>
    <w:rsid w:val="002615CA"/>
    <w:rsid w:val="002617E3"/>
    <w:rsid w:val="002619DB"/>
    <w:rsid w:val="00261CB7"/>
    <w:rsid w:val="00262078"/>
    <w:rsid w:val="0026216A"/>
    <w:rsid w:val="002621CE"/>
    <w:rsid w:val="00262630"/>
    <w:rsid w:val="0026265B"/>
    <w:rsid w:val="00262795"/>
    <w:rsid w:val="00262845"/>
    <w:rsid w:val="00262E40"/>
    <w:rsid w:val="00262E7D"/>
    <w:rsid w:val="00263099"/>
    <w:rsid w:val="002632FF"/>
    <w:rsid w:val="002639A6"/>
    <w:rsid w:val="00263A63"/>
    <w:rsid w:val="00263B5F"/>
    <w:rsid w:val="00263D68"/>
    <w:rsid w:val="00263FA5"/>
    <w:rsid w:val="00263FC6"/>
    <w:rsid w:val="002645D7"/>
    <w:rsid w:val="00264730"/>
    <w:rsid w:val="00264742"/>
    <w:rsid w:val="00264B0E"/>
    <w:rsid w:val="00264B84"/>
    <w:rsid w:val="00264C25"/>
    <w:rsid w:val="00264F17"/>
    <w:rsid w:val="002657B9"/>
    <w:rsid w:val="00265931"/>
    <w:rsid w:val="002659C9"/>
    <w:rsid w:val="00265D1C"/>
    <w:rsid w:val="00265E2A"/>
    <w:rsid w:val="00266AA4"/>
    <w:rsid w:val="00266B5A"/>
    <w:rsid w:val="00266DE7"/>
    <w:rsid w:val="00266FFD"/>
    <w:rsid w:val="00267170"/>
    <w:rsid w:val="00267356"/>
    <w:rsid w:val="00267586"/>
    <w:rsid w:val="00267645"/>
    <w:rsid w:val="00267648"/>
    <w:rsid w:val="00267D95"/>
    <w:rsid w:val="00267DBF"/>
    <w:rsid w:val="00267F53"/>
    <w:rsid w:val="002704E6"/>
    <w:rsid w:val="002709D1"/>
    <w:rsid w:val="00270AC1"/>
    <w:rsid w:val="00270DAA"/>
    <w:rsid w:val="00270E3E"/>
    <w:rsid w:val="002710D2"/>
    <w:rsid w:val="0027122D"/>
    <w:rsid w:val="0027125E"/>
    <w:rsid w:val="002712BE"/>
    <w:rsid w:val="002712F1"/>
    <w:rsid w:val="00271A4A"/>
    <w:rsid w:val="00271FC5"/>
    <w:rsid w:val="00272234"/>
    <w:rsid w:val="00272468"/>
    <w:rsid w:val="002724B3"/>
    <w:rsid w:val="0027264F"/>
    <w:rsid w:val="0027277C"/>
    <w:rsid w:val="00272B5D"/>
    <w:rsid w:val="002730E3"/>
    <w:rsid w:val="0027335D"/>
    <w:rsid w:val="002733FC"/>
    <w:rsid w:val="00273749"/>
    <w:rsid w:val="00273994"/>
    <w:rsid w:val="00273BC1"/>
    <w:rsid w:val="0027424B"/>
    <w:rsid w:val="002742AD"/>
    <w:rsid w:val="0027431A"/>
    <w:rsid w:val="0027476F"/>
    <w:rsid w:val="00274A5B"/>
    <w:rsid w:val="00275029"/>
    <w:rsid w:val="00275098"/>
    <w:rsid w:val="002750EA"/>
    <w:rsid w:val="002752F0"/>
    <w:rsid w:val="002755A5"/>
    <w:rsid w:val="0027562E"/>
    <w:rsid w:val="00275853"/>
    <w:rsid w:val="00275889"/>
    <w:rsid w:val="00275EFF"/>
    <w:rsid w:val="00276016"/>
    <w:rsid w:val="00276038"/>
    <w:rsid w:val="002763C5"/>
    <w:rsid w:val="00276444"/>
    <w:rsid w:val="002766A0"/>
    <w:rsid w:val="00276A74"/>
    <w:rsid w:val="00276CF5"/>
    <w:rsid w:val="00277259"/>
    <w:rsid w:val="00277596"/>
    <w:rsid w:val="00277A32"/>
    <w:rsid w:val="00277D6D"/>
    <w:rsid w:val="00277D78"/>
    <w:rsid w:val="00277EB7"/>
    <w:rsid w:val="00277ED4"/>
    <w:rsid w:val="00277F25"/>
    <w:rsid w:val="002801AE"/>
    <w:rsid w:val="002802A9"/>
    <w:rsid w:val="002802D0"/>
    <w:rsid w:val="00280389"/>
    <w:rsid w:val="002804FB"/>
    <w:rsid w:val="00280578"/>
    <w:rsid w:val="0028067C"/>
    <w:rsid w:val="0028067E"/>
    <w:rsid w:val="00280854"/>
    <w:rsid w:val="00280874"/>
    <w:rsid w:val="00280C76"/>
    <w:rsid w:val="0028111F"/>
    <w:rsid w:val="00281126"/>
    <w:rsid w:val="00281145"/>
    <w:rsid w:val="00281258"/>
    <w:rsid w:val="002818D4"/>
    <w:rsid w:val="00281DD8"/>
    <w:rsid w:val="00281F50"/>
    <w:rsid w:val="00281F9A"/>
    <w:rsid w:val="0028226C"/>
    <w:rsid w:val="00282355"/>
    <w:rsid w:val="00282527"/>
    <w:rsid w:val="00282B28"/>
    <w:rsid w:val="00283080"/>
    <w:rsid w:val="002830EA"/>
    <w:rsid w:val="00283206"/>
    <w:rsid w:val="00283824"/>
    <w:rsid w:val="00283FA0"/>
    <w:rsid w:val="0028406F"/>
    <w:rsid w:val="002844CA"/>
    <w:rsid w:val="002844FD"/>
    <w:rsid w:val="002848ED"/>
    <w:rsid w:val="00284AF8"/>
    <w:rsid w:val="002855B7"/>
    <w:rsid w:val="002855BF"/>
    <w:rsid w:val="00285725"/>
    <w:rsid w:val="00285896"/>
    <w:rsid w:val="00285960"/>
    <w:rsid w:val="00285A3B"/>
    <w:rsid w:val="00285BC6"/>
    <w:rsid w:val="00285C53"/>
    <w:rsid w:val="00285C81"/>
    <w:rsid w:val="00285DB7"/>
    <w:rsid w:val="002865A3"/>
    <w:rsid w:val="0028686A"/>
    <w:rsid w:val="00286DF4"/>
    <w:rsid w:val="00286EFF"/>
    <w:rsid w:val="00286FB6"/>
    <w:rsid w:val="002870C7"/>
    <w:rsid w:val="002872D7"/>
    <w:rsid w:val="002876BC"/>
    <w:rsid w:val="00287799"/>
    <w:rsid w:val="002900E1"/>
    <w:rsid w:val="002901F0"/>
    <w:rsid w:val="00290413"/>
    <w:rsid w:val="00290908"/>
    <w:rsid w:val="00290C6D"/>
    <w:rsid w:val="00290E0C"/>
    <w:rsid w:val="0029170D"/>
    <w:rsid w:val="00291716"/>
    <w:rsid w:val="0029183F"/>
    <w:rsid w:val="00291875"/>
    <w:rsid w:val="00291A25"/>
    <w:rsid w:val="00291AE0"/>
    <w:rsid w:val="0029229E"/>
    <w:rsid w:val="002922C9"/>
    <w:rsid w:val="00292363"/>
    <w:rsid w:val="002924F2"/>
    <w:rsid w:val="002924F6"/>
    <w:rsid w:val="002925F8"/>
    <w:rsid w:val="002927FD"/>
    <w:rsid w:val="00292953"/>
    <w:rsid w:val="00292B3C"/>
    <w:rsid w:val="00292C05"/>
    <w:rsid w:val="00292E95"/>
    <w:rsid w:val="00292F33"/>
    <w:rsid w:val="00292F86"/>
    <w:rsid w:val="0029328B"/>
    <w:rsid w:val="00293697"/>
    <w:rsid w:val="00293BCF"/>
    <w:rsid w:val="00293F9C"/>
    <w:rsid w:val="0029414F"/>
    <w:rsid w:val="0029438C"/>
    <w:rsid w:val="002943D3"/>
    <w:rsid w:val="002947B1"/>
    <w:rsid w:val="0029489A"/>
    <w:rsid w:val="002948E0"/>
    <w:rsid w:val="00294D9B"/>
    <w:rsid w:val="002951A0"/>
    <w:rsid w:val="002951AE"/>
    <w:rsid w:val="00295576"/>
    <w:rsid w:val="0029558D"/>
    <w:rsid w:val="00295712"/>
    <w:rsid w:val="00295A74"/>
    <w:rsid w:val="00295C79"/>
    <w:rsid w:val="00295E08"/>
    <w:rsid w:val="00295F5B"/>
    <w:rsid w:val="002967F7"/>
    <w:rsid w:val="00296BEA"/>
    <w:rsid w:val="00296EFA"/>
    <w:rsid w:val="00297218"/>
    <w:rsid w:val="002A045D"/>
    <w:rsid w:val="002A0B14"/>
    <w:rsid w:val="002A0BA9"/>
    <w:rsid w:val="002A0DF1"/>
    <w:rsid w:val="002A0F45"/>
    <w:rsid w:val="002A160D"/>
    <w:rsid w:val="002A163C"/>
    <w:rsid w:val="002A1699"/>
    <w:rsid w:val="002A169B"/>
    <w:rsid w:val="002A16F3"/>
    <w:rsid w:val="002A1C64"/>
    <w:rsid w:val="002A260C"/>
    <w:rsid w:val="002A26C9"/>
    <w:rsid w:val="002A26CF"/>
    <w:rsid w:val="002A3159"/>
    <w:rsid w:val="002A33E6"/>
    <w:rsid w:val="002A354E"/>
    <w:rsid w:val="002A36D6"/>
    <w:rsid w:val="002A372B"/>
    <w:rsid w:val="002A384D"/>
    <w:rsid w:val="002A3DCD"/>
    <w:rsid w:val="002A412D"/>
    <w:rsid w:val="002A42C6"/>
    <w:rsid w:val="002A43BB"/>
    <w:rsid w:val="002A441C"/>
    <w:rsid w:val="002A47D8"/>
    <w:rsid w:val="002A499E"/>
    <w:rsid w:val="002A4C25"/>
    <w:rsid w:val="002A4C58"/>
    <w:rsid w:val="002A4CED"/>
    <w:rsid w:val="002A4E5C"/>
    <w:rsid w:val="002A4ED7"/>
    <w:rsid w:val="002A568C"/>
    <w:rsid w:val="002A56F2"/>
    <w:rsid w:val="002A5A7C"/>
    <w:rsid w:val="002A60A2"/>
    <w:rsid w:val="002A6195"/>
    <w:rsid w:val="002A6593"/>
    <w:rsid w:val="002A65C9"/>
    <w:rsid w:val="002A6C0F"/>
    <w:rsid w:val="002A7323"/>
    <w:rsid w:val="002A733D"/>
    <w:rsid w:val="002A7748"/>
    <w:rsid w:val="002A783A"/>
    <w:rsid w:val="002A7E43"/>
    <w:rsid w:val="002B0117"/>
    <w:rsid w:val="002B01E8"/>
    <w:rsid w:val="002B02D1"/>
    <w:rsid w:val="002B0593"/>
    <w:rsid w:val="002B0607"/>
    <w:rsid w:val="002B0B92"/>
    <w:rsid w:val="002B12E3"/>
    <w:rsid w:val="002B1820"/>
    <w:rsid w:val="002B1946"/>
    <w:rsid w:val="002B1A9E"/>
    <w:rsid w:val="002B2206"/>
    <w:rsid w:val="002B23D7"/>
    <w:rsid w:val="002B29B3"/>
    <w:rsid w:val="002B2BAA"/>
    <w:rsid w:val="002B2F4A"/>
    <w:rsid w:val="002B3683"/>
    <w:rsid w:val="002B370B"/>
    <w:rsid w:val="002B3EF2"/>
    <w:rsid w:val="002B3EF4"/>
    <w:rsid w:val="002B4243"/>
    <w:rsid w:val="002B42B1"/>
    <w:rsid w:val="002B42D0"/>
    <w:rsid w:val="002B46A0"/>
    <w:rsid w:val="002B4787"/>
    <w:rsid w:val="002B4E30"/>
    <w:rsid w:val="002B4F40"/>
    <w:rsid w:val="002B4F83"/>
    <w:rsid w:val="002B5297"/>
    <w:rsid w:val="002B537A"/>
    <w:rsid w:val="002B550D"/>
    <w:rsid w:val="002B5583"/>
    <w:rsid w:val="002B5602"/>
    <w:rsid w:val="002B5AC1"/>
    <w:rsid w:val="002B5D2B"/>
    <w:rsid w:val="002B5F2A"/>
    <w:rsid w:val="002B65F6"/>
    <w:rsid w:val="002B67C3"/>
    <w:rsid w:val="002B69A7"/>
    <w:rsid w:val="002B6E34"/>
    <w:rsid w:val="002B708B"/>
    <w:rsid w:val="002B7389"/>
    <w:rsid w:val="002B7A04"/>
    <w:rsid w:val="002B7CB8"/>
    <w:rsid w:val="002B7EC8"/>
    <w:rsid w:val="002C0769"/>
    <w:rsid w:val="002C0D43"/>
    <w:rsid w:val="002C14AD"/>
    <w:rsid w:val="002C1EB7"/>
    <w:rsid w:val="002C1EF7"/>
    <w:rsid w:val="002C2002"/>
    <w:rsid w:val="002C226F"/>
    <w:rsid w:val="002C22B7"/>
    <w:rsid w:val="002C23C6"/>
    <w:rsid w:val="002C23D0"/>
    <w:rsid w:val="002C2423"/>
    <w:rsid w:val="002C2466"/>
    <w:rsid w:val="002C298E"/>
    <w:rsid w:val="002C2AEF"/>
    <w:rsid w:val="002C2B1B"/>
    <w:rsid w:val="002C2F64"/>
    <w:rsid w:val="002C31A2"/>
    <w:rsid w:val="002C33FC"/>
    <w:rsid w:val="002C341B"/>
    <w:rsid w:val="002C3A0B"/>
    <w:rsid w:val="002C3BAA"/>
    <w:rsid w:val="002C3F67"/>
    <w:rsid w:val="002C4368"/>
    <w:rsid w:val="002C4AB5"/>
    <w:rsid w:val="002C52CB"/>
    <w:rsid w:val="002C57D0"/>
    <w:rsid w:val="002C59C9"/>
    <w:rsid w:val="002C5CEA"/>
    <w:rsid w:val="002C5ED0"/>
    <w:rsid w:val="002C6050"/>
    <w:rsid w:val="002C609F"/>
    <w:rsid w:val="002C68BA"/>
    <w:rsid w:val="002C6E36"/>
    <w:rsid w:val="002C7112"/>
    <w:rsid w:val="002C716C"/>
    <w:rsid w:val="002C75C6"/>
    <w:rsid w:val="002C7C7D"/>
    <w:rsid w:val="002C7CAC"/>
    <w:rsid w:val="002C7D70"/>
    <w:rsid w:val="002D078F"/>
    <w:rsid w:val="002D0AAE"/>
    <w:rsid w:val="002D0AAF"/>
    <w:rsid w:val="002D0C0A"/>
    <w:rsid w:val="002D0DC5"/>
    <w:rsid w:val="002D0FA1"/>
    <w:rsid w:val="002D11E7"/>
    <w:rsid w:val="002D12FD"/>
    <w:rsid w:val="002D1C8E"/>
    <w:rsid w:val="002D1E77"/>
    <w:rsid w:val="002D1F55"/>
    <w:rsid w:val="002D231C"/>
    <w:rsid w:val="002D24FB"/>
    <w:rsid w:val="002D2B4E"/>
    <w:rsid w:val="002D31AC"/>
    <w:rsid w:val="002D33E6"/>
    <w:rsid w:val="002D35B1"/>
    <w:rsid w:val="002D36FD"/>
    <w:rsid w:val="002D3748"/>
    <w:rsid w:val="002D3B7D"/>
    <w:rsid w:val="002D3C21"/>
    <w:rsid w:val="002D45B6"/>
    <w:rsid w:val="002D488B"/>
    <w:rsid w:val="002D48F7"/>
    <w:rsid w:val="002D4B68"/>
    <w:rsid w:val="002D4EA0"/>
    <w:rsid w:val="002D4FB5"/>
    <w:rsid w:val="002D51E6"/>
    <w:rsid w:val="002D5309"/>
    <w:rsid w:val="002D532A"/>
    <w:rsid w:val="002D559D"/>
    <w:rsid w:val="002D57F2"/>
    <w:rsid w:val="002D58AF"/>
    <w:rsid w:val="002D603F"/>
    <w:rsid w:val="002D6069"/>
    <w:rsid w:val="002D6265"/>
    <w:rsid w:val="002D674E"/>
    <w:rsid w:val="002D67FB"/>
    <w:rsid w:val="002D687D"/>
    <w:rsid w:val="002D6974"/>
    <w:rsid w:val="002D6B43"/>
    <w:rsid w:val="002D7109"/>
    <w:rsid w:val="002D7147"/>
    <w:rsid w:val="002D71A9"/>
    <w:rsid w:val="002D7335"/>
    <w:rsid w:val="002D7370"/>
    <w:rsid w:val="002D7489"/>
    <w:rsid w:val="002D796A"/>
    <w:rsid w:val="002D7CD7"/>
    <w:rsid w:val="002D7D52"/>
    <w:rsid w:val="002D7ED6"/>
    <w:rsid w:val="002E0390"/>
    <w:rsid w:val="002E047B"/>
    <w:rsid w:val="002E0BDC"/>
    <w:rsid w:val="002E0C94"/>
    <w:rsid w:val="002E0DEF"/>
    <w:rsid w:val="002E0DF5"/>
    <w:rsid w:val="002E1263"/>
    <w:rsid w:val="002E1458"/>
    <w:rsid w:val="002E14C1"/>
    <w:rsid w:val="002E17F5"/>
    <w:rsid w:val="002E1824"/>
    <w:rsid w:val="002E185B"/>
    <w:rsid w:val="002E18D3"/>
    <w:rsid w:val="002E1971"/>
    <w:rsid w:val="002E1A18"/>
    <w:rsid w:val="002E1A2F"/>
    <w:rsid w:val="002E1AB8"/>
    <w:rsid w:val="002E1FCF"/>
    <w:rsid w:val="002E22EC"/>
    <w:rsid w:val="002E2310"/>
    <w:rsid w:val="002E27A3"/>
    <w:rsid w:val="002E29CD"/>
    <w:rsid w:val="002E2EE5"/>
    <w:rsid w:val="002E2F84"/>
    <w:rsid w:val="002E331A"/>
    <w:rsid w:val="002E3594"/>
    <w:rsid w:val="002E3AD0"/>
    <w:rsid w:val="002E3CA7"/>
    <w:rsid w:val="002E3CD9"/>
    <w:rsid w:val="002E3FAB"/>
    <w:rsid w:val="002E404F"/>
    <w:rsid w:val="002E4965"/>
    <w:rsid w:val="002E49E6"/>
    <w:rsid w:val="002E4A3A"/>
    <w:rsid w:val="002E4EA0"/>
    <w:rsid w:val="002E4EE8"/>
    <w:rsid w:val="002E5337"/>
    <w:rsid w:val="002E548A"/>
    <w:rsid w:val="002E58C6"/>
    <w:rsid w:val="002E5928"/>
    <w:rsid w:val="002E66EA"/>
    <w:rsid w:val="002E6966"/>
    <w:rsid w:val="002E6E87"/>
    <w:rsid w:val="002E7000"/>
    <w:rsid w:val="002E7130"/>
    <w:rsid w:val="002E7179"/>
    <w:rsid w:val="002E74B2"/>
    <w:rsid w:val="002E78AB"/>
    <w:rsid w:val="002E7A9D"/>
    <w:rsid w:val="002F0115"/>
    <w:rsid w:val="002F016B"/>
    <w:rsid w:val="002F01E2"/>
    <w:rsid w:val="002F0204"/>
    <w:rsid w:val="002F023D"/>
    <w:rsid w:val="002F0789"/>
    <w:rsid w:val="002F0A11"/>
    <w:rsid w:val="002F0B00"/>
    <w:rsid w:val="002F0CB7"/>
    <w:rsid w:val="002F0DB7"/>
    <w:rsid w:val="002F0FB6"/>
    <w:rsid w:val="002F0FE1"/>
    <w:rsid w:val="002F107F"/>
    <w:rsid w:val="002F122F"/>
    <w:rsid w:val="002F194E"/>
    <w:rsid w:val="002F2130"/>
    <w:rsid w:val="002F24D7"/>
    <w:rsid w:val="002F2568"/>
    <w:rsid w:val="002F25EA"/>
    <w:rsid w:val="002F2649"/>
    <w:rsid w:val="002F2FA9"/>
    <w:rsid w:val="002F3204"/>
    <w:rsid w:val="002F3226"/>
    <w:rsid w:val="002F34CA"/>
    <w:rsid w:val="002F3813"/>
    <w:rsid w:val="002F3826"/>
    <w:rsid w:val="002F3F50"/>
    <w:rsid w:val="002F3F63"/>
    <w:rsid w:val="002F3FE4"/>
    <w:rsid w:val="002F45BA"/>
    <w:rsid w:val="002F45C4"/>
    <w:rsid w:val="002F47A5"/>
    <w:rsid w:val="002F4B54"/>
    <w:rsid w:val="002F4C60"/>
    <w:rsid w:val="002F5BF3"/>
    <w:rsid w:val="002F5D29"/>
    <w:rsid w:val="002F623A"/>
    <w:rsid w:val="002F649E"/>
    <w:rsid w:val="002F663C"/>
    <w:rsid w:val="002F67B9"/>
    <w:rsid w:val="002F67C9"/>
    <w:rsid w:val="002F6902"/>
    <w:rsid w:val="002F73BA"/>
    <w:rsid w:val="002F75DC"/>
    <w:rsid w:val="002F7AF2"/>
    <w:rsid w:val="002F7B85"/>
    <w:rsid w:val="00300216"/>
    <w:rsid w:val="003003C4"/>
    <w:rsid w:val="003008E9"/>
    <w:rsid w:val="003009F6"/>
    <w:rsid w:val="00300A0B"/>
    <w:rsid w:val="00300A7C"/>
    <w:rsid w:val="00300CCC"/>
    <w:rsid w:val="00300FD9"/>
    <w:rsid w:val="0030108E"/>
    <w:rsid w:val="00301966"/>
    <w:rsid w:val="00302690"/>
    <w:rsid w:val="00302704"/>
    <w:rsid w:val="003029B7"/>
    <w:rsid w:val="003029F4"/>
    <w:rsid w:val="00302B2F"/>
    <w:rsid w:val="00302BB4"/>
    <w:rsid w:val="00302DDE"/>
    <w:rsid w:val="0030308E"/>
    <w:rsid w:val="003031BA"/>
    <w:rsid w:val="0030329B"/>
    <w:rsid w:val="003032AF"/>
    <w:rsid w:val="0030343F"/>
    <w:rsid w:val="003035E6"/>
    <w:rsid w:val="0030361D"/>
    <w:rsid w:val="003037FE"/>
    <w:rsid w:val="003038F6"/>
    <w:rsid w:val="0030395E"/>
    <w:rsid w:val="00303B70"/>
    <w:rsid w:val="003041BC"/>
    <w:rsid w:val="003049AC"/>
    <w:rsid w:val="00304A68"/>
    <w:rsid w:val="00304AAC"/>
    <w:rsid w:val="00304FEF"/>
    <w:rsid w:val="00305368"/>
    <w:rsid w:val="003054D5"/>
    <w:rsid w:val="003054EE"/>
    <w:rsid w:val="00305613"/>
    <w:rsid w:val="0030584E"/>
    <w:rsid w:val="003059AE"/>
    <w:rsid w:val="00305E0F"/>
    <w:rsid w:val="0030604C"/>
    <w:rsid w:val="00306241"/>
    <w:rsid w:val="003062B2"/>
    <w:rsid w:val="003063B0"/>
    <w:rsid w:val="003063F2"/>
    <w:rsid w:val="00306969"/>
    <w:rsid w:val="00306D0D"/>
    <w:rsid w:val="0030732E"/>
    <w:rsid w:val="0030735D"/>
    <w:rsid w:val="003074CA"/>
    <w:rsid w:val="00307CD3"/>
    <w:rsid w:val="00307ED0"/>
    <w:rsid w:val="003102ED"/>
    <w:rsid w:val="003104FB"/>
    <w:rsid w:val="00310716"/>
    <w:rsid w:val="00310A87"/>
    <w:rsid w:val="00310C53"/>
    <w:rsid w:val="00310DE9"/>
    <w:rsid w:val="0031159A"/>
    <w:rsid w:val="003117C2"/>
    <w:rsid w:val="0031182D"/>
    <w:rsid w:val="0031182E"/>
    <w:rsid w:val="00311C8C"/>
    <w:rsid w:val="00311D82"/>
    <w:rsid w:val="00311F2E"/>
    <w:rsid w:val="0031276D"/>
    <w:rsid w:val="00313080"/>
    <w:rsid w:val="00313162"/>
    <w:rsid w:val="0031317B"/>
    <w:rsid w:val="003134BE"/>
    <w:rsid w:val="003134E1"/>
    <w:rsid w:val="00313617"/>
    <w:rsid w:val="0031409D"/>
    <w:rsid w:val="003140E6"/>
    <w:rsid w:val="003143B3"/>
    <w:rsid w:val="00314612"/>
    <w:rsid w:val="003147A1"/>
    <w:rsid w:val="00314ABF"/>
    <w:rsid w:val="00314EC6"/>
    <w:rsid w:val="00314F3C"/>
    <w:rsid w:val="00315652"/>
    <w:rsid w:val="00315C41"/>
    <w:rsid w:val="00315CBD"/>
    <w:rsid w:val="00315EEC"/>
    <w:rsid w:val="003160D2"/>
    <w:rsid w:val="003163A5"/>
    <w:rsid w:val="00316B1D"/>
    <w:rsid w:val="00316BE8"/>
    <w:rsid w:val="00316FBD"/>
    <w:rsid w:val="00317216"/>
    <w:rsid w:val="00317245"/>
    <w:rsid w:val="0031729E"/>
    <w:rsid w:val="00317975"/>
    <w:rsid w:val="00317AC0"/>
    <w:rsid w:val="00317D30"/>
    <w:rsid w:val="003208AD"/>
    <w:rsid w:val="00320BB6"/>
    <w:rsid w:val="00321252"/>
    <w:rsid w:val="00321901"/>
    <w:rsid w:val="00321A79"/>
    <w:rsid w:val="00321C61"/>
    <w:rsid w:val="00321DB6"/>
    <w:rsid w:val="00321EF8"/>
    <w:rsid w:val="00321FD9"/>
    <w:rsid w:val="00322313"/>
    <w:rsid w:val="00322B21"/>
    <w:rsid w:val="00322B9D"/>
    <w:rsid w:val="00322BBC"/>
    <w:rsid w:val="00322DB1"/>
    <w:rsid w:val="003233FF"/>
    <w:rsid w:val="0032345F"/>
    <w:rsid w:val="00323595"/>
    <w:rsid w:val="00323B56"/>
    <w:rsid w:val="00324061"/>
    <w:rsid w:val="0032415C"/>
    <w:rsid w:val="003241DF"/>
    <w:rsid w:val="00324713"/>
    <w:rsid w:val="003247D1"/>
    <w:rsid w:val="00324999"/>
    <w:rsid w:val="00324AEF"/>
    <w:rsid w:val="00324BFD"/>
    <w:rsid w:val="00324C36"/>
    <w:rsid w:val="00324EE2"/>
    <w:rsid w:val="00324F5D"/>
    <w:rsid w:val="00325263"/>
    <w:rsid w:val="00325535"/>
    <w:rsid w:val="00325564"/>
    <w:rsid w:val="003256E2"/>
    <w:rsid w:val="00325DD2"/>
    <w:rsid w:val="0032612A"/>
    <w:rsid w:val="003268C0"/>
    <w:rsid w:val="00326C5D"/>
    <w:rsid w:val="003270DE"/>
    <w:rsid w:val="003271F2"/>
    <w:rsid w:val="003272A3"/>
    <w:rsid w:val="003273EB"/>
    <w:rsid w:val="00327663"/>
    <w:rsid w:val="00327A21"/>
    <w:rsid w:val="00327EF8"/>
    <w:rsid w:val="003301E1"/>
    <w:rsid w:val="0033089A"/>
    <w:rsid w:val="00330C44"/>
    <w:rsid w:val="00330DAF"/>
    <w:rsid w:val="00330F63"/>
    <w:rsid w:val="00331715"/>
    <w:rsid w:val="00331A28"/>
    <w:rsid w:val="00331B1E"/>
    <w:rsid w:val="00331B77"/>
    <w:rsid w:val="00331D60"/>
    <w:rsid w:val="003321F6"/>
    <w:rsid w:val="003322F9"/>
    <w:rsid w:val="00332574"/>
    <w:rsid w:val="0033268E"/>
    <w:rsid w:val="003329F8"/>
    <w:rsid w:val="00332BB4"/>
    <w:rsid w:val="00332EB0"/>
    <w:rsid w:val="00333018"/>
    <w:rsid w:val="003330C2"/>
    <w:rsid w:val="00333420"/>
    <w:rsid w:val="00333588"/>
    <w:rsid w:val="00333EDD"/>
    <w:rsid w:val="00334637"/>
    <w:rsid w:val="00334A16"/>
    <w:rsid w:val="00334A25"/>
    <w:rsid w:val="00334EA7"/>
    <w:rsid w:val="00335009"/>
    <w:rsid w:val="0033528B"/>
    <w:rsid w:val="00335409"/>
    <w:rsid w:val="0033568B"/>
    <w:rsid w:val="00335855"/>
    <w:rsid w:val="00335FF7"/>
    <w:rsid w:val="00336070"/>
    <w:rsid w:val="00336137"/>
    <w:rsid w:val="003361A4"/>
    <w:rsid w:val="0033652B"/>
    <w:rsid w:val="00336566"/>
    <w:rsid w:val="0033668C"/>
    <w:rsid w:val="00336724"/>
    <w:rsid w:val="00336843"/>
    <w:rsid w:val="003369DA"/>
    <w:rsid w:val="00336ECD"/>
    <w:rsid w:val="00336F87"/>
    <w:rsid w:val="00336FB4"/>
    <w:rsid w:val="003374CF"/>
    <w:rsid w:val="00337516"/>
    <w:rsid w:val="0033762E"/>
    <w:rsid w:val="00337A8C"/>
    <w:rsid w:val="00337BF0"/>
    <w:rsid w:val="00340102"/>
    <w:rsid w:val="003402FF"/>
    <w:rsid w:val="00340981"/>
    <w:rsid w:val="00340BE1"/>
    <w:rsid w:val="00340D92"/>
    <w:rsid w:val="00340EB5"/>
    <w:rsid w:val="00341815"/>
    <w:rsid w:val="00341DE7"/>
    <w:rsid w:val="0034206E"/>
    <w:rsid w:val="003422B7"/>
    <w:rsid w:val="00342427"/>
    <w:rsid w:val="00342789"/>
    <w:rsid w:val="00342CE8"/>
    <w:rsid w:val="00342E4E"/>
    <w:rsid w:val="00342EAB"/>
    <w:rsid w:val="0034361E"/>
    <w:rsid w:val="0034371E"/>
    <w:rsid w:val="00343FBF"/>
    <w:rsid w:val="00344504"/>
    <w:rsid w:val="0034453E"/>
    <w:rsid w:val="00344A14"/>
    <w:rsid w:val="00344C50"/>
    <w:rsid w:val="003456C5"/>
    <w:rsid w:val="00345C56"/>
    <w:rsid w:val="00345DE5"/>
    <w:rsid w:val="00345E4F"/>
    <w:rsid w:val="0034602A"/>
    <w:rsid w:val="0034654C"/>
    <w:rsid w:val="003467C6"/>
    <w:rsid w:val="00346BE8"/>
    <w:rsid w:val="003472B3"/>
    <w:rsid w:val="003474EF"/>
    <w:rsid w:val="003477C8"/>
    <w:rsid w:val="0034780E"/>
    <w:rsid w:val="00347CF9"/>
    <w:rsid w:val="00347F60"/>
    <w:rsid w:val="00347FDE"/>
    <w:rsid w:val="00350270"/>
    <w:rsid w:val="0035036B"/>
    <w:rsid w:val="00350565"/>
    <w:rsid w:val="0035066A"/>
    <w:rsid w:val="00350B97"/>
    <w:rsid w:val="00350C7F"/>
    <w:rsid w:val="00351155"/>
    <w:rsid w:val="003515F6"/>
    <w:rsid w:val="00351A87"/>
    <w:rsid w:val="003522E3"/>
    <w:rsid w:val="003522F7"/>
    <w:rsid w:val="003522F9"/>
    <w:rsid w:val="003524F3"/>
    <w:rsid w:val="00352A29"/>
    <w:rsid w:val="00352B67"/>
    <w:rsid w:val="00352FBE"/>
    <w:rsid w:val="003530F9"/>
    <w:rsid w:val="0035312A"/>
    <w:rsid w:val="0035364B"/>
    <w:rsid w:val="00353834"/>
    <w:rsid w:val="0035395D"/>
    <w:rsid w:val="00353BF7"/>
    <w:rsid w:val="00353F0B"/>
    <w:rsid w:val="0035444D"/>
    <w:rsid w:val="003545B5"/>
    <w:rsid w:val="003546F1"/>
    <w:rsid w:val="00354CA4"/>
    <w:rsid w:val="0035545E"/>
    <w:rsid w:val="0035582A"/>
    <w:rsid w:val="0035584A"/>
    <w:rsid w:val="00355A25"/>
    <w:rsid w:val="00355B24"/>
    <w:rsid w:val="00355BBB"/>
    <w:rsid w:val="00355D0A"/>
    <w:rsid w:val="00355F00"/>
    <w:rsid w:val="00355F11"/>
    <w:rsid w:val="00355F54"/>
    <w:rsid w:val="003561B0"/>
    <w:rsid w:val="00356642"/>
    <w:rsid w:val="00356683"/>
    <w:rsid w:val="00356B0E"/>
    <w:rsid w:val="00356B60"/>
    <w:rsid w:val="00356BBA"/>
    <w:rsid w:val="00356DE0"/>
    <w:rsid w:val="00357196"/>
    <w:rsid w:val="003574EF"/>
    <w:rsid w:val="00357687"/>
    <w:rsid w:val="0035786B"/>
    <w:rsid w:val="00357A23"/>
    <w:rsid w:val="00357D73"/>
    <w:rsid w:val="00357F0B"/>
    <w:rsid w:val="00360004"/>
    <w:rsid w:val="00360067"/>
    <w:rsid w:val="0036008E"/>
    <w:rsid w:val="0036012B"/>
    <w:rsid w:val="0036045D"/>
    <w:rsid w:val="0036047A"/>
    <w:rsid w:val="0036059E"/>
    <w:rsid w:val="003605A4"/>
    <w:rsid w:val="0036086E"/>
    <w:rsid w:val="003609EF"/>
    <w:rsid w:val="00360A77"/>
    <w:rsid w:val="00360F2D"/>
    <w:rsid w:val="00361552"/>
    <w:rsid w:val="00361A63"/>
    <w:rsid w:val="00361B3E"/>
    <w:rsid w:val="00361FAF"/>
    <w:rsid w:val="003622E6"/>
    <w:rsid w:val="003625BE"/>
    <w:rsid w:val="00362630"/>
    <w:rsid w:val="0036289B"/>
    <w:rsid w:val="00362963"/>
    <w:rsid w:val="00362BAB"/>
    <w:rsid w:val="00363166"/>
    <w:rsid w:val="00363685"/>
    <w:rsid w:val="00363B71"/>
    <w:rsid w:val="00363C0E"/>
    <w:rsid w:val="00363C9C"/>
    <w:rsid w:val="00363DE8"/>
    <w:rsid w:val="00363E47"/>
    <w:rsid w:val="00363EA7"/>
    <w:rsid w:val="003646DB"/>
    <w:rsid w:val="00364C1F"/>
    <w:rsid w:val="00364C3E"/>
    <w:rsid w:val="00364DB2"/>
    <w:rsid w:val="003650F4"/>
    <w:rsid w:val="003653B1"/>
    <w:rsid w:val="00365F40"/>
    <w:rsid w:val="00366ABE"/>
    <w:rsid w:val="00367234"/>
    <w:rsid w:val="00367314"/>
    <w:rsid w:val="00367359"/>
    <w:rsid w:val="003674DF"/>
    <w:rsid w:val="00367AC1"/>
    <w:rsid w:val="00367EA2"/>
    <w:rsid w:val="003700F6"/>
    <w:rsid w:val="0037026E"/>
    <w:rsid w:val="00370E54"/>
    <w:rsid w:val="003710FD"/>
    <w:rsid w:val="0037118F"/>
    <w:rsid w:val="00371271"/>
    <w:rsid w:val="00371758"/>
    <w:rsid w:val="003717AE"/>
    <w:rsid w:val="00371A58"/>
    <w:rsid w:val="003720C0"/>
    <w:rsid w:val="00372A87"/>
    <w:rsid w:val="00372E48"/>
    <w:rsid w:val="003732B2"/>
    <w:rsid w:val="003732FA"/>
    <w:rsid w:val="003736FD"/>
    <w:rsid w:val="003738C8"/>
    <w:rsid w:val="00373A11"/>
    <w:rsid w:val="00373F70"/>
    <w:rsid w:val="00373F7C"/>
    <w:rsid w:val="0037413B"/>
    <w:rsid w:val="0037417D"/>
    <w:rsid w:val="00374496"/>
    <w:rsid w:val="0037461E"/>
    <w:rsid w:val="003746A3"/>
    <w:rsid w:val="003746CF"/>
    <w:rsid w:val="00374789"/>
    <w:rsid w:val="00374968"/>
    <w:rsid w:val="00374CE8"/>
    <w:rsid w:val="00374CEE"/>
    <w:rsid w:val="00375176"/>
    <w:rsid w:val="0037571A"/>
    <w:rsid w:val="003759A7"/>
    <w:rsid w:val="00375F97"/>
    <w:rsid w:val="00376D28"/>
    <w:rsid w:val="00376D6B"/>
    <w:rsid w:val="003771BB"/>
    <w:rsid w:val="003778F9"/>
    <w:rsid w:val="00377B6B"/>
    <w:rsid w:val="003800FF"/>
    <w:rsid w:val="0038017E"/>
    <w:rsid w:val="00380213"/>
    <w:rsid w:val="0038040F"/>
    <w:rsid w:val="00380957"/>
    <w:rsid w:val="00380967"/>
    <w:rsid w:val="00380A2B"/>
    <w:rsid w:val="00380C75"/>
    <w:rsid w:val="00380E14"/>
    <w:rsid w:val="00381101"/>
    <w:rsid w:val="003812C7"/>
    <w:rsid w:val="003813E1"/>
    <w:rsid w:val="0038190E"/>
    <w:rsid w:val="00381911"/>
    <w:rsid w:val="00381E0E"/>
    <w:rsid w:val="00381F7B"/>
    <w:rsid w:val="0038208A"/>
    <w:rsid w:val="0038230F"/>
    <w:rsid w:val="0038275A"/>
    <w:rsid w:val="003827D0"/>
    <w:rsid w:val="00382A59"/>
    <w:rsid w:val="00383258"/>
    <w:rsid w:val="0038333B"/>
    <w:rsid w:val="00383655"/>
    <w:rsid w:val="00383AD5"/>
    <w:rsid w:val="00383AF4"/>
    <w:rsid w:val="00383B55"/>
    <w:rsid w:val="00383BC6"/>
    <w:rsid w:val="00383E5A"/>
    <w:rsid w:val="0038427B"/>
    <w:rsid w:val="0038445C"/>
    <w:rsid w:val="00384653"/>
    <w:rsid w:val="00384B71"/>
    <w:rsid w:val="00384B77"/>
    <w:rsid w:val="00384BE6"/>
    <w:rsid w:val="00384D1F"/>
    <w:rsid w:val="00384DA2"/>
    <w:rsid w:val="00384ECF"/>
    <w:rsid w:val="0038538F"/>
    <w:rsid w:val="0038549A"/>
    <w:rsid w:val="00385517"/>
    <w:rsid w:val="00385537"/>
    <w:rsid w:val="00385784"/>
    <w:rsid w:val="00385918"/>
    <w:rsid w:val="00385F1B"/>
    <w:rsid w:val="00386020"/>
    <w:rsid w:val="0038622B"/>
    <w:rsid w:val="003862CB"/>
    <w:rsid w:val="00386356"/>
    <w:rsid w:val="00386492"/>
    <w:rsid w:val="003866E5"/>
    <w:rsid w:val="00386752"/>
    <w:rsid w:val="00386833"/>
    <w:rsid w:val="00386B80"/>
    <w:rsid w:val="00386BC9"/>
    <w:rsid w:val="00386D84"/>
    <w:rsid w:val="003870F6"/>
    <w:rsid w:val="00387887"/>
    <w:rsid w:val="00387957"/>
    <w:rsid w:val="0039000B"/>
    <w:rsid w:val="0039052E"/>
    <w:rsid w:val="00390A34"/>
    <w:rsid w:val="00390C57"/>
    <w:rsid w:val="00390CA5"/>
    <w:rsid w:val="00390CF6"/>
    <w:rsid w:val="00391543"/>
    <w:rsid w:val="00391B8C"/>
    <w:rsid w:val="00391BBF"/>
    <w:rsid w:val="00391BF8"/>
    <w:rsid w:val="00391FA5"/>
    <w:rsid w:val="00392101"/>
    <w:rsid w:val="003928A3"/>
    <w:rsid w:val="00392AAD"/>
    <w:rsid w:val="00393208"/>
    <w:rsid w:val="0039340F"/>
    <w:rsid w:val="00393656"/>
    <w:rsid w:val="00393771"/>
    <w:rsid w:val="00393B76"/>
    <w:rsid w:val="00393C2A"/>
    <w:rsid w:val="00393DDE"/>
    <w:rsid w:val="003940B3"/>
    <w:rsid w:val="00394461"/>
    <w:rsid w:val="00394706"/>
    <w:rsid w:val="00394707"/>
    <w:rsid w:val="003948DB"/>
    <w:rsid w:val="00394E25"/>
    <w:rsid w:val="00395377"/>
    <w:rsid w:val="00395620"/>
    <w:rsid w:val="0039588B"/>
    <w:rsid w:val="00395C4E"/>
    <w:rsid w:val="00396144"/>
    <w:rsid w:val="0039620C"/>
    <w:rsid w:val="003968FF"/>
    <w:rsid w:val="0039697F"/>
    <w:rsid w:val="00396C15"/>
    <w:rsid w:val="00396D1C"/>
    <w:rsid w:val="003974A1"/>
    <w:rsid w:val="0039761F"/>
    <w:rsid w:val="003978D1"/>
    <w:rsid w:val="00397B37"/>
    <w:rsid w:val="003A00D8"/>
    <w:rsid w:val="003A0165"/>
    <w:rsid w:val="003A0244"/>
    <w:rsid w:val="003A043B"/>
    <w:rsid w:val="003A0634"/>
    <w:rsid w:val="003A0828"/>
    <w:rsid w:val="003A108C"/>
    <w:rsid w:val="003A143A"/>
    <w:rsid w:val="003A15CF"/>
    <w:rsid w:val="003A15FF"/>
    <w:rsid w:val="003A16AE"/>
    <w:rsid w:val="003A1B73"/>
    <w:rsid w:val="003A1BA1"/>
    <w:rsid w:val="003A1BA3"/>
    <w:rsid w:val="003A1D29"/>
    <w:rsid w:val="003A1F28"/>
    <w:rsid w:val="003A1F5D"/>
    <w:rsid w:val="003A2165"/>
    <w:rsid w:val="003A216A"/>
    <w:rsid w:val="003A24AA"/>
    <w:rsid w:val="003A2645"/>
    <w:rsid w:val="003A2902"/>
    <w:rsid w:val="003A2BBD"/>
    <w:rsid w:val="003A36B0"/>
    <w:rsid w:val="003A3989"/>
    <w:rsid w:val="003A3C5D"/>
    <w:rsid w:val="003A42F1"/>
    <w:rsid w:val="003A46BB"/>
    <w:rsid w:val="003A4EA4"/>
    <w:rsid w:val="003A5748"/>
    <w:rsid w:val="003A596C"/>
    <w:rsid w:val="003A5D52"/>
    <w:rsid w:val="003A5E0E"/>
    <w:rsid w:val="003A5E41"/>
    <w:rsid w:val="003A61A6"/>
    <w:rsid w:val="003A64C9"/>
    <w:rsid w:val="003A6535"/>
    <w:rsid w:val="003A67DD"/>
    <w:rsid w:val="003A6C6B"/>
    <w:rsid w:val="003A6DA1"/>
    <w:rsid w:val="003A6E44"/>
    <w:rsid w:val="003A712F"/>
    <w:rsid w:val="003A7174"/>
    <w:rsid w:val="003A72CE"/>
    <w:rsid w:val="003A763E"/>
    <w:rsid w:val="003A76E2"/>
    <w:rsid w:val="003A7713"/>
    <w:rsid w:val="003A7785"/>
    <w:rsid w:val="003A79E6"/>
    <w:rsid w:val="003A7ACB"/>
    <w:rsid w:val="003A7FB8"/>
    <w:rsid w:val="003B04E8"/>
    <w:rsid w:val="003B05FF"/>
    <w:rsid w:val="003B0775"/>
    <w:rsid w:val="003B0873"/>
    <w:rsid w:val="003B087B"/>
    <w:rsid w:val="003B0927"/>
    <w:rsid w:val="003B0E5A"/>
    <w:rsid w:val="003B10EF"/>
    <w:rsid w:val="003B1178"/>
    <w:rsid w:val="003B164D"/>
    <w:rsid w:val="003B16D5"/>
    <w:rsid w:val="003B1D96"/>
    <w:rsid w:val="003B1F67"/>
    <w:rsid w:val="003B255D"/>
    <w:rsid w:val="003B2B70"/>
    <w:rsid w:val="003B2F3C"/>
    <w:rsid w:val="003B303E"/>
    <w:rsid w:val="003B3F3F"/>
    <w:rsid w:val="003B443D"/>
    <w:rsid w:val="003B44E8"/>
    <w:rsid w:val="003B4566"/>
    <w:rsid w:val="003B4720"/>
    <w:rsid w:val="003B497F"/>
    <w:rsid w:val="003B4C9C"/>
    <w:rsid w:val="003B4F41"/>
    <w:rsid w:val="003B4FB2"/>
    <w:rsid w:val="003B4FF4"/>
    <w:rsid w:val="003B53EE"/>
    <w:rsid w:val="003B5900"/>
    <w:rsid w:val="003B5B03"/>
    <w:rsid w:val="003B6011"/>
    <w:rsid w:val="003B6310"/>
    <w:rsid w:val="003B63D7"/>
    <w:rsid w:val="003B661C"/>
    <w:rsid w:val="003B67ED"/>
    <w:rsid w:val="003B69AB"/>
    <w:rsid w:val="003B6B30"/>
    <w:rsid w:val="003B6CC4"/>
    <w:rsid w:val="003B7330"/>
    <w:rsid w:val="003B74C2"/>
    <w:rsid w:val="003B7701"/>
    <w:rsid w:val="003B78B3"/>
    <w:rsid w:val="003B7BDF"/>
    <w:rsid w:val="003B7CB8"/>
    <w:rsid w:val="003B7FF7"/>
    <w:rsid w:val="003C0343"/>
    <w:rsid w:val="003C07B8"/>
    <w:rsid w:val="003C0AA6"/>
    <w:rsid w:val="003C0B29"/>
    <w:rsid w:val="003C0D7F"/>
    <w:rsid w:val="003C0F9E"/>
    <w:rsid w:val="003C1093"/>
    <w:rsid w:val="003C126E"/>
    <w:rsid w:val="003C12C0"/>
    <w:rsid w:val="003C144E"/>
    <w:rsid w:val="003C19B1"/>
    <w:rsid w:val="003C1CE8"/>
    <w:rsid w:val="003C1F6C"/>
    <w:rsid w:val="003C20F4"/>
    <w:rsid w:val="003C210F"/>
    <w:rsid w:val="003C21A8"/>
    <w:rsid w:val="003C26FD"/>
    <w:rsid w:val="003C2715"/>
    <w:rsid w:val="003C27B2"/>
    <w:rsid w:val="003C2AE3"/>
    <w:rsid w:val="003C2CB5"/>
    <w:rsid w:val="003C3270"/>
    <w:rsid w:val="003C3521"/>
    <w:rsid w:val="003C3851"/>
    <w:rsid w:val="003C3FCC"/>
    <w:rsid w:val="003C44B0"/>
    <w:rsid w:val="003C4738"/>
    <w:rsid w:val="003C497F"/>
    <w:rsid w:val="003C4E47"/>
    <w:rsid w:val="003C50CC"/>
    <w:rsid w:val="003C52E4"/>
    <w:rsid w:val="003C5390"/>
    <w:rsid w:val="003C56C8"/>
    <w:rsid w:val="003C57BB"/>
    <w:rsid w:val="003C5D35"/>
    <w:rsid w:val="003C5DA8"/>
    <w:rsid w:val="003C63AB"/>
    <w:rsid w:val="003C647B"/>
    <w:rsid w:val="003C64FE"/>
    <w:rsid w:val="003C65B2"/>
    <w:rsid w:val="003C667B"/>
    <w:rsid w:val="003C6919"/>
    <w:rsid w:val="003C704A"/>
    <w:rsid w:val="003C70A2"/>
    <w:rsid w:val="003C767A"/>
    <w:rsid w:val="003C777E"/>
    <w:rsid w:val="003C792C"/>
    <w:rsid w:val="003C7A9A"/>
    <w:rsid w:val="003C7F15"/>
    <w:rsid w:val="003C7FB8"/>
    <w:rsid w:val="003D02B3"/>
    <w:rsid w:val="003D0428"/>
    <w:rsid w:val="003D086B"/>
    <w:rsid w:val="003D1148"/>
    <w:rsid w:val="003D1189"/>
    <w:rsid w:val="003D12B0"/>
    <w:rsid w:val="003D1399"/>
    <w:rsid w:val="003D1422"/>
    <w:rsid w:val="003D1434"/>
    <w:rsid w:val="003D1576"/>
    <w:rsid w:val="003D1711"/>
    <w:rsid w:val="003D1A27"/>
    <w:rsid w:val="003D1F8A"/>
    <w:rsid w:val="003D202B"/>
    <w:rsid w:val="003D215E"/>
    <w:rsid w:val="003D21E0"/>
    <w:rsid w:val="003D298F"/>
    <w:rsid w:val="003D2B89"/>
    <w:rsid w:val="003D2CAF"/>
    <w:rsid w:val="003D2F43"/>
    <w:rsid w:val="003D304F"/>
    <w:rsid w:val="003D32DB"/>
    <w:rsid w:val="003D3400"/>
    <w:rsid w:val="003D37AF"/>
    <w:rsid w:val="003D3B2D"/>
    <w:rsid w:val="003D41B0"/>
    <w:rsid w:val="003D41E0"/>
    <w:rsid w:val="003D42B2"/>
    <w:rsid w:val="003D47D0"/>
    <w:rsid w:val="003D48EE"/>
    <w:rsid w:val="003D498B"/>
    <w:rsid w:val="003D4A60"/>
    <w:rsid w:val="003D58A7"/>
    <w:rsid w:val="003D5AE2"/>
    <w:rsid w:val="003D5B20"/>
    <w:rsid w:val="003D5B7E"/>
    <w:rsid w:val="003D5BD6"/>
    <w:rsid w:val="003D5FA6"/>
    <w:rsid w:val="003D636C"/>
    <w:rsid w:val="003D643B"/>
    <w:rsid w:val="003D6785"/>
    <w:rsid w:val="003D67DC"/>
    <w:rsid w:val="003D6A41"/>
    <w:rsid w:val="003D6A9D"/>
    <w:rsid w:val="003D6B00"/>
    <w:rsid w:val="003D6B2B"/>
    <w:rsid w:val="003D6B3E"/>
    <w:rsid w:val="003D6B9F"/>
    <w:rsid w:val="003D6BFA"/>
    <w:rsid w:val="003D6D3D"/>
    <w:rsid w:val="003D6FC7"/>
    <w:rsid w:val="003D748F"/>
    <w:rsid w:val="003D76D3"/>
    <w:rsid w:val="003D7A23"/>
    <w:rsid w:val="003D7A58"/>
    <w:rsid w:val="003D7B77"/>
    <w:rsid w:val="003D7BBB"/>
    <w:rsid w:val="003D7C5D"/>
    <w:rsid w:val="003D7D71"/>
    <w:rsid w:val="003D7E8C"/>
    <w:rsid w:val="003E0013"/>
    <w:rsid w:val="003E02BA"/>
    <w:rsid w:val="003E06D6"/>
    <w:rsid w:val="003E07EE"/>
    <w:rsid w:val="003E0C9F"/>
    <w:rsid w:val="003E0DB5"/>
    <w:rsid w:val="003E0E22"/>
    <w:rsid w:val="003E0E5B"/>
    <w:rsid w:val="003E0F04"/>
    <w:rsid w:val="003E1142"/>
    <w:rsid w:val="003E1733"/>
    <w:rsid w:val="003E1893"/>
    <w:rsid w:val="003E19DF"/>
    <w:rsid w:val="003E223F"/>
    <w:rsid w:val="003E2389"/>
    <w:rsid w:val="003E23EA"/>
    <w:rsid w:val="003E2418"/>
    <w:rsid w:val="003E2680"/>
    <w:rsid w:val="003E27D3"/>
    <w:rsid w:val="003E2A41"/>
    <w:rsid w:val="003E2A7B"/>
    <w:rsid w:val="003E2D8B"/>
    <w:rsid w:val="003E2EC8"/>
    <w:rsid w:val="003E3029"/>
    <w:rsid w:val="003E309A"/>
    <w:rsid w:val="003E332D"/>
    <w:rsid w:val="003E3469"/>
    <w:rsid w:val="003E3540"/>
    <w:rsid w:val="003E36C2"/>
    <w:rsid w:val="003E39A0"/>
    <w:rsid w:val="003E3ADA"/>
    <w:rsid w:val="003E3D9F"/>
    <w:rsid w:val="003E3DA4"/>
    <w:rsid w:val="003E3DF8"/>
    <w:rsid w:val="003E3E3F"/>
    <w:rsid w:val="003E40E6"/>
    <w:rsid w:val="003E417D"/>
    <w:rsid w:val="003E4449"/>
    <w:rsid w:val="003E47B7"/>
    <w:rsid w:val="003E49C3"/>
    <w:rsid w:val="003E4A53"/>
    <w:rsid w:val="003E4FFF"/>
    <w:rsid w:val="003E5307"/>
    <w:rsid w:val="003E539F"/>
    <w:rsid w:val="003E550F"/>
    <w:rsid w:val="003E55F9"/>
    <w:rsid w:val="003E56DF"/>
    <w:rsid w:val="003E5791"/>
    <w:rsid w:val="003E5A2E"/>
    <w:rsid w:val="003E5C08"/>
    <w:rsid w:val="003E5DAF"/>
    <w:rsid w:val="003E5EEE"/>
    <w:rsid w:val="003E614C"/>
    <w:rsid w:val="003E651D"/>
    <w:rsid w:val="003E655C"/>
    <w:rsid w:val="003E6C2B"/>
    <w:rsid w:val="003E6FEC"/>
    <w:rsid w:val="003E78AE"/>
    <w:rsid w:val="003E7BA7"/>
    <w:rsid w:val="003F0148"/>
    <w:rsid w:val="003F026E"/>
    <w:rsid w:val="003F0700"/>
    <w:rsid w:val="003F0C63"/>
    <w:rsid w:val="003F0D23"/>
    <w:rsid w:val="003F1390"/>
    <w:rsid w:val="003F13D5"/>
    <w:rsid w:val="003F15AA"/>
    <w:rsid w:val="003F1657"/>
    <w:rsid w:val="003F16C2"/>
    <w:rsid w:val="003F1708"/>
    <w:rsid w:val="003F189E"/>
    <w:rsid w:val="003F18A9"/>
    <w:rsid w:val="003F193F"/>
    <w:rsid w:val="003F22DB"/>
    <w:rsid w:val="003F2918"/>
    <w:rsid w:val="003F2A25"/>
    <w:rsid w:val="003F2D17"/>
    <w:rsid w:val="003F3092"/>
    <w:rsid w:val="003F30F3"/>
    <w:rsid w:val="003F36DC"/>
    <w:rsid w:val="003F38B0"/>
    <w:rsid w:val="003F38DC"/>
    <w:rsid w:val="003F3B57"/>
    <w:rsid w:val="003F3BF3"/>
    <w:rsid w:val="003F3D8F"/>
    <w:rsid w:val="003F41A1"/>
    <w:rsid w:val="003F4443"/>
    <w:rsid w:val="003F4500"/>
    <w:rsid w:val="003F48DF"/>
    <w:rsid w:val="003F4981"/>
    <w:rsid w:val="003F4B30"/>
    <w:rsid w:val="003F57FD"/>
    <w:rsid w:val="003F5E61"/>
    <w:rsid w:val="003F665F"/>
    <w:rsid w:val="003F6A73"/>
    <w:rsid w:val="003F6F09"/>
    <w:rsid w:val="003F7160"/>
    <w:rsid w:val="003F7215"/>
    <w:rsid w:val="003F726E"/>
    <w:rsid w:val="003F72FF"/>
    <w:rsid w:val="003F7326"/>
    <w:rsid w:val="003F7570"/>
    <w:rsid w:val="003F7731"/>
    <w:rsid w:val="003F77B6"/>
    <w:rsid w:val="003F78C3"/>
    <w:rsid w:val="003F7953"/>
    <w:rsid w:val="003F798A"/>
    <w:rsid w:val="003F7D37"/>
    <w:rsid w:val="003F7E7F"/>
    <w:rsid w:val="003F7F52"/>
    <w:rsid w:val="00400321"/>
    <w:rsid w:val="004005DA"/>
    <w:rsid w:val="00400A96"/>
    <w:rsid w:val="00400B12"/>
    <w:rsid w:val="004010B5"/>
    <w:rsid w:val="00401261"/>
    <w:rsid w:val="0040134F"/>
    <w:rsid w:val="00401538"/>
    <w:rsid w:val="0040169A"/>
    <w:rsid w:val="00401FD5"/>
    <w:rsid w:val="00402015"/>
    <w:rsid w:val="00402540"/>
    <w:rsid w:val="004025A4"/>
    <w:rsid w:val="004026D1"/>
    <w:rsid w:val="00402FB6"/>
    <w:rsid w:val="004035AF"/>
    <w:rsid w:val="004035EC"/>
    <w:rsid w:val="004036F0"/>
    <w:rsid w:val="00403BA5"/>
    <w:rsid w:val="004044B6"/>
    <w:rsid w:val="0040452F"/>
    <w:rsid w:val="00404C54"/>
    <w:rsid w:val="00405115"/>
    <w:rsid w:val="0040529A"/>
    <w:rsid w:val="004053C6"/>
    <w:rsid w:val="004053FE"/>
    <w:rsid w:val="004057EC"/>
    <w:rsid w:val="0040582C"/>
    <w:rsid w:val="00405E1C"/>
    <w:rsid w:val="00406499"/>
    <w:rsid w:val="00406997"/>
    <w:rsid w:val="0040704F"/>
    <w:rsid w:val="004076AB"/>
    <w:rsid w:val="00407710"/>
    <w:rsid w:val="004077E6"/>
    <w:rsid w:val="00407A2A"/>
    <w:rsid w:val="00407C73"/>
    <w:rsid w:val="00407F85"/>
    <w:rsid w:val="004100C3"/>
    <w:rsid w:val="00410165"/>
    <w:rsid w:val="004101F2"/>
    <w:rsid w:val="004102FF"/>
    <w:rsid w:val="00410341"/>
    <w:rsid w:val="0041035D"/>
    <w:rsid w:val="00410B3A"/>
    <w:rsid w:val="00410FB9"/>
    <w:rsid w:val="004114E5"/>
    <w:rsid w:val="00411593"/>
    <w:rsid w:val="00411873"/>
    <w:rsid w:val="004118F8"/>
    <w:rsid w:val="00411CA6"/>
    <w:rsid w:val="00411DE5"/>
    <w:rsid w:val="00411E3E"/>
    <w:rsid w:val="00411F54"/>
    <w:rsid w:val="00412107"/>
    <w:rsid w:val="0041212B"/>
    <w:rsid w:val="00412204"/>
    <w:rsid w:val="0041235B"/>
    <w:rsid w:val="00412BA8"/>
    <w:rsid w:val="00412CB7"/>
    <w:rsid w:val="00412E00"/>
    <w:rsid w:val="00412F16"/>
    <w:rsid w:val="00413129"/>
    <w:rsid w:val="0041322B"/>
    <w:rsid w:val="004132EB"/>
    <w:rsid w:val="004136B2"/>
    <w:rsid w:val="004139AC"/>
    <w:rsid w:val="00413A46"/>
    <w:rsid w:val="00413F85"/>
    <w:rsid w:val="00414035"/>
    <w:rsid w:val="00414054"/>
    <w:rsid w:val="00414303"/>
    <w:rsid w:val="00414555"/>
    <w:rsid w:val="004147DB"/>
    <w:rsid w:val="0041499B"/>
    <w:rsid w:val="00414A6F"/>
    <w:rsid w:val="00414AAD"/>
    <w:rsid w:val="00414ADC"/>
    <w:rsid w:val="0041511C"/>
    <w:rsid w:val="00415346"/>
    <w:rsid w:val="004155CC"/>
    <w:rsid w:val="0041560E"/>
    <w:rsid w:val="0041572C"/>
    <w:rsid w:val="0041587A"/>
    <w:rsid w:val="00415F48"/>
    <w:rsid w:val="00415F54"/>
    <w:rsid w:val="00416023"/>
    <w:rsid w:val="0041604A"/>
    <w:rsid w:val="0041628F"/>
    <w:rsid w:val="0041631F"/>
    <w:rsid w:val="00416588"/>
    <w:rsid w:val="004166E6"/>
    <w:rsid w:val="00416B74"/>
    <w:rsid w:val="00416BA8"/>
    <w:rsid w:val="00416E74"/>
    <w:rsid w:val="00416EE1"/>
    <w:rsid w:val="00417394"/>
    <w:rsid w:val="004179F4"/>
    <w:rsid w:val="00417E96"/>
    <w:rsid w:val="0042011E"/>
    <w:rsid w:val="0042064C"/>
    <w:rsid w:val="00420D0F"/>
    <w:rsid w:val="004212DC"/>
    <w:rsid w:val="0042195A"/>
    <w:rsid w:val="004219C7"/>
    <w:rsid w:val="00422697"/>
    <w:rsid w:val="004226F7"/>
    <w:rsid w:val="00422B67"/>
    <w:rsid w:val="00422D1A"/>
    <w:rsid w:val="0042304C"/>
    <w:rsid w:val="00423383"/>
    <w:rsid w:val="004238F3"/>
    <w:rsid w:val="00423A7D"/>
    <w:rsid w:val="00423BB3"/>
    <w:rsid w:val="0042401E"/>
    <w:rsid w:val="004246A1"/>
    <w:rsid w:val="00424B7A"/>
    <w:rsid w:val="004250A7"/>
    <w:rsid w:val="004258A4"/>
    <w:rsid w:val="00425CF1"/>
    <w:rsid w:val="00426069"/>
    <w:rsid w:val="0042608C"/>
    <w:rsid w:val="004262BC"/>
    <w:rsid w:val="004267E6"/>
    <w:rsid w:val="00426DA5"/>
    <w:rsid w:val="00427032"/>
    <w:rsid w:val="0042709A"/>
    <w:rsid w:val="0042772F"/>
    <w:rsid w:val="00427B54"/>
    <w:rsid w:val="00427C83"/>
    <w:rsid w:val="00427D73"/>
    <w:rsid w:val="00430CC6"/>
    <w:rsid w:val="00430E94"/>
    <w:rsid w:val="004310CB"/>
    <w:rsid w:val="00431151"/>
    <w:rsid w:val="0043166B"/>
    <w:rsid w:val="00431674"/>
    <w:rsid w:val="0043176B"/>
    <w:rsid w:val="00431CCB"/>
    <w:rsid w:val="00431D3C"/>
    <w:rsid w:val="00431F5C"/>
    <w:rsid w:val="00431F68"/>
    <w:rsid w:val="004322AA"/>
    <w:rsid w:val="00432536"/>
    <w:rsid w:val="0043289B"/>
    <w:rsid w:val="00432A41"/>
    <w:rsid w:val="00432B94"/>
    <w:rsid w:val="00433360"/>
    <w:rsid w:val="00433646"/>
    <w:rsid w:val="00433687"/>
    <w:rsid w:val="00433782"/>
    <w:rsid w:val="00433EAE"/>
    <w:rsid w:val="00434738"/>
    <w:rsid w:val="00434884"/>
    <w:rsid w:val="004348D3"/>
    <w:rsid w:val="0043609F"/>
    <w:rsid w:val="004360AA"/>
    <w:rsid w:val="00436464"/>
    <w:rsid w:val="004365A5"/>
    <w:rsid w:val="00436692"/>
    <w:rsid w:val="00436890"/>
    <w:rsid w:val="00436A4F"/>
    <w:rsid w:val="00436C22"/>
    <w:rsid w:val="00436E02"/>
    <w:rsid w:val="004370E4"/>
    <w:rsid w:val="0043779D"/>
    <w:rsid w:val="004377D2"/>
    <w:rsid w:val="004379FF"/>
    <w:rsid w:val="00440457"/>
    <w:rsid w:val="00440A46"/>
    <w:rsid w:val="00440B36"/>
    <w:rsid w:val="00440E18"/>
    <w:rsid w:val="0044102F"/>
    <w:rsid w:val="00441468"/>
    <w:rsid w:val="00441803"/>
    <w:rsid w:val="00441813"/>
    <w:rsid w:val="004418D2"/>
    <w:rsid w:val="0044197A"/>
    <w:rsid w:val="004419F4"/>
    <w:rsid w:val="00441AFB"/>
    <w:rsid w:val="00441C20"/>
    <w:rsid w:val="00441D26"/>
    <w:rsid w:val="00441EDD"/>
    <w:rsid w:val="0044257C"/>
    <w:rsid w:val="00442C04"/>
    <w:rsid w:val="00442D00"/>
    <w:rsid w:val="00442DA8"/>
    <w:rsid w:val="0044308B"/>
    <w:rsid w:val="0044325E"/>
    <w:rsid w:val="00443696"/>
    <w:rsid w:val="00443982"/>
    <w:rsid w:val="00443C09"/>
    <w:rsid w:val="00443C0D"/>
    <w:rsid w:val="00443C74"/>
    <w:rsid w:val="00443F0B"/>
    <w:rsid w:val="00444027"/>
    <w:rsid w:val="0044411A"/>
    <w:rsid w:val="00444633"/>
    <w:rsid w:val="00444E23"/>
    <w:rsid w:val="00445279"/>
    <w:rsid w:val="00445D71"/>
    <w:rsid w:val="00445FB2"/>
    <w:rsid w:val="004466F2"/>
    <w:rsid w:val="004467FF"/>
    <w:rsid w:val="00446B32"/>
    <w:rsid w:val="00446D6C"/>
    <w:rsid w:val="00447042"/>
    <w:rsid w:val="00447193"/>
    <w:rsid w:val="00447325"/>
    <w:rsid w:val="004473D8"/>
    <w:rsid w:val="00447676"/>
    <w:rsid w:val="004476B5"/>
    <w:rsid w:val="00447C97"/>
    <w:rsid w:val="0045011A"/>
    <w:rsid w:val="00450137"/>
    <w:rsid w:val="0045025F"/>
    <w:rsid w:val="0045036E"/>
    <w:rsid w:val="0045048B"/>
    <w:rsid w:val="004508BF"/>
    <w:rsid w:val="00450A3B"/>
    <w:rsid w:val="0045155C"/>
    <w:rsid w:val="004516CA"/>
    <w:rsid w:val="00451902"/>
    <w:rsid w:val="00451931"/>
    <w:rsid w:val="00451986"/>
    <w:rsid w:val="00451A92"/>
    <w:rsid w:val="00451D45"/>
    <w:rsid w:val="00451EB7"/>
    <w:rsid w:val="004520A8"/>
    <w:rsid w:val="004520CD"/>
    <w:rsid w:val="004521A6"/>
    <w:rsid w:val="004522BF"/>
    <w:rsid w:val="0045242F"/>
    <w:rsid w:val="004525B5"/>
    <w:rsid w:val="00452BA3"/>
    <w:rsid w:val="00452BC2"/>
    <w:rsid w:val="00452EBE"/>
    <w:rsid w:val="00453304"/>
    <w:rsid w:val="0045345A"/>
    <w:rsid w:val="004535C8"/>
    <w:rsid w:val="00453841"/>
    <w:rsid w:val="00453B19"/>
    <w:rsid w:val="00453CC7"/>
    <w:rsid w:val="00454204"/>
    <w:rsid w:val="00454717"/>
    <w:rsid w:val="00454AA9"/>
    <w:rsid w:val="00454C35"/>
    <w:rsid w:val="00454D02"/>
    <w:rsid w:val="00454FF4"/>
    <w:rsid w:val="0045502C"/>
    <w:rsid w:val="004551B1"/>
    <w:rsid w:val="00455684"/>
    <w:rsid w:val="004556BF"/>
    <w:rsid w:val="00455AAE"/>
    <w:rsid w:val="00455FBE"/>
    <w:rsid w:val="0045630D"/>
    <w:rsid w:val="00456668"/>
    <w:rsid w:val="0045675B"/>
    <w:rsid w:val="0045694B"/>
    <w:rsid w:val="00456B79"/>
    <w:rsid w:val="0045714E"/>
    <w:rsid w:val="004572EF"/>
    <w:rsid w:val="00457388"/>
    <w:rsid w:val="0045763B"/>
    <w:rsid w:val="004576C0"/>
    <w:rsid w:val="004576E8"/>
    <w:rsid w:val="00457A44"/>
    <w:rsid w:val="00457C00"/>
    <w:rsid w:val="00457FF4"/>
    <w:rsid w:val="00460043"/>
    <w:rsid w:val="0046006D"/>
    <w:rsid w:val="004602F3"/>
    <w:rsid w:val="004603CF"/>
    <w:rsid w:val="00460644"/>
    <w:rsid w:val="004606D7"/>
    <w:rsid w:val="004611DF"/>
    <w:rsid w:val="004611F1"/>
    <w:rsid w:val="00461368"/>
    <w:rsid w:val="00461502"/>
    <w:rsid w:val="00461591"/>
    <w:rsid w:val="00461DF0"/>
    <w:rsid w:val="00462125"/>
    <w:rsid w:val="004622FC"/>
    <w:rsid w:val="0046273D"/>
    <w:rsid w:val="004627D0"/>
    <w:rsid w:val="00462C81"/>
    <w:rsid w:val="00462C95"/>
    <w:rsid w:val="004630CC"/>
    <w:rsid w:val="0046385A"/>
    <w:rsid w:val="0046388D"/>
    <w:rsid w:val="00463C2C"/>
    <w:rsid w:val="00463C91"/>
    <w:rsid w:val="00463DCE"/>
    <w:rsid w:val="00463F5B"/>
    <w:rsid w:val="004642B1"/>
    <w:rsid w:val="0046441F"/>
    <w:rsid w:val="004644A8"/>
    <w:rsid w:val="00464BD7"/>
    <w:rsid w:val="00464C57"/>
    <w:rsid w:val="00464C8B"/>
    <w:rsid w:val="00464DD3"/>
    <w:rsid w:val="00465043"/>
    <w:rsid w:val="00465100"/>
    <w:rsid w:val="004651D2"/>
    <w:rsid w:val="004654FE"/>
    <w:rsid w:val="004656B1"/>
    <w:rsid w:val="00465AB3"/>
    <w:rsid w:val="00465C9D"/>
    <w:rsid w:val="00465DF5"/>
    <w:rsid w:val="004660C3"/>
    <w:rsid w:val="004661BB"/>
    <w:rsid w:val="004661CD"/>
    <w:rsid w:val="0046689F"/>
    <w:rsid w:val="0046751A"/>
    <w:rsid w:val="0046793A"/>
    <w:rsid w:val="00467D4F"/>
    <w:rsid w:val="0047018B"/>
    <w:rsid w:val="00470C0E"/>
    <w:rsid w:val="00470D68"/>
    <w:rsid w:val="00470E57"/>
    <w:rsid w:val="004710AF"/>
    <w:rsid w:val="004711FD"/>
    <w:rsid w:val="0047133B"/>
    <w:rsid w:val="00471466"/>
    <w:rsid w:val="00471481"/>
    <w:rsid w:val="004717D1"/>
    <w:rsid w:val="00471948"/>
    <w:rsid w:val="00471B85"/>
    <w:rsid w:val="00471C5B"/>
    <w:rsid w:val="00471D88"/>
    <w:rsid w:val="00471EED"/>
    <w:rsid w:val="004723E4"/>
    <w:rsid w:val="0047254F"/>
    <w:rsid w:val="004726D4"/>
    <w:rsid w:val="004727C6"/>
    <w:rsid w:val="00472896"/>
    <w:rsid w:val="00472C37"/>
    <w:rsid w:val="00472DF0"/>
    <w:rsid w:val="00472E59"/>
    <w:rsid w:val="004732AA"/>
    <w:rsid w:val="00473401"/>
    <w:rsid w:val="00473A3C"/>
    <w:rsid w:val="00473B64"/>
    <w:rsid w:val="00473CF4"/>
    <w:rsid w:val="00473E53"/>
    <w:rsid w:val="00473FAE"/>
    <w:rsid w:val="004742DC"/>
    <w:rsid w:val="00474448"/>
    <w:rsid w:val="00474574"/>
    <w:rsid w:val="004749B1"/>
    <w:rsid w:val="004749C0"/>
    <w:rsid w:val="00474B7F"/>
    <w:rsid w:val="00474D4E"/>
    <w:rsid w:val="00474FE3"/>
    <w:rsid w:val="00475673"/>
    <w:rsid w:val="00475834"/>
    <w:rsid w:val="00475C0E"/>
    <w:rsid w:val="00475D4F"/>
    <w:rsid w:val="00475FAA"/>
    <w:rsid w:val="0047600A"/>
    <w:rsid w:val="004767F2"/>
    <w:rsid w:val="00476DC1"/>
    <w:rsid w:val="00476E07"/>
    <w:rsid w:val="00476ECF"/>
    <w:rsid w:val="00477280"/>
    <w:rsid w:val="004774D6"/>
    <w:rsid w:val="0047778D"/>
    <w:rsid w:val="004777CB"/>
    <w:rsid w:val="00477A5E"/>
    <w:rsid w:val="00477C2B"/>
    <w:rsid w:val="00477D00"/>
    <w:rsid w:val="00477DD0"/>
    <w:rsid w:val="00477F5E"/>
    <w:rsid w:val="00477FA4"/>
    <w:rsid w:val="0048021D"/>
    <w:rsid w:val="00480268"/>
    <w:rsid w:val="00480506"/>
    <w:rsid w:val="004805C9"/>
    <w:rsid w:val="00480682"/>
    <w:rsid w:val="00480766"/>
    <w:rsid w:val="00480C0D"/>
    <w:rsid w:val="00480C2A"/>
    <w:rsid w:val="00480F10"/>
    <w:rsid w:val="0048122A"/>
    <w:rsid w:val="004813DA"/>
    <w:rsid w:val="004818A8"/>
    <w:rsid w:val="004818AB"/>
    <w:rsid w:val="00481ACA"/>
    <w:rsid w:val="00481BC2"/>
    <w:rsid w:val="00481C98"/>
    <w:rsid w:val="00481EBB"/>
    <w:rsid w:val="00482255"/>
    <w:rsid w:val="00482338"/>
    <w:rsid w:val="00482743"/>
    <w:rsid w:val="00483500"/>
    <w:rsid w:val="004835A5"/>
    <w:rsid w:val="004836F7"/>
    <w:rsid w:val="004837C4"/>
    <w:rsid w:val="004839E6"/>
    <w:rsid w:val="00483C0E"/>
    <w:rsid w:val="00483DE6"/>
    <w:rsid w:val="00484080"/>
    <w:rsid w:val="0048428C"/>
    <w:rsid w:val="00484B56"/>
    <w:rsid w:val="00484B64"/>
    <w:rsid w:val="00484FEC"/>
    <w:rsid w:val="0048504A"/>
    <w:rsid w:val="004850E5"/>
    <w:rsid w:val="004853D5"/>
    <w:rsid w:val="0048577C"/>
    <w:rsid w:val="0048579B"/>
    <w:rsid w:val="0048596F"/>
    <w:rsid w:val="00485AA0"/>
    <w:rsid w:val="00485F80"/>
    <w:rsid w:val="0048603B"/>
    <w:rsid w:val="00486133"/>
    <w:rsid w:val="0048623A"/>
    <w:rsid w:val="00486532"/>
    <w:rsid w:val="00486C08"/>
    <w:rsid w:val="00486DD1"/>
    <w:rsid w:val="00486E97"/>
    <w:rsid w:val="00486EFF"/>
    <w:rsid w:val="004877F3"/>
    <w:rsid w:val="00487976"/>
    <w:rsid w:val="0048798F"/>
    <w:rsid w:val="00487A1B"/>
    <w:rsid w:val="00487FEB"/>
    <w:rsid w:val="004901FD"/>
    <w:rsid w:val="00490543"/>
    <w:rsid w:val="0049096D"/>
    <w:rsid w:val="00490F25"/>
    <w:rsid w:val="00491118"/>
    <w:rsid w:val="00491231"/>
    <w:rsid w:val="00491348"/>
    <w:rsid w:val="00491841"/>
    <w:rsid w:val="004918FD"/>
    <w:rsid w:val="00491D24"/>
    <w:rsid w:val="00491E0E"/>
    <w:rsid w:val="00491F88"/>
    <w:rsid w:val="00491FA9"/>
    <w:rsid w:val="0049264B"/>
    <w:rsid w:val="0049289A"/>
    <w:rsid w:val="00492E6F"/>
    <w:rsid w:val="00492EC5"/>
    <w:rsid w:val="00493101"/>
    <w:rsid w:val="004936B4"/>
    <w:rsid w:val="004939E9"/>
    <w:rsid w:val="00493A80"/>
    <w:rsid w:val="00493B45"/>
    <w:rsid w:val="00493F2D"/>
    <w:rsid w:val="0049485C"/>
    <w:rsid w:val="00494CD8"/>
    <w:rsid w:val="00494D78"/>
    <w:rsid w:val="00494FE8"/>
    <w:rsid w:val="0049508C"/>
    <w:rsid w:val="00495247"/>
    <w:rsid w:val="0049530C"/>
    <w:rsid w:val="00495554"/>
    <w:rsid w:val="00495844"/>
    <w:rsid w:val="00495DB9"/>
    <w:rsid w:val="004961E6"/>
    <w:rsid w:val="0049665C"/>
    <w:rsid w:val="004968E8"/>
    <w:rsid w:val="0049707E"/>
    <w:rsid w:val="004970C3"/>
    <w:rsid w:val="00497AE3"/>
    <w:rsid w:val="00497D2F"/>
    <w:rsid w:val="00497FDD"/>
    <w:rsid w:val="004A0695"/>
    <w:rsid w:val="004A069B"/>
    <w:rsid w:val="004A07E4"/>
    <w:rsid w:val="004A0F5F"/>
    <w:rsid w:val="004A1314"/>
    <w:rsid w:val="004A1462"/>
    <w:rsid w:val="004A1543"/>
    <w:rsid w:val="004A1DE6"/>
    <w:rsid w:val="004A1FD5"/>
    <w:rsid w:val="004A23D3"/>
    <w:rsid w:val="004A24AB"/>
    <w:rsid w:val="004A2617"/>
    <w:rsid w:val="004A2658"/>
    <w:rsid w:val="004A2F9B"/>
    <w:rsid w:val="004A3282"/>
    <w:rsid w:val="004A3B2E"/>
    <w:rsid w:val="004A4427"/>
    <w:rsid w:val="004A4439"/>
    <w:rsid w:val="004A454D"/>
    <w:rsid w:val="004A4747"/>
    <w:rsid w:val="004A4AF2"/>
    <w:rsid w:val="004A4D66"/>
    <w:rsid w:val="004A4DC6"/>
    <w:rsid w:val="004A5037"/>
    <w:rsid w:val="004A56AB"/>
    <w:rsid w:val="004A5A2C"/>
    <w:rsid w:val="004A6712"/>
    <w:rsid w:val="004A6A85"/>
    <w:rsid w:val="004A6FBD"/>
    <w:rsid w:val="004A7123"/>
    <w:rsid w:val="004A731D"/>
    <w:rsid w:val="004A74C3"/>
    <w:rsid w:val="004A7631"/>
    <w:rsid w:val="004A76ED"/>
    <w:rsid w:val="004A77FE"/>
    <w:rsid w:val="004B0561"/>
    <w:rsid w:val="004B070F"/>
    <w:rsid w:val="004B0A00"/>
    <w:rsid w:val="004B102E"/>
    <w:rsid w:val="004B111E"/>
    <w:rsid w:val="004B1DD3"/>
    <w:rsid w:val="004B2587"/>
    <w:rsid w:val="004B2756"/>
    <w:rsid w:val="004B2B27"/>
    <w:rsid w:val="004B2D05"/>
    <w:rsid w:val="004B32A2"/>
    <w:rsid w:val="004B32FD"/>
    <w:rsid w:val="004B34DD"/>
    <w:rsid w:val="004B355D"/>
    <w:rsid w:val="004B35DD"/>
    <w:rsid w:val="004B3740"/>
    <w:rsid w:val="004B3CC0"/>
    <w:rsid w:val="004B43B3"/>
    <w:rsid w:val="004B43F8"/>
    <w:rsid w:val="004B4407"/>
    <w:rsid w:val="004B4E4F"/>
    <w:rsid w:val="004B5AB3"/>
    <w:rsid w:val="004B5B87"/>
    <w:rsid w:val="004B5C8D"/>
    <w:rsid w:val="004B5FBF"/>
    <w:rsid w:val="004B605E"/>
    <w:rsid w:val="004B620D"/>
    <w:rsid w:val="004B62F2"/>
    <w:rsid w:val="004B6348"/>
    <w:rsid w:val="004B64B0"/>
    <w:rsid w:val="004B65F2"/>
    <w:rsid w:val="004B6893"/>
    <w:rsid w:val="004B6C31"/>
    <w:rsid w:val="004B7024"/>
    <w:rsid w:val="004B7113"/>
    <w:rsid w:val="004B73F0"/>
    <w:rsid w:val="004B7478"/>
    <w:rsid w:val="004B7535"/>
    <w:rsid w:val="004B7600"/>
    <w:rsid w:val="004B782F"/>
    <w:rsid w:val="004B7DF0"/>
    <w:rsid w:val="004B7DF6"/>
    <w:rsid w:val="004B7EA8"/>
    <w:rsid w:val="004C0086"/>
    <w:rsid w:val="004C022F"/>
    <w:rsid w:val="004C0DDB"/>
    <w:rsid w:val="004C1185"/>
    <w:rsid w:val="004C157D"/>
    <w:rsid w:val="004C175B"/>
    <w:rsid w:val="004C1E2D"/>
    <w:rsid w:val="004C20A0"/>
    <w:rsid w:val="004C2593"/>
    <w:rsid w:val="004C287C"/>
    <w:rsid w:val="004C29D2"/>
    <w:rsid w:val="004C30D2"/>
    <w:rsid w:val="004C320A"/>
    <w:rsid w:val="004C3353"/>
    <w:rsid w:val="004C3672"/>
    <w:rsid w:val="004C3F60"/>
    <w:rsid w:val="004C4059"/>
    <w:rsid w:val="004C40B2"/>
    <w:rsid w:val="004C46C8"/>
    <w:rsid w:val="004C4860"/>
    <w:rsid w:val="004C48BC"/>
    <w:rsid w:val="004C4BD6"/>
    <w:rsid w:val="004C4E03"/>
    <w:rsid w:val="004C4E8B"/>
    <w:rsid w:val="004C50D8"/>
    <w:rsid w:val="004C52BD"/>
    <w:rsid w:val="004C54C3"/>
    <w:rsid w:val="004C5C3A"/>
    <w:rsid w:val="004C66E7"/>
    <w:rsid w:val="004C6B78"/>
    <w:rsid w:val="004C76B3"/>
    <w:rsid w:val="004D00C2"/>
    <w:rsid w:val="004D024E"/>
    <w:rsid w:val="004D0300"/>
    <w:rsid w:val="004D060A"/>
    <w:rsid w:val="004D064A"/>
    <w:rsid w:val="004D0B1A"/>
    <w:rsid w:val="004D0B8E"/>
    <w:rsid w:val="004D10DB"/>
    <w:rsid w:val="004D12FE"/>
    <w:rsid w:val="004D1333"/>
    <w:rsid w:val="004D1BEA"/>
    <w:rsid w:val="004D1D41"/>
    <w:rsid w:val="004D1E6A"/>
    <w:rsid w:val="004D1FF1"/>
    <w:rsid w:val="004D23CD"/>
    <w:rsid w:val="004D23D6"/>
    <w:rsid w:val="004D2614"/>
    <w:rsid w:val="004D29BA"/>
    <w:rsid w:val="004D2BA9"/>
    <w:rsid w:val="004D2BD1"/>
    <w:rsid w:val="004D3104"/>
    <w:rsid w:val="004D323F"/>
    <w:rsid w:val="004D361B"/>
    <w:rsid w:val="004D3745"/>
    <w:rsid w:val="004D3930"/>
    <w:rsid w:val="004D447D"/>
    <w:rsid w:val="004D4508"/>
    <w:rsid w:val="004D4BE1"/>
    <w:rsid w:val="004D4E29"/>
    <w:rsid w:val="004D5062"/>
    <w:rsid w:val="004D51D7"/>
    <w:rsid w:val="004D5256"/>
    <w:rsid w:val="004D5560"/>
    <w:rsid w:val="004D55BA"/>
    <w:rsid w:val="004D601D"/>
    <w:rsid w:val="004D6565"/>
    <w:rsid w:val="004D6C80"/>
    <w:rsid w:val="004D73F0"/>
    <w:rsid w:val="004D743C"/>
    <w:rsid w:val="004D76BF"/>
    <w:rsid w:val="004D7734"/>
    <w:rsid w:val="004D7787"/>
    <w:rsid w:val="004D7849"/>
    <w:rsid w:val="004D7B41"/>
    <w:rsid w:val="004D7B6D"/>
    <w:rsid w:val="004D7DE6"/>
    <w:rsid w:val="004D7F0C"/>
    <w:rsid w:val="004E0595"/>
    <w:rsid w:val="004E07C1"/>
    <w:rsid w:val="004E093A"/>
    <w:rsid w:val="004E09DD"/>
    <w:rsid w:val="004E0BD4"/>
    <w:rsid w:val="004E0C33"/>
    <w:rsid w:val="004E0E50"/>
    <w:rsid w:val="004E104F"/>
    <w:rsid w:val="004E10E5"/>
    <w:rsid w:val="004E1263"/>
    <w:rsid w:val="004E1BE5"/>
    <w:rsid w:val="004E1EE4"/>
    <w:rsid w:val="004E1FEA"/>
    <w:rsid w:val="004E2197"/>
    <w:rsid w:val="004E23A0"/>
    <w:rsid w:val="004E25C2"/>
    <w:rsid w:val="004E277E"/>
    <w:rsid w:val="004E2952"/>
    <w:rsid w:val="004E2A5F"/>
    <w:rsid w:val="004E2C05"/>
    <w:rsid w:val="004E2D47"/>
    <w:rsid w:val="004E2EB8"/>
    <w:rsid w:val="004E3474"/>
    <w:rsid w:val="004E3535"/>
    <w:rsid w:val="004E3613"/>
    <w:rsid w:val="004E3802"/>
    <w:rsid w:val="004E3BA3"/>
    <w:rsid w:val="004E3D0C"/>
    <w:rsid w:val="004E3E83"/>
    <w:rsid w:val="004E40FF"/>
    <w:rsid w:val="004E411B"/>
    <w:rsid w:val="004E4454"/>
    <w:rsid w:val="004E456E"/>
    <w:rsid w:val="004E46A6"/>
    <w:rsid w:val="004E46B3"/>
    <w:rsid w:val="004E4746"/>
    <w:rsid w:val="004E4A73"/>
    <w:rsid w:val="004E4BEE"/>
    <w:rsid w:val="004E5174"/>
    <w:rsid w:val="004E540F"/>
    <w:rsid w:val="004E59EB"/>
    <w:rsid w:val="004E5A82"/>
    <w:rsid w:val="004E5B5B"/>
    <w:rsid w:val="004E5D63"/>
    <w:rsid w:val="004E5E03"/>
    <w:rsid w:val="004E5E55"/>
    <w:rsid w:val="004E619D"/>
    <w:rsid w:val="004E6205"/>
    <w:rsid w:val="004E63F4"/>
    <w:rsid w:val="004E6458"/>
    <w:rsid w:val="004E66C7"/>
    <w:rsid w:val="004E6BCB"/>
    <w:rsid w:val="004E6DB1"/>
    <w:rsid w:val="004E6DB7"/>
    <w:rsid w:val="004E6FA1"/>
    <w:rsid w:val="004E7029"/>
    <w:rsid w:val="004E7753"/>
    <w:rsid w:val="004E7A21"/>
    <w:rsid w:val="004E7EA4"/>
    <w:rsid w:val="004E7FA6"/>
    <w:rsid w:val="004F00F5"/>
    <w:rsid w:val="004F0323"/>
    <w:rsid w:val="004F0369"/>
    <w:rsid w:val="004F03A0"/>
    <w:rsid w:val="004F0B69"/>
    <w:rsid w:val="004F0C1F"/>
    <w:rsid w:val="004F0E3E"/>
    <w:rsid w:val="004F0EB6"/>
    <w:rsid w:val="004F1313"/>
    <w:rsid w:val="004F13AB"/>
    <w:rsid w:val="004F16FC"/>
    <w:rsid w:val="004F1935"/>
    <w:rsid w:val="004F1C3A"/>
    <w:rsid w:val="004F1CA3"/>
    <w:rsid w:val="004F1E7A"/>
    <w:rsid w:val="004F1F71"/>
    <w:rsid w:val="004F2272"/>
    <w:rsid w:val="004F23C1"/>
    <w:rsid w:val="004F26CE"/>
    <w:rsid w:val="004F2AA3"/>
    <w:rsid w:val="004F2C64"/>
    <w:rsid w:val="004F2F7A"/>
    <w:rsid w:val="004F33C6"/>
    <w:rsid w:val="004F356B"/>
    <w:rsid w:val="004F3762"/>
    <w:rsid w:val="004F3DB9"/>
    <w:rsid w:val="004F3E7F"/>
    <w:rsid w:val="004F3F33"/>
    <w:rsid w:val="004F434C"/>
    <w:rsid w:val="004F44C9"/>
    <w:rsid w:val="004F455F"/>
    <w:rsid w:val="004F4A62"/>
    <w:rsid w:val="004F4C26"/>
    <w:rsid w:val="004F4F0C"/>
    <w:rsid w:val="004F51D2"/>
    <w:rsid w:val="004F51E4"/>
    <w:rsid w:val="004F52E5"/>
    <w:rsid w:val="004F53EC"/>
    <w:rsid w:val="004F540E"/>
    <w:rsid w:val="004F55BF"/>
    <w:rsid w:val="004F5720"/>
    <w:rsid w:val="004F5BD7"/>
    <w:rsid w:val="004F5D1D"/>
    <w:rsid w:val="004F5E94"/>
    <w:rsid w:val="004F63CA"/>
    <w:rsid w:val="004F6536"/>
    <w:rsid w:val="004F6C5B"/>
    <w:rsid w:val="004F7202"/>
    <w:rsid w:val="004F758E"/>
    <w:rsid w:val="004F76C4"/>
    <w:rsid w:val="004F7F1D"/>
    <w:rsid w:val="004F7FCB"/>
    <w:rsid w:val="0050020D"/>
    <w:rsid w:val="0050093E"/>
    <w:rsid w:val="005009E4"/>
    <w:rsid w:val="00500BEF"/>
    <w:rsid w:val="00500FBE"/>
    <w:rsid w:val="00501081"/>
    <w:rsid w:val="00501565"/>
    <w:rsid w:val="0050188F"/>
    <w:rsid w:val="005018EE"/>
    <w:rsid w:val="005018FF"/>
    <w:rsid w:val="00501DA7"/>
    <w:rsid w:val="00501E58"/>
    <w:rsid w:val="00501ED8"/>
    <w:rsid w:val="005024B5"/>
    <w:rsid w:val="005025E7"/>
    <w:rsid w:val="00502BDB"/>
    <w:rsid w:val="00502D17"/>
    <w:rsid w:val="00502DD1"/>
    <w:rsid w:val="00502E06"/>
    <w:rsid w:val="00503044"/>
    <w:rsid w:val="00503451"/>
    <w:rsid w:val="00503534"/>
    <w:rsid w:val="0050362F"/>
    <w:rsid w:val="0050373E"/>
    <w:rsid w:val="005038A5"/>
    <w:rsid w:val="00504390"/>
    <w:rsid w:val="0050469A"/>
    <w:rsid w:val="005046F4"/>
    <w:rsid w:val="00504E41"/>
    <w:rsid w:val="0050551F"/>
    <w:rsid w:val="00505662"/>
    <w:rsid w:val="00505ACD"/>
    <w:rsid w:val="0050602B"/>
    <w:rsid w:val="00506285"/>
    <w:rsid w:val="00506981"/>
    <w:rsid w:val="00506AEC"/>
    <w:rsid w:val="00506FD4"/>
    <w:rsid w:val="005071A5"/>
    <w:rsid w:val="005075C3"/>
    <w:rsid w:val="005076F0"/>
    <w:rsid w:val="00507A54"/>
    <w:rsid w:val="00507D01"/>
    <w:rsid w:val="00510554"/>
    <w:rsid w:val="00510582"/>
    <w:rsid w:val="00510CB6"/>
    <w:rsid w:val="00510D37"/>
    <w:rsid w:val="005111F9"/>
    <w:rsid w:val="005113B7"/>
    <w:rsid w:val="005116C6"/>
    <w:rsid w:val="00511758"/>
    <w:rsid w:val="005125E4"/>
    <w:rsid w:val="00512FC5"/>
    <w:rsid w:val="00513472"/>
    <w:rsid w:val="00513978"/>
    <w:rsid w:val="00513C7B"/>
    <w:rsid w:val="00513FFA"/>
    <w:rsid w:val="0051418E"/>
    <w:rsid w:val="0051485D"/>
    <w:rsid w:val="00514AF2"/>
    <w:rsid w:val="00514BC5"/>
    <w:rsid w:val="00514D60"/>
    <w:rsid w:val="00514EDC"/>
    <w:rsid w:val="005151C9"/>
    <w:rsid w:val="0051537F"/>
    <w:rsid w:val="00515503"/>
    <w:rsid w:val="00515749"/>
    <w:rsid w:val="00515AD7"/>
    <w:rsid w:val="00516307"/>
    <w:rsid w:val="005163A6"/>
    <w:rsid w:val="00516684"/>
    <w:rsid w:val="005167D9"/>
    <w:rsid w:val="0051694E"/>
    <w:rsid w:val="005169E3"/>
    <w:rsid w:val="00517023"/>
    <w:rsid w:val="00517755"/>
    <w:rsid w:val="0051786E"/>
    <w:rsid w:val="00517BBB"/>
    <w:rsid w:val="00517EBD"/>
    <w:rsid w:val="00517F60"/>
    <w:rsid w:val="00517FA2"/>
    <w:rsid w:val="0052007F"/>
    <w:rsid w:val="00520140"/>
    <w:rsid w:val="00520C37"/>
    <w:rsid w:val="00521231"/>
    <w:rsid w:val="005215EE"/>
    <w:rsid w:val="00521AC3"/>
    <w:rsid w:val="00521D61"/>
    <w:rsid w:val="00521F81"/>
    <w:rsid w:val="005221F0"/>
    <w:rsid w:val="005222D3"/>
    <w:rsid w:val="0052256B"/>
    <w:rsid w:val="00522790"/>
    <w:rsid w:val="00522833"/>
    <w:rsid w:val="0052299B"/>
    <w:rsid w:val="0052315C"/>
    <w:rsid w:val="005231B2"/>
    <w:rsid w:val="005233AC"/>
    <w:rsid w:val="00523734"/>
    <w:rsid w:val="00523942"/>
    <w:rsid w:val="00523F44"/>
    <w:rsid w:val="005246D6"/>
    <w:rsid w:val="0052478A"/>
    <w:rsid w:val="005249FC"/>
    <w:rsid w:val="00525022"/>
    <w:rsid w:val="0052575D"/>
    <w:rsid w:val="00525920"/>
    <w:rsid w:val="00525A2E"/>
    <w:rsid w:val="00525C0C"/>
    <w:rsid w:val="00525F6B"/>
    <w:rsid w:val="0052621D"/>
    <w:rsid w:val="00526841"/>
    <w:rsid w:val="00526E3A"/>
    <w:rsid w:val="005274B3"/>
    <w:rsid w:val="005274F0"/>
    <w:rsid w:val="0052756B"/>
    <w:rsid w:val="005275AA"/>
    <w:rsid w:val="005276A5"/>
    <w:rsid w:val="005276B9"/>
    <w:rsid w:val="005276C5"/>
    <w:rsid w:val="0052775C"/>
    <w:rsid w:val="00527A4D"/>
    <w:rsid w:val="00530453"/>
    <w:rsid w:val="00530498"/>
    <w:rsid w:val="0053073C"/>
    <w:rsid w:val="00530819"/>
    <w:rsid w:val="0053189E"/>
    <w:rsid w:val="00531F0E"/>
    <w:rsid w:val="00531F33"/>
    <w:rsid w:val="00531F45"/>
    <w:rsid w:val="00532191"/>
    <w:rsid w:val="00532380"/>
    <w:rsid w:val="0053269A"/>
    <w:rsid w:val="00532AF9"/>
    <w:rsid w:val="005331D7"/>
    <w:rsid w:val="005336D2"/>
    <w:rsid w:val="0053385A"/>
    <w:rsid w:val="00533CF8"/>
    <w:rsid w:val="00533F37"/>
    <w:rsid w:val="00533F4A"/>
    <w:rsid w:val="0053420F"/>
    <w:rsid w:val="0053421A"/>
    <w:rsid w:val="005342C3"/>
    <w:rsid w:val="00534337"/>
    <w:rsid w:val="00534714"/>
    <w:rsid w:val="00534767"/>
    <w:rsid w:val="005349EC"/>
    <w:rsid w:val="00534BB1"/>
    <w:rsid w:val="00534BBD"/>
    <w:rsid w:val="00534E2E"/>
    <w:rsid w:val="0053509E"/>
    <w:rsid w:val="00535194"/>
    <w:rsid w:val="0053520A"/>
    <w:rsid w:val="005352FB"/>
    <w:rsid w:val="00535B23"/>
    <w:rsid w:val="00535F66"/>
    <w:rsid w:val="00535FF0"/>
    <w:rsid w:val="00536EF3"/>
    <w:rsid w:val="005370C8"/>
    <w:rsid w:val="00537190"/>
    <w:rsid w:val="005373DA"/>
    <w:rsid w:val="005375FF"/>
    <w:rsid w:val="00537BFE"/>
    <w:rsid w:val="00537F8F"/>
    <w:rsid w:val="005405A6"/>
    <w:rsid w:val="00540962"/>
    <w:rsid w:val="00540B12"/>
    <w:rsid w:val="00540ED5"/>
    <w:rsid w:val="005411DE"/>
    <w:rsid w:val="00541221"/>
    <w:rsid w:val="00541276"/>
    <w:rsid w:val="005412E8"/>
    <w:rsid w:val="005418EF"/>
    <w:rsid w:val="005418F3"/>
    <w:rsid w:val="00541934"/>
    <w:rsid w:val="00541B26"/>
    <w:rsid w:val="00541D24"/>
    <w:rsid w:val="00541D26"/>
    <w:rsid w:val="00542722"/>
    <w:rsid w:val="0054277E"/>
    <w:rsid w:val="00542799"/>
    <w:rsid w:val="00542884"/>
    <w:rsid w:val="00542B23"/>
    <w:rsid w:val="00542C46"/>
    <w:rsid w:val="00542E73"/>
    <w:rsid w:val="00543302"/>
    <w:rsid w:val="005436C2"/>
    <w:rsid w:val="005438B0"/>
    <w:rsid w:val="005439B9"/>
    <w:rsid w:val="00543A51"/>
    <w:rsid w:val="00543EA2"/>
    <w:rsid w:val="00544734"/>
    <w:rsid w:val="00545ABE"/>
    <w:rsid w:val="00546069"/>
    <w:rsid w:val="005461F4"/>
    <w:rsid w:val="005464FC"/>
    <w:rsid w:val="00546955"/>
    <w:rsid w:val="00546D19"/>
    <w:rsid w:val="00546F73"/>
    <w:rsid w:val="00547079"/>
    <w:rsid w:val="005470FF"/>
    <w:rsid w:val="00547297"/>
    <w:rsid w:val="005473CC"/>
    <w:rsid w:val="0054789D"/>
    <w:rsid w:val="00547F87"/>
    <w:rsid w:val="00550496"/>
    <w:rsid w:val="005507C1"/>
    <w:rsid w:val="00550948"/>
    <w:rsid w:val="00550CBF"/>
    <w:rsid w:val="005513F0"/>
    <w:rsid w:val="005517B4"/>
    <w:rsid w:val="00551C09"/>
    <w:rsid w:val="00551C89"/>
    <w:rsid w:val="00552123"/>
    <w:rsid w:val="005523A6"/>
    <w:rsid w:val="0055274C"/>
    <w:rsid w:val="00552D07"/>
    <w:rsid w:val="00552E1E"/>
    <w:rsid w:val="00552ECC"/>
    <w:rsid w:val="0055343E"/>
    <w:rsid w:val="00553635"/>
    <w:rsid w:val="00553711"/>
    <w:rsid w:val="005537A5"/>
    <w:rsid w:val="005538F7"/>
    <w:rsid w:val="0055390D"/>
    <w:rsid w:val="00553A81"/>
    <w:rsid w:val="00554102"/>
    <w:rsid w:val="0055441D"/>
    <w:rsid w:val="00554473"/>
    <w:rsid w:val="00554581"/>
    <w:rsid w:val="00554627"/>
    <w:rsid w:val="00554EAA"/>
    <w:rsid w:val="005550A5"/>
    <w:rsid w:val="00555224"/>
    <w:rsid w:val="00556670"/>
    <w:rsid w:val="00556C0C"/>
    <w:rsid w:val="00556C19"/>
    <w:rsid w:val="00556DAC"/>
    <w:rsid w:val="00556DF7"/>
    <w:rsid w:val="005570E2"/>
    <w:rsid w:val="005571EE"/>
    <w:rsid w:val="00557353"/>
    <w:rsid w:val="005574AC"/>
    <w:rsid w:val="005575F3"/>
    <w:rsid w:val="005576CF"/>
    <w:rsid w:val="005577CD"/>
    <w:rsid w:val="00557AD7"/>
    <w:rsid w:val="00557B36"/>
    <w:rsid w:val="00557F0B"/>
    <w:rsid w:val="00557FE6"/>
    <w:rsid w:val="0056025A"/>
    <w:rsid w:val="0056051B"/>
    <w:rsid w:val="00560845"/>
    <w:rsid w:val="00560A3B"/>
    <w:rsid w:val="00560B01"/>
    <w:rsid w:val="00560B5D"/>
    <w:rsid w:val="00561053"/>
    <w:rsid w:val="00561423"/>
    <w:rsid w:val="00561465"/>
    <w:rsid w:val="0056170B"/>
    <w:rsid w:val="005618F1"/>
    <w:rsid w:val="005619F0"/>
    <w:rsid w:val="00561B84"/>
    <w:rsid w:val="00561ECC"/>
    <w:rsid w:val="00561FC1"/>
    <w:rsid w:val="0056202B"/>
    <w:rsid w:val="005623F5"/>
    <w:rsid w:val="00562472"/>
    <w:rsid w:val="00562602"/>
    <w:rsid w:val="00562693"/>
    <w:rsid w:val="00562851"/>
    <w:rsid w:val="00562A18"/>
    <w:rsid w:val="00562A50"/>
    <w:rsid w:val="00562B63"/>
    <w:rsid w:val="00562D6B"/>
    <w:rsid w:val="00563077"/>
    <w:rsid w:val="005633DD"/>
    <w:rsid w:val="005634FB"/>
    <w:rsid w:val="005638CB"/>
    <w:rsid w:val="005638ED"/>
    <w:rsid w:val="00563B9C"/>
    <w:rsid w:val="00563C8E"/>
    <w:rsid w:val="00563D71"/>
    <w:rsid w:val="00563F45"/>
    <w:rsid w:val="005644ED"/>
    <w:rsid w:val="005647CB"/>
    <w:rsid w:val="00564813"/>
    <w:rsid w:val="00564A30"/>
    <w:rsid w:val="00565216"/>
    <w:rsid w:val="005654D8"/>
    <w:rsid w:val="00565537"/>
    <w:rsid w:val="005656EF"/>
    <w:rsid w:val="005659F7"/>
    <w:rsid w:val="00565E1F"/>
    <w:rsid w:val="00566133"/>
    <w:rsid w:val="005664DF"/>
    <w:rsid w:val="00566523"/>
    <w:rsid w:val="00566647"/>
    <w:rsid w:val="00566650"/>
    <w:rsid w:val="00566652"/>
    <w:rsid w:val="005669C2"/>
    <w:rsid w:val="00566C01"/>
    <w:rsid w:val="00566EBD"/>
    <w:rsid w:val="00567189"/>
    <w:rsid w:val="005671FB"/>
    <w:rsid w:val="00567329"/>
    <w:rsid w:val="0056764C"/>
    <w:rsid w:val="00567ED4"/>
    <w:rsid w:val="00570124"/>
    <w:rsid w:val="005707F3"/>
    <w:rsid w:val="005709F1"/>
    <w:rsid w:val="00570AD1"/>
    <w:rsid w:val="00570D46"/>
    <w:rsid w:val="00570E7B"/>
    <w:rsid w:val="00570EE0"/>
    <w:rsid w:val="0057101D"/>
    <w:rsid w:val="005710EB"/>
    <w:rsid w:val="005713B5"/>
    <w:rsid w:val="00571669"/>
    <w:rsid w:val="0057179C"/>
    <w:rsid w:val="0057347C"/>
    <w:rsid w:val="005734D0"/>
    <w:rsid w:val="005737FF"/>
    <w:rsid w:val="0057394B"/>
    <w:rsid w:val="0057408E"/>
    <w:rsid w:val="00574096"/>
    <w:rsid w:val="005740B4"/>
    <w:rsid w:val="005740BD"/>
    <w:rsid w:val="0057441B"/>
    <w:rsid w:val="005745BC"/>
    <w:rsid w:val="00574635"/>
    <w:rsid w:val="005746EA"/>
    <w:rsid w:val="005749D7"/>
    <w:rsid w:val="00574FC7"/>
    <w:rsid w:val="00575077"/>
    <w:rsid w:val="00575270"/>
    <w:rsid w:val="00575466"/>
    <w:rsid w:val="00575C78"/>
    <w:rsid w:val="00575CDF"/>
    <w:rsid w:val="00575F58"/>
    <w:rsid w:val="00576065"/>
    <w:rsid w:val="0057676B"/>
    <w:rsid w:val="0057690E"/>
    <w:rsid w:val="00576996"/>
    <w:rsid w:val="00576ADD"/>
    <w:rsid w:val="00576E69"/>
    <w:rsid w:val="00576EB3"/>
    <w:rsid w:val="00576EC9"/>
    <w:rsid w:val="00576F36"/>
    <w:rsid w:val="0057702F"/>
    <w:rsid w:val="00577965"/>
    <w:rsid w:val="00577B48"/>
    <w:rsid w:val="00577CD3"/>
    <w:rsid w:val="00577DBF"/>
    <w:rsid w:val="00577DDE"/>
    <w:rsid w:val="0058027F"/>
    <w:rsid w:val="00580645"/>
    <w:rsid w:val="00580B17"/>
    <w:rsid w:val="00580DB7"/>
    <w:rsid w:val="005816A9"/>
    <w:rsid w:val="005819C7"/>
    <w:rsid w:val="00581E41"/>
    <w:rsid w:val="00581E57"/>
    <w:rsid w:val="00581EC3"/>
    <w:rsid w:val="0058209B"/>
    <w:rsid w:val="00582559"/>
    <w:rsid w:val="00582A49"/>
    <w:rsid w:val="0058340A"/>
    <w:rsid w:val="00583534"/>
    <w:rsid w:val="0058360A"/>
    <w:rsid w:val="005836FA"/>
    <w:rsid w:val="00583B54"/>
    <w:rsid w:val="00583C83"/>
    <w:rsid w:val="00583FB4"/>
    <w:rsid w:val="00584322"/>
    <w:rsid w:val="005845DF"/>
    <w:rsid w:val="00584674"/>
    <w:rsid w:val="0058495C"/>
    <w:rsid w:val="00584D3A"/>
    <w:rsid w:val="00584D52"/>
    <w:rsid w:val="005855BA"/>
    <w:rsid w:val="005856A8"/>
    <w:rsid w:val="005859C9"/>
    <w:rsid w:val="00585C26"/>
    <w:rsid w:val="00585FDA"/>
    <w:rsid w:val="0058603C"/>
    <w:rsid w:val="005861B4"/>
    <w:rsid w:val="0058622D"/>
    <w:rsid w:val="00586757"/>
    <w:rsid w:val="005869C4"/>
    <w:rsid w:val="00586B46"/>
    <w:rsid w:val="0058731C"/>
    <w:rsid w:val="00587345"/>
    <w:rsid w:val="00587377"/>
    <w:rsid w:val="0058772A"/>
    <w:rsid w:val="00587C4D"/>
    <w:rsid w:val="00587DBC"/>
    <w:rsid w:val="00590126"/>
    <w:rsid w:val="00590193"/>
    <w:rsid w:val="005903E4"/>
    <w:rsid w:val="00590699"/>
    <w:rsid w:val="005907EA"/>
    <w:rsid w:val="00590C1D"/>
    <w:rsid w:val="00590C8F"/>
    <w:rsid w:val="00590FDC"/>
    <w:rsid w:val="0059129A"/>
    <w:rsid w:val="005918DE"/>
    <w:rsid w:val="00591957"/>
    <w:rsid w:val="00591991"/>
    <w:rsid w:val="00591A4A"/>
    <w:rsid w:val="00591F18"/>
    <w:rsid w:val="00592133"/>
    <w:rsid w:val="00592362"/>
    <w:rsid w:val="00592695"/>
    <w:rsid w:val="0059285E"/>
    <w:rsid w:val="005928CC"/>
    <w:rsid w:val="00592B21"/>
    <w:rsid w:val="00592D34"/>
    <w:rsid w:val="00592DC2"/>
    <w:rsid w:val="005930BF"/>
    <w:rsid w:val="00593269"/>
    <w:rsid w:val="00593CDC"/>
    <w:rsid w:val="00593D10"/>
    <w:rsid w:val="00593D86"/>
    <w:rsid w:val="00593F14"/>
    <w:rsid w:val="00594221"/>
    <w:rsid w:val="00594794"/>
    <w:rsid w:val="00594882"/>
    <w:rsid w:val="00594CD6"/>
    <w:rsid w:val="005950BE"/>
    <w:rsid w:val="00595184"/>
    <w:rsid w:val="00595256"/>
    <w:rsid w:val="005954CB"/>
    <w:rsid w:val="00595667"/>
    <w:rsid w:val="00595AE6"/>
    <w:rsid w:val="00595BEE"/>
    <w:rsid w:val="00595DD3"/>
    <w:rsid w:val="005969D9"/>
    <w:rsid w:val="005970F6"/>
    <w:rsid w:val="00597253"/>
    <w:rsid w:val="0059730B"/>
    <w:rsid w:val="005975D4"/>
    <w:rsid w:val="0059767E"/>
    <w:rsid w:val="00597A34"/>
    <w:rsid w:val="00597F06"/>
    <w:rsid w:val="005A00AC"/>
    <w:rsid w:val="005A00AD"/>
    <w:rsid w:val="005A00DB"/>
    <w:rsid w:val="005A0141"/>
    <w:rsid w:val="005A05FB"/>
    <w:rsid w:val="005A06B1"/>
    <w:rsid w:val="005A06C0"/>
    <w:rsid w:val="005A0747"/>
    <w:rsid w:val="005A08DB"/>
    <w:rsid w:val="005A0945"/>
    <w:rsid w:val="005A1201"/>
    <w:rsid w:val="005A1689"/>
    <w:rsid w:val="005A17B7"/>
    <w:rsid w:val="005A1A86"/>
    <w:rsid w:val="005A1DF3"/>
    <w:rsid w:val="005A214D"/>
    <w:rsid w:val="005A21D1"/>
    <w:rsid w:val="005A254D"/>
    <w:rsid w:val="005A25CC"/>
    <w:rsid w:val="005A2639"/>
    <w:rsid w:val="005A2776"/>
    <w:rsid w:val="005A2852"/>
    <w:rsid w:val="005A2BC1"/>
    <w:rsid w:val="005A2F79"/>
    <w:rsid w:val="005A2F95"/>
    <w:rsid w:val="005A341A"/>
    <w:rsid w:val="005A35BF"/>
    <w:rsid w:val="005A37A4"/>
    <w:rsid w:val="005A38D5"/>
    <w:rsid w:val="005A3972"/>
    <w:rsid w:val="005A3B9F"/>
    <w:rsid w:val="005A42A9"/>
    <w:rsid w:val="005A437C"/>
    <w:rsid w:val="005A459D"/>
    <w:rsid w:val="005A45BA"/>
    <w:rsid w:val="005A4742"/>
    <w:rsid w:val="005A481E"/>
    <w:rsid w:val="005A4843"/>
    <w:rsid w:val="005A4998"/>
    <w:rsid w:val="005A4B16"/>
    <w:rsid w:val="005A4E75"/>
    <w:rsid w:val="005A4F19"/>
    <w:rsid w:val="005A5918"/>
    <w:rsid w:val="005A59EA"/>
    <w:rsid w:val="005A5DAC"/>
    <w:rsid w:val="005A5E16"/>
    <w:rsid w:val="005A602B"/>
    <w:rsid w:val="005A6386"/>
    <w:rsid w:val="005A6662"/>
    <w:rsid w:val="005A6833"/>
    <w:rsid w:val="005A6B89"/>
    <w:rsid w:val="005A6C4D"/>
    <w:rsid w:val="005A6D41"/>
    <w:rsid w:val="005A6F36"/>
    <w:rsid w:val="005A74FB"/>
    <w:rsid w:val="005A7515"/>
    <w:rsid w:val="005A75F7"/>
    <w:rsid w:val="005A7743"/>
    <w:rsid w:val="005A7C0F"/>
    <w:rsid w:val="005A7C72"/>
    <w:rsid w:val="005A7D4E"/>
    <w:rsid w:val="005B00FD"/>
    <w:rsid w:val="005B0142"/>
    <w:rsid w:val="005B0DEA"/>
    <w:rsid w:val="005B121D"/>
    <w:rsid w:val="005B134D"/>
    <w:rsid w:val="005B136E"/>
    <w:rsid w:val="005B2040"/>
    <w:rsid w:val="005B233A"/>
    <w:rsid w:val="005B2802"/>
    <w:rsid w:val="005B2A81"/>
    <w:rsid w:val="005B2C0D"/>
    <w:rsid w:val="005B2C7B"/>
    <w:rsid w:val="005B32CC"/>
    <w:rsid w:val="005B36CB"/>
    <w:rsid w:val="005B36DF"/>
    <w:rsid w:val="005B37A8"/>
    <w:rsid w:val="005B40F3"/>
    <w:rsid w:val="005B44B7"/>
    <w:rsid w:val="005B47B7"/>
    <w:rsid w:val="005B4833"/>
    <w:rsid w:val="005B4870"/>
    <w:rsid w:val="005B4BF2"/>
    <w:rsid w:val="005B4ECC"/>
    <w:rsid w:val="005B5118"/>
    <w:rsid w:val="005B5494"/>
    <w:rsid w:val="005B551A"/>
    <w:rsid w:val="005B56E8"/>
    <w:rsid w:val="005B583D"/>
    <w:rsid w:val="005B5915"/>
    <w:rsid w:val="005B59E2"/>
    <w:rsid w:val="005B5AB4"/>
    <w:rsid w:val="005B5DA9"/>
    <w:rsid w:val="005B60FE"/>
    <w:rsid w:val="005B6478"/>
    <w:rsid w:val="005B65D0"/>
    <w:rsid w:val="005B6626"/>
    <w:rsid w:val="005B663E"/>
    <w:rsid w:val="005B665F"/>
    <w:rsid w:val="005B6A02"/>
    <w:rsid w:val="005B6E59"/>
    <w:rsid w:val="005B6F02"/>
    <w:rsid w:val="005B7199"/>
    <w:rsid w:val="005B725A"/>
    <w:rsid w:val="005B7360"/>
    <w:rsid w:val="005B79EE"/>
    <w:rsid w:val="005B79F8"/>
    <w:rsid w:val="005C010D"/>
    <w:rsid w:val="005C012A"/>
    <w:rsid w:val="005C0457"/>
    <w:rsid w:val="005C0713"/>
    <w:rsid w:val="005C0850"/>
    <w:rsid w:val="005C08C4"/>
    <w:rsid w:val="005C08D2"/>
    <w:rsid w:val="005C0EA1"/>
    <w:rsid w:val="005C1062"/>
    <w:rsid w:val="005C11FD"/>
    <w:rsid w:val="005C14F9"/>
    <w:rsid w:val="005C14FC"/>
    <w:rsid w:val="005C1764"/>
    <w:rsid w:val="005C180D"/>
    <w:rsid w:val="005C1B78"/>
    <w:rsid w:val="005C1C55"/>
    <w:rsid w:val="005C1CC2"/>
    <w:rsid w:val="005C2129"/>
    <w:rsid w:val="005C21B6"/>
    <w:rsid w:val="005C22B4"/>
    <w:rsid w:val="005C25ED"/>
    <w:rsid w:val="005C26F1"/>
    <w:rsid w:val="005C2E3F"/>
    <w:rsid w:val="005C30EA"/>
    <w:rsid w:val="005C3160"/>
    <w:rsid w:val="005C344D"/>
    <w:rsid w:val="005C34E2"/>
    <w:rsid w:val="005C3BB9"/>
    <w:rsid w:val="005C3DAE"/>
    <w:rsid w:val="005C3E36"/>
    <w:rsid w:val="005C408F"/>
    <w:rsid w:val="005C4142"/>
    <w:rsid w:val="005C459B"/>
    <w:rsid w:val="005C4B80"/>
    <w:rsid w:val="005C4E9E"/>
    <w:rsid w:val="005C5015"/>
    <w:rsid w:val="005C5217"/>
    <w:rsid w:val="005C5338"/>
    <w:rsid w:val="005C5730"/>
    <w:rsid w:val="005C59E5"/>
    <w:rsid w:val="005C59FE"/>
    <w:rsid w:val="005C5B0B"/>
    <w:rsid w:val="005C62FA"/>
    <w:rsid w:val="005C6443"/>
    <w:rsid w:val="005C6563"/>
    <w:rsid w:val="005C6837"/>
    <w:rsid w:val="005C6935"/>
    <w:rsid w:val="005C69D8"/>
    <w:rsid w:val="005C6C77"/>
    <w:rsid w:val="005C7141"/>
    <w:rsid w:val="005C7976"/>
    <w:rsid w:val="005C7F21"/>
    <w:rsid w:val="005D02E5"/>
    <w:rsid w:val="005D0A8A"/>
    <w:rsid w:val="005D0F68"/>
    <w:rsid w:val="005D123B"/>
    <w:rsid w:val="005D13FA"/>
    <w:rsid w:val="005D1464"/>
    <w:rsid w:val="005D18D7"/>
    <w:rsid w:val="005D1A0B"/>
    <w:rsid w:val="005D1DB4"/>
    <w:rsid w:val="005D2059"/>
    <w:rsid w:val="005D212E"/>
    <w:rsid w:val="005D21FB"/>
    <w:rsid w:val="005D2224"/>
    <w:rsid w:val="005D24A0"/>
    <w:rsid w:val="005D2852"/>
    <w:rsid w:val="005D2AF5"/>
    <w:rsid w:val="005D2EFE"/>
    <w:rsid w:val="005D33D7"/>
    <w:rsid w:val="005D39C9"/>
    <w:rsid w:val="005D39FB"/>
    <w:rsid w:val="005D3A1F"/>
    <w:rsid w:val="005D3AA6"/>
    <w:rsid w:val="005D3EFA"/>
    <w:rsid w:val="005D437A"/>
    <w:rsid w:val="005D4708"/>
    <w:rsid w:val="005D4891"/>
    <w:rsid w:val="005D4D5C"/>
    <w:rsid w:val="005D557C"/>
    <w:rsid w:val="005D5A3E"/>
    <w:rsid w:val="005D5B1E"/>
    <w:rsid w:val="005D621C"/>
    <w:rsid w:val="005D62B4"/>
    <w:rsid w:val="005D66A5"/>
    <w:rsid w:val="005D6811"/>
    <w:rsid w:val="005D6CBC"/>
    <w:rsid w:val="005D6D5A"/>
    <w:rsid w:val="005D6F30"/>
    <w:rsid w:val="005D7269"/>
    <w:rsid w:val="005D7396"/>
    <w:rsid w:val="005D77A8"/>
    <w:rsid w:val="005D7AAD"/>
    <w:rsid w:val="005D7BF2"/>
    <w:rsid w:val="005D7E54"/>
    <w:rsid w:val="005E0141"/>
    <w:rsid w:val="005E064F"/>
    <w:rsid w:val="005E1466"/>
    <w:rsid w:val="005E1600"/>
    <w:rsid w:val="005E19C6"/>
    <w:rsid w:val="005E1B7F"/>
    <w:rsid w:val="005E1BB4"/>
    <w:rsid w:val="005E1BC0"/>
    <w:rsid w:val="005E1D96"/>
    <w:rsid w:val="005E2023"/>
    <w:rsid w:val="005E229A"/>
    <w:rsid w:val="005E245A"/>
    <w:rsid w:val="005E267F"/>
    <w:rsid w:val="005E279D"/>
    <w:rsid w:val="005E289E"/>
    <w:rsid w:val="005E2919"/>
    <w:rsid w:val="005E2AF8"/>
    <w:rsid w:val="005E2B78"/>
    <w:rsid w:val="005E2D6C"/>
    <w:rsid w:val="005E2ED8"/>
    <w:rsid w:val="005E32BB"/>
    <w:rsid w:val="005E3348"/>
    <w:rsid w:val="005E376F"/>
    <w:rsid w:val="005E38C9"/>
    <w:rsid w:val="005E3968"/>
    <w:rsid w:val="005E3B17"/>
    <w:rsid w:val="005E3D6A"/>
    <w:rsid w:val="005E3FFA"/>
    <w:rsid w:val="005E43EF"/>
    <w:rsid w:val="005E469F"/>
    <w:rsid w:val="005E4963"/>
    <w:rsid w:val="005E49E0"/>
    <w:rsid w:val="005E4E1F"/>
    <w:rsid w:val="005E4F7B"/>
    <w:rsid w:val="005E5225"/>
    <w:rsid w:val="005E52C3"/>
    <w:rsid w:val="005E559A"/>
    <w:rsid w:val="005E57F7"/>
    <w:rsid w:val="005E5C46"/>
    <w:rsid w:val="005E67BA"/>
    <w:rsid w:val="005E6EC3"/>
    <w:rsid w:val="005E70B9"/>
    <w:rsid w:val="005E7179"/>
    <w:rsid w:val="005E71E7"/>
    <w:rsid w:val="005E72E3"/>
    <w:rsid w:val="005E7307"/>
    <w:rsid w:val="005E7611"/>
    <w:rsid w:val="005E7616"/>
    <w:rsid w:val="005E7660"/>
    <w:rsid w:val="005E786C"/>
    <w:rsid w:val="005E7880"/>
    <w:rsid w:val="005E791E"/>
    <w:rsid w:val="005E796E"/>
    <w:rsid w:val="005E7ADB"/>
    <w:rsid w:val="005E7B55"/>
    <w:rsid w:val="005F0092"/>
    <w:rsid w:val="005F01F1"/>
    <w:rsid w:val="005F020A"/>
    <w:rsid w:val="005F05BA"/>
    <w:rsid w:val="005F05CA"/>
    <w:rsid w:val="005F06E6"/>
    <w:rsid w:val="005F0D44"/>
    <w:rsid w:val="005F0FBB"/>
    <w:rsid w:val="005F0FF9"/>
    <w:rsid w:val="005F1036"/>
    <w:rsid w:val="005F1174"/>
    <w:rsid w:val="005F1202"/>
    <w:rsid w:val="005F1294"/>
    <w:rsid w:val="005F152D"/>
    <w:rsid w:val="005F2007"/>
    <w:rsid w:val="005F2306"/>
    <w:rsid w:val="005F2365"/>
    <w:rsid w:val="005F2435"/>
    <w:rsid w:val="005F243D"/>
    <w:rsid w:val="005F24B1"/>
    <w:rsid w:val="005F266F"/>
    <w:rsid w:val="005F2B0E"/>
    <w:rsid w:val="005F2CCC"/>
    <w:rsid w:val="005F305A"/>
    <w:rsid w:val="005F34D9"/>
    <w:rsid w:val="005F3650"/>
    <w:rsid w:val="005F36CE"/>
    <w:rsid w:val="005F3DAD"/>
    <w:rsid w:val="005F3E77"/>
    <w:rsid w:val="005F3FF4"/>
    <w:rsid w:val="005F4132"/>
    <w:rsid w:val="005F504F"/>
    <w:rsid w:val="005F51D4"/>
    <w:rsid w:val="005F538D"/>
    <w:rsid w:val="005F56C8"/>
    <w:rsid w:val="005F58FE"/>
    <w:rsid w:val="005F5C53"/>
    <w:rsid w:val="005F5DAE"/>
    <w:rsid w:val="005F5EC3"/>
    <w:rsid w:val="005F6129"/>
    <w:rsid w:val="005F61EA"/>
    <w:rsid w:val="005F625F"/>
    <w:rsid w:val="005F638B"/>
    <w:rsid w:val="005F6786"/>
    <w:rsid w:val="005F67FA"/>
    <w:rsid w:val="005F70BA"/>
    <w:rsid w:val="005F70F1"/>
    <w:rsid w:val="005F78EE"/>
    <w:rsid w:val="005F7D43"/>
    <w:rsid w:val="005F7EE9"/>
    <w:rsid w:val="00600366"/>
    <w:rsid w:val="00600E33"/>
    <w:rsid w:val="00600FD6"/>
    <w:rsid w:val="00600FEC"/>
    <w:rsid w:val="00601123"/>
    <w:rsid w:val="00601378"/>
    <w:rsid w:val="00601A5F"/>
    <w:rsid w:val="00601A78"/>
    <w:rsid w:val="00601DB1"/>
    <w:rsid w:val="0060201F"/>
    <w:rsid w:val="006020E0"/>
    <w:rsid w:val="006021C2"/>
    <w:rsid w:val="00602807"/>
    <w:rsid w:val="00602813"/>
    <w:rsid w:val="006031BD"/>
    <w:rsid w:val="006033FC"/>
    <w:rsid w:val="00603427"/>
    <w:rsid w:val="0060351D"/>
    <w:rsid w:val="0060363C"/>
    <w:rsid w:val="00603F66"/>
    <w:rsid w:val="00604322"/>
    <w:rsid w:val="0060432C"/>
    <w:rsid w:val="00604771"/>
    <w:rsid w:val="006047D7"/>
    <w:rsid w:val="0060480D"/>
    <w:rsid w:val="00604860"/>
    <w:rsid w:val="00604A8B"/>
    <w:rsid w:val="00604FFC"/>
    <w:rsid w:val="0060539E"/>
    <w:rsid w:val="00605554"/>
    <w:rsid w:val="006058A7"/>
    <w:rsid w:val="0060592E"/>
    <w:rsid w:val="00605BFD"/>
    <w:rsid w:val="00605F19"/>
    <w:rsid w:val="00605F90"/>
    <w:rsid w:val="006061E5"/>
    <w:rsid w:val="006063AC"/>
    <w:rsid w:val="006069F9"/>
    <w:rsid w:val="00606EC4"/>
    <w:rsid w:val="00606FD2"/>
    <w:rsid w:val="006074BC"/>
    <w:rsid w:val="006074D2"/>
    <w:rsid w:val="0060751A"/>
    <w:rsid w:val="0060753A"/>
    <w:rsid w:val="0060799C"/>
    <w:rsid w:val="0061004A"/>
    <w:rsid w:val="00610312"/>
    <w:rsid w:val="0061041F"/>
    <w:rsid w:val="00610438"/>
    <w:rsid w:val="00610599"/>
    <w:rsid w:val="006106D8"/>
    <w:rsid w:val="00610807"/>
    <w:rsid w:val="006108D2"/>
    <w:rsid w:val="00610A64"/>
    <w:rsid w:val="00610A8B"/>
    <w:rsid w:val="00611094"/>
    <w:rsid w:val="00611326"/>
    <w:rsid w:val="00611622"/>
    <w:rsid w:val="006117AD"/>
    <w:rsid w:val="00611A5E"/>
    <w:rsid w:val="00611B81"/>
    <w:rsid w:val="00611BD7"/>
    <w:rsid w:val="00611DD1"/>
    <w:rsid w:val="00611F9A"/>
    <w:rsid w:val="006124A3"/>
    <w:rsid w:val="00612625"/>
    <w:rsid w:val="0061289D"/>
    <w:rsid w:val="00612A07"/>
    <w:rsid w:val="00612B68"/>
    <w:rsid w:val="00612BAF"/>
    <w:rsid w:val="0061323C"/>
    <w:rsid w:val="00613450"/>
    <w:rsid w:val="00613532"/>
    <w:rsid w:val="006136A5"/>
    <w:rsid w:val="006147DF"/>
    <w:rsid w:val="0061520F"/>
    <w:rsid w:val="0061530F"/>
    <w:rsid w:val="00615746"/>
    <w:rsid w:val="00615995"/>
    <w:rsid w:val="00615D5B"/>
    <w:rsid w:val="00615D72"/>
    <w:rsid w:val="00616130"/>
    <w:rsid w:val="00616134"/>
    <w:rsid w:val="00616358"/>
    <w:rsid w:val="00616FCB"/>
    <w:rsid w:val="006170FD"/>
    <w:rsid w:val="006173F6"/>
    <w:rsid w:val="00617548"/>
    <w:rsid w:val="0061766C"/>
    <w:rsid w:val="006177EB"/>
    <w:rsid w:val="006179A9"/>
    <w:rsid w:val="00617C77"/>
    <w:rsid w:val="00620405"/>
    <w:rsid w:val="0062054D"/>
    <w:rsid w:val="00620581"/>
    <w:rsid w:val="00620A7D"/>
    <w:rsid w:val="00620E02"/>
    <w:rsid w:val="00621495"/>
    <w:rsid w:val="00621746"/>
    <w:rsid w:val="00621959"/>
    <w:rsid w:val="00621B27"/>
    <w:rsid w:val="00621C23"/>
    <w:rsid w:val="00621EED"/>
    <w:rsid w:val="00622046"/>
    <w:rsid w:val="00622200"/>
    <w:rsid w:val="006224BC"/>
    <w:rsid w:val="00622698"/>
    <w:rsid w:val="006227D8"/>
    <w:rsid w:val="0062293E"/>
    <w:rsid w:val="00622959"/>
    <w:rsid w:val="00622D90"/>
    <w:rsid w:val="00623684"/>
    <w:rsid w:val="0062394F"/>
    <w:rsid w:val="00623AB0"/>
    <w:rsid w:val="00623B5F"/>
    <w:rsid w:val="006240A7"/>
    <w:rsid w:val="0062424D"/>
    <w:rsid w:val="006245CF"/>
    <w:rsid w:val="006246EF"/>
    <w:rsid w:val="00624766"/>
    <w:rsid w:val="00624BC5"/>
    <w:rsid w:val="00624C00"/>
    <w:rsid w:val="00624C7D"/>
    <w:rsid w:val="00624DA5"/>
    <w:rsid w:val="00624F44"/>
    <w:rsid w:val="0062564B"/>
    <w:rsid w:val="006256C9"/>
    <w:rsid w:val="00625795"/>
    <w:rsid w:val="006259D6"/>
    <w:rsid w:val="00625F3C"/>
    <w:rsid w:val="0062605A"/>
    <w:rsid w:val="00626091"/>
    <w:rsid w:val="00626115"/>
    <w:rsid w:val="00626166"/>
    <w:rsid w:val="006261E4"/>
    <w:rsid w:val="006265F1"/>
    <w:rsid w:val="00626A94"/>
    <w:rsid w:val="006270F4"/>
    <w:rsid w:val="006273F2"/>
    <w:rsid w:val="006276A5"/>
    <w:rsid w:val="00627A80"/>
    <w:rsid w:val="00627B6D"/>
    <w:rsid w:val="00627E9C"/>
    <w:rsid w:val="00630140"/>
    <w:rsid w:val="00630397"/>
    <w:rsid w:val="006303C6"/>
    <w:rsid w:val="00631256"/>
    <w:rsid w:val="00631914"/>
    <w:rsid w:val="00631B1F"/>
    <w:rsid w:val="0063275B"/>
    <w:rsid w:val="00632FD5"/>
    <w:rsid w:val="006330BD"/>
    <w:rsid w:val="006333A6"/>
    <w:rsid w:val="0063387A"/>
    <w:rsid w:val="00633929"/>
    <w:rsid w:val="00633B78"/>
    <w:rsid w:val="00633DBD"/>
    <w:rsid w:val="00633E9E"/>
    <w:rsid w:val="00633FCF"/>
    <w:rsid w:val="006340E7"/>
    <w:rsid w:val="006345C5"/>
    <w:rsid w:val="00634A07"/>
    <w:rsid w:val="00634DC9"/>
    <w:rsid w:val="00634FB7"/>
    <w:rsid w:val="006350C4"/>
    <w:rsid w:val="0063510A"/>
    <w:rsid w:val="006354EF"/>
    <w:rsid w:val="006356FC"/>
    <w:rsid w:val="0063595A"/>
    <w:rsid w:val="00635B26"/>
    <w:rsid w:val="00635BF9"/>
    <w:rsid w:val="00635D37"/>
    <w:rsid w:val="00635F15"/>
    <w:rsid w:val="00635F80"/>
    <w:rsid w:val="006361FA"/>
    <w:rsid w:val="006362C5"/>
    <w:rsid w:val="006364F8"/>
    <w:rsid w:val="006366B9"/>
    <w:rsid w:val="00636CD7"/>
    <w:rsid w:val="00636F02"/>
    <w:rsid w:val="006370CC"/>
    <w:rsid w:val="006377EE"/>
    <w:rsid w:val="0063795C"/>
    <w:rsid w:val="00637A1E"/>
    <w:rsid w:val="00637AE0"/>
    <w:rsid w:val="00637B44"/>
    <w:rsid w:val="00637C92"/>
    <w:rsid w:val="00637D45"/>
    <w:rsid w:val="00637DDC"/>
    <w:rsid w:val="00637E75"/>
    <w:rsid w:val="006401AF"/>
    <w:rsid w:val="0064070D"/>
    <w:rsid w:val="00641035"/>
    <w:rsid w:val="0064139F"/>
    <w:rsid w:val="00641942"/>
    <w:rsid w:val="006419B6"/>
    <w:rsid w:val="00641C11"/>
    <w:rsid w:val="00641D00"/>
    <w:rsid w:val="00641D2C"/>
    <w:rsid w:val="00641E4C"/>
    <w:rsid w:val="00641EEA"/>
    <w:rsid w:val="00642305"/>
    <w:rsid w:val="00642400"/>
    <w:rsid w:val="0064270F"/>
    <w:rsid w:val="00642ABF"/>
    <w:rsid w:val="006434CA"/>
    <w:rsid w:val="00643770"/>
    <w:rsid w:val="006442F3"/>
    <w:rsid w:val="00644558"/>
    <w:rsid w:val="006445E4"/>
    <w:rsid w:val="00645059"/>
    <w:rsid w:val="006456F1"/>
    <w:rsid w:val="00645C94"/>
    <w:rsid w:val="00646372"/>
    <w:rsid w:val="006463AD"/>
    <w:rsid w:val="00646682"/>
    <w:rsid w:val="00646889"/>
    <w:rsid w:val="00646DFF"/>
    <w:rsid w:val="00646E88"/>
    <w:rsid w:val="006473BF"/>
    <w:rsid w:val="00647630"/>
    <w:rsid w:val="006479B9"/>
    <w:rsid w:val="00647F84"/>
    <w:rsid w:val="00647FA7"/>
    <w:rsid w:val="0065054D"/>
    <w:rsid w:val="0065059D"/>
    <w:rsid w:val="00650621"/>
    <w:rsid w:val="00650ABF"/>
    <w:rsid w:val="00650C50"/>
    <w:rsid w:val="00650E3A"/>
    <w:rsid w:val="00650FAA"/>
    <w:rsid w:val="00651099"/>
    <w:rsid w:val="00651143"/>
    <w:rsid w:val="006511E8"/>
    <w:rsid w:val="00651570"/>
    <w:rsid w:val="0065158E"/>
    <w:rsid w:val="0065162B"/>
    <w:rsid w:val="006516F2"/>
    <w:rsid w:val="00651A57"/>
    <w:rsid w:val="00652421"/>
    <w:rsid w:val="00652591"/>
    <w:rsid w:val="006525D4"/>
    <w:rsid w:val="00652AC8"/>
    <w:rsid w:val="00652BBD"/>
    <w:rsid w:val="00652EF0"/>
    <w:rsid w:val="00652F23"/>
    <w:rsid w:val="006531A3"/>
    <w:rsid w:val="00653358"/>
    <w:rsid w:val="006538B2"/>
    <w:rsid w:val="00653AE6"/>
    <w:rsid w:val="00653C42"/>
    <w:rsid w:val="00653E51"/>
    <w:rsid w:val="0065407C"/>
    <w:rsid w:val="00654190"/>
    <w:rsid w:val="0065441E"/>
    <w:rsid w:val="00654AF2"/>
    <w:rsid w:val="00655694"/>
    <w:rsid w:val="00655BB3"/>
    <w:rsid w:val="00656066"/>
    <w:rsid w:val="006563DA"/>
    <w:rsid w:val="0065647F"/>
    <w:rsid w:val="006566FF"/>
    <w:rsid w:val="00656713"/>
    <w:rsid w:val="00656D4D"/>
    <w:rsid w:val="006579EE"/>
    <w:rsid w:val="00657BD6"/>
    <w:rsid w:val="00657CBE"/>
    <w:rsid w:val="00657F35"/>
    <w:rsid w:val="0066002D"/>
    <w:rsid w:val="00660292"/>
    <w:rsid w:val="00660605"/>
    <w:rsid w:val="0066067E"/>
    <w:rsid w:val="006608CF"/>
    <w:rsid w:val="00660A58"/>
    <w:rsid w:val="00660B67"/>
    <w:rsid w:val="00660BE6"/>
    <w:rsid w:val="00660CA4"/>
    <w:rsid w:val="00660D86"/>
    <w:rsid w:val="00660DF6"/>
    <w:rsid w:val="00660F4B"/>
    <w:rsid w:val="0066104D"/>
    <w:rsid w:val="0066111C"/>
    <w:rsid w:val="006612B5"/>
    <w:rsid w:val="006614FA"/>
    <w:rsid w:val="006616A1"/>
    <w:rsid w:val="006617E5"/>
    <w:rsid w:val="00661E72"/>
    <w:rsid w:val="00662055"/>
    <w:rsid w:val="006626A2"/>
    <w:rsid w:val="006626C3"/>
    <w:rsid w:val="00662865"/>
    <w:rsid w:val="00662E0D"/>
    <w:rsid w:val="0066324C"/>
    <w:rsid w:val="0066349D"/>
    <w:rsid w:val="006635F3"/>
    <w:rsid w:val="006635F6"/>
    <w:rsid w:val="0066396F"/>
    <w:rsid w:val="00663C14"/>
    <w:rsid w:val="00663C33"/>
    <w:rsid w:val="00663E12"/>
    <w:rsid w:val="00663F16"/>
    <w:rsid w:val="00663F48"/>
    <w:rsid w:val="00664067"/>
    <w:rsid w:val="0066424D"/>
    <w:rsid w:val="006644F8"/>
    <w:rsid w:val="006645AD"/>
    <w:rsid w:val="006645C2"/>
    <w:rsid w:val="00664D50"/>
    <w:rsid w:val="0066532A"/>
    <w:rsid w:val="0066533F"/>
    <w:rsid w:val="00665723"/>
    <w:rsid w:val="006658F1"/>
    <w:rsid w:val="00665941"/>
    <w:rsid w:val="00665A84"/>
    <w:rsid w:val="00665EBF"/>
    <w:rsid w:val="00665F0F"/>
    <w:rsid w:val="00665FFB"/>
    <w:rsid w:val="0066680B"/>
    <w:rsid w:val="00666987"/>
    <w:rsid w:val="00666B98"/>
    <w:rsid w:val="00667080"/>
    <w:rsid w:val="006670B1"/>
    <w:rsid w:val="0066722F"/>
    <w:rsid w:val="006673EF"/>
    <w:rsid w:val="0066794D"/>
    <w:rsid w:val="00667C8E"/>
    <w:rsid w:val="00667D50"/>
    <w:rsid w:val="0067020F"/>
    <w:rsid w:val="00670287"/>
    <w:rsid w:val="00670344"/>
    <w:rsid w:val="0067052D"/>
    <w:rsid w:val="006707D6"/>
    <w:rsid w:val="006708CB"/>
    <w:rsid w:val="006709D7"/>
    <w:rsid w:val="00670B29"/>
    <w:rsid w:val="00670EA1"/>
    <w:rsid w:val="00671113"/>
    <w:rsid w:val="006711F4"/>
    <w:rsid w:val="00671508"/>
    <w:rsid w:val="0067169F"/>
    <w:rsid w:val="00671A71"/>
    <w:rsid w:val="006721CA"/>
    <w:rsid w:val="006724B4"/>
    <w:rsid w:val="00672672"/>
    <w:rsid w:val="0067269C"/>
    <w:rsid w:val="00672C1F"/>
    <w:rsid w:val="00672E77"/>
    <w:rsid w:val="00673113"/>
    <w:rsid w:val="00673488"/>
    <w:rsid w:val="006734EE"/>
    <w:rsid w:val="0067378A"/>
    <w:rsid w:val="00673790"/>
    <w:rsid w:val="00673A67"/>
    <w:rsid w:val="00673FAD"/>
    <w:rsid w:val="006741AE"/>
    <w:rsid w:val="006744BF"/>
    <w:rsid w:val="0067450D"/>
    <w:rsid w:val="00674AF8"/>
    <w:rsid w:val="00674B36"/>
    <w:rsid w:val="00674FFB"/>
    <w:rsid w:val="0067505D"/>
    <w:rsid w:val="006750EB"/>
    <w:rsid w:val="0067523D"/>
    <w:rsid w:val="006754A6"/>
    <w:rsid w:val="006757E4"/>
    <w:rsid w:val="00675DDF"/>
    <w:rsid w:val="00675FD4"/>
    <w:rsid w:val="0067694B"/>
    <w:rsid w:val="00676D44"/>
    <w:rsid w:val="00676F63"/>
    <w:rsid w:val="006773A9"/>
    <w:rsid w:val="00677D3B"/>
    <w:rsid w:val="00680159"/>
    <w:rsid w:val="00680160"/>
    <w:rsid w:val="006801FC"/>
    <w:rsid w:val="00680C51"/>
    <w:rsid w:val="00680CA2"/>
    <w:rsid w:val="00681051"/>
    <w:rsid w:val="00681190"/>
    <w:rsid w:val="00681415"/>
    <w:rsid w:val="00681AE5"/>
    <w:rsid w:val="00681B2B"/>
    <w:rsid w:val="00681BD8"/>
    <w:rsid w:val="00681E74"/>
    <w:rsid w:val="00681FB6"/>
    <w:rsid w:val="006821A1"/>
    <w:rsid w:val="006822CB"/>
    <w:rsid w:val="00682676"/>
    <w:rsid w:val="00682A0A"/>
    <w:rsid w:val="0068315C"/>
    <w:rsid w:val="006831B6"/>
    <w:rsid w:val="006833DC"/>
    <w:rsid w:val="00683753"/>
    <w:rsid w:val="00683A4E"/>
    <w:rsid w:val="00683B69"/>
    <w:rsid w:val="00683BA9"/>
    <w:rsid w:val="00683D16"/>
    <w:rsid w:val="00683D8E"/>
    <w:rsid w:val="00684195"/>
    <w:rsid w:val="006841EF"/>
    <w:rsid w:val="006848FE"/>
    <w:rsid w:val="006851CF"/>
    <w:rsid w:val="0068549A"/>
    <w:rsid w:val="00685EB8"/>
    <w:rsid w:val="00685EEE"/>
    <w:rsid w:val="006860BB"/>
    <w:rsid w:val="00686163"/>
    <w:rsid w:val="006861BE"/>
    <w:rsid w:val="00686730"/>
    <w:rsid w:val="00686AB6"/>
    <w:rsid w:val="00686BEA"/>
    <w:rsid w:val="00686BFB"/>
    <w:rsid w:val="00686E9C"/>
    <w:rsid w:val="00687378"/>
    <w:rsid w:val="00687650"/>
    <w:rsid w:val="006876AE"/>
    <w:rsid w:val="00687731"/>
    <w:rsid w:val="00687A6B"/>
    <w:rsid w:val="00687BC4"/>
    <w:rsid w:val="0069019F"/>
    <w:rsid w:val="0069022C"/>
    <w:rsid w:val="00690BDC"/>
    <w:rsid w:val="00690C49"/>
    <w:rsid w:val="00690CDA"/>
    <w:rsid w:val="006911FB"/>
    <w:rsid w:val="0069137C"/>
    <w:rsid w:val="0069145C"/>
    <w:rsid w:val="006919D4"/>
    <w:rsid w:val="00691CCF"/>
    <w:rsid w:val="00691D27"/>
    <w:rsid w:val="00691F1F"/>
    <w:rsid w:val="00691FBC"/>
    <w:rsid w:val="006921F7"/>
    <w:rsid w:val="00692254"/>
    <w:rsid w:val="00692750"/>
    <w:rsid w:val="0069286A"/>
    <w:rsid w:val="00692D26"/>
    <w:rsid w:val="00692DD7"/>
    <w:rsid w:val="00692E65"/>
    <w:rsid w:val="00692FFC"/>
    <w:rsid w:val="00693097"/>
    <w:rsid w:val="006932BC"/>
    <w:rsid w:val="006933F8"/>
    <w:rsid w:val="00693532"/>
    <w:rsid w:val="00693AB4"/>
    <w:rsid w:val="00693B6B"/>
    <w:rsid w:val="00693BE3"/>
    <w:rsid w:val="00693FF6"/>
    <w:rsid w:val="006940EA"/>
    <w:rsid w:val="006943E5"/>
    <w:rsid w:val="0069450F"/>
    <w:rsid w:val="006947D6"/>
    <w:rsid w:val="00694EFE"/>
    <w:rsid w:val="00694F45"/>
    <w:rsid w:val="00694FD2"/>
    <w:rsid w:val="00694FEA"/>
    <w:rsid w:val="00695136"/>
    <w:rsid w:val="00695194"/>
    <w:rsid w:val="006959B9"/>
    <w:rsid w:val="00695A19"/>
    <w:rsid w:val="00695BED"/>
    <w:rsid w:val="00695F4C"/>
    <w:rsid w:val="0069655F"/>
    <w:rsid w:val="006965FC"/>
    <w:rsid w:val="00696767"/>
    <w:rsid w:val="00696E2E"/>
    <w:rsid w:val="00696F6C"/>
    <w:rsid w:val="00697282"/>
    <w:rsid w:val="00697B2C"/>
    <w:rsid w:val="00697D69"/>
    <w:rsid w:val="00697E04"/>
    <w:rsid w:val="006A00C6"/>
    <w:rsid w:val="006A00CA"/>
    <w:rsid w:val="006A02A2"/>
    <w:rsid w:val="006A049A"/>
    <w:rsid w:val="006A073C"/>
    <w:rsid w:val="006A0F3F"/>
    <w:rsid w:val="006A10E6"/>
    <w:rsid w:val="006A1215"/>
    <w:rsid w:val="006A123A"/>
    <w:rsid w:val="006A1712"/>
    <w:rsid w:val="006A17B4"/>
    <w:rsid w:val="006A20F8"/>
    <w:rsid w:val="006A2766"/>
    <w:rsid w:val="006A2809"/>
    <w:rsid w:val="006A296C"/>
    <w:rsid w:val="006A2AF4"/>
    <w:rsid w:val="006A2C98"/>
    <w:rsid w:val="006A326E"/>
    <w:rsid w:val="006A3B8F"/>
    <w:rsid w:val="006A3D44"/>
    <w:rsid w:val="006A411F"/>
    <w:rsid w:val="006A4131"/>
    <w:rsid w:val="006A423B"/>
    <w:rsid w:val="006A45A9"/>
    <w:rsid w:val="006A475F"/>
    <w:rsid w:val="006A487B"/>
    <w:rsid w:val="006A4BCA"/>
    <w:rsid w:val="006A5272"/>
    <w:rsid w:val="006A54C3"/>
    <w:rsid w:val="006A5793"/>
    <w:rsid w:val="006A5BD2"/>
    <w:rsid w:val="006A5D75"/>
    <w:rsid w:val="006A5E6B"/>
    <w:rsid w:val="006A61D7"/>
    <w:rsid w:val="006A62B7"/>
    <w:rsid w:val="006A658A"/>
    <w:rsid w:val="006A6B94"/>
    <w:rsid w:val="006A6BB6"/>
    <w:rsid w:val="006A6C59"/>
    <w:rsid w:val="006A6E1D"/>
    <w:rsid w:val="006A7084"/>
    <w:rsid w:val="006A7210"/>
    <w:rsid w:val="006A7573"/>
    <w:rsid w:val="006A75D5"/>
    <w:rsid w:val="006A7BBC"/>
    <w:rsid w:val="006A7BF1"/>
    <w:rsid w:val="006A7E4B"/>
    <w:rsid w:val="006B0031"/>
    <w:rsid w:val="006B02BC"/>
    <w:rsid w:val="006B042B"/>
    <w:rsid w:val="006B07AB"/>
    <w:rsid w:val="006B0B26"/>
    <w:rsid w:val="006B1047"/>
    <w:rsid w:val="006B1112"/>
    <w:rsid w:val="006B12C4"/>
    <w:rsid w:val="006B131F"/>
    <w:rsid w:val="006B14A5"/>
    <w:rsid w:val="006B1548"/>
    <w:rsid w:val="006B1622"/>
    <w:rsid w:val="006B1684"/>
    <w:rsid w:val="006B1AB6"/>
    <w:rsid w:val="006B1D07"/>
    <w:rsid w:val="006B1D11"/>
    <w:rsid w:val="006B1E29"/>
    <w:rsid w:val="006B203C"/>
    <w:rsid w:val="006B2254"/>
    <w:rsid w:val="006B2385"/>
    <w:rsid w:val="006B27F7"/>
    <w:rsid w:val="006B2B5B"/>
    <w:rsid w:val="006B2D3E"/>
    <w:rsid w:val="006B3109"/>
    <w:rsid w:val="006B389E"/>
    <w:rsid w:val="006B39ED"/>
    <w:rsid w:val="006B3C55"/>
    <w:rsid w:val="006B3F89"/>
    <w:rsid w:val="006B40D7"/>
    <w:rsid w:val="006B42C1"/>
    <w:rsid w:val="006B43CD"/>
    <w:rsid w:val="006B4A15"/>
    <w:rsid w:val="006B4C3D"/>
    <w:rsid w:val="006B4E92"/>
    <w:rsid w:val="006B50B6"/>
    <w:rsid w:val="006B5165"/>
    <w:rsid w:val="006B52F9"/>
    <w:rsid w:val="006B5D75"/>
    <w:rsid w:val="006B5D9F"/>
    <w:rsid w:val="006B5E40"/>
    <w:rsid w:val="006B6082"/>
    <w:rsid w:val="006B6173"/>
    <w:rsid w:val="006B6787"/>
    <w:rsid w:val="006B67D6"/>
    <w:rsid w:val="006B6B4E"/>
    <w:rsid w:val="006B6C62"/>
    <w:rsid w:val="006B6CE3"/>
    <w:rsid w:val="006B6FC7"/>
    <w:rsid w:val="006B6FCD"/>
    <w:rsid w:val="006B72FB"/>
    <w:rsid w:val="006B7398"/>
    <w:rsid w:val="006B749D"/>
    <w:rsid w:val="006C0554"/>
    <w:rsid w:val="006C077A"/>
    <w:rsid w:val="006C0AB8"/>
    <w:rsid w:val="006C11CB"/>
    <w:rsid w:val="006C1220"/>
    <w:rsid w:val="006C172F"/>
    <w:rsid w:val="006C19B3"/>
    <w:rsid w:val="006C1BF5"/>
    <w:rsid w:val="006C1C32"/>
    <w:rsid w:val="006C1CDD"/>
    <w:rsid w:val="006C2E3C"/>
    <w:rsid w:val="006C32C4"/>
    <w:rsid w:val="006C33EF"/>
    <w:rsid w:val="006C38DD"/>
    <w:rsid w:val="006C3A66"/>
    <w:rsid w:val="006C3B2B"/>
    <w:rsid w:val="006C3B7A"/>
    <w:rsid w:val="006C3C8A"/>
    <w:rsid w:val="006C400D"/>
    <w:rsid w:val="006C402C"/>
    <w:rsid w:val="006C4195"/>
    <w:rsid w:val="006C41DC"/>
    <w:rsid w:val="006C427B"/>
    <w:rsid w:val="006C4524"/>
    <w:rsid w:val="006C4C6C"/>
    <w:rsid w:val="006C4DD9"/>
    <w:rsid w:val="006C4E19"/>
    <w:rsid w:val="006C595A"/>
    <w:rsid w:val="006C5D8E"/>
    <w:rsid w:val="006C5F06"/>
    <w:rsid w:val="006C64FD"/>
    <w:rsid w:val="006C652F"/>
    <w:rsid w:val="006C6554"/>
    <w:rsid w:val="006C68FB"/>
    <w:rsid w:val="006C69E1"/>
    <w:rsid w:val="006C6B20"/>
    <w:rsid w:val="006C6D23"/>
    <w:rsid w:val="006C75CC"/>
    <w:rsid w:val="006C7B31"/>
    <w:rsid w:val="006D00D2"/>
    <w:rsid w:val="006D03A0"/>
    <w:rsid w:val="006D0403"/>
    <w:rsid w:val="006D057D"/>
    <w:rsid w:val="006D08D9"/>
    <w:rsid w:val="006D09B9"/>
    <w:rsid w:val="006D1DF3"/>
    <w:rsid w:val="006D1F4E"/>
    <w:rsid w:val="006D1FF2"/>
    <w:rsid w:val="006D2480"/>
    <w:rsid w:val="006D249B"/>
    <w:rsid w:val="006D2526"/>
    <w:rsid w:val="006D27C7"/>
    <w:rsid w:val="006D2D62"/>
    <w:rsid w:val="006D2EA4"/>
    <w:rsid w:val="006D2F38"/>
    <w:rsid w:val="006D2F3A"/>
    <w:rsid w:val="006D33CF"/>
    <w:rsid w:val="006D3457"/>
    <w:rsid w:val="006D3ACD"/>
    <w:rsid w:val="006D3B7C"/>
    <w:rsid w:val="006D3EEB"/>
    <w:rsid w:val="006D40A6"/>
    <w:rsid w:val="006D437F"/>
    <w:rsid w:val="006D49F0"/>
    <w:rsid w:val="006D4A5F"/>
    <w:rsid w:val="006D4A6F"/>
    <w:rsid w:val="006D4B9E"/>
    <w:rsid w:val="006D4CA5"/>
    <w:rsid w:val="006D4D6E"/>
    <w:rsid w:val="006D4FA4"/>
    <w:rsid w:val="006D511E"/>
    <w:rsid w:val="006D52AA"/>
    <w:rsid w:val="006D5983"/>
    <w:rsid w:val="006D5AD4"/>
    <w:rsid w:val="006D5FAD"/>
    <w:rsid w:val="006D62DB"/>
    <w:rsid w:val="006D634F"/>
    <w:rsid w:val="006D6703"/>
    <w:rsid w:val="006D68EB"/>
    <w:rsid w:val="006D6A01"/>
    <w:rsid w:val="006D6A1A"/>
    <w:rsid w:val="006D711A"/>
    <w:rsid w:val="006D7439"/>
    <w:rsid w:val="006D77E6"/>
    <w:rsid w:val="006D79C7"/>
    <w:rsid w:val="006D7C5A"/>
    <w:rsid w:val="006D7F97"/>
    <w:rsid w:val="006E01C6"/>
    <w:rsid w:val="006E036B"/>
    <w:rsid w:val="006E1094"/>
    <w:rsid w:val="006E1891"/>
    <w:rsid w:val="006E22E7"/>
    <w:rsid w:val="006E26BB"/>
    <w:rsid w:val="006E27A4"/>
    <w:rsid w:val="006E288A"/>
    <w:rsid w:val="006E2AFA"/>
    <w:rsid w:val="006E3235"/>
    <w:rsid w:val="006E3375"/>
    <w:rsid w:val="006E3562"/>
    <w:rsid w:val="006E36EC"/>
    <w:rsid w:val="006E3AE8"/>
    <w:rsid w:val="006E3AF0"/>
    <w:rsid w:val="006E3D3C"/>
    <w:rsid w:val="006E3E18"/>
    <w:rsid w:val="006E3EEE"/>
    <w:rsid w:val="006E41C2"/>
    <w:rsid w:val="006E4595"/>
    <w:rsid w:val="006E465B"/>
    <w:rsid w:val="006E47CD"/>
    <w:rsid w:val="006E48A1"/>
    <w:rsid w:val="006E4949"/>
    <w:rsid w:val="006E4995"/>
    <w:rsid w:val="006E538E"/>
    <w:rsid w:val="006E53C5"/>
    <w:rsid w:val="006E5435"/>
    <w:rsid w:val="006E587B"/>
    <w:rsid w:val="006E5D69"/>
    <w:rsid w:val="006E628C"/>
    <w:rsid w:val="006E648E"/>
    <w:rsid w:val="006E696A"/>
    <w:rsid w:val="006E69FD"/>
    <w:rsid w:val="006E6AED"/>
    <w:rsid w:val="006E6B32"/>
    <w:rsid w:val="006E6EDF"/>
    <w:rsid w:val="006E7279"/>
    <w:rsid w:val="006E7328"/>
    <w:rsid w:val="006E7A73"/>
    <w:rsid w:val="006E7BDA"/>
    <w:rsid w:val="006E7C4D"/>
    <w:rsid w:val="006E7F74"/>
    <w:rsid w:val="006F0293"/>
    <w:rsid w:val="006F037A"/>
    <w:rsid w:val="006F04AE"/>
    <w:rsid w:val="006F0832"/>
    <w:rsid w:val="006F1198"/>
    <w:rsid w:val="006F1320"/>
    <w:rsid w:val="006F15D2"/>
    <w:rsid w:val="006F1DA2"/>
    <w:rsid w:val="006F27B6"/>
    <w:rsid w:val="006F2B69"/>
    <w:rsid w:val="006F2C11"/>
    <w:rsid w:val="006F3079"/>
    <w:rsid w:val="006F31AF"/>
    <w:rsid w:val="006F341D"/>
    <w:rsid w:val="006F35A6"/>
    <w:rsid w:val="006F3C15"/>
    <w:rsid w:val="006F49B1"/>
    <w:rsid w:val="006F4B62"/>
    <w:rsid w:val="006F4C15"/>
    <w:rsid w:val="006F4C2B"/>
    <w:rsid w:val="006F4D54"/>
    <w:rsid w:val="006F4DEC"/>
    <w:rsid w:val="006F4E6E"/>
    <w:rsid w:val="006F5172"/>
    <w:rsid w:val="006F5195"/>
    <w:rsid w:val="006F519B"/>
    <w:rsid w:val="006F5C0D"/>
    <w:rsid w:val="006F61E9"/>
    <w:rsid w:val="006F627E"/>
    <w:rsid w:val="006F6531"/>
    <w:rsid w:val="006F65E9"/>
    <w:rsid w:val="006F6602"/>
    <w:rsid w:val="006F66C8"/>
    <w:rsid w:val="006F6758"/>
    <w:rsid w:val="006F686A"/>
    <w:rsid w:val="006F6885"/>
    <w:rsid w:val="006F6FBD"/>
    <w:rsid w:val="006F70E6"/>
    <w:rsid w:val="006F71DC"/>
    <w:rsid w:val="006F730A"/>
    <w:rsid w:val="006F790C"/>
    <w:rsid w:val="00700084"/>
    <w:rsid w:val="007003CE"/>
    <w:rsid w:val="007004FE"/>
    <w:rsid w:val="0070089C"/>
    <w:rsid w:val="00700F50"/>
    <w:rsid w:val="0070108C"/>
    <w:rsid w:val="00701277"/>
    <w:rsid w:val="007013AF"/>
    <w:rsid w:val="007014AA"/>
    <w:rsid w:val="007016FC"/>
    <w:rsid w:val="007018FC"/>
    <w:rsid w:val="00701A6D"/>
    <w:rsid w:val="00701AAA"/>
    <w:rsid w:val="00701CDC"/>
    <w:rsid w:val="007023E0"/>
    <w:rsid w:val="0070273A"/>
    <w:rsid w:val="007028B3"/>
    <w:rsid w:val="00702D4B"/>
    <w:rsid w:val="0070322A"/>
    <w:rsid w:val="00703363"/>
    <w:rsid w:val="007035BD"/>
    <w:rsid w:val="0070365B"/>
    <w:rsid w:val="007037B1"/>
    <w:rsid w:val="0070383F"/>
    <w:rsid w:val="007039FE"/>
    <w:rsid w:val="00703C80"/>
    <w:rsid w:val="00703D75"/>
    <w:rsid w:val="00703F5D"/>
    <w:rsid w:val="00703F99"/>
    <w:rsid w:val="00703FE7"/>
    <w:rsid w:val="007049B0"/>
    <w:rsid w:val="00705031"/>
    <w:rsid w:val="00705291"/>
    <w:rsid w:val="00705E36"/>
    <w:rsid w:val="00705EC2"/>
    <w:rsid w:val="007065E6"/>
    <w:rsid w:val="0070696E"/>
    <w:rsid w:val="00706A45"/>
    <w:rsid w:val="00706B18"/>
    <w:rsid w:val="00706C77"/>
    <w:rsid w:val="00706D78"/>
    <w:rsid w:val="00706F13"/>
    <w:rsid w:val="00706F58"/>
    <w:rsid w:val="00706F9B"/>
    <w:rsid w:val="007072ED"/>
    <w:rsid w:val="007078E1"/>
    <w:rsid w:val="007078FE"/>
    <w:rsid w:val="00707E7B"/>
    <w:rsid w:val="007100AB"/>
    <w:rsid w:val="007101D6"/>
    <w:rsid w:val="007103D5"/>
    <w:rsid w:val="00710758"/>
    <w:rsid w:val="007109E1"/>
    <w:rsid w:val="00710A6D"/>
    <w:rsid w:val="00711490"/>
    <w:rsid w:val="00711D93"/>
    <w:rsid w:val="00711DB9"/>
    <w:rsid w:val="00711E3D"/>
    <w:rsid w:val="007129E5"/>
    <w:rsid w:val="00712D2F"/>
    <w:rsid w:val="00712EFD"/>
    <w:rsid w:val="007134E2"/>
    <w:rsid w:val="00713548"/>
    <w:rsid w:val="00713673"/>
    <w:rsid w:val="00713693"/>
    <w:rsid w:val="00713736"/>
    <w:rsid w:val="007139A3"/>
    <w:rsid w:val="00713EF5"/>
    <w:rsid w:val="00714278"/>
    <w:rsid w:val="007145A2"/>
    <w:rsid w:val="007146D0"/>
    <w:rsid w:val="007151A3"/>
    <w:rsid w:val="007152C3"/>
    <w:rsid w:val="00715701"/>
    <w:rsid w:val="00715B4D"/>
    <w:rsid w:val="00715D3C"/>
    <w:rsid w:val="00715F68"/>
    <w:rsid w:val="0071612D"/>
    <w:rsid w:val="0071616A"/>
    <w:rsid w:val="007161AD"/>
    <w:rsid w:val="007162DD"/>
    <w:rsid w:val="00716739"/>
    <w:rsid w:val="007167B5"/>
    <w:rsid w:val="007169AC"/>
    <w:rsid w:val="007169BA"/>
    <w:rsid w:val="00716B8B"/>
    <w:rsid w:val="00717546"/>
    <w:rsid w:val="00717591"/>
    <w:rsid w:val="0071760A"/>
    <w:rsid w:val="007177AD"/>
    <w:rsid w:val="00717C0B"/>
    <w:rsid w:val="00717CEC"/>
    <w:rsid w:val="00717EC5"/>
    <w:rsid w:val="00720169"/>
    <w:rsid w:val="00720301"/>
    <w:rsid w:val="00720311"/>
    <w:rsid w:val="0072041C"/>
    <w:rsid w:val="007205DC"/>
    <w:rsid w:val="00720673"/>
    <w:rsid w:val="007207C1"/>
    <w:rsid w:val="0072098D"/>
    <w:rsid w:val="00720D88"/>
    <w:rsid w:val="00720E87"/>
    <w:rsid w:val="00720EBF"/>
    <w:rsid w:val="00721174"/>
    <w:rsid w:val="00721315"/>
    <w:rsid w:val="0072155A"/>
    <w:rsid w:val="007216C1"/>
    <w:rsid w:val="00721A45"/>
    <w:rsid w:val="00721AF5"/>
    <w:rsid w:val="00721B73"/>
    <w:rsid w:val="00722093"/>
    <w:rsid w:val="00722DAF"/>
    <w:rsid w:val="00722E4B"/>
    <w:rsid w:val="00722F54"/>
    <w:rsid w:val="00723385"/>
    <w:rsid w:val="00723497"/>
    <w:rsid w:val="007236FA"/>
    <w:rsid w:val="00723847"/>
    <w:rsid w:val="0072384D"/>
    <w:rsid w:val="00723941"/>
    <w:rsid w:val="0072396B"/>
    <w:rsid w:val="00723EF4"/>
    <w:rsid w:val="00724001"/>
    <w:rsid w:val="00724096"/>
    <w:rsid w:val="00724218"/>
    <w:rsid w:val="007242BE"/>
    <w:rsid w:val="007242D1"/>
    <w:rsid w:val="007243BC"/>
    <w:rsid w:val="0072464F"/>
    <w:rsid w:val="00725309"/>
    <w:rsid w:val="00725372"/>
    <w:rsid w:val="007256C5"/>
    <w:rsid w:val="00725739"/>
    <w:rsid w:val="00725975"/>
    <w:rsid w:val="00725A4A"/>
    <w:rsid w:val="00725E3F"/>
    <w:rsid w:val="00726040"/>
    <w:rsid w:val="0072650B"/>
    <w:rsid w:val="007268F0"/>
    <w:rsid w:val="00726C29"/>
    <w:rsid w:val="00726CAC"/>
    <w:rsid w:val="00726DE9"/>
    <w:rsid w:val="00727094"/>
    <w:rsid w:val="0072734A"/>
    <w:rsid w:val="0072734D"/>
    <w:rsid w:val="00727446"/>
    <w:rsid w:val="007278C4"/>
    <w:rsid w:val="00727941"/>
    <w:rsid w:val="00727A19"/>
    <w:rsid w:val="00727BB5"/>
    <w:rsid w:val="00727CE6"/>
    <w:rsid w:val="00727E5F"/>
    <w:rsid w:val="00727ECD"/>
    <w:rsid w:val="0073047A"/>
    <w:rsid w:val="00730607"/>
    <w:rsid w:val="00730BCA"/>
    <w:rsid w:val="00730E96"/>
    <w:rsid w:val="0073102B"/>
    <w:rsid w:val="007310C8"/>
    <w:rsid w:val="007312E2"/>
    <w:rsid w:val="00731614"/>
    <w:rsid w:val="0073170D"/>
    <w:rsid w:val="00731A9A"/>
    <w:rsid w:val="00731E70"/>
    <w:rsid w:val="00731F9F"/>
    <w:rsid w:val="0073218D"/>
    <w:rsid w:val="007327B2"/>
    <w:rsid w:val="007327FF"/>
    <w:rsid w:val="00732986"/>
    <w:rsid w:val="00732AAB"/>
    <w:rsid w:val="00732C8D"/>
    <w:rsid w:val="00732D47"/>
    <w:rsid w:val="0073339C"/>
    <w:rsid w:val="007333E8"/>
    <w:rsid w:val="007334D4"/>
    <w:rsid w:val="00733655"/>
    <w:rsid w:val="00733E8C"/>
    <w:rsid w:val="0073412E"/>
    <w:rsid w:val="007341F9"/>
    <w:rsid w:val="0073423E"/>
    <w:rsid w:val="0073446C"/>
    <w:rsid w:val="00734AA2"/>
    <w:rsid w:val="00734C73"/>
    <w:rsid w:val="00734CB4"/>
    <w:rsid w:val="00734CDF"/>
    <w:rsid w:val="00734E3E"/>
    <w:rsid w:val="00734F78"/>
    <w:rsid w:val="00735651"/>
    <w:rsid w:val="0073568F"/>
    <w:rsid w:val="00735B98"/>
    <w:rsid w:val="00736197"/>
    <w:rsid w:val="007361F8"/>
    <w:rsid w:val="007371E3"/>
    <w:rsid w:val="00737218"/>
    <w:rsid w:val="00737543"/>
    <w:rsid w:val="00737603"/>
    <w:rsid w:val="00737A24"/>
    <w:rsid w:val="00737D65"/>
    <w:rsid w:val="00737DD7"/>
    <w:rsid w:val="00737ED7"/>
    <w:rsid w:val="0074001E"/>
    <w:rsid w:val="00741038"/>
    <w:rsid w:val="0074111F"/>
    <w:rsid w:val="00741138"/>
    <w:rsid w:val="007411A2"/>
    <w:rsid w:val="0074161E"/>
    <w:rsid w:val="00741725"/>
    <w:rsid w:val="00741AA6"/>
    <w:rsid w:val="00741B1D"/>
    <w:rsid w:val="00741DCB"/>
    <w:rsid w:val="00741E0D"/>
    <w:rsid w:val="00742102"/>
    <w:rsid w:val="007422AF"/>
    <w:rsid w:val="0074296D"/>
    <w:rsid w:val="00742D8E"/>
    <w:rsid w:val="00742EEC"/>
    <w:rsid w:val="00742EFC"/>
    <w:rsid w:val="007431DE"/>
    <w:rsid w:val="007436F8"/>
    <w:rsid w:val="007439C5"/>
    <w:rsid w:val="00743AA5"/>
    <w:rsid w:val="00743AAE"/>
    <w:rsid w:val="00743BD9"/>
    <w:rsid w:val="00743C45"/>
    <w:rsid w:val="00743E97"/>
    <w:rsid w:val="00743EED"/>
    <w:rsid w:val="007440DF"/>
    <w:rsid w:val="007443A2"/>
    <w:rsid w:val="007445F4"/>
    <w:rsid w:val="0074461E"/>
    <w:rsid w:val="00744958"/>
    <w:rsid w:val="00744D1D"/>
    <w:rsid w:val="00744EC4"/>
    <w:rsid w:val="0074505E"/>
    <w:rsid w:val="0074564F"/>
    <w:rsid w:val="0074567A"/>
    <w:rsid w:val="007456BA"/>
    <w:rsid w:val="007459E5"/>
    <w:rsid w:val="007461BF"/>
    <w:rsid w:val="00746265"/>
    <w:rsid w:val="007467CE"/>
    <w:rsid w:val="007468BE"/>
    <w:rsid w:val="00746A9D"/>
    <w:rsid w:val="00747033"/>
    <w:rsid w:val="00747847"/>
    <w:rsid w:val="00750033"/>
    <w:rsid w:val="00750648"/>
    <w:rsid w:val="00750970"/>
    <w:rsid w:val="00750CE7"/>
    <w:rsid w:val="007514BC"/>
    <w:rsid w:val="00751E17"/>
    <w:rsid w:val="00752124"/>
    <w:rsid w:val="00752242"/>
    <w:rsid w:val="00752B80"/>
    <w:rsid w:val="00752CA5"/>
    <w:rsid w:val="00752DBC"/>
    <w:rsid w:val="00753070"/>
    <w:rsid w:val="0075327A"/>
    <w:rsid w:val="00753499"/>
    <w:rsid w:val="007534C2"/>
    <w:rsid w:val="00753565"/>
    <w:rsid w:val="00753622"/>
    <w:rsid w:val="00753878"/>
    <w:rsid w:val="00753AE6"/>
    <w:rsid w:val="00753C6A"/>
    <w:rsid w:val="00754051"/>
    <w:rsid w:val="007544ED"/>
    <w:rsid w:val="007548BF"/>
    <w:rsid w:val="007549A0"/>
    <w:rsid w:val="00754C3E"/>
    <w:rsid w:val="00754C76"/>
    <w:rsid w:val="00754F73"/>
    <w:rsid w:val="00755514"/>
    <w:rsid w:val="007556DD"/>
    <w:rsid w:val="0075593B"/>
    <w:rsid w:val="007559B6"/>
    <w:rsid w:val="00755A9F"/>
    <w:rsid w:val="00755F27"/>
    <w:rsid w:val="0075603B"/>
    <w:rsid w:val="00756119"/>
    <w:rsid w:val="007561C6"/>
    <w:rsid w:val="0075633A"/>
    <w:rsid w:val="0075644B"/>
    <w:rsid w:val="00756ACB"/>
    <w:rsid w:val="00756C95"/>
    <w:rsid w:val="007571C7"/>
    <w:rsid w:val="007571E2"/>
    <w:rsid w:val="00757303"/>
    <w:rsid w:val="007576BE"/>
    <w:rsid w:val="0075771D"/>
    <w:rsid w:val="007578CD"/>
    <w:rsid w:val="00757B66"/>
    <w:rsid w:val="00757F6B"/>
    <w:rsid w:val="0076005B"/>
    <w:rsid w:val="007601A1"/>
    <w:rsid w:val="00760224"/>
    <w:rsid w:val="00760435"/>
    <w:rsid w:val="00760DF3"/>
    <w:rsid w:val="007611AD"/>
    <w:rsid w:val="00761312"/>
    <w:rsid w:val="00761334"/>
    <w:rsid w:val="007613F8"/>
    <w:rsid w:val="00761798"/>
    <w:rsid w:val="0076188D"/>
    <w:rsid w:val="00761FE9"/>
    <w:rsid w:val="007620FD"/>
    <w:rsid w:val="007625C5"/>
    <w:rsid w:val="007626A5"/>
    <w:rsid w:val="007627C0"/>
    <w:rsid w:val="007628D4"/>
    <w:rsid w:val="00762972"/>
    <w:rsid w:val="00762EB5"/>
    <w:rsid w:val="007630D5"/>
    <w:rsid w:val="00763305"/>
    <w:rsid w:val="007633B8"/>
    <w:rsid w:val="00763451"/>
    <w:rsid w:val="00763685"/>
    <w:rsid w:val="007636B7"/>
    <w:rsid w:val="007637B3"/>
    <w:rsid w:val="00763865"/>
    <w:rsid w:val="00763C84"/>
    <w:rsid w:val="00763CA9"/>
    <w:rsid w:val="00763CF4"/>
    <w:rsid w:val="00763DD6"/>
    <w:rsid w:val="00763F24"/>
    <w:rsid w:val="00763FE1"/>
    <w:rsid w:val="007640B3"/>
    <w:rsid w:val="00764692"/>
    <w:rsid w:val="00764BF4"/>
    <w:rsid w:val="00764CE4"/>
    <w:rsid w:val="007650C8"/>
    <w:rsid w:val="007652DB"/>
    <w:rsid w:val="0076569A"/>
    <w:rsid w:val="00765EE6"/>
    <w:rsid w:val="007660C8"/>
    <w:rsid w:val="00766169"/>
    <w:rsid w:val="007667A3"/>
    <w:rsid w:val="0076688F"/>
    <w:rsid w:val="00766D0C"/>
    <w:rsid w:val="007672B7"/>
    <w:rsid w:val="007676D5"/>
    <w:rsid w:val="00767728"/>
    <w:rsid w:val="00767743"/>
    <w:rsid w:val="00767D6C"/>
    <w:rsid w:val="00767E3D"/>
    <w:rsid w:val="00767EDD"/>
    <w:rsid w:val="0077023A"/>
    <w:rsid w:val="00770263"/>
    <w:rsid w:val="007702A9"/>
    <w:rsid w:val="007703EB"/>
    <w:rsid w:val="00770401"/>
    <w:rsid w:val="00770725"/>
    <w:rsid w:val="007708CE"/>
    <w:rsid w:val="007708DB"/>
    <w:rsid w:val="0077093F"/>
    <w:rsid w:val="00770CD0"/>
    <w:rsid w:val="00771001"/>
    <w:rsid w:val="00771076"/>
    <w:rsid w:val="007712E1"/>
    <w:rsid w:val="00771751"/>
    <w:rsid w:val="007718E6"/>
    <w:rsid w:val="00772170"/>
    <w:rsid w:val="00772175"/>
    <w:rsid w:val="007724CF"/>
    <w:rsid w:val="00772619"/>
    <w:rsid w:val="00772C35"/>
    <w:rsid w:val="00773482"/>
    <w:rsid w:val="00773BD0"/>
    <w:rsid w:val="00773D19"/>
    <w:rsid w:val="007745FF"/>
    <w:rsid w:val="00774619"/>
    <w:rsid w:val="007746D3"/>
    <w:rsid w:val="00774D06"/>
    <w:rsid w:val="00774D62"/>
    <w:rsid w:val="00774E11"/>
    <w:rsid w:val="00774F5E"/>
    <w:rsid w:val="00775187"/>
    <w:rsid w:val="00775623"/>
    <w:rsid w:val="0077578B"/>
    <w:rsid w:val="00775E7E"/>
    <w:rsid w:val="00776158"/>
    <w:rsid w:val="0077637A"/>
    <w:rsid w:val="0077653C"/>
    <w:rsid w:val="007766DB"/>
    <w:rsid w:val="00776C70"/>
    <w:rsid w:val="00777464"/>
    <w:rsid w:val="00777A3C"/>
    <w:rsid w:val="00777F1B"/>
    <w:rsid w:val="00780156"/>
    <w:rsid w:val="00780171"/>
    <w:rsid w:val="0078035D"/>
    <w:rsid w:val="0078063C"/>
    <w:rsid w:val="00780A8B"/>
    <w:rsid w:val="00780D8D"/>
    <w:rsid w:val="00780F0A"/>
    <w:rsid w:val="00780F2E"/>
    <w:rsid w:val="00780FBD"/>
    <w:rsid w:val="00781127"/>
    <w:rsid w:val="00781570"/>
    <w:rsid w:val="00781802"/>
    <w:rsid w:val="00781B66"/>
    <w:rsid w:val="00781DE1"/>
    <w:rsid w:val="00781FFC"/>
    <w:rsid w:val="00782760"/>
    <w:rsid w:val="00782DBC"/>
    <w:rsid w:val="00783BCE"/>
    <w:rsid w:val="00784059"/>
    <w:rsid w:val="00784116"/>
    <w:rsid w:val="007841BF"/>
    <w:rsid w:val="007844CF"/>
    <w:rsid w:val="007848C2"/>
    <w:rsid w:val="0078496A"/>
    <w:rsid w:val="00784B47"/>
    <w:rsid w:val="00784C71"/>
    <w:rsid w:val="007853B2"/>
    <w:rsid w:val="00785B1B"/>
    <w:rsid w:val="00785C18"/>
    <w:rsid w:val="00785CC5"/>
    <w:rsid w:val="00786032"/>
    <w:rsid w:val="007863E9"/>
    <w:rsid w:val="00786668"/>
    <w:rsid w:val="007866A1"/>
    <w:rsid w:val="007867EF"/>
    <w:rsid w:val="0078693D"/>
    <w:rsid w:val="00786BFC"/>
    <w:rsid w:val="00786D89"/>
    <w:rsid w:val="00786EE9"/>
    <w:rsid w:val="00787387"/>
    <w:rsid w:val="007873EB"/>
    <w:rsid w:val="0078767F"/>
    <w:rsid w:val="007876FF"/>
    <w:rsid w:val="00787728"/>
    <w:rsid w:val="00787864"/>
    <w:rsid w:val="00787B4C"/>
    <w:rsid w:val="00787B8A"/>
    <w:rsid w:val="00787D51"/>
    <w:rsid w:val="00790A78"/>
    <w:rsid w:val="00790AFE"/>
    <w:rsid w:val="0079149A"/>
    <w:rsid w:val="00791646"/>
    <w:rsid w:val="00791A14"/>
    <w:rsid w:val="00791A9B"/>
    <w:rsid w:val="00791CDE"/>
    <w:rsid w:val="00791E72"/>
    <w:rsid w:val="007922CD"/>
    <w:rsid w:val="00792808"/>
    <w:rsid w:val="00792E43"/>
    <w:rsid w:val="00793059"/>
    <w:rsid w:val="0079349E"/>
    <w:rsid w:val="007934FA"/>
    <w:rsid w:val="00793BC3"/>
    <w:rsid w:val="00793C26"/>
    <w:rsid w:val="00794CC8"/>
    <w:rsid w:val="00794F8F"/>
    <w:rsid w:val="007950FA"/>
    <w:rsid w:val="0079515D"/>
    <w:rsid w:val="0079530A"/>
    <w:rsid w:val="0079568A"/>
    <w:rsid w:val="0079585F"/>
    <w:rsid w:val="00795C5A"/>
    <w:rsid w:val="007963D1"/>
    <w:rsid w:val="00796502"/>
    <w:rsid w:val="00796569"/>
    <w:rsid w:val="007966CA"/>
    <w:rsid w:val="00796854"/>
    <w:rsid w:val="00796955"/>
    <w:rsid w:val="00796A89"/>
    <w:rsid w:val="00796AD1"/>
    <w:rsid w:val="007974B4"/>
    <w:rsid w:val="00797536"/>
    <w:rsid w:val="0079756E"/>
    <w:rsid w:val="007976E0"/>
    <w:rsid w:val="00797862"/>
    <w:rsid w:val="00797F7E"/>
    <w:rsid w:val="007A028A"/>
    <w:rsid w:val="007A02B1"/>
    <w:rsid w:val="007A0351"/>
    <w:rsid w:val="007A0733"/>
    <w:rsid w:val="007A0830"/>
    <w:rsid w:val="007A0BEF"/>
    <w:rsid w:val="007A0D39"/>
    <w:rsid w:val="007A0DFB"/>
    <w:rsid w:val="007A0EB1"/>
    <w:rsid w:val="007A137F"/>
    <w:rsid w:val="007A1398"/>
    <w:rsid w:val="007A17B0"/>
    <w:rsid w:val="007A25AB"/>
    <w:rsid w:val="007A296D"/>
    <w:rsid w:val="007A29E9"/>
    <w:rsid w:val="007A2FAB"/>
    <w:rsid w:val="007A30AA"/>
    <w:rsid w:val="007A33F8"/>
    <w:rsid w:val="007A35D4"/>
    <w:rsid w:val="007A3AFF"/>
    <w:rsid w:val="007A3BAE"/>
    <w:rsid w:val="007A4349"/>
    <w:rsid w:val="007A48E4"/>
    <w:rsid w:val="007A4AE4"/>
    <w:rsid w:val="007A4B7B"/>
    <w:rsid w:val="007A4C33"/>
    <w:rsid w:val="007A4EEF"/>
    <w:rsid w:val="007A4F5C"/>
    <w:rsid w:val="007A50ED"/>
    <w:rsid w:val="007A530B"/>
    <w:rsid w:val="007A5323"/>
    <w:rsid w:val="007A53F1"/>
    <w:rsid w:val="007A555C"/>
    <w:rsid w:val="007A55DE"/>
    <w:rsid w:val="007A56CC"/>
    <w:rsid w:val="007A5C3E"/>
    <w:rsid w:val="007A5F61"/>
    <w:rsid w:val="007A61DB"/>
    <w:rsid w:val="007A6236"/>
    <w:rsid w:val="007A625D"/>
    <w:rsid w:val="007A66B1"/>
    <w:rsid w:val="007A679B"/>
    <w:rsid w:val="007A6E69"/>
    <w:rsid w:val="007A720C"/>
    <w:rsid w:val="007A725E"/>
    <w:rsid w:val="007A74F3"/>
    <w:rsid w:val="007A7517"/>
    <w:rsid w:val="007A7660"/>
    <w:rsid w:val="007A76D2"/>
    <w:rsid w:val="007A773A"/>
    <w:rsid w:val="007A77A2"/>
    <w:rsid w:val="007A79E2"/>
    <w:rsid w:val="007A7A19"/>
    <w:rsid w:val="007A7ACF"/>
    <w:rsid w:val="007A7D0D"/>
    <w:rsid w:val="007A7FB8"/>
    <w:rsid w:val="007B0379"/>
    <w:rsid w:val="007B054F"/>
    <w:rsid w:val="007B089E"/>
    <w:rsid w:val="007B0B30"/>
    <w:rsid w:val="007B0BE0"/>
    <w:rsid w:val="007B0C0E"/>
    <w:rsid w:val="007B13C0"/>
    <w:rsid w:val="007B1470"/>
    <w:rsid w:val="007B1493"/>
    <w:rsid w:val="007B17B3"/>
    <w:rsid w:val="007B19B0"/>
    <w:rsid w:val="007B1A9F"/>
    <w:rsid w:val="007B1AFE"/>
    <w:rsid w:val="007B1CD0"/>
    <w:rsid w:val="007B1D15"/>
    <w:rsid w:val="007B259F"/>
    <w:rsid w:val="007B271E"/>
    <w:rsid w:val="007B278F"/>
    <w:rsid w:val="007B2D8D"/>
    <w:rsid w:val="007B2F0A"/>
    <w:rsid w:val="007B2F6A"/>
    <w:rsid w:val="007B3130"/>
    <w:rsid w:val="007B3170"/>
    <w:rsid w:val="007B3A10"/>
    <w:rsid w:val="007B3AF1"/>
    <w:rsid w:val="007B3D72"/>
    <w:rsid w:val="007B43E9"/>
    <w:rsid w:val="007B48E6"/>
    <w:rsid w:val="007B4AF0"/>
    <w:rsid w:val="007B4BCD"/>
    <w:rsid w:val="007B4C0C"/>
    <w:rsid w:val="007B5112"/>
    <w:rsid w:val="007B5393"/>
    <w:rsid w:val="007B53D7"/>
    <w:rsid w:val="007B578F"/>
    <w:rsid w:val="007B6315"/>
    <w:rsid w:val="007B6843"/>
    <w:rsid w:val="007B6BE1"/>
    <w:rsid w:val="007B6E0C"/>
    <w:rsid w:val="007B713D"/>
    <w:rsid w:val="007B7167"/>
    <w:rsid w:val="007B71EA"/>
    <w:rsid w:val="007B72E5"/>
    <w:rsid w:val="007B72FE"/>
    <w:rsid w:val="007B78A0"/>
    <w:rsid w:val="007B78F9"/>
    <w:rsid w:val="007B7966"/>
    <w:rsid w:val="007B7BEF"/>
    <w:rsid w:val="007C008E"/>
    <w:rsid w:val="007C04CB"/>
    <w:rsid w:val="007C07BA"/>
    <w:rsid w:val="007C095B"/>
    <w:rsid w:val="007C095F"/>
    <w:rsid w:val="007C0ECE"/>
    <w:rsid w:val="007C11C1"/>
    <w:rsid w:val="007C12B5"/>
    <w:rsid w:val="007C1613"/>
    <w:rsid w:val="007C1876"/>
    <w:rsid w:val="007C1D71"/>
    <w:rsid w:val="007C1DAC"/>
    <w:rsid w:val="007C23C7"/>
    <w:rsid w:val="007C23D0"/>
    <w:rsid w:val="007C2956"/>
    <w:rsid w:val="007C354E"/>
    <w:rsid w:val="007C3970"/>
    <w:rsid w:val="007C3988"/>
    <w:rsid w:val="007C3CC4"/>
    <w:rsid w:val="007C3DA8"/>
    <w:rsid w:val="007C3EB4"/>
    <w:rsid w:val="007C43CD"/>
    <w:rsid w:val="007C447D"/>
    <w:rsid w:val="007C4AD9"/>
    <w:rsid w:val="007C50E5"/>
    <w:rsid w:val="007C5651"/>
    <w:rsid w:val="007C5B15"/>
    <w:rsid w:val="007C5DAD"/>
    <w:rsid w:val="007C5F82"/>
    <w:rsid w:val="007C5FA4"/>
    <w:rsid w:val="007C6020"/>
    <w:rsid w:val="007C63DB"/>
    <w:rsid w:val="007C6490"/>
    <w:rsid w:val="007C65CC"/>
    <w:rsid w:val="007C664D"/>
    <w:rsid w:val="007C6661"/>
    <w:rsid w:val="007C69F3"/>
    <w:rsid w:val="007C6BA6"/>
    <w:rsid w:val="007C6F08"/>
    <w:rsid w:val="007C711F"/>
    <w:rsid w:val="007C746E"/>
    <w:rsid w:val="007C7769"/>
    <w:rsid w:val="007D06F3"/>
    <w:rsid w:val="007D07DA"/>
    <w:rsid w:val="007D08F0"/>
    <w:rsid w:val="007D0B34"/>
    <w:rsid w:val="007D0C12"/>
    <w:rsid w:val="007D1073"/>
    <w:rsid w:val="007D1092"/>
    <w:rsid w:val="007D13E7"/>
    <w:rsid w:val="007D1C42"/>
    <w:rsid w:val="007D20AE"/>
    <w:rsid w:val="007D226A"/>
    <w:rsid w:val="007D2414"/>
    <w:rsid w:val="007D243A"/>
    <w:rsid w:val="007D2449"/>
    <w:rsid w:val="007D25C9"/>
    <w:rsid w:val="007D268F"/>
    <w:rsid w:val="007D2878"/>
    <w:rsid w:val="007D29EA"/>
    <w:rsid w:val="007D2C03"/>
    <w:rsid w:val="007D2C25"/>
    <w:rsid w:val="007D2E0C"/>
    <w:rsid w:val="007D2E64"/>
    <w:rsid w:val="007D2FBF"/>
    <w:rsid w:val="007D3335"/>
    <w:rsid w:val="007D3911"/>
    <w:rsid w:val="007D3BB8"/>
    <w:rsid w:val="007D419D"/>
    <w:rsid w:val="007D426E"/>
    <w:rsid w:val="007D4285"/>
    <w:rsid w:val="007D43A4"/>
    <w:rsid w:val="007D43D5"/>
    <w:rsid w:val="007D477C"/>
    <w:rsid w:val="007D4837"/>
    <w:rsid w:val="007D4AD5"/>
    <w:rsid w:val="007D4AE5"/>
    <w:rsid w:val="007D4D42"/>
    <w:rsid w:val="007D4D75"/>
    <w:rsid w:val="007D4E03"/>
    <w:rsid w:val="007D4FB2"/>
    <w:rsid w:val="007D5130"/>
    <w:rsid w:val="007D51A4"/>
    <w:rsid w:val="007D5366"/>
    <w:rsid w:val="007D575B"/>
    <w:rsid w:val="007D5AF2"/>
    <w:rsid w:val="007D603A"/>
    <w:rsid w:val="007D60F9"/>
    <w:rsid w:val="007D63D1"/>
    <w:rsid w:val="007D68F3"/>
    <w:rsid w:val="007D6AAA"/>
    <w:rsid w:val="007D6CC1"/>
    <w:rsid w:val="007D7183"/>
    <w:rsid w:val="007D72DA"/>
    <w:rsid w:val="007D735E"/>
    <w:rsid w:val="007D7434"/>
    <w:rsid w:val="007D7A94"/>
    <w:rsid w:val="007D7B68"/>
    <w:rsid w:val="007E020B"/>
    <w:rsid w:val="007E02CE"/>
    <w:rsid w:val="007E0608"/>
    <w:rsid w:val="007E067F"/>
    <w:rsid w:val="007E0684"/>
    <w:rsid w:val="007E06F6"/>
    <w:rsid w:val="007E07E5"/>
    <w:rsid w:val="007E0854"/>
    <w:rsid w:val="007E0898"/>
    <w:rsid w:val="007E09C1"/>
    <w:rsid w:val="007E118E"/>
    <w:rsid w:val="007E12EF"/>
    <w:rsid w:val="007E1481"/>
    <w:rsid w:val="007E14D0"/>
    <w:rsid w:val="007E1887"/>
    <w:rsid w:val="007E21C6"/>
    <w:rsid w:val="007E2620"/>
    <w:rsid w:val="007E2681"/>
    <w:rsid w:val="007E2A8D"/>
    <w:rsid w:val="007E2ABE"/>
    <w:rsid w:val="007E2ECC"/>
    <w:rsid w:val="007E2FD1"/>
    <w:rsid w:val="007E32E7"/>
    <w:rsid w:val="007E362B"/>
    <w:rsid w:val="007E39E3"/>
    <w:rsid w:val="007E3D97"/>
    <w:rsid w:val="007E3FE3"/>
    <w:rsid w:val="007E42FA"/>
    <w:rsid w:val="007E46BF"/>
    <w:rsid w:val="007E4ACA"/>
    <w:rsid w:val="007E4B30"/>
    <w:rsid w:val="007E5143"/>
    <w:rsid w:val="007E5152"/>
    <w:rsid w:val="007E52D1"/>
    <w:rsid w:val="007E565D"/>
    <w:rsid w:val="007E60F6"/>
    <w:rsid w:val="007E6A1F"/>
    <w:rsid w:val="007E6A26"/>
    <w:rsid w:val="007E6E82"/>
    <w:rsid w:val="007E6FBF"/>
    <w:rsid w:val="007E7063"/>
    <w:rsid w:val="007E725A"/>
    <w:rsid w:val="007E751F"/>
    <w:rsid w:val="007E76AF"/>
    <w:rsid w:val="007E7836"/>
    <w:rsid w:val="007E79AF"/>
    <w:rsid w:val="007E7B1E"/>
    <w:rsid w:val="007E7CA2"/>
    <w:rsid w:val="007E7F0C"/>
    <w:rsid w:val="007E7F6F"/>
    <w:rsid w:val="007E7FB3"/>
    <w:rsid w:val="007F0062"/>
    <w:rsid w:val="007F0313"/>
    <w:rsid w:val="007F043E"/>
    <w:rsid w:val="007F051D"/>
    <w:rsid w:val="007F0897"/>
    <w:rsid w:val="007F0ADD"/>
    <w:rsid w:val="007F0C7F"/>
    <w:rsid w:val="007F0D27"/>
    <w:rsid w:val="007F0DD0"/>
    <w:rsid w:val="007F0EFA"/>
    <w:rsid w:val="007F137C"/>
    <w:rsid w:val="007F18B5"/>
    <w:rsid w:val="007F1B1A"/>
    <w:rsid w:val="007F1E26"/>
    <w:rsid w:val="007F20FD"/>
    <w:rsid w:val="007F2594"/>
    <w:rsid w:val="007F25EB"/>
    <w:rsid w:val="007F27AC"/>
    <w:rsid w:val="007F27F3"/>
    <w:rsid w:val="007F2861"/>
    <w:rsid w:val="007F29BE"/>
    <w:rsid w:val="007F2DC9"/>
    <w:rsid w:val="007F3108"/>
    <w:rsid w:val="007F311F"/>
    <w:rsid w:val="007F350E"/>
    <w:rsid w:val="007F366E"/>
    <w:rsid w:val="007F367C"/>
    <w:rsid w:val="007F39DD"/>
    <w:rsid w:val="007F3C36"/>
    <w:rsid w:val="007F3E6F"/>
    <w:rsid w:val="007F3EC6"/>
    <w:rsid w:val="007F3F71"/>
    <w:rsid w:val="007F4B27"/>
    <w:rsid w:val="007F4BD2"/>
    <w:rsid w:val="007F4DA4"/>
    <w:rsid w:val="007F4F4A"/>
    <w:rsid w:val="007F4FCB"/>
    <w:rsid w:val="007F5475"/>
    <w:rsid w:val="007F5623"/>
    <w:rsid w:val="007F56CC"/>
    <w:rsid w:val="007F589B"/>
    <w:rsid w:val="007F5A1A"/>
    <w:rsid w:val="007F5D2C"/>
    <w:rsid w:val="007F6236"/>
    <w:rsid w:val="007F636D"/>
    <w:rsid w:val="007F6AD8"/>
    <w:rsid w:val="007F70CE"/>
    <w:rsid w:val="007F70E8"/>
    <w:rsid w:val="007F7224"/>
    <w:rsid w:val="007F75F4"/>
    <w:rsid w:val="007F7689"/>
    <w:rsid w:val="007F76B2"/>
    <w:rsid w:val="007F76E5"/>
    <w:rsid w:val="007F789A"/>
    <w:rsid w:val="007F78AA"/>
    <w:rsid w:val="007F7B8F"/>
    <w:rsid w:val="007F7D4C"/>
    <w:rsid w:val="00800114"/>
    <w:rsid w:val="008003E8"/>
    <w:rsid w:val="00800A23"/>
    <w:rsid w:val="00800D7A"/>
    <w:rsid w:val="00800F35"/>
    <w:rsid w:val="0080100E"/>
    <w:rsid w:val="0080114B"/>
    <w:rsid w:val="008011E8"/>
    <w:rsid w:val="008015EF"/>
    <w:rsid w:val="00801646"/>
    <w:rsid w:val="00801741"/>
    <w:rsid w:val="0080194C"/>
    <w:rsid w:val="008019C7"/>
    <w:rsid w:val="00801B8E"/>
    <w:rsid w:val="00801FDA"/>
    <w:rsid w:val="00802032"/>
    <w:rsid w:val="008020E9"/>
    <w:rsid w:val="008021E5"/>
    <w:rsid w:val="0080256C"/>
    <w:rsid w:val="008025E1"/>
    <w:rsid w:val="0080267C"/>
    <w:rsid w:val="008027D0"/>
    <w:rsid w:val="0080299B"/>
    <w:rsid w:val="00802BEB"/>
    <w:rsid w:val="0080309B"/>
    <w:rsid w:val="00803146"/>
    <w:rsid w:val="008034AC"/>
    <w:rsid w:val="00803652"/>
    <w:rsid w:val="008036F4"/>
    <w:rsid w:val="00803845"/>
    <w:rsid w:val="008038A0"/>
    <w:rsid w:val="00803ED3"/>
    <w:rsid w:val="00804256"/>
    <w:rsid w:val="00804472"/>
    <w:rsid w:val="00804965"/>
    <w:rsid w:val="00804D1B"/>
    <w:rsid w:val="00804D9E"/>
    <w:rsid w:val="00804E8F"/>
    <w:rsid w:val="00805512"/>
    <w:rsid w:val="008059D8"/>
    <w:rsid w:val="00805B93"/>
    <w:rsid w:val="00805BAE"/>
    <w:rsid w:val="00805D68"/>
    <w:rsid w:val="00805DAB"/>
    <w:rsid w:val="00806062"/>
    <w:rsid w:val="008060D7"/>
    <w:rsid w:val="0080631D"/>
    <w:rsid w:val="00806456"/>
    <w:rsid w:val="008067E4"/>
    <w:rsid w:val="00806A9C"/>
    <w:rsid w:val="00806BB9"/>
    <w:rsid w:val="0080701A"/>
    <w:rsid w:val="00807839"/>
    <w:rsid w:val="00807871"/>
    <w:rsid w:val="0080795F"/>
    <w:rsid w:val="00807B2B"/>
    <w:rsid w:val="00807B2C"/>
    <w:rsid w:val="00807BB5"/>
    <w:rsid w:val="00807D19"/>
    <w:rsid w:val="00807EDD"/>
    <w:rsid w:val="00807EF1"/>
    <w:rsid w:val="0081015A"/>
    <w:rsid w:val="008102B6"/>
    <w:rsid w:val="00810750"/>
    <w:rsid w:val="00810C91"/>
    <w:rsid w:val="00810ED4"/>
    <w:rsid w:val="0081123D"/>
    <w:rsid w:val="0081145D"/>
    <w:rsid w:val="008114AB"/>
    <w:rsid w:val="00811527"/>
    <w:rsid w:val="00811AC8"/>
    <w:rsid w:val="00811C7B"/>
    <w:rsid w:val="00811FFE"/>
    <w:rsid w:val="0081223A"/>
    <w:rsid w:val="00812254"/>
    <w:rsid w:val="0081245F"/>
    <w:rsid w:val="0081250D"/>
    <w:rsid w:val="00812577"/>
    <w:rsid w:val="008129D0"/>
    <w:rsid w:val="00812D89"/>
    <w:rsid w:val="00812FFC"/>
    <w:rsid w:val="0081315C"/>
    <w:rsid w:val="00813300"/>
    <w:rsid w:val="008134BC"/>
    <w:rsid w:val="0081360E"/>
    <w:rsid w:val="0081388B"/>
    <w:rsid w:val="00813CCA"/>
    <w:rsid w:val="00813D9E"/>
    <w:rsid w:val="008147DF"/>
    <w:rsid w:val="00814F1C"/>
    <w:rsid w:val="00815124"/>
    <w:rsid w:val="008154CC"/>
    <w:rsid w:val="008156D5"/>
    <w:rsid w:val="0081582D"/>
    <w:rsid w:val="008158C4"/>
    <w:rsid w:val="0081605A"/>
    <w:rsid w:val="008160C9"/>
    <w:rsid w:val="008166EC"/>
    <w:rsid w:val="00816722"/>
    <w:rsid w:val="00816949"/>
    <w:rsid w:val="00816957"/>
    <w:rsid w:val="00816B07"/>
    <w:rsid w:val="00816BAB"/>
    <w:rsid w:val="00816BE1"/>
    <w:rsid w:val="008172DF"/>
    <w:rsid w:val="0081745C"/>
    <w:rsid w:val="008175AA"/>
    <w:rsid w:val="008175E9"/>
    <w:rsid w:val="00817B8F"/>
    <w:rsid w:val="00817BF3"/>
    <w:rsid w:val="00817E13"/>
    <w:rsid w:val="0082028A"/>
    <w:rsid w:val="0082036E"/>
    <w:rsid w:val="00820795"/>
    <w:rsid w:val="008208ED"/>
    <w:rsid w:val="008209D4"/>
    <w:rsid w:val="00820C76"/>
    <w:rsid w:val="00820EA9"/>
    <w:rsid w:val="008210D0"/>
    <w:rsid w:val="0082131F"/>
    <w:rsid w:val="00821E2B"/>
    <w:rsid w:val="00821E9B"/>
    <w:rsid w:val="00822305"/>
    <w:rsid w:val="008224DC"/>
    <w:rsid w:val="008225DB"/>
    <w:rsid w:val="0082264F"/>
    <w:rsid w:val="00822737"/>
    <w:rsid w:val="008228FD"/>
    <w:rsid w:val="00822AB8"/>
    <w:rsid w:val="00822C0A"/>
    <w:rsid w:val="0082314B"/>
    <w:rsid w:val="00823294"/>
    <w:rsid w:val="008233AC"/>
    <w:rsid w:val="00823473"/>
    <w:rsid w:val="008239A8"/>
    <w:rsid w:val="00823B64"/>
    <w:rsid w:val="00823BDA"/>
    <w:rsid w:val="00823DC5"/>
    <w:rsid w:val="00823DD8"/>
    <w:rsid w:val="00823FDA"/>
    <w:rsid w:val="008240B8"/>
    <w:rsid w:val="008240D9"/>
    <w:rsid w:val="00824321"/>
    <w:rsid w:val="0082450C"/>
    <w:rsid w:val="0082498D"/>
    <w:rsid w:val="00824D72"/>
    <w:rsid w:val="008250B1"/>
    <w:rsid w:val="008252EB"/>
    <w:rsid w:val="00825360"/>
    <w:rsid w:val="008254BD"/>
    <w:rsid w:val="008258FD"/>
    <w:rsid w:val="00826252"/>
    <w:rsid w:val="008265BA"/>
    <w:rsid w:val="00826609"/>
    <w:rsid w:val="00826766"/>
    <w:rsid w:val="0082678D"/>
    <w:rsid w:val="00826CBB"/>
    <w:rsid w:val="00826DD0"/>
    <w:rsid w:val="00827200"/>
    <w:rsid w:val="00827299"/>
    <w:rsid w:val="008273C9"/>
    <w:rsid w:val="00827457"/>
    <w:rsid w:val="0082746F"/>
    <w:rsid w:val="0082753F"/>
    <w:rsid w:val="008275CF"/>
    <w:rsid w:val="00827825"/>
    <w:rsid w:val="0082799E"/>
    <w:rsid w:val="00827B08"/>
    <w:rsid w:val="00827BEF"/>
    <w:rsid w:val="00830398"/>
    <w:rsid w:val="00830526"/>
    <w:rsid w:val="008309E4"/>
    <w:rsid w:val="00830C29"/>
    <w:rsid w:val="0083143A"/>
    <w:rsid w:val="00831529"/>
    <w:rsid w:val="00831740"/>
    <w:rsid w:val="008317F5"/>
    <w:rsid w:val="00831C39"/>
    <w:rsid w:val="00831D3F"/>
    <w:rsid w:val="00832082"/>
    <w:rsid w:val="00832111"/>
    <w:rsid w:val="008322FE"/>
    <w:rsid w:val="008323FF"/>
    <w:rsid w:val="00832C6C"/>
    <w:rsid w:val="00833250"/>
    <w:rsid w:val="00833336"/>
    <w:rsid w:val="00833463"/>
    <w:rsid w:val="00833B8E"/>
    <w:rsid w:val="00833DD1"/>
    <w:rsid w:val="00834075"/>
    <w:rsid w:val="00834822"/>
    <w:rsid w:val="008348C9"/>
    <w:rsid w:val="00834B0A"/>
    <w:rsid w:val="00834DA3"/>
    <w:rsid w:val="00834DC7"/>
    <w:rsid w:val="00834E85"/>
    <w:rsid w:val="00835286"/>
    <w:rsid w:val="008352E4"/>
    <w:rsid w:val="008353B9"/>
    <w:rsid w:val="0083595A"/>
    <w:rsid w:val="00835C08"/>
    <w:rsid w:val="00836017"/>
    <w:rsid w:val="008360CE"/>
    <w:rsid w:val="00836C02"/>
    <w:rsid w:val="00836C26"/>
    <w:rsid w:val="00836E0B"/>
    <w:rsid w:val="00836F9F"/>
    <w:rsid w:val="0083712A"/>
    <w:rsid w:val="00837228"/>
    <w:rsid w:val="0083745D"/>
    <w:rsid w:val="00837584"/>
    <w:rsid w:val="00837798"/>
    <w:rsid w:val="008401FA"/>
    <w:rsid w:val="008403B6"/>
    <w:rsid w:val="00840489"/>
    <w:rsid w:val="00840AC3"/>
    <w:rsid w:val="00840AE4"/>
    <w:rsid w:val="00840B0D"/>
    <w:rsid w:val="0084114E"/>
    <w:rsid w:val="0084155F"/>
    <w:rsid w:val="00841CC6"/>
    <w:rsid w:val="00841CEF"/>
    <w:rsid w:val="00841DD5"/>
    <w:rsid w:val="0084237B"/>
    <w:rsid w:val="008427D2"/>
    <w:rsid w:val="00842990"/>
    <w:rsid w:val="00842EA7"/>
    <w:rsid w:val="00842EE4"/>
    <w:rsid w:val="00843117"/>
    <w:rsid w:val="008438BC"/>
    <w:rsid w:val="00844284"/>
    <w:rsid w:val="0084450F"/>
    <w:rsid w:val="00844657"/>
    <w:rsid w:val="00844970"/>
    <w:rsid w:val="00844988"/>
    <w:rsid w:val="00844A74"/>
    <w:rsid w:val="00844B30"/>
    <w:rsid w:val="00844CF2"/>
    <w:rsid w:val="00845010"/>
    <w:rsid w:val="00845327"/>
    <w:rsid w:val="0084553C"/>
    <w:rsid w:val="00845595"/>
    <w:rsid w:val="00845624"/>
    <w:rsid w:val="00845683"/>
    <w:rsid w:val="00845696"/>
    <w:rsid w:val="00845950"/>
    <w:rsid w:val="008459B0"/>
    <w:rsid w:val="00845AB0"/>
    <w:rsid w:val="00845C9C"/>
    <w:rsid w:val="00845D4F"/>
    <w:rsid w:val="00845DFA"/>
    <w:rsid w:val="00846AE0"/>
    <w:rsid w:val="00846D1F"/>
    <w:rsid w:val="00846DC2"/>
    <w:rsid w:val="00846E9D"/>
    <w:rsid w:val="00846FDF"/>
    <w:rsid w:val="0084743C"/>
    <w:rsid w:val="0084770C"/>
    <w:rsid w:val="00847802"/>
    <w:rsid w:val="00847BD0"/>
    <w:rsid w:val="00847C57"/>
    <w:rsid w:val="00847E68"/>
    <w:rsid w:val="008500CE"/>
    <w:rsid w:val="00850332"/>
    <w:rsid w:val="00850350"/>
    <w:rsid w:val="008508D5"/>
    <w:rsid w:val="00850E3C"/>
    <w:rsid w:val="00851164"/>
    <w:rsid w:val="008511FC"/>
    <w:rsid w:val="008512D7"/>
    <w:rsid w:val="0085148E"/>
    <w:rsid w:val="00851AC2"/>
    <w:rsid w:val="00851EBD"/>
    <w:rsid w:val="00852316"/>
    <w:rsid w:val="008524E8"/>
    <w:rsid w:val="00852B81"/>
    <w:rsid w:val="008532FF"/>
    <w:rsid w:val="008533FD"/>
    <w:rsid w:val="00853457"/>
    <w:rsid w:val="00853548"/>
    <w:rsid w:val="00853686"/>
    <w:rsid w:val="00853D90"/>
    <w:rsid w:val="00853F11"/>
    <w:rsid w:val="00853F59"/>
    <w:rsid w:val="00854180"/>
    <w:rsid w:val="008546EE"/>
    <w:rsid w:val="00854893"/>
    <w:rsid w:val="00854A06"/>
    <w:rsid w:val="00854A98"/>
    <w:rsid w:val="00854AB5"/>
    <w:rsid w:val="00854DFB"/>
    <w:rsid w:val="00854E83"/>
    <w:rsid w:val="00855158"/>
    <w:rsid w:val="00855281"/>
    <w:rsid w:val="00855410"/>
    <w:rsid w:val="00855487"/>
    <w:rsid w:val="0085548A"/>
    <w:rsid w:val="00855532"/>
    <w:rsid w:val="00855764"/>
    <w:rsid w:val="00855902"/>
    <w:rsid w:val="008559E6"/>
    <w:rsid w:val="00855E55"/>
    <w:rsid w:val="00855FC9"/>
    <w:rsid w:val="008564D1"/>
    <w:rsid w:val="0085652D"/>
    <w:rsid w:val="008565D3"/>
    <w:rsid w:val="0085676F"/>
    <w:rsid w:val="00856DCE"/>
    <w:rsid w:val="008575D7"/>
    <w:rsid w:val="00857990"/>
    <w:rsid w:val="00857A0E"/>
    <w:rsid w:val="00857AA6"/>
    <w:rsid w:val="00857D58"/>
    <w:rsid w:val="0086008B"/>
    <w:rsid w:val="008602E5"/>
    <w:rsid w:val="008604FA"/>
    <w:rsid w:val="00860C7C"/>
    <w:rsid w:val="008611F8"/>
    <w:rsid w:val="00861224"/>
    <w:rsid w:val="00861540"/>
    <w:rsid w:val="00861666"/>
    <w:rsid w:val="0086169E"/>
    <w:rsid w:val="00861AB9"/>
    <w:rsid w:val="00861C31"/>
    <w:rsid w:val="0086226B"/>
    <w:rsid w:val="008624CF"/>
    <w:rsid w:val="00862638"/>
    <w:rsid w:val="00862726"/>
    <w:rsid w:val="00862972"/>
    <w:rsid w:val="0086298F"/>
    <w:rsid w:val="00862B5E"/>
    <w:rsid w:val="00862B95"/>
    <w:rsid w:val="0086328E"/>
    <w:rsid w:val="008633DB"/>
    <w:rsid w:val="0086346E"/>
    <w:rsid w:val="008635CB"/>
    <w:rsid w:val="008639AB"/>
    <w:rsid w:val="00863C60"/>
    <w:rsid w:val="00863DDE"/>
    <w:rsid w:val="0086428F"/>
    <w:rsid w:val="008642EE"/>
    <w:rsid w:val="00864386"/>
    <w:rsid w:val="008643A1"/>
    <w:rsid w:val="0086473F"/>
    <w:rsid w:val="008647E1"/>
    <w:rsid w:val="00864804"/>
    <w:rsid w:val="00864FC1"/>
    <w:rsid w:val="00865353"/>
    <w:rsid w:val="0086545D"/>
    <w:rsid w:val="0086547A"/>
    <w:rsid w:val="00865B8A"/>
    <w:rsid w:val="00865C2B"/>
    <w:rsid w:val="0086617F"/>
    <w:rsid w:val="00866248"/>
    <w:rsid w:val="008666A5"/>
    <w:rsid w:val="00866735"/>
    <w:rsid w:val="00866D9F"/>
    <w:rsid w:val="008672AB"/>
    <w:rsid w:val="0086744C"/>
    <w:rsid w:val="008674A2"/>
    <w:rsid w:val="00867BC2"/>
    <w:rsid w:val="00867CAC"/>
    <w:rsid w:val="00867CFB"/>
    <w:rsid w:val="008702EF"/>
    <w:rsid w:val="008705D7"/>
    <w:rsid w:val="00870967"/>
    <w:rsid w:val="008709E2"/>
    <w:rsid w:val="00870BE9"/>
    <w:rsid w:val="0087158A"/>
    <w:rsid w:val="00871902"/>
    <w:rsid w:val="00871C8E"/>
    <w:rsid w:val="00871F4D"/>
    <w:rsid w:val="00872229"/>
    <w:rsid w:val="008724A8"/>
    <w:rsid w:val="00872553"/>
    <w:rsid w:val="0087271A"/>
    <w:rsid w:val="00872811"/>
    <w:rsid w:val="00872A5B"/>
    <w:rsid w:val="00872B0F"/>
    <w:rsid w:val="00872C5B"/>
    <w:rsid w:val="00872C5E"/>
    <w:rsid w:val="0087315A"/>
    <w:rsid w:val="00873EF5"/>
    <w:rsid w:val="00873F35"/>
    <w:rsid w:val="00874296"/>
    <w:rsid w:val="008742FA"/>
    <w:rsid w:val="0087441E"/>
    <w:rsid w:val="0087466A"/>
    <w:rsid w:val="00874705"/>
    <w:rsid w:val="00874B07"/>
    <w:rsid w:val="00874C38"/>
    <w:rsid w:val="00874CDA"/>
    <w:rsid w:val="00874E01"/>
    <w:rsid w:val="00874F6C"/>
    <w:rsid w:val="00874FC3"/>
    <w:rsid w:val="0087510E"/>
    <w:rsid w:val="008753C0"/>
    <w:rsid w:val="00875419"/>
    <w:rsid w:val="00875507"/>
    <w:rsid w:val="00875EED"/>
    <w:rsid w:val="008760B1"/>
    <w:rsid w:val="0087647E"/>
    <w:rsid w:val="00876482"/>
    <w:rsid w:val="00876575"/>
    <w:rsid w:val="00876916"/>
    <w:rsid w:val="00876CF3"/>
    <w:rsid w:val="00876F6C"/>
    <w:rsid w:val="008771AD"/>
    <w:rsid w:val="008774CB"/>
    <w:rsid w:val="0087754A"/>
    <w:rsid w:val="00877812"/>
    <w:rsid w:val="00877ABD"/>
    <w:rsid w:val="00877F1F"/>
    <w:rsid w:val="008801E4"/>
    <w:rsid w:val="00880372"/>
    <w:rsid w:val="0088038D"/>
    <w:rsid w:val="0088044A"/>
    <w:rsid w:val="00880999"/>
    <w:rsid w:val="00880B81"/>
    <w:rsid w:val="00880D21"/>
    <w:rsid w:val="00880FBE"/>
    <w:rsid w:val="0088101A"/>
    <w:rsid w:val="00881183"/>
    <w:rsid w:val="008815DA"/>
    <w:rsid w:val="008817F6"/>
    <w:rsid w:val="00881BDF"/>
    <w:rsid w:val="00881C68"/>
    <w:rsid w:val="00881F72"/>
    <w:rsid w:val="008828E4"/>
    <w:rsid w:val="00882AC6"/>
    <w:rsid w:val="00882E52"/>
    <w:rsid w:val="008831E1"/>
    <w:rsid w:val="0088325F"/>
    <w:rsid w:val="00883322"/>
    <w:rsid w:val="00883627"/>
    <w:rsid w:val="0088382C"/>
    <w:rsid w:val="00883A23"/>
    <w:rsid w:val="00883BB9"/>
    <w:rsid w:val="0088415D"/>
    <w:rsid w:val="0088431C"/>
    <w:rsid w:val="00884925"/>
    <w:rsid w:val="0088494B"/>
    <w:rsid w:val="00884CBD"/>
    <w:rsid w:val="00884D0F"/>
    <w:rsid w:val="008851C8"/>
    <w:rsid w:val="008857DF"/>
    <w:rsid w:val="00885B0E"/>
    <w:rsid w:val="0088619A"/>
    <w:rsid w:val="0088651E"/>
    <w:rsid w:val="00886567"/>
    <w:rsid w:val="00886771"/>
    <w:rsid w:val="0088688F"/>
    <w:rsid w:val="00886A6E"/>
    <w:rsid w:val="00886D03"/>
    <w:rsid w:val="00886F8C"/>
    <w:rsid w:val="0088710A"/>
    <w:rsid w:val="008871CA"/>
    <w:rsid w:val="00887571"/>
    <w:rsid w:val="00887ACA"/>
    <w:rsid w:val="00887F6D"/>
    <w:rsid w:val="00890103"/>
    <w:rsid w:val="008907E1"/>
    <w:rsid w:val="00890A86"/>
    <w:rsid w:val="00890B59"/>
    <w:rsid w:val="00890BD4"/>
    <w:rsid w:val="00890FE7"/>
    <w:rsid w:val="008910FF"/>
    <w:rsid w:val="00891719"/>
    <w:rsid w:val="008918E0"/>
    <w:rsid w:val="0089190F"/>
    <w:rsid w:val="0089196C"/>
    <w:rsid w:val="00891AFE"/>
    <w:rsid w:val="00891FA8"/>
    <w:rsid w:val="008926AC"/>
    <w:rsid w:val="008928EA"/>
    <w:rsid w:val="00892B16"/>
    <w:rsid w:val="00892B34"/>
    <w:rsid w:val="00892B6A"/>
    <w:rsid w:val="00892D42"/>
    <w:rsid w:val="00892FAB"/>
    <w:rsid w:val="00892FB5"/>
    <w:rsid w:val="008931FF"/>
    <w:rsid w:val="00893633"/>
    <w:rsid w:val="00893785"/>
    <w:rsid w:val="00893C9B"/>
    <w:rsid w:val="00893D3A"/>
    <w:rsid w:val="0089409D"/>
    <w:rsid w:val="008942D9"/>
    <w:rsid w:val="00894393"/>
    <w:rsid w:val="00894A58"/>
    <w:rsid w:val="00894EEE"/>
    <w:rsid w:val="008950CD"/>
    <w:rsid w:val="00895618"/>
    <w:rsid w:val="008956C0"/>
    <w:rsid w:val="00895C17"/>
    <w:rsid w:val="00895DAB"/>
    <w:rsid w:val="008960EB"/>
    <w:rsid w:val="008964F6"/>
    <w:rsid w:val="00896B80"/>
    <w:rsid w:val="00896BB8"/>
    <w:rsid w:val="00896C0D"/>
    <w:rsid w:val="00896C50"/>
    <w:rsid w:val="008971E6"/>
    <w:rsid w:val="008974DA"/>
    <w:rsid w:val="00897955"/>
    <w:rsid w:val="0089799B"/>
    <w:rsid w:val="008979A9"/>
    <w:rsid w:val="008979C7"/>
    <w:rsid w:val="008979F6"/>
    <w:rsid w:val="00897A3D"/>
    <w:rsid w:val="008A01F7"/>
    <w:rsid w:val="008A0975"/>
    <w:rsid w:val="008A0A94"/>
    <w:rsid w:val="008A0C11"/>
    <w:rsid w:val="008A188B"/>
    <w:rsid w:val="008A18D9"/>
    <w:rsid w:val="008A198D"/>
    <w:rsid w:val="008A1C1E"/>
    <w:rsid w:val="008A2071"/>
    <w:rsid w:val="008A236A"/>
    <w:rsid w:val="008A2582"/>
    <w:rsid w:val="008A28B1"/>
    <w:rsid w:val="008A29E6"/>
    <w:rsid w:val="008A2A2A"/>
    <w:rsid w:val="008A2E71"/>
    <w:rsid w:val="008A2FEC"/>
    <w:rsid w:val="008A30A9"/>
    <w:rsid w:val="008A34F8"/>
    <w:rsid w:val="008A36F0"/>
    <w:rsid w:val="008A36F6"/>
    <w:rsid w:val="008A3900"/>
    <w:rsid w:val="008A39C5"/>
    <w:rsid w:val="008A3E17"/>
    <w:rsid w:val="008A3E8C"/>
    <w:rsid w:val="008A42D1"/>
    <w:rsid w:val="008A445E"/>
    <w:rsid w:val="008A4484"/>
    <w:rsid w:val="008A44AE"/>
    <w:rsid w:val="008A45C5"/>
    <w:rsid w:val="008A4627"/>
    <w:rsid w:val="008A4A69"/>
    <w:rsid w:val="008A4E4F"/>
    <w:rsid w:val="008A5135"/>
    <w:rsid w:val="008A5326"/>
    <w:rsid w:val="008A55B1"/>
    <w:rsid w:val="008A57B1"/>
    <w:rsid w:val="008A5B26"/>
    <w:rsid w:val="008A5B4C"/>
    <w:rsid w:val="008A5F01"/>
    <w:rsid w:val="008A62BF"/>
    <w:rsid w:val="008A631D"/>
    <w:rsid w:val="008A69F4"/>
    <w:rsid w:val="008A6A34"/>
    <w:rsid w:val="008A6A8C"/>
    <w:rsid w:val="008A6DBC"/>
    <w:rsid w:val="008A7006"/>
    <w:rsid w:val="008A7624"/>
    <w:rsid w:val="008A7641"/>
    <w:rsid w:val="008A76B4"/>
    <w:rsid w:val="008A79E5"/>
    <w:rsid w:val="008A7BC8"/>
    <w:rsid w:val="008B0038"/>
    <w:rsid w:val="008B056D"/>
    <w:rsid w:val="008B0886"/>
    <w:rsid w:val="008B0D4E"/>
    <w:rsid w:val="008B0DAD"/>
    <w:rsid w:val="008B11CC"/>
    <w:rsid w:val="008B11F8"/>
    <w:rsid w:val="008B1618"/>
    <w:rsid w:val="008B173A"/>
    <w:rsid w:val="008B1BE8"/>
    <w:rsid w:val="008B1FAE"/>
    <w:rsid w:val="008B20DF"/>
    <w:rsid w:val="008B2262"/>
    <w:rsid w:val="008B2A76"/>
    <w:rsid w:val="008B2E01"/>
    <w:rsid w:val="008B2E77"/>
    <w:rsid w:val="008B3455"/>
    <w:rsid w:val="008B3479"/>
    <w:rsid w:val="008B34C6"/>
    <w:rsid w:val="008B34F3"/>
    <w:rsid w:val="008B3947"/>
    <w:rsid w:val="008B3CE4"/>
    <w:rsid w:val="008B3DEA"/>
    <w:rsid w:val="008B400E"/>
    <w:rsid w:val="008B4400"/>
    <w:rsid w:val="008B4596"/>
    <w:rsid w:val="008B4BEC"/>
    <w:rsid w:val="008B4D4E"/>
    <w:rsid w:val="008B502F"/>
    <w:rsid w:val="008B5165"/>
    <w:rsid w:val="008B5413"/>
    <w:rsid w:val="008B56AD"/>
    <w:rsid w:val="008B5841"/>
    <w:rsid w:val="008B5A0B"/>
    <w:rsid w:val="008B60F4"/>
    <w:rsid w:val="008B6612"/>
    <w:rsid w:val="008B6735"/>
    <w:rsid w:val="008B6881"/>
    <w:rsid w:val="008B6AE0"/>
    <w:rsid w:val="008B6C52"/>
    <w:rsid w:val="008B6D8C"/>
    <w:rsid w:val="008B6F57"/>
    <w:rsid w:val="008B7080"/>
    <w:rsid w:val="008B7231"/>
    <w:rsid w:val="008B78D8"/>
    <w:rsid w:val="008B7A27"/>
    <w:rsid w:val="008B7A28"/>
    <w:rsid w:val="008B7A77"/>
    <w:rsid w:val="008B7B02"/>
    <w:rsid w:val="008B7CA8"/>
    <w:rsid w:val="008B7CBD"/>
    <w:rsid w:val="008C0107"/>
    <w:rsid w:val="008C0223"/>
    <w:rsid w:val="008C03DE"/>
    <w:rsid w:val="008C051B"/>
    <w:rsid w:val="008C059E"/>
    <w:rsid w:val="008C063A"/>
    <w:rsid w:val="008C0899"/>
    <w:rsid w:val="008C0A51"/>
    <w:rsid w:val="008C0A99"/>
    <w:rsid w:val="008C0DDB"/>
    <w:rsid w:val="008C1089"/>
    <w:rsid w:val="008C139A"/>
    <w:rsid w:val="008C139D"/>
    <w:rsid w:val="008C1712"/>
    <w:rsid w:val="008C1E5B"/>
    <w:rsid w:val="008C1FE3"/>
    <w:rsid w:val="008C1FED"/>
    <w:rsid w:val="008C25F6"/>
    <w:rsid w:val="008C2A7A"/>
    <w:rsid w:val="008C2B11"/>
    <w:rsid w:val="008C310A"/>
    <w:rsid w:val="008C32CC"/>
    <w:rsid w:val="008C32CE"/>
    <w:rsid w:val="008C337E"/>
    <w:rsid w:val="008C33B5"/>
    <w:rsid w:val="008C33D6"/>
    <w:rsid w:val="008C33DF"/>
    <w:rsid w:val="008C3849"/>
    <w:rsid w:val="008C3AE0"/>
    <w:rsid w:val="008C3BA3"/>
    <w:rsid w:val="008C3D37"/>
    <w:rsid w:val="008C40E1"/>
    <w:rsid w:val="008C4289"/>
    <w:rsid w:val="008C4915"/>
    <w:rsid w:val="008C4D62"/>
    <w:rsid w:val="008C531E"/>
    <w:rsid w:val="008C5497"/>
    <w:rsid w:val="008C5708"/>
    <w:rsid w:val="008C5B1C"/>
    <w:rsid w:val="008C5E4E"/>
    <w:rsid w:val="008C5E89"/>
    <w:rsid w:val="008C6010"/>
    <w:rsid w:val="008C687D"/>
    <w:rsid w:val="008C6E51"/>
    <w:rsid w:val="008C725F"/>
    <w:rsid w:val="008C73AE"/>
    <w:rsid w:val="008C771C"/>
    <w:rsid w:val="008C7F80"/>
    <w:rsid w:val="008D0192"/>
    <w:rsid w:val="008D0292"/>
    <w:rsid w:val="008D034C"/>
    <w:rsid w:val="008D0788"/>
    <w:rsid w:val="008D0847"/>
    <w:rsid w:val="008D09B0"/>
    <w:rsid w:val="008D09B7"/>
    <w:rsid w:val="008D0E22"/>
    <w:rsid w:val="008D1129"/>
    <w:rsid w:val="008D1B6B"/>
    <w:rsid w:val="008D2737"/>
    <w:rsid w:val="008D27BB"/>
    <w:rsid w:val="008D2B14"/>
    <w:rsid w:val="008D3068"/>
    <w:rsid w:val="008D3418"/>
    <w:rsid w:val="008D347A"/>
    <w:rsid w:val="008D3593"/>
    <w:rsid w:val="008D3936"/>
    <w:rsid w:val="008D43AE"/>
    <w:rsid w:val="008D4525"/>
    <w:rsid w:val="008D4AAC"/>
    <w:rsid w:val="008D4B1A"/>
    <w:rsid w:val="008D4CAF"/>
    <w:rsid w:val="008D4D48"/>
    <w:rsid w:val="008D4D72"/>
    <w:rsid w:val="008D5128"/>
    <w:rsid w:val="008D5359"/>
    <w:rsid w:val="008D589C"/>
    <w:rsid w:val="008D5B08"/>
    <w:rsid w:val="008D5B1F"/>
    <w:rsid w:val="008D5EED"/>
    <w:rsid w:val="008D5F68"/>
    <w:rsid w:val="008D60A9"/>
    <w:rsid w:val="008D6356"/>
    <w:rsid w:val="008D63B4"/>
    <w:rsid w:val="008D6636"/>
    <w:rsid w:val="008D6A25"/>
    <w:rsid w:val="008D6B64"/>
    <w:rsid w:val="008D7091"/>
    <w:rsid w:val="008D709E"/>
    <w:rsid w:val="008D7148"/>
    <w:rsid w:val="008D725A"/>
    <w:rsid w:val="008D7323"/>
    <w:rsid w:val="008D770D"/>
    <w:rsid w:val="008D793B"/>
    <w:rsid w:val="008D7A5A"/>
    <w:rsid w:val="008D7CF6"/>
    <w:rsid w:val="008D7EF4"/>
    <w:rsid w:val="008E0052"/>
    <w:rsid w:val="008E1103"/>
    <w:rsid w:val="008E125C"/>
    <w:rsid w:val="008E136A"/>
    <w:rsid w:val="008E16B0"/>
    <w:rsid w:val="008E1AC9"/>
    <w:rsid w:val="008E1B93"/>
    <w:rsid w:val="008E1BD9"/>
    <w:rsid w:val="008E1D95"/>
    <w:rsid w:val="008E1FF2"/>
    <w:rsid w:val="008E20E0"/>
    <w:rsid w:val="008E2349"/>
    <w:rsid w:val="008E2522"/>
    <w:rsid w:val="008E2992"/>
    <w:rsid w:val="008E2D3A"/>
    <w:rsid w:val="008E2DDC"/>
    <w:rsid w:val="008E33FC"/>
    <w:rsid w:val="008E3526"/>
    <w:rsid w:val="008E396D"/>
    <w:rsid w:val="008E3F2D"/>
    <w:rsid w:val="008E3F49"/>
    <w:rsid w:val="008E404F"/>
    <w:rsid w:val="008E4249"/>
    <w:rsid w:val="008E42F6"/>
    <w:rsid w:val="008E45AE"/>
    <w:rsid w:val="008E4627"/>
    <w:rsid w:val="008E48CD"/>
    <w:rsid w:val="008E4AB1"/>
    <w:rsid w:val="008E4ACD"/>
    <w:rsid w:val="008E4BD9"/>
    <w:rsid w:val="008E4BDE"/>
    <w:rsid w:val="008E4CFB"/>
    <w:rsid w:val="008E4D72"/>
    <w:rsid w:val="008E535E"/>
    <w:rsid w:val="008E5487"/>
    <w:rsid w:val="008E5507"/>
    <w:rsid w:val="008E56FC"/>
    <w:rsid w:val="008E581C"/>
    <w:rsid w:val="008E5DAC"/>
    <w:rsid w:val="008E5E10"/>
    <w:rsid w:val="008E600F"/>
    <w:rsid w:val="008E62CF"/>
    <w:rsid w:val="008E666A"/>
    <w:rsid w:val="008E69F7"/>
    <w:rsid w:val="008E7017"/>
    <w:rsid w:val="008E7079"/>
    <w:rsid w:val="008E7139"/>
    <w:rsid w:val="008E71B3"/>
    <w:rsid w:val="008E7716"/>
    <w:rsid w:val="008E79BC"/>
    <w:rsid w:val="008E7D8E"/>
    <w:rsid w:val="008F0208"/>
    <w:rsid w:val="008F056C"/>
    <w:rsid w:val="008F0D3F"/>
    <w:rsid w:val="008F0FAA"/>
    <w:rsid w:val="008F1317"/>
    <w:rsid w:val="008F1640"/>
    <w:rsid w:val="008F1C33"/>
    <w:rsid w:val="008F1D2B"/>
    <w:rsid w:val="008F1DEF"/>
    <w:rsid w:val="008F2360"/>
    <w:rsid w:val="008F26D9"/>
    <w:rsid w:val="008F27C1"/>
    <w:rsid w:val="008F2ABB"/>
    <w:rsid w:val="008F2BE9"/>
    <w:rsid w:val="008F2C52"/>
    <w:rsid w:val="008F2C78"/>
    <w:rsid w:val="008F2FD5"/>
    <w:rsid w:val="008F34C4"/>
    <w:rsid w:val="008F39DC"/>
    <w:rsid w:val="008F39E9"/>
    <w:rsid w:val="008F3EB9"/>
    <w:rsid w:val="008F3F2A"/>
    <w:rsid w:val="008F3FA7"/>
    <w:rsid w:val="008F40B2"/>
    <w:rsid w:val="008F427C"/>
    <w:rsid w:val="008F4DDD"/>
    <w:rsid w:val="008F4DDE"/>
    <w:rsid w:val="008F5068"/>
    <w:rsid w:val="008F52B6"/>
    <w:rsid w:val="008F5441"/>
    <w:rsid w:val="008F5E64"/>
    <w:rsid w:val="008F60B4"/>
    <w:rsid w:val="008F66A8"/>
    <w:rsid w:val="008F66EF"/>
    <w:rsid w:val="008F68B3"/>
    <w:rsid w:val="008F6A89"/>
    <w:rsid w:val="008F6EC1"/>
    <w:rsid w:val="008F705A"/>
    <w:rsid w:val="008F7263"/>
    <w:rsid w:val="008F746B"/>
    <w:rsid w:val="008F7730"/>
    <w:rsid w:val="008F78BA"/>
    <w:rsid w:val="008F79EF"/>
    <w:rsid w:val="008F7A4E"/>
    <w:rsid w:val="008F7B8C"/>
    <w:rsid w:val="008F7C5B"/>
    <w:rsid w:val="008F7FEA"/>
    <w:rsid w:val="0090004C"/>
    <w:rsid w:val="00900126"/>
    <w:rsid w:val="00900182"/>
    <w:rsid w:val="009002AE"/>
    <w:rsid w:val="0090033E"/>
    <w:rsid w:val="009003E4"/>
    <w:rsid w:val="00900507"/>
    <w:rsid w:val="0090076F"/>
    <w:rsid w:val="00900B39"/>
    <w:rsid w:val="00900DAE"/>
    <w:rsid w:val="00900E54"/>
    <w:rsid w:val="009010C3"/>
    <w:rsid w:val="009013C1"/>
    <w:rsid w:val="009016E6"/>
    <w:rsid w:val="00901B89"/>
    <w:rsid w:val="00901F3B"/>
    <w:rsid w:val="00901FE9"/>
    <w:rsid w:val="00902144"/>
    <w:rsid w:val="00902398"/>
    <w:rsid w:val="00902819"/>
    <w:rsid w:val="00902D25"/>
    <w:rsid w:val="00902F31"/>
    <w:rsid w:val="009038BA"/>
    <w:rsid w:val="00903BBC"/>
    <w:rsid w:val="00903D47"/>
    <w:rsid w:val="00904066"/>
    <w:rsid w:val="009043E9"/>
    <w:rsid w:val="00904A58"/>
    <w:rsid w:val="00904E62"/>
    <w:rsid w:val="009059BA"/>
    <w:rsid w:val="009059EF"/>
    <w:rsid w:val="00905DBF"/>
    <w:rsid w:val="00905F74"/>
    <w:rsid w:val="00906559"/>
    <w:rsid w:val="0090683A"/>
    <w:rsid w:val="0090699B"/>
    <w:rsid w:val="00906AF7"/>
    <w:rsid w:val="009070AA"/>
    <w:rsid w:val="00907773"/>
    <w:rsid w:val="00907901"/>
    <w:rsid w:val="00907A89"/>
    <w:rsid w:val="00907AD6"/>
    <w:rsid w:val="00907CB2"/>
    <w:rsid w:val="00907E2B"/>
    <w:rsid w:val="00907F6C"/>
    <w:rsid w:val="009101C5"/>
    <w:rsid w:val="0091027D"/>
    <w:rsid w:val="009103A9"/>
    <w:rsid w:val="009107EA"/>
    <w:rsid w:val="00910A4D"/>
    <w:rsid w:val="00910EE0"/>
    <w:rsid w:val="00911494"/>
    <w:rsid w:val="00911A47"/>
    <w:rsid w:val="00911BCF"/>
    <w:rsid w:val="00911F3D"/>
    <w:rsid w:val="00912175"/>
    <w:rsid w:val="00912292"/>
    <w:rsid w:val="00912307"/>
    <w:rsid w:val="00912700"/>
    <w:rsid w:val="009129FC"/>
    <w:rsid w:val="00913296"/>
    <w:rsid w:val="009134DC"/>
    <w:rsid w:val="00913659"/>
    <w:rsid w:val="0091370F"/>
    <w:rsid w:val="00913CF1"/>
    <w:rsid w:val="00913D81"/>
    <w:rsid w:val="009144F1"/>
    <w:rsid w:val="00914542"/>
    <w:rsid w:val="00914614"/>
    <w:rsid w:val="00914725"/>
    <w:rsid w:val="0091498C"/>
    <w:rsid w:val="00914C8F"/>
    <w:rsid w:val="00914DA7"/>
    <w:rsid w:val="00914E8B"/>
    <w:rsid w:val="00914F22"/>
    <w:rsid w:val="00914FE2"/>
    <w:rsid w:val="00915172"/>
    <w:rsid w:val="00915197"/>
    <w:rsid w:val="00915286"/>
    <w:rsid w:val="009157E7"/>
    <w:rsid w:val="00915A9C"/>
    <w:rsid w:val="00916099"/>
    <w:rsid w:val="0091617E"/>
    <w:rsid w:val="00916194"/>
    <w:rsid w:val="00916208"/>
    <w:rsid w:val="009165B1"/>
    <w:rsid w:val="0091676F"/>
    <w:rsid w:val="00916970"/>
    <w:rsid w:val="00916B43"/>
    <w:rsid w:val="00916B62"/>
    <w:rsid w:val="00916CD8"/>
    <w:rsid w:val="00916D33"/>
    <w:rsid w:val="009170EC"/>
    <w:rsid w:val="009172EA"/>
    <w:rsid w:val="00917990"/>
    <w:rsid w:val="009202C6"/>
    <w:rsid w:val="009202F8"/>
    <w:rsid w:val="00920390"/>
    <w:rsid w:val="00920BC7"/>
    <w:rsid w:val="00920BDF"/>
    <w:rsid w:val="00920C1D"/>
    <w:rsid w:val="00920D57"/>
    <w:rsid w:val="009212AA"/>
    <w:rsid w:val="0092152F"/>
    <w:rsid w:val="00921793"/>
    <w:rsid w:val="00921A0E"/>
    <w:rsid w:val="00921C96"/>
    <w:rsid w:val="0092245B"/>
    <w:rsid w:val="00922AA2"/>
    <w:rsid w:val="00922ADD"/>
    <w:rsid w:val="00922DBF"/>
    <w:rsid w:val="00923E94"/>
    <w:rsid w:val="00923F0F"/>
    <w:rsid w:val="00924013"/>
    <w:rsid w:val="0092466F"/>
    <w:rsid w:val="00924C12"/>
    <w:rsid w:val="00924CB1"/>
    <w:rsid w:val="00924F11"/>
    <w:rsid w:val="009250DB"/>
    <w:rsid w:val="0092527E"/>
    <w:rsid w:val="009253DC"/>
    <w:rsid w:val="009258DB"/>
    <w:rsid w:val="00925A2D"/>
    <w:rsid w:val="00925AEF"/>
    <w:rsid w:val="00925F02"/>
    <w:rsid w:val="009260C7"/>
    <w:rsid w:val="009260C9"/>
    <w:rsid w:val="00926212"/>
    <w:rsid w:val="009264F3"/>
    <w:rsid w:val="009265CA"/>
    <w:rsid w:val="00926687"/>
    <w:rsid w:val="00926949"/>
    <w:rsid w:val="00927346"/>
    <w:rsid w:val="009276AA"/>
    <w:rsid w:val="009277C3"/>
    <w:rsid w:val="009278B1"/>
    <w:rsid w:val="009278D7"/>
    <w:rsid w:val="00927F99"/>
    <w:rsid w:val="0093029A"/>
    <w:rsid w:val="0093098B"/>
    <w:rsid w:val="00930A89"/>
    <w:rsid w:val="00930E34"/>
    <w:rsid w:val="0093107B"/>
    <w:rsid w:val="00931118"/>
    <w:rsid w:val="00931503"/>
    <w:rsid w:val="009316F7"/>
    <w:rsid w:val="00931EAA"/>
    <w:rsid w:val="00931FD7"/>
    <w:rsid w:val="00931FEA"/>
    <w:rsid w:val="00932085"/>
    <w:rsid w:val="0093218E"/>
    <w:rsid w:val="009324AA"/>
    <w:rsid w:val="009326CC"/>
    <w:rsid w:val="0093290F"/>
    <w:rsid w:val="00932BF8"/>
    <w:rsid w:val="00932D91"/>
    <w:rsid w:val="00932E5D"/>
    <w:rsid w:val="00933040"/>
    <w:rsid w:val="00933066"/>
    <w:rsid w:val="0093322E"/>
    <w:rsid w:val="00933369"/>
    <w:rsid w:val="0093341F"/>
    <w:rsid w:val="00933544"/>
    <w:rsid w:val="00933774"/>
    <w:rsid w:val="00933AE2"/>
    <w:rsid w:val="00933E9D"/>
    <w:rsid w:val="00933EE0"/>
    <w:rsid w:val="00933EE8"/>
    <w:rsid w:val="009341E7"/>
    <w:rsid w:val="00934289"/>
    <w:rsid w:val="009342EB"/>
    <w:rsid w:val="00934551"/>
    <w:rsid w:val="00934579"/>
    <w:rsid w:val="0093459D"/>
    <w:rsid w:val="0093467C"/>
    <w:rsid w:val="00934A98"/>
    <w:rsid w:val="00934CBD"/>
    <w:rsid w:val="00934D69"/>
    <w:rsid w:val="00934DAC"/>
    <w:rsid w:val="00934EE1"/>
    <w:rsid w:val="0093507F"/>
    <w:rsid w:val="0093535D"/>
    <w:rsid w:val="00935468"/>
    <w:rsid w:val="00935909"/>
    <w:rsid w:val="00935AEC"/>
    <w:rsid w:val="00935B5C"/>
    <w:rsid w:val="00935C74"/>
    <w:rsid w:val="00935D48"/>
    <w:rsid w:val="00936109"/>
    <w:rsid w:val="00936863"/>
    <w:rsid w:val="00936A77"/>
    <w:rsid w:val="00936C50"/>
    <w:rsid w:val="00936DF5"/>
    <w:rsid w:val="0093797B"/>
    <w:rsid w:val="00937C52"/>
    <w:rsid w:val="009401EB"/>
    <w:rsid w:val="0094029E"/>
    <w:rsid w:val="0094057A"/>
    <w:rsid w:val="0094085E"/>
    <w:rsid w:val="00940B77"/>
    <w:rsid w:val="00940FA8"/>
    <w:rsid w:val="0094118C"/>
    <w:rsid w:val="009413F2"/>
    <w:rsid w:val="009414DE"/>
    <w:rsid w:val="0094183D"/>
    <w:rsid w:val="00941A4D"/>
    <w:rsid w:val="00941B45"/>
    <w:rsid w:val="00941D85"/>
    <w:rsid w:val="00942398"/>
    <w:rsid w:val="009424EE"/>
    <w:rsid w:val="00942AC5"/>
    <w:rsid w:val="00942C97"/>
    <w:rsid w:val="00942DFC"/>
    <w:rsid w:val="00943148"/>
    <w:rsid w:val="00943534"/>
    <w:rsid w:val="0094376D"/>
    <w:rsid w:val="00943B94"/>
    <w:rsid w:val="00943D13"/>
    <w:rsid w:val="00943EC7"/>
    <w:rsid w:val="009442DD"/>
    <w:rsid w:val="00944503"/>
    <w:rsid w:val="00944A8F"/>
    <w:rsid w:val="00944BB8"/>
    <w:rsid w:val="00944D19"/>
    <w:rsid w:val="00944F3A"/>
    <w:rsid w:val="00944F44"/>
    <w:rsid w:val="0094515C"/>
    <w:rsid w:val="00945725"/>
    <w:rsid w:val="00945DF2"/>
    <w:rsid w:val="00945FB7"/>
    <w:rsid w:val="00945FEA"/>
    <w:rsid w:val="009460F0"/>
    <w:rsid w:val="009463F7"/>
    <w:rsid w:val="0094659C"/>
    <w:rsid w:val="009465C6"/>
    <w:rsid w:val="009466AD"/>
    <w:rsid w:val="00946859"/>
    <w:rsid w:val="009468CD"/>
    <w:rsid w:val="0094692B"/>
    <w:rsid w:val="00946ACC"/>
    <w:rsid w:val="00946C88"/>
    <w:rsid w:val="00946D5A"/>
    <w:rsid w:val="00947117"/>
    <w:rsid w:val="00947363"/>
    <w:rsid w:val="0094742A"/>
    <w:rsid w:val="00947761"/>
    <w:rsid w:val="00947939"/>
    <w:rsid w:val="00947ABC"/>
    <w:rsid w:val="009508AD"/>
    <w:rsid w:val="00950935"/>
    <w:rsid w:val="009509FF"/>
    <w:rsid w:val="00950B94"/>
    <w:rsid w:val="00950BCE"/>
    <w:rsid w:val="009513AC"/>
    <w:rsid w:val="00951601"/>
    <w:rsid w:val="00951A91"/>
    <w:rsid w:val="00951FB1"/>
    <w:rsid w:val="009521CD"/>
    <w:rsid w:val="0095220E"/>
    <w:rsid w:val="009523AA"/>
    <w:rsid w:val="009523EF"/>
    <w:rsid w:val="009526D6"/>
    <w:rsid w:val="0095296D"/>
    <w:rsid w:val="00952A2E"/>
    <w:rsid w:val="00952B5E"/>
    <w:rsid w:val="00952BBB"/>
    <w:rsid w:val="00953458"/>
    <w:rsid w:val="00953577"/>
    <w:rsid w:val="00953706"/>
    <w:rsid w:val="009537DC"/>
    <w:rsid w:val="009538D3"/>
    <w:rsid w:val="0095404E"/>
    <w:rsid w:val="00954474"/>
    <w:rsid w:val="00954546"/>
    <w:rsid w:val="009545F1"/>
    <w:rsid w:val="00954BE0"/>
    <w:rsid w:val="00954E8F"/>
    <w:rsid w:val="00955496"/>
    <w:rsid w:val="0095589A"/>
    <w:rsid w:val="00955AC0"/>
    <w:rsid w:val="0095601C"/>
    <w:rsid w:val="00956300"/>
    <w:rsid w:val="009565B2"/>
    <w:rsid w:val="009566B1"/>
    <w:rsid w:val="00956E6B"/>
    <w:rsid w:val="009571D6"/>
    <w:rsid w:val="0095737F"/>
    <w:rsid w:val="00957618"/>
    <w:rsid w:val="009576AC"/>
    <w:rsid w:val="00957B35"/>
    <w:rsid w:val="00957FF7"/>
    <w:rsid w:val="009600D4"/>
    <w:rsid w:val="009602E8"/>
    <w:rsid w:val="009605A5"/>
    <w:rsid w:val="009605F9"/>
    <w:rsid w:val="009608FF"/>
    <w:rsid w:val="00960EFB"/>
    <w:rsid w:val="00961140"/>
    <w:rsid w:val="009611D3"/>
    <w:rsid w:val="00961480"/>
    <w:rsid w:val="009617EB"/>
    <w:rsid w:val="0096185C"/>
    <w:rsid w:val="00961BD7"/>
    <w:rsid w:val="00961C30"/>
    <w:rsid w:val="00961C50"/>
    <w:rsid w:val="00961C59"/>
    <w:rsid w:val="00961DAB"/>
    <w:rsid w:val="00962270"/>
    <w:rsid w:val="009624B9"/>
    <w:rsid w:val="00962724"/>
    <w:rsid w:val="0096297C"/>
    <w:rsid w:val="00962AF1"/>
    <w:rsid w:val="00962C77"/>
    <w:rsid w:val="00962DAC"/>
    <w:rsid w:val="0096335B"/>
    <w:rsid w:val="009635BA"/>
    <w:rsid w:val="009635E8"/>
    <w:rsid w:val="009636F0"/>
    <w:rsid w:val="00963CB6"/>
    <w:rsid w:val="009645FC"/>
    <w:rsid w:val="009646C1"/>
    <w:rsid w:val="00964CD1"/>
    <w:rsid w:val="00964FEE"/>
    <w:rsid w:val="00965135"/>
    <w:rsid w:val="009651FE"/>
    <w:rsid w:val="00965466"/>
    <w:rsid w:val="00965689"/>
    <w:rsid w:val="00965726"/>
    <w:rsid w:val="00965962"/>
    <w:rsid w:val="00965EC4"/>
    <w:rsid w:val="00965FF7"/>
    <w:rsid w:val="00966009"/>
    <w:rsid w:val="00966718"/>
    <w:rsid w:val="0096685E"/>
    <w:rsid w:val="00966A71"/>
    <w:rsid w:val="00966C58"/>
    <w:rsid w:val="00966E16"/>
    <w:rsid w:val="00967219"/>
    <w:rsid w:val="00967227"/>
    <w:rsid w:val="00967865"/>
    <w:rsid w:val="00967888"/>
    <w:rsid w:val="00967968"/>
    <w:rsid w:val="00967ACA"/>
    <w:rsid w:val="00967AD5"/>
    <w:rsid w:val="00967BDE"/>
    <w:rsid w:val="00967C97"/>
    <w:rsid w:val="00967F10"/>
    <w:rsid w:val="00970549"/>
    <w:rsid w:val="0097067F"/>
    <w:rsid w:val="0097088B"/>
    <w:rsid w:val="00970AC9"/>
    <w:rsid w:val="00970D90"/>
    <w:rsid w:val="009713E8"/>
    <w:rsid w:val="009714D6"/>
    <w:rsid w:val="009715B8"/>
    <w:rsid w:val="009717F0"/>
    <w:rsid w:val="009718D5"/>
    <w:rsid w:val="00971C8C"/>
    <w:rsid w:val="00971CF3"/>
    <w:rsid w:val="009723D2"/>
    <w:rsid w:val="00972578"/>
    <w:rsid w:val="00972583"/>
    <w:rsid w:val="00972596"/>
    <w:rsid w:val="00972819"/>
    <w:rsid w:val="00972881"/>
    <w:rsid w:val="00972C24"/>
    <w:rsid w:val="00972DAF"/>
    <w:rsid w:val="00973208"/>
    <w:rsid w:val="009732F9"/>
    <w:rsid w:val="00973386"/>
    <w:rsid w:val="00973446"/>
    <w:rsid w:val="009736EF"/>
    <w:rsid w:val="00973708"/>
    <w:rsid w:val="00973727"/>
    <w:rsid w:val="00973DB1"/>
    <w:rsid w:val="0097407D"/>
    <w:rsid w:val="00974796"/>
    <w:rsid w:val="009749C8"/>
    <w:rsid w:val="00974A3F"/>
    <w:rsid w:val="00974AA1"/>
    <w:rsid w:val="00974B77"/>
    <w:rsid w:val="00974E33"/>
    <w:rsid w:val="009753DE"/>
    <w:rsid w:val="00975618"/>
    <w:rsid w:val="00976152"/>
    <w:rsid w:val="009761CF"/>
    <w:rsid w:val="0097671F"/>
    <w:rsid w:val="0097704D"/>
    <w:rsid w:val="00977464"/>
    <w:rsid w:val="0097795F"/>
    <w:rsid w:val="00977A59"/>
    <w:rsid w:val="00977B41"/>
    <w:rsid w:val="0098032B"/>
    <w:rsid w:val="00980403"/>
    <w:rsid w:val="00980599"/>
    <w:rsid w:val="00980792"/>
    <w:rsid w:val="00980883"/>
    <w:rsid w:val="0098090C"/>
    <w:rsid w:val="00980B2F"/>
    <w:rsid w:val="00980F76"/>
    <w:rsid w:val="0098111E"/>
    <w:rsid w:val="00981165"/>
    <w:rsid w:val="009815A3"/>
    <w:rsid w:val="00981736"/>
    <w:rsid w:val="009817C1"/>
    <w:rsid w:val="0098195C"/>
    <w:rsid w:val="00981D76"/>
    <w:rsid w:val="00981F0A"/>
    <w:rsid w:val="00982024"/>
    <w:rsid w:val="00982077"/>
    <w:rsid w:val="009821B3"/>
    <w:rsid w:val="0098240B"/>
    <w:rsid w:val="00982591"/>
    <w:rsid w:val="009826D9"/>
    <w:rsid w:val="00982CBA"/>
    <w:rsid w:val="00982D81"/>
    <w:rsid w:val="0098303B"/>
    <w:rsid w:val="009830DC"/>
    <w:rsid w:val="0098319C"/>
    <w:rsid w:val="009831E4"/>
    <w:rsid w:val="00983309"/>
    <w:rsid w:val="0098348A"/>
    <w:rsid w:val="009839D5"/>
    <w:rsid w:val="00983AE8"/>
    <w:rsid w:val="00983BF5"/>
    <w:rsid w:val="00983DCF"/>
    <w:rsid w:val="00983E59"/>
    <w:rsid w:val="00983EB4"/>
    <w:rsid w:val="0098403F"/>
    <w:rsid w:val="009840C5"/>
    <w:rsid w:val="0098457C"/>
    <w:rsid w:val="0098469C"/>
    <w:rsid w:val="009846CE"/>
    <w:rsid w:val="0098473A"/>
    <w:rsid w:val="00985640"/>
    <w:rsid w:val="0098568B"/>
    <w:rsid w:val="009856B3"/>
    <w:rsid w:val="0098587D"/>
    <w:rsid w:val="0098593C"/>
    <w:rsid w:val="00985983"/>
    <w:rsid w:val="00985D0D"/>
    <w:rsid w:val="009863A1"/>
    <w:rsid w:val="00986879"/>
    <w:rsid w:val="00986AF0"/>
    <w:rsid w:val="00986D04"/>
    <w:rsid w:val="00986F07"/>
    <w:rsid w:val="00986F89"/>
    <w:rsid w:val="009878A5"/>
    <w:rsid w:val="00987928"/>
    <w:rsid w:val="00987C32"/>
    <w:rsid w:val="00987D8B"/>
    <w:rsid w:val="00987EF5"/>
    <w:rsid w:val="00987F87"/>
    <w:rsid w:val="00990252"/>
    <w:rsid w:val="00990358"/>
    <w:rsid w:val="0099050D"/>
    <w:rsid w:val="00990623"/>
    <w:rsid w:val="0099065A"/>
    <w:rsid w:val="009906BE"/>
    <w:rsid w:val="00990728"/>
    <w:rsid w:val="00990A2C"/>
    <w:rsid w:val="00990A5D"/>
    <w:rsid w:val="00990EA8"/>
    <w:rsid w:val="00990F24"/>
    <w:rsid w:val="00990F80"/>
    <w:rsid w:val="00991393"/>
    <w:rsid w:val="009913CC"/>
    <w:rsid w:val="0099167E"/>
    <w:rsid w:val="009916F3"/>
    <w:rsid w:val="0099184C"/>
    <w:rsid w:val="00991B75"/>
    <w:rsid w:val="00991E82"/>
    <w:rsid w:val="00992702"/>
    <w:rsid w:val="009929D1"/>
    <w:rsid w:val="00992B45"/>
    <w:rsid w:val="00992D55"/>
    <w:rsid w:val="00992EA2"/>
    <w:rsid w:val="009931FE"/>
    <w:rsid w:val="009932A0"/>
    <w:rsid w:val="0099354F"/>
    <w:rsid w:val="00993885"/>
    <w:rsid w:val="009941F0"/>
    <w:rsid w:val="0099471B"/>
    <w:rsid w:val="0099486A"/>
    <w:rsid w:val="009948F2"/>
    <w:rsid w:val="00994921"/>
    <w:rsid w:val="00994CBE"/>
    <w:rsid w:val="00994D05"/>
    <w:rsid w:val="00994E0A"/>
    <w:rsid w:val="00994EDD"/>
    <w:rsid w:val="00994F6E"/>
    <w:rsid w:val="009950D2"/>
    <w:rsid w:val="009953B8"/>
    <w:rsid w:val="00995435"/>
    <w:rsid w:val="00995502"/>
    <w:rsid w:val="0099551E"/>
    <w:rsid w:val="009955A7"/>
    <w:rsid w:val="00995DC8"/>
    <w:rsid w:val="00996249"/>
    <w:rsid w:val="009963CC"/>
    <w:rsid w:val="009965FE"/>
    <w:rsid w:val="00996E80"/>
    <w:rsid w:val="00996EA0"/>
    <w:rsid w:val="00996F24"/>
    <w:rsid w:val="009975D7"/>
    <w:rsid w:val="009975FF"/>
    <w:rsid w:val="009976BE"/>
    <w:rsid w:val="00997CE9"/>
    <w:rsid w:val="00997D61"/>
    <w:rsid w:val="00997EAC"/>
    <w:rsid w:val="009A010C"/>
    <w:rsid w:val="009A013E"/>
    <w:rsid w:val="009A018E"/>
    <w:rsid w:val="009A02B2"/>
    <w:rsid w:val="009A10D1"/>
    <w:rsid w:val="009A16A2"/>
    <w:rsid w:val="009A170E"/>
    <w:rsid w:val="009A173D"/>
    <w:rsid w:val="009A1844"/>
    <w:rsid w:val="009A1949"/>
    <w:rsid w:val="009A1993"/>
    <w:rsid w:val="009A19E2"/>
    <w:rsid w:val="009A1A2C"/>
    <w:rsid w:val="009A1B4E"/>
    <w:rsid w:val="009A1E9E"/>
    <w:rsid w:val="009A2870"/>
    <w:rsid w:val="009A28CB"/>
    <w:rsid w:val="009A28E0"/>
    <w:rsid w:val="009A2EE1"/>
    <w:rsid w:val="009A2FC8"/>
    <w:rsid w:val="009A325E"/>
    <w:rsid w:val="009A34EF"/>
    <w:rsid w:val="009A3515"/>
    <w:rsid w:val="009A365B"/>
    <w:rsid w:val="009A367C"/>
    <w:rsid w:val="009A3908"/>
    <w:rsid w:val="009A3AAD"/>
    <w:rsid w:val="009A4274"/>
    <w:rsid w:val="009A49EF"/>
    <w:rsid w:val="009A4B36"/>
    <w:rsid w:val="009A4C5D"/>
    <w:rsid w:val="009A52FE"/>
    <w:rsid w:val="009A5769"/>
    <w:rsid w:val="009A5BE5"/>
    <w:rsid w:val="009A5E74"/>
    <w:rsid w:val="009A6029"/>
    <w:rsid w:val="009A6431"/>
    <w:rsid w:val="009A702B"/>
    <w:rsid w:val="009A7047"/>
    <w:rsid w:val="009A7094"/>
    <w:rsid w:val="009A71A9"/>
    <w:rsid w:val="009A732C"/>
    <w:rsid w:val="009A7370"/>
    <w:rsid w:val="009A73A7"/>
    <w:rsid w:val="009A74C0"/>
    <w:rsid w:val="009A75F6"/>
    <w:rsid w:val="009A769A"/>
    <w:rsid w:val="009A7C7B"/>
    <w:rsid w:val="009A7D22"/>
    <w:rsid w:val="009A7DC0"/>
    <w:rsid w:val="009B0273"/>
    <w:rsid w:val="009B0498"/>
    <w:rsid w:val="009B06A9"/>
    <w:rsid w:val="009B0A9E"/>
    <w:rsid w:val="009B0BBC"/>
    <w:rsid w:val="009B0E8E"/>
    <w:rsid w:val="009B0ED4"/>
    <w:rsid w:val="009B0F7E"/>
    <w:rsid w:val="009B1216"/>
    <w:rsid w:val="009B1656"/>
    <w:rsid w:val="009B16E4"/>
    <w:rsid w:val="009B1A2F"/>
    <w:rsid w:val="009B1A5A"/>
    <w:rsid w:val="009B1AAB"/>
    <w:rsid w:val="009B1C6D"/>
    <w:rsid w:val="009B1F80"/>
    <w:rsid w:val="009B23F1"/>
    <w:rsid w:val="009B24A9"/>
    <w:rsid w:val="009B2F52"/>
    <w:rsid w:val="009B3015"/>
    <w:rsid w:val="009B3415"/>
    <w:rsid w:val="009B3ECB"/>
    <w:rsid w:val="009B3EEE"/>
    <w:rsid w:val="009B3EF5"/>
    <w:rsid w:val="009B409B"/>
    <w:rsid w:val="009B42DB"/>
    <w:rsid w:val="009B4322"/>
    <w:rsid w:val="009B4467"/>
    <w:rsid w:val="009B4732"/>
    <w:rsid w:val="009B4921"/>
    <w:rsid w:val="009B4B39"/>
    <w:rsid w:val="009B4C76"/>
    <w:rsid w:val="009B4D9E"/>
    <w:rsid w:val="009B4E66"/>
    <w:rsid w:val="009B515E"/>
    <w:rsid w:val="009B5267"/>
    <w:rsid w:val="009B53CF"/>
    <w:rsid w:val="009B5407"/>
    <w:rsid w:val="009B54BD"/>
    <w:rsid w:val="009B5522"/>
    <w:rsid w:val="009B556E"/>
    <w:rsid w:val="009B59CB"/>
    <w:rsid w:val="009B5B29"/>
    <w:rsid w:val="009B6287"/>
    <w:rsid w:val="009B65B1"/>
    <w:rsid w:val="009B6678"/>
    <w:rsid w:val="009B66F5"/>
    <w:rsid w:val="009B684D"/>
    <w:rsid w:val="009B6871"/>
    <w:rsid w:val="009B7136"/>
    <w:rsid w:val="009B7366"/>
    <w:rsid w:val="009B7396"/>
    <w:rsid w:val="009B745B"/>
    <w:rsid w:val="009B772B"/>
    <w:rsid w:val="009B7844"/>
    <w:rsid w:val="009B7B6A"/>
    <w:rsid w:val="009B7DD2"/>
    <w:rsid w:val="009B7E11"/>
    <w:rsid w:val="009C02E3"/>
    <w:rsid w:val="009C0395"/>
    <w:rsid w:val="009C0458"/>
    <w:rsid w:val="009C04F0"/>
    <w:rsid w:val="009C0798"/>
    <w:rsid w:val="009C07C3"/>
    <w:rsid w:val="009C0879"/>
    <w:rsid w:val="009C0982"/>
    <w:rsid w:val="009C0A4A"/>
    <w:rsid w:val="009C0CB9"/>
    <w:rsid w:val="009C0F29"/>
    <w:rsid w:val="009C11A8"/>
    <w:rsid w:val="009C1534"/>
    <w:rsid w:val="009C16B6"/>
    <w:rsid w:val="009C16ED"/>
    <w:rsid w:val="009C1AAB"/>
    <w:rsid w:val="009C1EBD"/>
    <w:rsid w:val="009C2069"/>
    <w:rsid w:val="009C23B8"/>
    <w:rsid w:val="009C24D6"/>
    <w:rsid w:val="009C2735"/>
    <w:rsid w:val="009C29AC"/>
    <w:rsid w:val="009C2CB6"/>
    <w:rsid w:val="009C2D8C"/>
    <w:rsid w:val="009C3348"/>
    <w:rsid w:val="009C3459"/>
    <w:rsid w:val="009C3536"/>
    <w:rsid w:val="009C3859"/>
    <w:rsid w:val="009C3861"/>
    <w:rsid w:val="009C3B15"/>
    <w:rsid w:val="009C3BC5"/>
    <w:rsid w:val="009C3E5F"/>
    <w:rsid w:val="009C3EBB"/>
    <w:rsid w:val="009C3FB6"/>
    <w:rsid w:val="009C42C4"/>
    <w:rsid w:val="009C4653"/>
    <w:rsid w:val="009C4ABE"/>
    <w:rsid w:val="009C4CC4"/>
    <w:rsid w:val="009C4E44"/>
    <w:rsid w:val="009C5048"/>
    <w:rsid w:val="009C5450"/>
    <w:rsid w:val="009C5510"/>
    <w:rsid w:val="009C58B1"/>
    <w:rsid w:val="009C590F"/>
    <w:rsid w:val="009C5970"/>
    <w:rsid w:val="009C5CB8"/>
    <w:rsid w:val="009C5DD2"/>
    <w:rsid w:val="009C62F1"/>
    <w:rsid w:val="009C664C"/>
    <w:rsid w:val="009C6AF4"/>
    <w:rsid w:val="009C6CF4"/>
    <w:rsid w:val="009C7068"/>
    <w:rsid w:val="009C76B9"/>
    <w:rsid w:val="009C7C3F"/>
    <w:rsid w:val="009C7F66"/>
    <w:rsid w:val="009C7F9A"/>
    <w:rsid w:val="009D00E2"/>
    <w:rsid w:val="009D0139"/>
    <w:rsid w:val="009D03D1"/>
    <w:rsid w:val="009D0430"/>
    <w:rsid w:val="009D07C0"/>
    <w:rsid w:val="009D0DFF"/>
    <w:rsid w:val="009D0EDC"/>
    <w:rsid w:val="009D111F"/>
    <w:rsid w:val="009D1339"/>
    <w:rsid w:val="009D1711"/>
    <w:rsid w:val="009D18EC"/>
    <w:rsid w:val="009D1A50"/>
    <w:rsid w:val="009D1A91"/>
    <w:rsid w:val="009D1C6C"/>
    <w:rsid w:val="009D1D7C"/>
    <w:rsid w:val="009D1E30"/>
    <w:rsid w:val="009D1FBE"/>
    <w:rsid w:val="009D21C8"/>
    <w:rsid w:val="009D2430"/>
    <w:rsid w:val="009D2524"/>
    <w:rsid w:val="009D269A"/>
    <w:rsid w:val="009D2885"/>
    <w:rsid w:val="009D2B3C"/>
    <w:rsid w:val="009D2DA6"/>
    <w:rsid w:val="009D3354"/>
    <w:rsid w:val="009D38E7"/>
    <w:rsid w:val="009D4116"/>
    <w:rsid w:val="009D437F"/>
    <w:rsid w:val="009D45A5"/>
    <w:rsid w:val="009D4C03"/>
    <w:rsid w:val="009D4EBA"/>
    <w:rsid w:val="009D51AC"/>
    <w:rsid w:val="009D5536"/>
    <w:rsid w:val="009D575F"/>
    <w:rsid w:val="009D59C9"/>
    <w:rsid w:val="009D5D32"/>
    <w:rsid w:val="009D6596"/>
    <w:rsid w:val="009D684B"/>
    <w:rsid w:val="009D68A3"/>
    <w:rsid w:val="009D68D5"/>
    <w:rsid w:val="009D6A0A"/>
    <w:rsid w:val="009D6B4C"/>
    <w:rsid w:val="009D6E45"/>
    <w:rsid w:val="009D6E6D"/>
    <w:rsid w:val="009D6FD3"/>
    <w:rsid w:val="009D7A8C"/>
    <w:rsid w:val="009D7DE0"/>
    <w:rsid w:val="009D7FBB"/>
    <w:rsid w:val="009E05F5"/>
    <w:rsid w:val="009E0633"/>
    <w:rsid w:val="009E0667"/>
    <w:rsid w:val="009E07F1"/>
    <w:rsid w:val="009E0AB1"/>
    <w:rsid w:val="009E0E4A"/>
    <w:rsid w:val="009E12D2"/>
    <w:rsid w:val="009E17F7"/>
    <w:rsid w:val="009E1E80"/>
    <w:rsid w:val="009E2175"/>
    <w:rsid w:val="009E2977"/>
    <w:rsid w:val="009E2D13"/>
    <w:rsid w:val="009E3A79"/>
    <w:rsid w:val="009E3B7B"/>
    <w:rsid w:val="009E3BEF"/>
    <w:rsid w:val="009E3D86"/>
    <w:rsid w:val="009E3E9B"/>
    <w:rsid w:val="009E4378"/>
    <w:rsid w:val="009E45AA"/>
    <w:rsid w:val="009E45CE"/>
    <w:rsid w:val="009E46B5"/>
    <w:rsid w:val="009E47E2"/>
    <w:rsid w:val="009E4922"/>
    <w:rsid w:val="009E494B"/>
    <w:rsid w:val="009E49EF"/>
    <w:rsid w:val="009E4C0B"/>
    <w:rsid w:val="009E50CF"/>
    <w:rsid w:val="009E51E3"/>
    <w:rsid w:val="009E5451"/>
    <w:rsid w:val="009E558E"/>
    <w:rsid w:val="009E5836"/>
    <w:rsid w:val="009E5E56"/>
    <w:rsid w:val="009E5F3E"/>
    <w:rsid w:val="009E6508"/>
    <w:rsid w:val="009E66C9"/>
    <w:rsid w:val="009E6AAA"/>
    <w:rsid w:val="009E6CAE"/>
    <w:rsid w:val="009E717B"/>
    <w:rsid w:val="009E7261"/>
    <w:rsid w:val="009E7826"/>
    <w:rsid w:val="009E7CE3"/>
    <w:rsid w:val="009E7D0C"/>
    <w:rsid w:val="009E7D87"/>
    <w:rsid w:val="009F029B"/>
    <w:rsid w:val="009F05A5"/>
    <w:rsid w:val="009F09F6"/>
    <w:rsid w:val="009F09FC"/>
    <w:rsid w:val="009F0C7E"/>
    <w:rsid w:val="009F0CD4"/>
    <w:rsid w:val="009F100E"/>
    <w:rsid w:val="009F1125"/>
    <w:rsid w:val="009F1131"/>
    <w:rsid w:val="009F1226"/>
    <w:rsid w:val="009F137B"/>
    <w:rsid w:val="009F18B0"/>
    <w:rsid w:val="009F21DD"/>
    <w:rsid w:val="009F227D"/>
    <w:rsid w:val="009F239D"/>
    <w:rsid w:val="009F258F"/>
    <w:rsid w:val="009F2610"/>
    <w:rsid w:val="009F27B6"/>
    <w:rsid w:val="009F27B8"/>
    <w:rsid w:val="009F29B3"/>
    <w:rsid w:val="009F2BF3"/>
    <w:rsid w:val="009F2E4D"/>
    <w:rsid w:val="009F2F2A"/>
    <w:rsid w:val="009F3038"/>
    <w:rsid w:val="009F31E1"/>
    <w:rsid w:val="009F3217"/>
    <w:rsid w:val="009F32AC"/>
    <w:rsid w:val="009F3662"/>
    <w:rsid w:val="009F380E"/>
    <w:rsid w:val="009F38B6"/>
    <w:rsid w:val="009F38DC"/>
    <w:rsid w:val="009F3AC2"/>
    <w:rsid w:val="009F3AD9"/>
    <w:rsid w:val="009F3B9A"/>
    <w:rsid w:val="009F3CDC"/>
    <w:rsid w:val="009F3E48"/>
    <w:rsid w:val="009F4341"/>
    <w:rsid w:val="009F4830"/>
    <w:rsid w:val="009F4DE7"/>
    <w:rsid w:val="009F4E7C"/>
    <w:rsid w:val="009F4EC4"/>
    <w:rsid w:val="009F4F70"/>
    <w:rsid w:val="009F5218"/>
    <w:rsid w:val="009F5293"/>
    <w:rsid w:val="009F55F2"/>
    <w:rsid w:val="009F61AC"/>
    <w:rsid w:val="009F6317"/>
    <w:rsid w:val="009F69FC"/>
    <w:rsid w:val="009F6E31"/>
    <w:rsid w:val="009F7278"/>
    <w:rsid w:val="009F789F"/>
    <w:rsid w:val="009F7914"/>
    <w:rsid w:val="009F7BDF"/>
    <w:rsid w:val="009F7DD2"/>
    <w:rsid w:val="009F7F4E"/>
    <w:rsid w:val="00A003C9"/>
    <w:rsid w:val="00A00C15"/>
    <w:rsid w:val="00A00CE8"/>
    <w:rsid w:val="00A01863"/>
    <w:rsid w:val="00A01A99"/>
    <w:rsid w:val="00A01EB8"/>
    <w:rsid w:val="00A01F34"/>
    <w:rsid w:val="00A021CF"/>
    <w:rsid w:val="00A0256A"/>
    <w:rsid w:val="00A0256F"/>
    <w:rsid w:val="00A02855"/>
    <w:rsid w:val="00A02B76"/>
    <w:rsid w:val="00A02B82"/>
    <w:rsid w:val="00A02DC2"/>
    <w:rsid w:val="00A02E6F"/>
    <w:rsid w:val="00A02E87"/>
    <w:rsid w:val="00A030BA"/>
    <w:rsid w:val="00A03299"/>
    <w:rsid w:val="00A032C8"/>
    <w:rsid w:val="00A03353"/>
    <w:rsid w:val="00A0344F"/>
    <w:rsid w:val="00A035FC"/>
    <w:rsid w:val="00A03C08"/>
    <w:rsid w:val="00A042AE"/>
    <w:rsid w:val="00A04786"/>
    <w:rsid w:val="00A047CF"/>
    <w:rsid w:val="00A050E5"/>
    <w:rsid w:val="00A055E2"/>
    <w:rsid w:val="00A0569F"/>
    <w:rsid w:val="00A05A44"/>
    <w:rsid w:val="00A05A93"/>
    <w:rsid w:val="00A05BD4"/>
    <w:rsid w:val="00A05EFA"/>
    <w:rsid w:val="00A06303"/>
    <w:rsid w:val="00A06380"/>
    <w:rsid w:val="00A0658A"/>
    <w:rsid w:val="00A06746"/>
    <w:rsid w:val="00A06930"/>
    <w:rsid w:val="00A0730A"/>
    <w:rsid w:val="00A0764F"/>
    <w:rsid w:val="00A07B15"/>
    <w:rsid w:val="00A07BE6"/>
    <w:rsid w:val="00A07FE9"/>
    <w:rsid w:val="00A10066"/>
    <w:rsid w:val="00A10081"/>
    <w:rsid w:val="00A10139"/>
    <w:rsid w:val="00A105DC"/>
    <w:rsid w:val="00A1061F"/>
    <w:rsid w:val="00A10C92"/>
    <w:rsid w:val="00A1121C"/>
    <w:rsid w:val="00A11566"/>
    <w:rsid w:val="00A11984"/>
    <w:rsid w:val="00A11BB8"/>
    <w:rsid w:val="00A12162"/>
    <w:rsid w:val="00A12191"/>
    <w:rsid w:val="00A1235C"/>
    <w:rsid w:val="00A124A7"/>
    <w:rsid w:val="00A1290F"/>
    <w:rsid w:val="00A129D8"/>
    <w:rsid w:val="00A12B2F"/>
    <w:rsid w:val="00A12D32"/>
    <w:rsid w:val="00A12D83"/>
    <w:rsid w:val="00A12DB3"/>
    <w:rsid w:val="00A12DD3"/>
    <w:rsid w:val="00A13039"/>
    <w:rsid w:val="00A13102"/>
    <w:rsid w:val="00A1336C"/>
    <w:rsid w:val="00A13396"/>
    <w:rsid w:val="00A133CB"/>
    <w:rsid w:val="00A142CC"/>
    <w:rsid w:val="00A14725"/>
    <w:rsid w:val="00A14B74"/>
    <w:rsid w:val="00A14D9C"/>
    <w:rsid w:val="00A153B3"/>
    <w:rsid w:val="00A15439"/>
    <w:rsid w:val="00A154BF"/>
    <w:rsid w:val="00A156FE"/>
    <w:rsid w:val="00A15829"/>
    <w:rsid w:val="00A16031"/>
    <w:rsid w:val="00A164E5"/>
    <w:rsid w:val="00A16522"/>
    <w:rsid w:val="00A167A6"/>
    <w:rsid w:val="00A16BDD"/>
    <w:rsid w:val="00A1708E"/>
    <w:rsid w:val="00A17176"/>
    <w:rsid w:val="00A1781E"/>
    <w:rsid w:val="00A17ABF"/>
    <w:rsid w:val="00A17C32"/>
    <w:rsid w:val="00A17EDD"/>
    <w:rsid w:val="00A17F5C"/>
    <w:rsid w:val="00A17FD4"/>
    <w:rsid w:val="00A2009B"/>
    <w:rsid w:val="00A20E54"/>
    <w:rsid w:val="00A2105C"/>
    <w:rsid w:val="00A21421"/>
    <w:rsid w:val="00A214DC"/>
    <w:rsid w:val="00A215F4"/>
    <w:rsid w:val="00A217A7"/>
    <w:rsid w:val="00A21C4E"/>
    <w:rsid w:val="00A22050"/>
    <w:rsid w:val="00A2221F"/>
    <w:rsid w:val="00A22474"/>
    <w:rsid w:val="00A22895"/>
    <w:rsid w:val="00A22A6E"/>
    <w:rsid w:val="00A22B24"/>
    <w:rsid w:val="00A22B46"/>
    <w:rsid w:val="00A22BBC"/>
    <w:rsid w:val="00A22EF6"/>
    <w:rsid w:val="00A23049"/>
    <w:rsid w:val="00A2336C"/>
    <w:rsid w:val="00A233C0"/>
    <w:rsid w:val="00A237FE"/>
    <w:rsid w:val="00A238DB"/>
    <w:rsid w:val="00A23A7B"/>
    <w:rsid w:val="00A23F75"/>
    <w:rsid w:val="00A240B2"/>
    <w:rsid w:val="00A245FF"/>
    <w:rsid w:val="00A24C30"/>
    <w:rsid w:val="00A24EB4"/>
    <w:rsid w:val="00A252BA"/>
    <w:rsid w:val="00A25618"/>
    <w:rsid w:val="00A257DF"/>
    <w:rsid w:val="00A2585E"/>
    <w:rsid w:val="00A25AA8"/>
    <w:rsid w:val="00A25ACC"/>
    <w:rsid w:val="00A25D65"/>
    <w:rsid w:val="00A25F33"/>
    <w:rsid w:val="00A2600F"/>
    <w:rsid w:val="00A2682E"/>
    <w:rsid w:val="00A26C82"/>
    <w:rsid w:val="00A270B9"/>
    <w:rsid w:val="00A274C0"/>
    <w:rsid w:val="00A2767E"/>
    <w:rsid w:val="00A27698"/>
    <w:rsid w:val="00A27B71"/>
    <w:rsid w:val="00A27FD5"/>
    <w:rsid w:val="00A301E5"/>
    <w:rsid w:val="00A3060A"/>
    <w:rsid w:val="00A30C8E"/>
    <w:rsid w:val="00A30DB3"/>
    <w:rsid w:val="00A31212"/>
    <w:rsid w:val="00A31690"/>
    <w:rsid w:val="00A31749"/>
    <w:rsid w:val="00A318BA"/>
    <w:rsid w:val="00A31B3C"/>
    <w:rsid w:val="00A31CC0"/>
    <w:rsid w:val="00A3205C"/>
    <w:rsid w:val="00A3260B"/>
    <w:rsid w:val="00A32EDC"/>
    <w:rsid w:val="00A3357B"/>
    <w:rsid w:val="00A335D7"/>
    <w:rsid w:val="00A337BF"/>
    <w:rsid w:val="00A33B8D"/>
    <w:rsid w:val="00A33D52"/>
    <w:rsid w:val="00A343E4"/>
    <w:rsid w:val="00A3451A"/>
    <w:rsid w:val="00A34DB8"/>
    <w:rsid w:val="00A34F38"/>
    <w:rsid w:val="00A34F60"/>
    <w:rsid w:val="00A34F9D"/>
    <w:rsid w:val="00A35282"/>
    <w:rsid w:val="00A35786"/>
    <w:rsid w:val="00A3582D"/>
    <w:rsid w:val="00A35960"/>
    <w:rsid w:val="00A35BF0"/>
    <w:rsid w:val="00A35C30"/>
    <w:rsid w:val="00A36210"/>
    <w:rsid w:val="00A367EE"/>
    <w:rsid w:val="00A3683F"/>
    <w:rsid w:val="00A36E4E"/>
    <w:rsid w:val="00A3702C"/>
    <w:rsid w:val="00A37315"/>
    <w:rsid w:val="00A37870"/>
    <w:rsid w:val="00A378D9"/>
    <w:rsid w:val="00A37DC5"/>
    <w:rsid w:val="00A401F6"/>
    <w:rsid w:val="00A40218"/>
    <w:rsid w:val="00A4023A"/>
    <w:rsid w:val="00A403D7"/>
    <w:rsid w:val="00A4085E"/>
    <w:rsid w:val="00A40A5B"/>
    <w:rsid w:val="00A40B1E"/>
    <w:rsid w:val="00A40B35"/>
    <w:rsid w:val="00A410F3"/>
    <w:rsid w:val="00A4130C"/>
    <w:rsid w:val="00A41462"/>
    <w:rsid w:val="00A415E3"/>
    <w:rsid w:val="00A416E2"/>
    <w:rsid w:val="00A41B4D"/>
    <w:rsid w:val="00A41CED"/>
    <w:rsid w:val="00A42267"/>
    <w:rsid w:val="00A423B1"/>
    <w:rsid w:val="00A42DC5"/>
    <w:rsid w:val="00A431BD"/>
    <w:rsid w:val="00A43262"/>
    <w:rsid w:val="00A437BE"/>
    <w:rsid w:val="00A43AF4"/>
    <w:rsid w:val="00A43D1C"/>
    <w:rsid w:val="00A43DCC"/>
    <w:rsid w:val="00A44003"/>
    <w:rsid w:val="00A4411A"/>
    <w:rsid w:val="00A441D4"/>
    <w:rsid w:val="00A4465D"/>
    <w:rsid w:val="00A45098"/>
    <w:rsid w:val="00A456A3"/>
    <w:rsid w:val="00A45732"/>
    <w:rsid w:val="00A45BC2"/>
    <w:rsid w:val="00A4611B"/>
    <w:rsid w:val="00A46133"/>
    <w:rsid w:val="00A462D5"/>
    <w:rsid w:val="00A46488"/>
    <w:rsid w:val="00A467A2"/>
    <w:rsid w:val="00A468AF"/>
    <w:rsid w:val="00A46976"/>
    <w:rsid w:val="00A46A65"/>
    <w:rsid w:val="00A46C11"/>
    <w:rsid w:val="00A47281"/>
    <w:rsid w:val="00A47904"/>
    <w:rsid w:val="00A47DC6"/>
    <w:rsid w:val="00A47EE9"/>
    <w:rsid w:val="00A503D5"/>
    <w:rsid w:val="00A50444"/>
    <w:rsid w:val="00A50932"/>
    <w:rsid w:val="00A50B1A"/>
    <w:rsid w:val="00A50C06"/>
    <w:rsid w:val="00A50D2B"/>
    <w:rsid w:val="00A516EA"/>
    <w:rsid w:val="00A5183F"/>
    <w:rsid w:val="00A51879"/>
    <w:rsid w:val="00A51CA9"/>
    <w:rsid w:val="00A51DB8"/>
    <w:rsid w:val="00A5208D"/>
    <w:rsid w:val="00A520C1"/>
    <w:rsid w:val="00A522FF"/>
    <w:rsid w:val="00A53121"/>
    <w:rsid w:val="00A53396"/>
    <w:rsid w:val="00A53465"/>
    <w:rsid w:val="00A53D02"/>
    <w:rsid w:val="00A53F80"/>
    <w:rsid w:val="00A5402A"/>
    <w:rsid w:val="00A540E9"/>
    <w:rsid w:val="00A542CC"/>
    <w:rsid w:val="00A54313"/>
    <w:rsid w:val="00A5453B"/>
    <w:rsid w:val="00A54842"/>
    <w:rsid w:val="00A54ACE"/>
    <w:rsid w:val="00A54BD0"/>
    <w:rsid w:val="00A54CF9"/>
    <w:rsid w:val="00A54D12"/>
    <w:rsid w:val="00A54F18"/>
    <w:rsid w:val="00A5503A"/>
    <w:rsid w:val="00A551F1"/>
    <w:rsid w:val="00A5600D"/>
    <w:rsid w:val="00A561D2"/>
    <w:rsid w:val="00A56257"/>
    <w:rsid w:val="00A56497"/>
    <w:rsid w:val="00A56A06"/>
    <w:rsid w:val="00A56D4D"/>
    <w:rsid w:val="00A572E8"/>
    <w:rsid w:val="00A573E3"/>
    <w:rsid w:val="00A601B9"/>
    <w:rsid w:val="00A60255"/>
    <w:rsid w:val="00A60391"/>
    <w:rsid w:val="00A603F0"/>
    <w:rsid w:val="00A6092C"/>
    <w:rsid w:val="00A60A22"/>
    <w:rsid w:val="00A60EE8"/>
    <w:rsid w:val="00A610B2"/>
    <w:rsid w:val="00A610B6"/>
    <w:rsid w:val="00A614CA"/>
    <w:rsid w:val="00A61688"/>
    <w:rsid w:val="00A61795"/>
    <w:rsid w:val="00A61995"/>
    <w:rsid w:val="00A61BE8"/>
    <w:rsid w:val="00A61DA6"/>
    <w:rsid w:val="00A620C6"/>
    <w:rsid w:val="00A62659"/>
    <w:rsid w:val="00A62AB5"/>
    <w:rsid w:val="00A62C0D"/>
    <w:rsid w:val="00A631E8"/>
    <w:rsid w:val="00A637CA"/>
    <w:rsid w:val="00A638ED"/>
    <w:rsid w:val="00A638FB"/>
    <w:rsid w:val="00A639C2"/>
    <w:rsid w:val="00A63A48"/>
    <w:rsid w:val="00A63C74"/>
    <w:rsid w:val="00A63C84"/>
    <w:rsid w:val="00A641B1"/>
    <w:rsid w:val="00A642D3"/>
    <w:rsid w:val="00A64A02"/>
    <w:rsid w:val="00A650A9"/>
    <w:rsid w:val="00A650CD"/>
    <w:rsid w:val="00A651F5"/>
    <w:rsid w:val="00A65908"/>
    <w:rsid w:val="00A66203"/>
    <w:rsid w:val="00A665CC"/>
    <w:rsid w:val="00A66687"/>
    <w:rsid w:val="00A666B4"/>
    <w:rsid w:val="00A66A59"/>
    <w:rsid w:val="00A674AD"/>
    <w:rsid w:val="00A704E3"/>
    <w:rsid w:val="00A70881"/>
    <w:rsid w:val="00A70AD1"/>
    <w:rsid w:val="00A7105A"/>
    <w:rsid w:val="00A71092"/>
    <w:rsid w:val="00A71199"/>
    <w:rsid w:val="00A71260"/>
    <w:rsid w:val="00A716C6"/>
    <w:rsid w:val="00A71878"/>
    <w:rsid w:val="00A719AB"/>
    <w:rsid w:val="00A71C50"/>
    <w:rsid w:val="00A71DD9"/>
    <w:rsid w:val="00A72CBB"/>
    <w:rsid w:val="00A7302A"/>
    <w:rsid w:val="00A730DC"/>
    <w:rsid w:val="00A73141"/>
    <w:rsid w:val="00A73285"/>
    <w:rsid w:val="00A73595"/>
    <w:rsid w:val="00A7363E"/>
    <w:rsid w:val="00A73695"/>
    <w:rsid w:val="00A73717"/>
    <w:rsid w:val="00A7372E"/>
    <w:rsid w:val="00A73922"/>
    <w:rsid w:val="00A73CC4"/>
    <w:rsid w:val="00A73CDE"/>
    <w:rsid w:val="00A73FE2"/>
    <w:rsid w:val="00A74159"/>
    <w:rsid w:val="00A741F9"/>
    <w:rsid w:val="00A7453D"/>
    <w:rsid w:val="00A74644"/>
    <w:rsid w:val="00A747E5"/>
    <w:rsid w:val="00A74884"/>
    <w:rsid w:val="00A74B1C"/>
    <w:rsid w:val="00A74DB6"/>
    <w:rsid w:val="00A74E6D"/>
    <w:rsid w:val="00A7594C"/>
    <w:rsid w:val="00A75AD8"/>
    <w:rsid w:val="00A7667C"/>
    <w:rsid w:val="00A76840"/>
    <w:rsid w:val="00A76F99"/>
    <w:rsid w:val="00A77194"/>
    <w:rsid w:val="00A773B1"/>
    <w:rsid w:val="00A774E4"/>
    <w:rsid w:val="00A775D5"/>
    <w:rsid w:val="00A779D2"/>
    <w:rsid w:val="00A77B9D"/>
    <w:rsid w:val="00A800CA"/>
    <w:rsid w:val="00A800ED"/>
    <w:rsid w:val="00A8065A"/>
    <w:rsid w:val="00A806F1"/>
    <w:rsid w:val="00A8075D"/>
    <w:rsid w:val="00A80A9E"/>
    <w:rsid w:val="00A80AF6"/>
    <w:rsid w:val="00A80C08"/>
    <w:rsid w:val="00A812AC"/>
    <w:rsid w:val="00A8156D"/>
    <w:rsid w:val="00A8157A"/>
    <w:rsid w:val="00A81AB6"/>
    <w:rsid w:val="00A81CC1"/>
    <w:rsid w:val="00A82101"/>
    <w:rsid w:val="00A82325"/>
    <w:rsid w:val="00A82967"/>
    <w:rsid w:val="00A82AF7"/>
    <w:rsid w:val="00A82B3A"/>
    <w:rsid w:val="00A82C73"/>
    <w:rsid w:val="00A82E89"/>
    <w:rsid w:val="00A8361E"/>
    <w:rsid w:val="00A83964"/>
    <w:rsid w:val="00A83999"/>
    <w:rsid w:val="00A83D05"/>
    <w:rsid w:val="00A83E62"/>
    <w:rsid w:val="00A83F72"/>
    <w:rsid w:val="00A84573"/>
    <w:rsid w:val="00A84EE1"/>
    <w:rsid w:val="00A84F20"/>
    <w:rsid w:val="00A84FC1"/>
    <w:rsid w:val="00A854D1"/>
    <w:rsid w:val="00A854EA"/>
    <w:rsid w:val="00A855B8"/>
    <w:rsid w:val="00A8585A"/>
    <w:rsid w:val="00A85E8E"/>
    <w:rsid w:val="00A860DD"/>
    <w:rsid w:val="00A8645D"/>
    <w:rsid w:val="00A864D6"/>
    <w:rsid w:val="00A86816"/>
    <w:rsid w:val="00A86A81"/>
    <w:rsid w:val="00A86D43"/>
    <w:rsid w:val="00A86EE9"/>
    <w:rsid w:val="00A87193"/>
    <w:rsid w:val="00A87298"/>
    <w:rsid w:val="00A87374"/>
    <w:rsid w:val="00A8741E"/>
    <w:rsid w:val="00A8742F"/>
    <w:rsid w:val="00A87860"/>
    <w:rsid w:val="00A87A29"/>
    <w:rsid w:val="00A87F26"/>
    <w:rsid w:val="00A903E4"/>
    <w:rsid w:val="00A90947"/>
    <w:rsid w:val="00A909B8"/>
    <w:rsid w:val="00A90C46"/>
    <w:rsid w:val="00A90DD8"/>
    <w:rsid w:val="00A91407"/>
    <w:rsid w:val="00A9194C"/>
    <w:rsid w:val="00A919FB"/>
    <w:rsid w:val="00A91F0B"/>
    <w:rsid w:val="00A924A5"/>
    <w:rsid w:val="00A928E0"/>
    <w:rsid w:val="00A92B59"/>
    <w:rsid w:val="00A92C72"/>
    <w:rsid w:val="00A92C81"/>
    <w:rsid w:val="00A92D8C"/>
    <w:rsid w:val="00A92F3D"/>
    <w:rsid w:val="00A92FCD"/>
    <w:rsid w:val="00A930CA"/>
    <w:rsid w:val="00A9329F"/>
    <w:rsid w:val="00A93386"/>
    <w:rsid w:val="00A936AE"/>
    <w:rsid w:val="00A93924"/>
    <w:rsid w:val="00A93A80"/>
    <w:rsid w:val="00A93B3A"/>
    <w:rsid w:val="00A93B52"/>
    <w:rsid w:val="00A93CB3"/>
    <w:rsid w:val="00A94010"/>
    <w:rsid w:val="00A94095"/>
    <w:rsid w:val="00A9418D"/>
    <w:rsid w:val="00A94324"/>
    <w:rsid w:val="00A94373"/>
    <w:rsid w:val="00A946C1"/>
    <w:rsid w:val="00A9486A"/>
    <w:rsid w:val="00A94936"/>
    <w:rsid w:val="00A94C95"/>
    <w:rsid w:val="00A94DC2"/>
    <w:rsid w:val="00A94DCC"/>
    <w:rsid w:val="00A94E76"/>
    <w:rsid w:val="00A954CA"/>
    <w:rsid w:val="00A9589C"/>
    <w:rsid w:val="00A958CC"/>
    <w:rsid w:val="00A958FE"/>
    <w:rsid w:val="00A95AB8"/>
    <w:rsid w:val="00A95BB9"/>
    <w:rsid w:val="00A95C4C"/>
    <w:rsid w:val="00A9609B"/>
    <w:rsid w:val="00A96314"/>
    <w:rsid w:val="00A9637F"/>
    <w:rsid w:val="00A9689F"/>
    <w:rsid w:val="00A969D1"/>
    <w:rsid w:val="00A96DEB"/>
    <w:rsid w:val="00A96E1D"/>
    <w:rsid w:val="00A97145"/>
    <w:rsid w:val="00A97214"/>
    <w:rsid w:val="00A974A0"/>
    <w:rsid w:val="00A97D7D"/>
    <w:rsid w:val="00A97ED0"/>
    <w:rsid w:val="00A97F1E"/>
    <w:rsid w:val="00AA00D2"/>
    <w:rsid w:val="00AA0D39"/>
    <w:rsid w:val="00AA0ECF"/>
    <w:rsid w:val="00AA0F86"/>
    <w:rsid w:val="00AA1083"/>
    <w:rsid w:val="00AA15ED"/>
    <w:rsid w:val="00AA17DA"/>
    <w:rsid w:val="00AA1AAA"/>
    <w:rsid w:val="00AA1AB7"/>
    <w:rsid w:val="00AA1AFD"/>
    <w:rsid w:val="00AA1CB6"/>
    <w:rsid w:val="00AA24C5"/>
    <w:rsid w:val="00AA2BAD"/>
    <w:rsid w:val="00AA302B"/>
    <w:rsid w:val="00AA3072"/>
    <w:rsid w:val="00AA321F"/>
    <w:rsid w:val="00AA34A5"/>
    <w:rsid w:val="00AA3504"/>
    <w:rsid w:val="00AA350A"/>
    <w:rsid w:val="00AA354C"/>
    <w:rsid w:val="00AA36FC"/>
    <w:rsid w:val="00AA3D88"/>
    <w:rsid w:val="00AA40DF"/>
    <w:rsid w:val="00AA4319"/>
    <w:rsid w:val="00AA4B1D"/>
    <w:rsid w:val="00AA4B26"/>
    <w:rsid w:val="00AA4F6E"/>
    <w:rsid w:val="00AA52C7"/>
    <w:rsid w:val="00AA53D3"/>
    <w:rsid w:val="00AA552B"/>
    <w:rsid w:val="00AA55E0"/>
    <w:rsid w:val="00AA586A"/>
    <w:rsid w:val="00AA5933"/>
    <w:rsid w:val="00AA5B91"/>
    <w:rsid w:val="00AA5BDE"/>
    <w:rsid w:val="00AA6048"/>
    <w:rsid w:val="00AA6397"/>
    <w:rsid w:val="00AA6430"/>
    <w:rsid w:val="00AA6899"/>
    <w:rsid w:val="00AA6A23"/>
    <w:rsid w:val="00AA71B2"/>
    <w:rsid w:val="00AA74C4"/>
    <w:rsid w:val="00AA787D"/>
    <w:rsid w:val="00AA7ADA"/>
    <w:rsid w:val="00AA7CE2"/>
    <w:rsid w:val="00AA7E92"/>
    <w:rsid w:val="00AB00C2"/>
    <w:rsid w:val="00AB016E"/>
    <w:rsid w:val="00AB01A4"/>
    <w:rsid w:val="00AB0806"/>
    <w:rsid w:val="00AB083F"/>
    <w:rsid w:val="00AB0A6A"/>
    <w:rsid w:val="00AB0A75"/>
    <w:rsid w:val="00AB0B90"/>
    <w:rsid w:val="00AB0F8C"/>
    <w:rsid w:val="00AB12F0"/>
    <w:rsid w:val="00AB1458"/>
    <w:rsid w:val="00AB1574"/>
    <w:rsid w:val="00AB1754"/>
    <w:rsid w:val="00AB1AF7"/>
    <w:rsid w:val="00AB1BB6"/>
    <w:rsid w:val="00AB1EFF"/>
    <w:rsid w:val="00AB23D2"/>
    <w:rsid w:val="00AB250A"/>
    <w:rsid w:val="00AB25A4"/>
    <w:rsid w:val="00AB2949"/>
    <w:rsid w:val="00AB2A0C"/>
    <w:rsid w:val="00AB2AE5"/>
    <w:rsid w:val="00AB2B21"/>
    <w:rsid w:val="00AB2B75"/>
    <w:rsid w:val="00AB2D43"/>
    <w:rsid w:val="00AB33BA"/>
    <w:rsid w:val="00AB3567"/>
    <w:rsid w:val="00AB3573"/>
    <w:rsid w:val="00AB3A0C"/>
    <w:rsid w:val="00AB3A6F"/>
    <w:rsid w:val="00AB44EE"/>
    <w:rsid w:val="00AB4657"/>
    <w:rsid w:val="00AB475F"/>
    <w:rsid w:val="00AB49C6"/>
    <w:rsid w:val="00AB4B47"/>
    <w:rsid w:val="00AB4CB9"/>
    <w:rsid w:val="00AB4CBF"/>
    <w:rsid w:val="00AB4CF7"/>
    <w:rsid w:val="00AB4DA2"/>
    <w:rsid w:val="00AB513E"/>
    <w:rsid w:val="00AB547E"/>
    <w:rsid w:val="00AB55FC"/>
    <w:rsid w:val="00AB5794"/>
    <w:rsid w:val="00AB57F0"/>
    <w:rsid w:val="00AB6288"/>
    <w:rsid w:val="00AB6A6C"/>
    <w:rsid w:val="00AB6BD8"/>
    <w:rsid w:val="00AB6D32"/>
    <w:rsid w:val="00AB706F"/>
    <w:rsid w:val="00AB71B7"/>
    <w:rsid w:val="00AB74AC"/>
    <w:rsid w:val="00AB75A1"/>
    <w:rsid w:val="00AB7A65"/>
    <w:rsid w:val="00AC06F5"/>
    <w:rsid w:val="00AC0871"/>
    <w:rsid w:val="00AC0A1C"/>
    <w:rsid w:val="00AC0B17"/>
    <w:rsid w:val="00AC0B59"/>
    <w:rsid w:val="00AC1249"/>
    <w:rsid w:val="00AC1338"/>
    <w:rsid w:val="00AC155B"/>
    <w:rsid w:val="00AC1650"/>
    <w:rsid w:val="00AC1837"/>
    <w:rsid w:val="00AC1864"/>
    <w:rsid w:val="00AC197D"/>
    <w:rsid w:val="00AC1E1D"/>
    <w:rsid w:val="00AC1FF2"/>
    <w:rsid w:val="00AC2851"/>
    <w:rsid w:val="00AC2957"/>
    <w:rsid w:val="00AC2DE6"/>
    <w:rsid w:val="00AC2FBD"/>
    <w:rsid w:val="00AC309A"/>
    <w:rsid w:val="00AC3325"/>
    <w:rsid w:val="00AC3510"/>
    <w:rsid w:val="00AC3A84"/>
    <w:rsid w:val="00AC3FBC"/>
    <w:rsid w:val="00AC40B4"/>
    <w:rsid w:val="00AC40FA"/>
    <w:rsid w:val="00AC4523"/>
    <w:rsid w:val="00AC4729"/>
    <w:rsid w:val="00AC4795"/>
    <w:rsid w:val="00AC49D9"/>
    <w:rsid w:val="00AC4A89"/>
    <w:rsid w:val="00AC4ADA"/>
    <w:rsid w:val="00AC4D1E"/>
    <w:rsid w:val="00AC4DC8"/>
    <w:rsid w:val="00AC5478"/>
    <w:rsid w:val="00AC55AB"/>
    <w:rsid w:val="00AC57A6"/>
    <w:rsid w:val="00AC5A39"/>
    <w:rsid w:val="00AC5C2C"/>
    <w:rsid w:val="00AC5DAD"/>
    <w:rsid w:val="00AC62B5"/>
    <w:rsid w:val="00AC64DC"/>
    <w:rsid w:val="00AC6A28"/>
    <w:rsid w:val="00AC6C5C"/>
    <w:rsid w:val="00AC7187"/>
    <w:rsid w:val="00AC7F72"/>
    <w:rsid w:val="00AD03FD"/>
    <w:rsid w:val="00AD0684"/>
    <w:rsid w:val="00AD07F9"/>
    <w:rsid w:val="00AD101C"/>
    <w:rsid w:val="00AD1174"/>
    <w:rsid w:val="00AD1722"/>
    <w:rsid w:val="00AD1A2D"/>
    <w:rsid w:val="00AD1AEB"/>
    <w:rsid w:val="00AD1AFC"/>
    <w:rsid w:val="00AD1CEC"/>
    <w:rsid w:val="00AD1EE0"/>
    <w:rsid w:val="00AD1F58"/>
    <w:rsid w:val="00AD1FDE"/>
    <w:rsid w:val="00AD22C1"/>
    <w:rsid w:val="00AD24DF"/>
    <w:rsid w:val="00AD26C8"/>
    <w:rsid w:val="00AD2B73"/>
    <w:rsid w:val="00AD2F3E"/>
    <w:rsid w:val="00AD3B42"/>
    <w:rsid w:val="00AD445C"/>
    <w:rsid w:val="00AD4708"/>
    <w:rsid w:val="00AD4730"/>
    <w:rsid w:val="00AD4A36"/>
    <w:rsid w:val="00AD4C83"/>
    <w:rsid w:val="00AD5073"/>
    <w:rsid w:val="00AD55DC"/>
    <w:rsid w:val="00AD5748"/>
    <w:rsid w:val="00AD5968"/>
    <w:rsid w:val="00AD5FF8"/>
    <w:rsid w:val="00AD63C7"/>
    <w:rsid w:val="00AD63FD"/>
    <w:rsid w:val="00AD67F4"/>
    <w:rsid w:val="00AD6889"/>
    <w:rsid w:val="00AD68CC"/>
    <w:rsid w:val="00AD6E90"/>
    <w:rsid w:val="00AD722B"/>
    <w:rsid w:val="00AD7319"/>
    <w:rsid w:val="00AD737A"/>
    <w:rsid w:val="00AD76AE"/>
    <w:rsid w:val="00AD784A"/>
    <w:rsid w:val="00AD7982"/>
    <w:rsid w:val="00AE0003"/>
    <w:rsid w:val="00AE01A9"/>
    <w:rsid w:val="00AE02FC"/>
    <w:rsid w:val="00AE0438"/>
    <w:rsid w:val="00AE053D"/>
    <w:rsid w:val="00AE135A"/>
    <w:rsid w:val="00AE16E1"/>
    <w:rsid w:val="00AE1969"/>
    <w:rsid w:val="00AE221F"/>
    <w:rsid w:val="00AE2D7E"/>
    <w:rsid w:val="00AE2E71"/>
    <w:rsid w:val="00AE311A"/>
    <w:rsid w:val="00AE317F"/>
    <w:rsid w:val="00AE338B"/>
    <w:rsid w:val="00AE3A35"/>
    <w:rsid w:val="00AE3B39"/>
    <w:rsid w:val="00AE3C3E"/>
    <w:rsid w:val="00AE3D3D"/>
    <w:rsid w:val="00AE427E"/>
    <w:rsid w:val="00AE458A"/>
    <w:rsid w:val="00AE4766"/>
    <w:rsid w:val="00AE4870"/>
    <w:rsid w:val="00AE48B3"/>
    <w:rsid w:val="00AE4A1B"/>
    <w:rsid w:val="00AE4F54"/>
    <w:rsid w:val="00AE503F"/>
    <w:rsid w:val="00AE52EA"/>
    <w:rsid w:val="00AE54CF"/>
    <w:rsid w:val="00AE56D4"/>
    <w:rsid w:val="00AE57BF"/>
    <w:rsid w:val="00AE59B3"/>
    <w:rsid w:val="00AE5C78"/>
    <w:rsid w:val="00AE6136"/>
    <w:rsid w:val="00AE675D"/>
    <w:rsid w:val="00AE6774"/>
    <w:rsid w:val="00AE682C"/>
    <w:rsid w:val="00AE693B"/>
    <w:rsid w:val="00AE6C52"/>
    <w:rsid w:val="00AE6DB4"/>
    <w:rsid w:val="00AE6FA2"/>
    <w:rsid w:val="00AE75BD"/>
    <w:rsid w:val="00AE779B"/>
    <w:rsid w:val="00AE7ADF"/>
    <w:rsid w:val="00AE7D4B"/>
    <w:rsid w:val="00AE7E3B"/>
    <w:rsid w:val="00AE7F57"/>
    <w:rsid w:val="00AF04CC"/>
    <w:rsid w:val="00AF0627"/>
    <w:rsid w:val="00AF09AA"/>
    <w:rsid w:val="00AF0B45"/>
    <w:rsid w:val="00AF0D30"/>
    <w:rsid w:val="00AF144B"/>
    <w:rsid w:val="00AF1467"/>
    <w:rsid w:val="00AF15F4"/>
    <w:rsid w:val="00AF17A6"/>
    <w:rsid w:val="00AF1B98"/>
    <w:rsid w:val="00AF1D7A"/>
    <w:rsid w:val="00AF1ED5"/>
    <w:rsid w:val="00AF20AC"/>
    <w:rsid w:val="00AF2227"/>
    <w:rsid w:val="00AF3045"/>
    <w:rsid w:val="00AF32BE"/>
    <w:rsid w:val="00AF36CA"/>
    <w:rsid w:val="00AF36D4"/>
    <w:rsid w:val="00AF392B"/>
    <w:rsid w:val="00AF3C88"/>
    <w:rsid w:val="00AF3D34"/>
    <w:rsid w:val="00AF3D45"/>
    <w:rsid w:val="00AF3F5B"/>
    <w:rsid w:val="00AF4120"/>
    <w:rsid w:val="00AF4C1F"/>
    <w:rsid w:val="00AF4C73"/>
    <w:rsid w:val="00AF4DFC"/>
    <w:rsid w:val="00AF4FAE"/>
    <w:rsid w:val="00AF506C"/>
    <w:rsid w:val="00AF531F"/>
    <w:rsid w:val="00AF5418"/>
    <w:rsid w:val="00AF550C"/>
    <w:rsid w:val="00AF5746"/>
    <w:rsid w:val="00AF57E5"/>
    <w:rsid w:val="00AF582B"/>
    <w:rsid w:val="00AF596E"/>
    <w:rsid w:val="00AF598A"/>
    <w:rsid w:val="00AF61B9"/>
    <w:rsid w:val="00AF6767"/>
    <w:rsid w:val="00AF6BD8"/>
    <w:rsid w:val="00AF6D02"/>
    <w:rsid w:val="00AF6FE4"/>
    <w:rsid w:val="00AF73A7"/>
    <w:rsid w:val="00AF7464"/>
    <w:rsid w:val="00AF748B"/>
    <w:rsid w:val="00AF7733"/>
    <w:rsid w:val="00AF7AE4"/>
    <w:rsid w:val="00B00216"/>
    <w:rsid w:val="00B00795"/>
    <w:rsid w:val="00B00990"/>
    <w:rsid w:val="00B00CCE"/>
    <w:rsid w:val="00B00EDD"/>
    <w:rsid w:val="00B01037"/>
    <w:rsid w:val="00B012B1"/>
    <w:rsid w:val="00B01589"/>
    <w:rsid w:val="00B015AB"/>
    <w:rsid w:val="00B01777"/>
    <w:rsid w:val="00B01A1B"/>
    <w:rsid w:val="00B01F5D"/>
    <w:rsid w:val="00B0210D"/>
    <w:rsid w:val="00B0249D"/>
    <w:rsid w:val="00B024A3"/>
    <w:rsid w:val="00B024F1"/>
    <w:rsid w:val="00B0287D"/>
    <w:rsid w:val="00B02A6D"/>
    <w:rsid w:val="00B02AD6"/>
    <w:rsid w:val="00B02CCD"/>
    <w:rsid w:val="00B03125"/>
    <w:rsid w:val="00B031E2"/>
    <w:rsid w:val="00B03D77"/>
    <w:rsid w:val="00B03EE6"/>
    <w:rsid w:val="00B0456E"/>
    <w:rsid w:val="00B045A3"/>
    <w:rsid w:val="00B04791"/>
    <w:rsid w:val="00B04BF7"/>
    <w:rsid w:val="00B04DC1"/>
    <w:rsid w:val="00B04E30"/>
    <w:rsid w:val="00B051F2"/>
    <w:rsid w:val="00B05399"/>
    <w:rsid w:val="00B05613"/>
    <w:rsid w:val="00B056F9"/>
    <w:rsid w:val="00B0573D"/>
    <w:rsid w:val="00B05920"/>
    <w:rsid w:val="00B05AEA"/>
    <w:rsid w:val="00B05D0F"/>
    <w:rsid w:val="00B05D1A"/>
    <w:rsid w:val="00B061AD"/>
    <w:rsid w:val="00B06278"/>
    <w:rsid w:val="00B063EC"/>
    <w:rsid w:val="00B064F3"/>
    <w:rsid w:val="00B0652D"/>
    <w:rsid w:val="00B067D4"/>
    <w:rsid w:val="00B06EF3"/>
    <w:rsid w:val="00B0717E"/>
    <w:rsid w:val="00B0747B"/>
    <w:rsid w:val="00B077E3"/>
    <w:rsid w:val="00B07808"/>
    <w:rsid w:val="00B0784D"/>
    <w:rsid w:val="00B078EB"/>
    <w:rsid w:val="00B07D9B"/>
    <w:rsid w:val="00B10555"/>
    <w:rsid w:val="00B10698"/>
    <w:rsid w:val="00B10935"/>
    <w:rsid w:val="00B10AA9"/>
    <w:rsid w:val="00B10D30"/>
    <w:rsid w:val="00B1135C"/>
    <w:rsid w:val="00B11737"/>
    <w:rsid w:val="00B118AB"/>
    <w:rsid w:val="00B118CA"/>
    <w:rsid w:val="00B11A37"/>
    <w:rsid w:val="00B12102"/>
    <w:rsid w:val="00B12268"/>
    <w:rsid w:val="00B12333"/>
    <w:rsid w:val="00B12525"/>
    <w:rsid w:val="00B125B6"/>
    <w:rsid w:val="00B12A2C"/>
    <w:rsid w:val="00B12A33"/>
    <w:rsid w:val="00B1341F"/>
    <w:rsid w:val="00B134E6"/>
    <w:rsid w:val="00B137A9"/>
    <w:rsid w:val="00B1391D"/>
    <w:rsid w:val="00B14236"/>
    <w:rsid w:val="00B142BD"/>
    <w:rsid w:val="00B1437B"/>
    <w:rsid w:val="00B14577"/>
    <w:rsid w:val="00B146CB"/>
    <w:rsid w:val="00B14782"/>
    <w:rsid w:val="00B14CCD"/>
    <w:rsid w:val="00B14D39"/>
    <w:rsid w:val="00B14FCF"/>
    <w:rsid w:val="00B14FD1"/>
    <w:rsid w:val="00B1516C"/>
    <w:rsid w:val="00B158DE"/>
    <w:rsid w:val="00B15953"/>
    <w:rsid w:val="00B15BA4"/>
    <w:rsid w:val="00B15EC5"/>
    <w:rsid w:val="00B160B6"/>
    <w:rsid w:val="00B1610D"/>
    <w:rsid w:val="00B1612B"/>
    <w:rsid w:val="00B161D5"/>
    <w:rsid w:val="00B16433"/>
    <w:rsid w:val="00B16549"/>
    <w:rsid w:val="00B16629"/>
    <w:rsid w:val="00B16961"/>
    <w:rsid w:val="00B172C1"/>
    <w:rsid w:val="00B176F8"/>
    <w:rsid w:val="00B17800"/>
    <w:rsid w:val="00B17912"/>
    <w:rsid w:val="00B17D5C"/>
    <w:rsid w:val="00B17FB9"/>
    <w:rsid w:val="00B200B8"/>
    <w:rsid w:val="00B200CF"/>
    <w:rsid w:val="00B2010B"/>
    <w:rsid w:val="00B20610"/>
    <w:rsid w:val="00B206A9"/>
    <w:rsid w:val="00B21053"/>
    <w:rsid w:val="00B2111D"/>
    <w:rsid w:val="00B21191"/>
    <w:rsid w:val="00B21511"/>
    <w:rsid w:val="00B2168E"/>
    <w:rsid w:val="00B216DB"/>
    <w:rsid w:val="00B21761"/>
    <w:rsid w:val="00B218E3"/>
    <w:rsid w:val="00B21B90"/>
    <w:rsid w:val="00B21D8B"/>
    <w:rsid w:val="00B21DF9"/>
    <w:rsid w:val="00B21E4D"/>
    <w:rsid w:val="00B21EFD"/>
    <w:rsid w:val="00B2240B"/>
    <w:rsid w:val="00B22B9C"/>
    <w:rsid w:val="00B22E18"/>
    <w:rsid w:val="00B22E36"/>
    <w:rsid w:val="00B23051"/>
    <w:rsid w:val="00B23606"/>
    <w:rsid w:val="00B236BD"/>
    <w:rsid w:val="00B237A7"/>
    <w:rsid w:val="00B23972"/>
    <w:rsid w:val="00B23A9A"/>
    <w:rsid w:val="00B23C9F"/>
    <w:rsid w:val="00B23E1E"/>
    <w:rsid w:val="00B240A9"/>
    <w:rsid w:val="00B24441"/>
    <w:rsid w:val="00B24469"/>
    <w:rsid w:val="00B2452C"/>
    <w:rsid w:val="00B24611"/>
    <w:rsid w:val="00B246C2"/>
    <w:rsid w:val="00B251DE"/>
    <w:rsid w:val="00B25406"/>
    <w:rsid w:val="00B25491"/>
    <w:rsid w:val="00B25612"/>
    <w:rsid w:val="00B256E0"/>
    <w:rsid w:val="00B25716"/>
    <w:rsid w:val="00B257F7"/>
    <w:rsid w:val="00B25B23"/>
    <w:rsid w:val="00B25BD6"/>
    <w:rsid w:val="00B25CE8"/>
    <w:rsid w:val="00B26020"/>
    <w:rsid w:val="00B261C2"/>
    <w:rsid w:val="00B26383"/>
    <w:rsid w:val="00B266C7"/>
    <w:rsid w:val="00B26EE3"/>
    <w:rsid w:val="00B2745C"/>
    <w:rsid w:val="00B27602"/>
    <w:rsid w:val="00B27BC6"/>
    <w:rsid w:val="00B27DA2"/>
    <w:rsid w:val="00B302A0"/>
    <w:rsid w:val="00B302AB"/>
    <w:rsid w:val="00B30BB2"/>
    <w:rsid w:val="00B30D33"/>
    <w:rsid w:val="00B30D6C"/>
    <w:rsid w:val="00B30E9D"/>
    <w:rsid w:val="00B316B0"/>
    <w:rsid w:val="00B316DA"/>
    <w:rsid w:val="00B3179C"/>
    <w:rsid w:val="00B31C07"/>
    <w:rsid w:val="00B3294D"/>
    <w:rsid w:val="00B32E3B"/>
    <w:rsid w:val="00B33156"/>
    <w:rsid w:val="00B331BD"/>
    <w:rsid w:val="00B333CB"/>
    <w:rsid w:val="00B3370F"/>
    <w:rsid w:val="00B33B5C"/>
    <w:rsid w:val="00B33C46"/>
    <w:rsid w:val="00B33E2C"/>
    <w:rsid w:val="00B33F03"/>
    <w:rsid w:val="00B33F57"/>
    <w:rsid w:val="00B341E7"/>
    <w:rsid w:val="00B34314"/>
    <w:rsid w:val="00B344ED"/>
    <w:rsid w:val="00B34945"/>
    <w:rsid w:val="00B34B81"/>
    <w:rsid w:val="00B34EAB"/>
    <w:rsid w:val="00B355E6"/>
    <w:rsid w:val="00B35618"/>
    <w:rsid w:val="00B35C27"/>
    <w:rsid w:val="00B35C54"/>
    <w:rsid w:val="00B36536"/>
    <w:rsid w:val="00B3664D"/>
    <w:rsid w:val="00B3675E"/>
    <w:rsid w:val="00B36A32"/>
    <w:rsid w:val="00B36EAA"/>
    <w:rsid w:val="00B37053"/>
    <w:rsid w:val="00B376E9"/>
    <w:rsid w:val="00B37814"/>
    <w:rsid w:val="00B3792F"/>
    <w:rsid w:val="00B37933"/>
    <w:rsid w:val="00B37DA2"/>
    <w:rsid w:val="00B40374"/>
    <w:rsid w:val="00B4040E"/>
    <w:rsid w:val="00B40540"/>
    <w:rsid w:val="00B40754"/>
    <w:rsid w:val="00B40C03"/>
    <w:rsid w:val="00B40FF4"/>
    <w:rsid w:val="00B4147E"/>
    <w:rsid w:val="00B4153C"/>
    <w:rsid w:val="00B4167E"/>
    <w:rsid w:val="00B41D7A"/>
    <w:rsid w:val="00B42057"/>
    <w:rsid w:val="00B4209A"/>
    <w:rsid w:val="00B424B0"/>
    <w:rsid w:val="00B425F9"/>
    <w:rsid w:val="00B42953"/>
    <w:rsid w:val="00B43105"/>
    <w:rsid w:val="00B43D75"/>
    <w:rsid w:val="00B43ECE"/>
    <w:rsid w:val="00B44032"/>
    <w:rsid w:val="00B44276"/>
    <w:rsid w:val="00B449AE"/>
    <w:rsid w:val="00B44FA6"/>
    <w:rsid w:val="00B44FE9"/>
    <w:rsid w:val="00B451F0"/>
    <w:rsid w:val="00B45246"/>
    <w:rsid w:val="00B452CC"/>
    <w:rsid w:val="00B453DC"/>
    <w:rsid w:val="00B453E1"/>
    <w:rsid w:val="00B4583C"/>
    <w:rsid w:val="00B45D9E"/>
    <w:rsid w:val="00B467B5"/>
    <w:rsid w:val="00B469D3"/>
    <w:rsid w:val="00B46E0B"/>
    <w:rsid w:val="00B46FB6"/>
    <w:rsid w:val="00B472AC"/>
    <w:rsid w:val="00B47ADD"/>
    <w:rsid w:val="00B47B36"/>
    <w:rsid w:val="00B47E9C"/>
    <w:rsid w:val="00B47EA2"/>
    <w:rsid w:val="00B50194"/>
    <w:rsid w:val="00B50372"/>
    <w:rsid w:val="00B50703"/>
    <w:rsid w:val="00B50948"/>
    <w:rsid w:val="00B50D5D"/>
    <w:rsid w:val="00B5141E"/>
    <w:rsid w:val="00B5186B"/>
    <w:rsid w:val="00B51A69"/>
    <w:rsid w:val="00B51D54"/>
    <w:rsid w:val="00B51F09"/>
    <w:rsid w:val="00B51F0C"/>
    <w:rsid w:val="00B524DA"/>
    <w:rsid w:val="00B526BE"/>
    <w:rsid w:val="00B52893"/>
    <w:rsid w:val="00B528E0"/>
    <w:rsid w:val="00B52E2A"/>
    <w:rsid w:val="00B53245"/>
    <w:rsid w:val="00B53316"/>
    <w:rsid w:val="00B53599"/>
    <w:rsid w:val="00B53E12"/>
    <w:rsid w:val="00B53E2A"/>
    <w:rsid w:val="00B5496D"/>
    <w:rsid w:val="00B54B2A"/>
    <w:rsid w:val="00B5515B"/>
    <w:rsid w:val="00B55670"/>
    <w:rsid w:val="00B55A22"/>
    <w:rsid w:val="00B55E39"/>
    <w:rsid w:val="00B55EDF"/>
    <w:rsid w:val="00B56565"/>
    <w:rsid w:val="00B56715"/>
    <w:rsid w:val="00B5699E"/>
    <w:rsid w:val="00B5703F"/>
    <w:rsid w:val="00B57242"/>
    <w:rsid w:val="00B5724D"/>
    <w:rsid w:val="00B577AA"/>
    <w:rsid w:val="00B57AB6"/>
    <w:rsid w:val="00B57B93"/>
    <w:rsid w:val="00B57D97"/>
    <w:rsid w:val="00B57FE6"/>
    <w:rsid w:val="00B6023A"/>
    <w:rsid w:val="00B60394"/>
    <w:rsid w:val="00B603EB"/>
    <w:rsid w:val="00B604E4"/>
    <w:rsid w:val="00B60522"/>
    <w:rsid w:val="00B60845"/>
    <w:rsid w:val="00B60B0D"/>
    <w:rsid w:val="00B60B1F"/>
    <w:rsid w:val="00B60CBB"/>
    <w:rsid w:val="00B61187"/>
    <w:rsid w:val="00B6119F"/>
    <w:rsid w:val="00B61267"/>
    <w:rsid w:val="00B612FD"/>
    <w:rsid w:val="00B6134C"/>
    <w:rsid w:val="00B6143B"/>
    <w:rsid w:val="00B61637"/>
    <w:rsid w:val="00B61649"/>
    <w:rsid w:val="00B618E0"/>
    <w:rsid w:val="00B619B5"/>
    <w:rsid w:val="00B61DEE"/>
    <w:rsid w:val="00B6247C"/>
    <w:rsid w:val="00B62837"/>
    <w:rsid w:val="00B62975"/>
    <w:rsid w:val="00B62A39"/>
    <w:rsid w:val="00B62B10"/>
    <w:rsid w:val="00B62C4F"/>
    <w:rsid w:val="00B62D94"/>
    <w:rsid w:val="00B62E95"/>
    <w:rsid w:val="00B62EF1"/>
    <w:rsid w:val="00B6314C"/>
    <w:rsid w:val="00B63304"/>
    <w:rsid w:val="00B6382A"/>
    <w:rsid w:val="00B63935"/>
    <w:rsid w:val="00B63C94"/>
    <w:rsid w:val="00B6404E"/>
    <w:rsid w:val="00B64199"/>
    <w:rsid w:val="00B64216"/>
    <w:rsid w:val="00B64830"/>
    <w:rsid w:val="00B64861"/>
    <w:rsid w:val="00B64F6E"/>
    <w:rsid w:val="00B65088"/>
    <w:rsid w:val="00B65282"/>
    <w:rsid w:val="00B65335"/>
    <w:rsid w:val="00B6557E"/>
    <w:rsid w:val="00B65B48"/>
    <w:rsid w:val="00B65E85"/>
    <w:rsid w:val="00B662CD"/>
    <w:rsid w:val="00B66406"/>
    <w:rsid w:val="00B66D72"/>
    <w:rsid w:val="00B66EBC"/>
    <w:rsid w:val="00B6707C"/>
    <w:rsid w:val="00B671C0"/>
    <w:rsid w:val="00B67236"/>
    <w:rsid w:val="00B67532"/>
    <w:rsid w:val="00B67A29"/>
    <w:rsid w:val="00B67A69"/>
    <w:rsid w:val="00B67A85"/>
    <w:rsid w:val="00B67BCB"/>
    <w:rsid w:val="00B67D58"/>
    <w:rsid w:val="00B67DAC"/>
    <w:rsid w:val="00B701DB"/>
    <w:rsid w:val="00B702A7"/>
    <w:rsid w:val="00B702E4"/>
    <w:rsid w:val="00B70408"/>
    <w:rsid w:val="00B704E3"/>
    <w:rsid w:val="00B70B4E"/>
    <w:rsid w:val="00B70D05"/>
    <w:rsid w:val="00B70DF4"/>
    <w:rsid w:val="00B70ED3"/>
    <w:rsid w:val="00B70F6D"/>
    <w:rsid w:val="00B71004"/>
    <w:rsid w:val="00B714F9"/>
    <w:rsid w:val="00B715C1"/>
    <w:rsid w:val="00B71767"/>
    <w:rsid w:val="00B71817"/>
    <w:rsid w:val="00B71B9A"/>
    <w:rsid w:val="00B7252A"/>
    <w:rsid w:val="00B72758"/>
    <w:rsid w:val="00B72A50"/>
    <w:rsid w:val="00B72CED"/>
    <w:rsid w:val="00B7310D"/>
    <w:rsid w:val="00B73113"/>
    <w:rsid w:val="00B734D3"/>
    <w:rsid w:val="00B738E3"/>
    <w:rsid w:val="00B73A89"/>
    <w:rsid w:val="00B73CC2"/>
    <w:rsid w:val="00B741B6"/>
    <w:rsid w:val="00B742BC"/>
    <w:rsid w:val="00B747FA"/>
    <w:rsid w:val="00B74909"/>
    <w:rsid w:val="00B74A33"/>
    <w:rsid w:val="00B74CC3"/>
    <w:rsid w:val="00B74D8B"/>
    <w:rsid w:val="00B74F94"/>
    <w:rsid w:val="00B753E4"/>
    <w:rsid w:val="00B75F4C"/>
    <w:rsid w:val="00B76018"/>
    <w:rsid w:val="00B764F2"/>
    <w:rsid w:val="00B76530"/>
    <w:rsid w:val="00B76814"/>
    <w:rsid w:val="00B76905"/>
    <w:rsid w:val="00B76C50"/>
    <w:rsid w:val="00B774D1"/>
    <w:rsid w:val="00B777D2"/>
    <w:rsid w:val="00B77A82"/>
    <w:rsid w:val="00B80039"/>
    <w:rsid w:val="00B80B2B"/>
    <w:rsid w:val="00B80CD9"/>
    <w:rsid w:val="00B810AA"/>
    <w:rsid w:val="00B81105"/>
    <w:rsid w:val="00B812A8"/>
    <w:rsid w:val="00B815DE"/>
    <w:rsid w:val="00B81AA2"/>
    <w:rsid w:val="00B81BD3"/>
    <w:rsid w:val="00B81F70"/>
    <w:rsid w:val="00B8214B"/>
    <w:rsid w:val="00B82179"/>
    <w:rsid w:val="00B826B7"/>
    <w:rsid w:val="00B82712"/>
    <w:rsid w:val="00B828B7"/>
    <w:rsid w:val="00B832A5"/>
    <w:rsid w:val="00B83993"/>
    <w:rsid w:val="00B83FB8"/>
    <w:rsid w:val="00B8447F"/>
    <w:rsid w:val="00B84760"/>
    <w:rsid w:val="00B84915"/>
    <w:rsid w:val="00B84AAC"/>
    <w:rsid w:val="00B85339"/>
    <w:rsid w:val="00B8535A"/>
    <w:rsid w:val="00B8546C"/>
    <w:rsid w:val="00B854D9"/>
    <w:rsid w:val="00B855C2"/>
    <w:rsid w:val="00B859F3"/>
    <w:rsid w:val="00B85AC3"/>
    <w:rsid w:val="00B85D95"/>
    <w:rsid w:val="00B85F88"/>
    <w:rsid w:val="00B8673E"/>
    <w:rsid w:val="00B86814"/>
    <w:rsid w:val="00B86A32"/>
    <w:rsid w:val="00B86FAB"/>
    <w:rsid w:val="00B87044"/>
    <w:rsid w:val="00B8715C"/>
    <w:rsid w:val="00B8716A"/>
    <w:rsid w:val="00B871AB"/>
    <w:rsid w:val="00B87242"/>
    <w:rsid w:val="00B8737D"/>
    <w:rsid w:val="00B879A6"/>
    <w:rsid w:val="00B87A75"/>
    <w:rsid w:val="00B87BFC"/>
    <w:rsid w:val="00B87F35"/>
    <w:rsid w:val="00B87FD4"/>
    <w:rsid w:val="00B9023C"/>
    <w:rsid w:val="00B9042D"/>
    <w:rsid w:val="00B9066F"/>
    <w:rsid w:val="00B9070F"/>
    <w:rsid w:val="00B907F9"/>
    <w:rsid w:val="00B90A13"/>
    <w:rsid w:val="00B91201"/>
    <w:rsid w:val="00B9125D"/>
    <w:rsid w:val="00B914A0"/>
    <w:rsid w:val="00B914A5"/>
    <w:rsid w:val="00B91D33"/>
    <w:rsid w:val="00B91D67"/>
    <w:rsid w:val="00B91D71"/>
    <w:rsid w:val="00B91E42"/>
    <w:rsid w:val="00B9229E"/>
    <w:rsid w:val="00B925BC"/>
    <w:rsid w:val="00B92823"/>
    <w:rsid w:val="00B92826"/>
    <w:rsid w:val="00B93343"/>
    <w:rsid w:val="00B9369E"/>
    <w:rsid w:val="00B936B3"/>
    <w:rsid w:val="00B937BC"/>
    <w:rsid w:val="00B93A1C"/>
    <w:rsid w:val="00B94220"/>
    <w:rsid w:val="00B9445E"/>
    <w:rsid w:val="00B9466E"/>
    <w:rsid w:val="00B94A31"/>
    <w:rsid w:val="00B9518F"/>
    <w:rsid w:val="00B95249"/>
    <w:rsid w:val="00B952FA"/>
    <w:rsid w:val="00B9534D"/>
    <w:rsid w:val="00B95363"/>
    <w:rsid w:val="00B959FB"/>
    <w:rsid w:val="00B95C4D"/>
    <w:rsid w:val="00B95E61"/>
    <w:rsid w:val="00B96102"/>
    <w:rsid w:val="00B96162"/>
    <w:rsid w:val="00B96640"/>
    <w:rsid w:val="00B96687"/>
    <w:rsid w:val="00B969B1"/>
    <w:rsid w:val="00B96A4B"/>
    <w:rsid w:val="00B96A50"/>
    <w:rsid w:val="00B96B49"/>
    <w:rsid w:val="00B96D88"/>
    <w:rsid w:val="00B96E7C"/>
    <w:rsid w:val="00B96F04"/>
    <w:rsid w:val="00B971E0"/>
    <w:rsid w:val="00B973E4"/>
    <w:rsid w:val="00B974B1"/>
    <w:rsid w:val="00B97714"/>
    <w:rsid w:val="00B97DBD"/>
    <w:rsid w:val="00BA018E"/>
    <w:rsid w:val="00BA0533"/>
    <w:rsid w:val="00BA066C"/>
    <w:rsid w:val="00BA0768"/>
    <w:rsid w:val="00BA0D3C"/>
    <w:rsid w:val="00BA0DBB"/>
    <w:rsid w:val="00BA12EB"/>
    <w:rsid w:val="00BA137F"/>
    <w:rsid w:val="00BA1600"/>
    <w:rsid w:val="00BA1944"/>
    <w:rsid w:val="00BA1981"/>
    <w:rsid w:val="00BA1B67"/>
    <w:rsid w:val="00BA1F35"/>
    <w:rsid w:val="00BA226B"/>
    <w:rsid w:val="00BA248E"/>
    <w:rsid w:val="00BA284A"/>
    <w:rsid w:val="00BA2ACD"/>
    <w:rsid w:val="00BA3033"/>
    <w:rsid w:val="00BA3064"/>
    <w:rsid w:val="00BA3491"/>
    <w:rsid w:val="00BA35BA"/>
    <w:rsid w:val="00BA36D9"/>
    <w:rsid w:val="00BA38B5"/>
    <w:rsid w:val="00BA3B89"/>
    <w:rsid w:val="00BA3DFA"/>
    <w:rsid w:val="00BA42C1"/>
    <w:rsid w:val="00BA43B2"/>
    <w:rsid w:val="00BA44B1"/>
    <w:rsid w:val="00BA482C"/>
    <w:rsid w:val="00BA4D9D"/>
    <w:rsid w:val="00BA5218"/>
    <w:rsid w:val="00BA534A"/>
    <w:rsid w:val="00BA5602"/>
    <w:rsid w:val="00BA5837"/>
    <w:rsid w:val="00BA58CE"/>
    <w:rsid w:val="00BA58DD"/>
    <w:rsid w:val="00BA59AB"/>
    <w:rsid w:val="00BA5BC0"/>
    <w:rsid w:val="00BA5BFB"/>
    <w:rsid w:val="00BA5C0A"/>
    <w:rsid w:val="00BA5EE8"/>
    <w:rsid w:val="00BA5FB0"/>
    <w:rsid w:val="00BA6047"/>
    <w:rsid w:val="00BA6148"/>
    <w:rsid w:val="00BA62EA"/>
    <w:rsid w:val="00BA6AFB"/>
    <w:rsid w:val="00BA6CB0"/>
    <w:rsid w:val="00BA6DFC"/>
    <w:rsid w:val="00BA6E1C"/>
    <w:rsid w:val="00BA7487"/>
    <w:rsid w:val="00BA7D15"/>
    <w:rsid w:val="00BA7D2F"/>
    <w:rsid w:val="00BA7EE1"/>
    <w:rsid w:val="00BB0191"/>
    <w:rsid w:val="00BB05B2"/>
    <w:rsid w:val="00BB06CF"/>
    <w:rsid w:val="00BB0735"/>
    <w:rsid w:val="00BB098C"/>
    <w:rsid w:val="00BB0B44"/>
    <w:rsid w:val="00BB0C40"/>
    <w:rsid w:val="00BB0DA0"/>
    <w:rsid w:val="00BB12C1"/>
    <w:rsid w:val="00BB13F9"/>
    <w:rsid w:val="00BB143D"/>
    <w:rsid w:val="00BB16F3"/>
    <w:rsid w:val="00BB1EDF"/>
    <w:rsid w:val="00BB2017"/>
    <w:rsid w:val="00BB203B"/>
    <w:rsid w:val="00BB206B"/>
    <w:rsid w:val="00BB21A9"/>
    <w:rsid w:val="00BB2308"/>
    <w:rsid w:val="00BB2533"/>
    <w:rsid w:val="00BB2552"/>
    <w:rsid w:val="00BB2865"/>
    <w:rsid w:val="00BB2905"/>
    <w:rsid w:val="00BB298E"/>
    <w:rsid w:val="00BB2CC2"/>
    <w:rsid w:val="00BB2FB0"/>
    <w:rsid w:val="00BB30CC"/>
    <w:rsid w:val="00BB32FD"/>
    <w:rsid w:val="00BB33CB"/>
    <w:rsid w:val="00BB364A"/>
    <w:rsid w:val="00BB3924"/>
    <w:rsid w:val="00BB399F"/>
    <w:rsid w:val="00BB3C8E"/>
    <w:rsid w:val="00BB3D54"/>
    <w:rsid w:val="00BB3EFA"/>
    <w:rsid w:val="00BB4625"/>
    <w:rsid w:val="00BB48AC"/>
    <w:rsid w:val="00BB4AE8"/>
    <w:rsid w:val="00BB4F3C"/>
    <w:rsid w:val="00BB5137"/>
    <w:rsid w:val="00BB53FE"/>
    <w:rsid w:val="00BB5577"/>
    <w:rsid w:val="00BB6104"/>
    <w:rsid w:val="00BB6434"/>
    <w:rsid w:val="00BB67D8"/>
    <w:rsid w:val="00BB691E"/>
    <w:rsid w:val="00BB6A59"/>
    <w:rsid w:val="00BB6D50"/>
    <w:rsid w:val="00BB6D84"/>
    <w:rsid w:val="00BB764E"/>
    <w:rsid w:val="00BB7B58"/>
    <w:rsid w:val="00BB7E27"/>
    <w:rsid w:val="00BC0112"/>
    <w:rsid w:val="00BC01AF"/>
    <w:rsid w:val="00BC03BD"/>
    <w:rsid w:val="00BC055D"/>
    <w:rsid w:val="00BC0565"/>
    <w:rsid w:val="00BC0813"/>
    <w:rsid w:val="00BC0899"/>
    <w:rsid w:val="00BC0C09"/>
    <w:rsid w:val="00BC0D46"/>
    <w:rsid w:val="00BC0F41"/>
    <w:rsid w:val="00BC104B"/>
    <w:rsid w:val="00BC1145"/>
    <w:rsid w:val="00BC1331"/>
    <w:rsid w:val="00BC13CC"/>
    <w:rsid w:val="00BC186A"/>
    <w:rsid w:val="00BC21FD"/>
    <w:rsid w:val="00BC22A3"/>
    <w:rsid w:val="00BC2433"/>
    <w:rsid w:val="00BC26B5"/>
    <w:rsid w:val="00BC2951"/>
    <w:rsid w:val="00BC2A3C"/>
    <w:rsid w:val="00BC2AD1"/>
    <w:rsid w:val="00BC2D63"/>
    <w:rsid w:val="00BC31D1"/>
    <w:rsid w:val="00BC352E"/>
    <w:rsid w:val="00BC377B"/>
    <w:rsid w:val="00BC3906"/>
    <w:rsid w:val="00BC3BF4"/>
    <w:rsid w:val="00BC4788"/>
    <w:rsid w:val="00BC4BA1"/>
    <w:rsid w:val="00BC4CDE"/>
    <w:rsid w:val="00BC5044"/>
    <w:rsid w:val="00BC5192"/>
    <w:rsid w:val="00BC5480"/>
    <w:rsid w:val="00BC5486"/>
    <w:rsid w:val="00BC551D"/>
    <w:rsid w:val="00BC599C"/>
    <w:rsid w:val="00BC5BAA"/>
    <w:rsid w:val="00BC5DFF"/>
    <w:rsid w:val="00BC5E11"/>
    <w:rsid w:val="00BC5E4D"/>
    <w:rsid w:val="00BC601B"/>
    <w:rsid w:val="00BC615B"/>
    <w:rsid w:val="00BC619A"/>
    <w:rsid w:val="00BC626F"/>
    <w:rsid w:val="00BC6419"/>
    <w:rsid w:val="00BC6E16"/>
    <w:rsid w:val="00BC70FF"/>
    <w:rsid w:val="00BC772B"/>
    <w:rsid w:val="00BC7897"/>
    <w:rsid w:val="00BC78A3"/>
    <w:rsid w:val="00BC7A03"/>
    <w:rsid w:val="00BC7A09"/>
    <w:rsid w:val="00BC7BCD"/>
    <w:rsid w:val="00BC7C0D"/>
    <w:rsid w:val="00BC7E90"/>
    <w:rsid w:val="00BC7FD6"/>
    <w:rsid w:val="00BD0112"/>
    <w:rsid w:val="00BD0242"/>
    <w:rsid w:val="00BD0483"/>
    <w:rsid w:val="00BD06BA"/>
    <w:rsid w:val="00BD0A87"/>
    <w:rsid w:val="00BD0E5B"/>
    <w:rsid w:val="00BD103F"/>
    <w:rsid w:val="00BD104C"/>
    <w:rsid w:val="00BD1467"/>
    <w:rsid w:val="00BD15A8"/>
    <w:rsid w:val="00BD1651"/>
    <w:rsid w:val="00BD180D"/>
    <w:rsid w:val="00BD1952"/>
    <w:rsid w:val="00BD19A9"/>
    <w:rsid w:val="00BD2268"/>
    <w:rsid w:val="00BD2AA5"/>
    <w:rsid w:val="00BD2B17"/>
    <w:rsid w:val="00BD324D"/>
    <w:rsid w:val="00BD3433"/>
    <w:rsid w:val="00BD366B"/>
    <w:rsid w:val="00BD40EB"/>
    <w:rsid w:val="00BD41AA"/>
    <w:rsid w:val="00BD4410"/>
    <w:rsid w:val="00BD444C"/>
    <w:rsid w:val="00BD477C"/>
    <w:rsid w:val="00BD4944"/>
    <w:rsid w:val="00BD4F15"/>
    <w:rsid w:val="00BD4F65"/>
    <w:rsid w:val="00BD5019"/>
    <w:rsid w:val="00BD5376"/>
    <w:rsid w:val="00BD54BA"/>
    <w:rsid w:val="00BD5816"/>
    <w:rsid w:val="00BD5891"/>
    <w:rsid w:val="00BD5CBE"/>
    <w:rsid w:val="00BD5DCB"/>
    <w:rsid w:val="00BD61BF"/>
    <w:rsid w:val="00BD6722"/>
    <w:rsid w:val="00BD6813"/>
    <w:rsid w:val="00BD6906"/>
    <w:rsid w:val="00BD6A7E"/>
    <w:rsid w:val="00BD7683"/>
    <w:rsid w:val="00BD76FF"/>
    <w:rsid w:val="00BD7813"/>
    <w:rsid w:val="00BD7F10"/>
    <w:rsid w:val="00BE065A"/>
    <w:rsid w:val="00BE0AFA"/>
    <w:rsid w:val="00BE0C6C"/>
    <w:rsid w:val="00BE0DE6"/>
    <w:rsid w:val="00BE0EFC"/>
    <w:rsid w:val="00BE130F"/>
    <w:rsid w:val="00BE13B3"/>
    <w:rsid w:val="00BE1462"/>
    <w:rsid w:val="00BE14C1"/>
    <w:rsid w:val="00BE1BDE"/>
    <w:rsid w:val="00BE1F14"/>
    <w:rsid w:val="00BE218A"/>
    <w:rsid w:val="00BE2705"/>
    <w:rsid w:val="00BE2782"/>
    <w:rsid w:val="00BE28C4"/>
    <w:rsid w:val="00BE295B"/>
    <w:rsid w:val="00BE2981"/>
    <w:rsid w:val="00BE2CF3"/>
    <w:rsid w:val="00BE36CE"/>
    <w:rsid w:val="00BE393C"/>
    <w:rsid w:val="00BE4233"/>
    <w:rsid w:val="00BE44A8"/>
    <w:rsid w:val="00BE4578"/>
    <w:rsid w:val="00BE4601"/>
    <w:rsid w:val="00BE479D"/>
    <w:rsid w:val="00BE480C"/>
    <w:rsid w:val="00BE516A"/>
    <w:rsid w:val="00BE52D1"/>
    <w:rsid w:val="00BE5371"/>
    <w:rsid w:val="00BE5963"/>
    <w:rsid w:val="00BE5989"/>
    <w:rsid w:val="00BE5DBD"/>
    <w:rsid w:val="00BE5F8C"/>
    <w:rsid w:val="00BE6824"/>
    <w:rsid w:val="00BE6C29"/>
    <w:rsid w:val="00BE6DC6"/>
    <w:rsid w:val="00BE733C"/>
    <w:rsid w:val="00BE748C"/>
    <w:rsid w:val="00BE78C6"/>
    <w:rsid w:val="00BE7A2B"/>
    <w:rsid w:val="00BE7B33"/>
    <w:rsid w:val="00BE7CDB"/>
    <w:rsid w:val="00BE7F70"/>
    <w:rsid w:val="00BF043D"/>
    <w:rsid w:val="00BF04DB"/>
    <w:rsid w:val="00BF06E6"/>
    <w:rsid w:val="00BF0AC9"/>
    <w:rsid w:val="00BF0B27"/>
    <w:rsid w:val="00BF13E1"/>
    <w:rsid w:val="00BF170C"/>
    <w:rsid w:val="00BF1A39"/>
    <w:rsid w:val="00BF1F1C"/>
    <w:rsid w:val="00BF223B"/>
    <w:rsid w:val="00BF25C9"/>
    <w:rsid w:val="00BF2953"/>
    <w:rsid w:val="00BF2AF4"/>
    <w:rsid w:val="00BF2F58"/>
    <w:rsid w:val="00BF2F6A"/>
    <w:rsid w:val="00BF3668"/>
    <w:rsid w:val="00BF371A"/>
    <w:rsid w:val="00BF3BBA"/>
    <w:rsid w:val="00BF3DA4"/>
    <w:rsid w:val="00BF3E35"/>
    <w:rsid w:val="00BF3E7B"/>
    <w:rsid w:val="00BF40C9"/>
    <w:rsid w:val="00BF4137"/>
    <w:rsid w:val="00BF4143"/>
    <w:rsid w:val="00BF43B8"/>
    <w:rsid w:val="00BF4766"/>
    <w:rsid w:val="00BF47F4"/>
    <w:rsid w:val="00BF4913"/>
    <w:rsid w:val="00BF4997"/>
    <w:rsid w:val="00BF4ECA"/>
    <w:rsid w:val="00BF5236"/>
    <w:rsid w:val="00BF5BCF"/>
    <w:rsid w:val="00BF5C07"/>
    <w:rsid w:val="00BF5DDD"/>
    <w:rsid w:val="00BF5DF7"/>
    <w:rsid w:val="00BF6674"/>
    <w:rsid w:val="00BF687A"/>
    <w:rsid w:val="00BF6969"/>
    <w:rsid w:val="00BF6A7C"/>
    <w:rsid w:val="00BF6B77"/>
    <w:rsid w:val="00BF6F48"/>
    <w:rsid w:val="00BF7077"/>
    <w:rsid w:val="00BF76C9"/>
    <w:rsid w:val="00BF7732"/>
    <w:rsid w:val="00BF77F7"/>
    <w:rsid w:val="00BF78C0"/>
    <w:rsid w:val="00BF78EC"/>
    <w:rsid w:val="00BF7DB1"/>
    <w:rsid w:val="00BF7FB7"/>
    <w:rsid w:val="00C00646"/>
    <w:rsid w:val="00C00B38"/>
    <w:rsid w:val="00C01215"/>
    <w:rsid w:val="00C0121A"/>
    <w:rsid w:val="00C013EE"/>
    <w:rsid w:val="00C0143E"/>
    <w:rsid w:val="00C0174F"/>
    <w:rsid w:val="00C0183F"/>
    <w:rsid w:val="00C019AE"/>
    <w:rsid w:val="00C01A5A"/>
    <w:rsid w:val="00C01DA9"/>
    <w:rsid w:val="00C01EF6"/>
    <w:rsid w:val="00C01FEA"/>
    <w:rsid w:val="00C0232E"/>
    <w:rsid w:val="00C02331"/>
    <w:rsid w:val="00C0250A"/>
    <w:rsid w:val="00C025DB"/>
    <w:rsid w:val="00C028EC"/>
    <w:rsid w:val="00C02A5F"/>
    <w:rsid w:val="00C02B03"/>
    <w:rsid w:val="00C02B55"/>
    <w:rsid w:val="00C02BA9"/>
    <w:rsid w:val="00C02CCE"/>
    <w:rsid w:val="00C032E7"/>
    <w:rsid w:val="00C03492"/>
    <w:rsid w:val="00C03598"/>
    <w:rsid w:val="00C038FA"/>
    <w:rsid w:val="00C03A63"/>
    <w:rsid w:val="00C03CF0"/>
    <w:rsid w:val="00C03DF0"/>
    <w:rsid w:val="00C03F29"/>
    <w:rsid w:val="00C040AD"/>
    <w:rsid w:val="00C04150"/>
    <w:rsid w:val="00C04868"/>
    <w:rsid w:val="00C04C40"/>
    <w:rsid w:val="00C04C4B"/>
    <w:rsid w:val="00C04E4A"/>
    <w:rsid w:val="00C05449"/>
    <w:rsid w:val="00C0560B"/>
    <w:rsid w:val="00C059F3"/>
    <w:rsid w:val="00C05A46"/>
    <w:rsid w:val="00C05C96"/>
    <w:rsid w:val="00C0633A"/>
    <w:rsid w:val="00C06D66"/>
    <w:rsid w:val="00C06E90"/>
    <w:rsid w:val="00C06F10"/>
    <w:rsid w:val="00C074D1"/>
    <w:rsid w:val="00C0772F"/>
    <w:rsid w:val="00C07B5D"/>
    <w:rsid w:val="00C07B70"/>
    <w:rsid w:val="00C07F91"/>
    <w:rsid w:val="00C1096A"/>
    <w:rsid w:val="00C10AC0"/>
    <w:rsid w:val="00C10B12"/>
    <w:rsid w:val="00C10CD5"/>
    <w:rsid w:val="00C111AA"/>
    <w:rsid w:val="00C1135F"/>
    <w:rsid w:val="00C117A0"/>
    <w:rsid w:val="00C11980"/>
    <w:rsid w:val="00C119ED"/>
    <w:rsid w:val="00C11E03"/>
    <w:rsid w:val="00C11F26"/>
    <w:rsid w:val="00C11F48"/>
    <w:rsid w:val="00C12559"/>
    <w:rsid w:val="00C128E5"/>
    <w:rsid w:val="00C12FAF"/>
    <w:rsid w:val="00C13176"/>
    <w:rsid w:val="00C134A2"/>
    <w:rsid w:val="00C1355F"/>
    <w:rsid w:val="00C139C2"/>
    <w:rsid w:val="00C13A78"/>
    <w:rsid w:val="00C13D10"/>
    <w:rsid w:val="00C1408C"/>
    <w:rsid w:val="00C142CC"/>
    <w:rsid w:val="00C147A9"/>
    <w:rsid w:val="00C15053"/>
    <w:rsid w:val="00C15530"/>
    <w:rsid w:val="00C155D9"/>
    <w:rsid w:val="00C15B54"/>
    <w:rsid w:val="00C15CDB"/>
    <w:rsid w:val="00C15E81"/>
    <w:rsid w:val="00C160A7"/>
    <w:rsid w:val="00C1612E"/>
    <w:rsid w:val="00C163CF"/>
    <w:rsid w:val="00C16569"/>
    <w:rsid w:val="00C1688B"/>
    <w:rsid w:val="00C172CC"/>
    <w:rsid w:val="00C1738A"/>
    <w:rsid w:val="00C176D0"/>
    <w:rsid w:val="00C17899"/>
    <w:rsid w:val="00C17A1C"/>
    <w:rsid w:val="00C17A56"/>
    <w:rsid w:val="00C17F35"/>
    <w:rsid w:val="00C2067A"/>
    <w:rsid w:val="00C208F3"/>
    <w:rsid w:val="00C209EC"/>
    <w:rsid w:val="00C20B3B"/>
    <w:rsid w:val="00C20C0F"/>
    <w:rsid w:val="00C20D82"/>
    <w:rsid w:val="00C21007"/>
    <w:rsid w:val="00C213C8"/>
    <w:rsid w:val="00C2144A"/>
    <w:rsid w:val="00C2170D"/>
    <w:rsid w:val="00C21757"/>
    <w:rsid w:val="00C218B0"/>
    <w:rsid w:val="00C21CA6"/>
    <w:rsid w:val="00C21E22"/>
    <w:rsid w:val="00C2223F"/>
    <w:rsid w:val="00C22833"/>
    <w:rsid w:val="00C22921"/>
    <w:rsid w:val="00C22E7A"/>
    <w:rsid w:val="00C23697"/>
    <w:rsid w:val="00C23742"/>
    <w:rsid w:val="00C237C0"/>
    <w:rsid w:val="00C23903"/>
    <w:rsid w:val="00C23AED"/>
    <w:rsid w:val="00C23FF1"/>
    <w:rsid w:val="00C240BA"/>
    <w:rsid w:val="00C24264"/>
    <w:rsid w:val="00C24311"/>
    <w:rsid w:val="00C248D2"/>
    <w:rsid w:val="00C24BA7"/>
    <w:rsid w:val="00C24CF7"/>
    <w:rsid w:val="00C25C7D"/>
    <w:rsid w:val="00C25D2F"/>
    <w:rsid w:val="00C25F00"/>
    <w:rsid w:val="00C26133"/>
    <w:rsid w:val="00C26651"/>
    <w:rsid w:val="00C26AB0"/>
    <w:rsid w:val="00C26AC0"/>
    <w:rsid w:val="00C26B81"/>
    <w:rsid w:val="00C26CC9"/>
    <w:rsid w:val="00C26F08"/>
    <w:rsid w:val="00C271A7"/>
    <w:rsid w:val="00C276C3"/>
    <w:rsid w:val="00C276F4"/>
    <w:rsid w:val="00C279CD"/>
    <w:rsid w:val="00C27D5A"/>
    <w:rsid w:val="00C301AA"/>
    <w:rsid w:val="00C305DB"/>
    <w:rsid w:val="00C30824"/>
    <w:rsid w:val="00C3092B"/>
    <w:rsid w:val="00C30E66"/>
    <w:rsid w:val="00C30FFA"/>
    <w:rsid w:val="00C31645"/>
    <w:rsid w:val="00C3172A"/>
    <w:rsid w:val="00C3173B"/>
    <w:rsid w:val="00C31D4E"/>
    <w:rsid w:val="00C322DF"/>
    <w:rsid w:val="00C322E0"/>
    <w:rsid w:val="00C324D0"/>
    <w:rsid w:val="00C32D52"/>
    <w:rsid w:val="00C32DAB"/>
    <w:rsid w:val="00C32F1C"/>
    <w:rsid w:val="00C33331"/>
    <w:rsid w:val="00C33487"/>
    <w:rsid w:val="00C33734"/>
    <w:rsid w:val="00C33C4C"/>
    <w:rsid w:val="00C33CE2"/>
    <w:rsid w:val="00C34124"/>
    <w:rsid w:val="00C3444B"/>
    <w:rsid w:val="00C34920"/>
    <w:rsid w:val="00C3494D"/>
    <w:rsid w:val="00C34B13"/>
    <w:rsid w:val="00C34B6C"/>
    <w:rsid w:val="00C34CE7"/>
    <w:rsid w:val="00C350A5"/>
    <w:rsid w:val="00C35127"/>
    <w:rsid w:val="00C352AA"/>
    <w:rsid w:val="00C354BA"/>
    <w:rsid w:val="00C35638"/>
    <w:rsid w:val="00C3576E"/>
    <w:rsid w:val="00C35865"/>
    <w:rsid w:val="00C35CC0"/>
    <w:rsid w:val="00C35D5B"/>
    <w:rsid w:val="00C35E38"/>
    <w:rsid w:val="00C35EE3"/>
    <w:rsid w:val="00C35F4E"/>
    <w:rsid w:val="00C360E4"/>
    <w:rsid w:val="00C362E3"/>
    <w:rsid w:val="00C36420"/>
    <w:rsid w:val="00C3670A"/>
    <w:rsid w:val="00C36A07"/>
    <w:rsid w:val="00C36A0F"/>
    <w:rsid w:val="00C36AAF"/>
    <w:rsid w:val="00C37118"/>
    <w:rsid w:val="00C37388"/>
    <w:rsid w:val="00C3744A"/>
    <w:rsid w:val="00C3748B"/>
    <w:rsid w:val="00C3751E"/>
    <w:rsid w:val="00C37B69"/>
    <w:rsid w:val="00C37F02"/>
    <w:rsid w:val="00C406B8"/>
    <w:rsid w:val="00C408AD"/>
    <w:rsid w:val="00C40DDE"/>
    <w:rsid w:val="00C40E19"/>
    <w:rsid w:val="00C411B2"/>
    <w:rsid w:val="00C415E7"/>
    <w:rsid w:val="00C41655"/>
    <w:rsid w:val="00C4165C"/>
    <w:rsid w:val="00C418C4"/>
    <w:rsid w:val="00C41921"/>
    <w:rsid w:val="00C41979"/>
    <w:rsid w:val="00C41B04"/>
    <w:rsid w:val="00C41C89"/>
    <w:rsid w:val="00C41DCE"/>
    <w:rsid w:val="00C41EDD"/>
    <w:rsid w:val="00C420C2"/>
    <w:rsid w:val="00C420FB"/>
    <w:rsid w:val="00C42658"/>
    <w:rsid w:val="00C4273B"/>
    <w:rsid w:val="00C4285F"/>
    <w:rsid w:val="00C42A17"/>
    <w:rsid w:val="00C42BD0"/>
    <w:rsid w:val="00C42F44"/>
    <w:rsid w:val="00C4313D"/>
    <w:rsid w:val="00C4323F"/>
    <w:rsid w:val="00C437E4"/>
    <w:rsid w:val="00C4390B"/>
    <w:rsid w:val="00C43BBB"/>
    <w:rsid w:val="00C43E79"/>
    <w:rsid w:val="00C44325"/>
    <w:rsid w:val="00C4472D"/>
    <w:rsid w:val="00C44A4F"/>
    <w:rsid w:val="00C44AF8"/>
    <w:rsid w:val="00C44C07"/>
    <w:rsid w:val="00C44C75"/>
    <w:rsid w:val="00C44CED"/>
    <w:rsid w:val="00C45301"/>
    <w:rsid w:val="00C45869"/>
    <w:rsid w:val="00C458EE"/>
    <w:rsid w:val="00C459C1"/>
    <w:rsid w:val="00C45A4B"/>
    <w:rsid w:val="00C45B12"/>
    <w:rsid w:val="00C45DE5"/>
    <w:rsid w:val="00C45E97"/>
    <w:rsid w:val="00C46559"/>
    <w:rsid w:val="00C466DA"/>
    <w:rsid w:val="00C46A27"/>
    <w:rsid w:val="00C46B05"/>
    <w:rsid w:val="00C46D1F"/>
    <w:rsid w:val="00C46DC0"/>
    <w:rsid w:val="00C475B7"/>
    <w:rsid w:val="00C476BC"/>
    <w:rsid w:val="00C479D1"/>
    <w:rsid w:val="00C47A1B"/>
    <w:rsid w:val="00C47D73"/>
    <w:rsid w:val="00C47F33"/>
    <w:rsid w:val="00C50074"/>
    <w:rsid w:val="00C500B9"/>
    <w:rsid w:val="00C50117"/>
    <w:rsid w:val="00C50224"/>
    <w:rsid w:val="00C502AA"/>
    <w:rsid w:val="00C50885"/>
    <w:rsid w:val="00C50ADD"/>
    <w:rsid w:val="00C50F10"/>
    <w:rsid w:val="00C51378"/>
    <w:rsid w:val="00C514CC"/>
    <w:rsid w:val="00C51617"/>
    <w:rsid w:val="00C5175F"/>
    <w:rsid w:val="00C51B47"/>
    <w:rsid w:val="00C52280"/>
    <w:rsid w:val="00C52546"/>
    <w:rsid w:val="00C5256F"/>
    <w:rsid w:val="00C52756"/>
    <w:rsid w:val="00C5291A"/>
    <w:rsid w:val="00C52D15"/>
    <w:rsid w:val="00C52E07"/>
    <w:rsid w:val="00C52EED"/>
    <w:rsid w:val="00C52F92"/>
    <w:rsid w:val="00C52FF7"/>
    <w:rsid w:val="00C533CC"/>
    <w:rsid w:val="00C534DA"/>
    <w:rsid w:val="00C536BB"/>
    <w:rsid w:val="00C539D0"/>
    <w:rsid w:val="00C53BCE"/>
    <w:rsid w:val="00C53D93"/>
    <w:rsid w:val="00C53E13"/>
    <w:rsid w:val="00C53E44"/>
    <w:rsid w:val="00C54059"/>
    <w:rsid w:val="00C54E11"/>
    <w:rsid w:val="00C54E7E"/>
    <w:rsid w:val="00C5506D"/>
    <w:rsid w:val="00C55413"/>
    <w:rsid w:val="00C556B2"/>
    <w:rsid w:val="00C557F8"/>
    <w:rsid w:val="00C55915"/>
    <w:rsid w:val="00C55B7B"/>
    <w:rsid w:val="00C55CF7"/>
    <w:rsid w:val="00C5603B"/>
    <w:rsid w:val="00C56433"/>
    <w:rsid w:val="00C56703"/>
    <w:rsid w:val="00C5677C"/>
    <w:rsid w:val="00C568A2"/>
    <w:rsid w:val="00C56BAC"/>
    <w:rsid w:val="00C56D53"/>
    <w:rsid w:val="00C56D6B"/>
    <w:rsid w:val="00C56D7D"/>
    <w:rsid w:val="00C576EB"/>
    <w:rsid w:val="00C57EAC"/>
    <w:rsid w:val="00C6007E"/>
    <w:rsid w:val="00C60504"/>
    <w:rsid w:val="00C60531"/>
    <w:rsid w:val="00C605CA"/>
    <w:rsid w:val="00C6065C"/>
    <w:rsid w:val="00C60E11"/>
    <w:rsid w:val="00C60E5E"/>
    <w:rsid w:val="00C61126"/>
    <w:rsid w:val="00C6118C"/>
    <w:rsid w:val="00C6132D"/>
    <w:rsid w:val="00C6138D"/>
    <w:rsid w:val="00C615FC"/>
    <w:rsid w:val="00C617A3"/>
    <w:rsid w:val="00C622E6"/>
    <w:rsid w:val="00C6265A"/>
    <w:rsid w:val="00C62662"/>
    <w:rsid w:val="00C62726"/>
    <w:rsid w:val="00C62B7E"/>
    <w:rsid w:val="00C63118"/>
    <w:rsid w:val="00C63340"/>
    <w:rsid w:val="00C63AFF"/>
    <w:rsid w:val="00C63CCC"/>
    <w:rsid w:val="00C64198"/>
    <w:rsid w:val="00C644C0"/>
    <w:rsid w:val="00C647BC"/>
    <w:rsid w:val="00C647CD"/>
    <w:rsid w:val="00C64B79"/>
    <w:rsid w:val="00C64D30"/>
    <w:rsid w:val="00C64DF1"/>
    <w:rsid w:val="00C64F32"/>
    <w:rsid w:val="00C654F6"/>
    <w:rsid w:val="00C6561F"/>
    <w:rsid w:val="00C65691"/>
    <w:rsid w:val="00C6585B"/>
    <w:rsid w:val="00C65868"/>
    <w:rsid w:val="00C6594D"/>
    <w:rsid w:val="00C65A1D"/>
    <w:rsid w:val="00C65C75"/>
    <w:rsid w:val="00C65F88"/>
    <w:rsid w:val="00C66254"/>
    <w:rsid w:val="00C662DD"/>
    <w:rsid w:val="00C664E9"/>
    <w:rsid w:val="00C66665"/>
    <w:rsid w:val="00C66AA9"/>
    <w:rsid w:val="00C66C2F"/>
    <w:rsid w:val="00C66DB7"/>
    <w:rsid w:val="00C66EE8"/>
    <w:rsid w:val="00C66F45"/>
    <w:rsid w:val="00C6799D"/>
    <w:rsid w:val="00C67A74"/>
    <w:rsid w:val="00C67C81"/>
    <w:rsid w:val="00C67FB5"/>
    <w:rsid w:val="00C67FB7"/>
    <w:rsid w:val="00C700D5"/>
    <w:rsid w:val="00C70429"/>
    <w:rsid w:val="00C70461"/>
    <w:rsid w:val="00C7090E"/>
    <w:rsid w:val="00C70BAA"/>
    <w:rsid w:val="00C70EBA"/>
    <w:rsid w:val="00C717F3"/>
    <w:rsid w:val="00C71A9B"/>
    <w:rsid w:val="00C71AD4"/>
    <w:rsid w:val="00C72011"/>
    <w:rsid w:val="00C72388"/>
    <w:rsid w:val="00C72525"/>
    <w:rsid w:val="00C72676"/>
    <w:rsid w:val="00C72760"/>
    <w:rsid w:val="00C728B9"/>
    <w:rsid w:val="00C728D5"/>
    <w:rsid w:val="00C7290B"/>
    <w:rsid w:val="00C729C0"/>
    <w:rsid w:val="00C73014"/>
    <w:rsid w:val="00C733C5"/>
    <w:rsid w:val="00C739E2"/>
    <w:rsid w:val="00C741DF"/>
    <w:rsid w:val="00C74465"/>
    <w:rsid w:val="00C7453D"/>
    <w:rsid w:val="00C74776"/>
    <w:rsid w:val="00C74979"/>
    <w:rsid w:val="00C74991"/>
    <w:rsid w:val="00C749D5"/>
    <w:rsid w:val="00C750E2"/>
    <w:rsid w:val="00C753AE"/>
    <w:rsid w:val="00C75A02"/>
    <w:rsid w:val="00C75B36"/>
    <w:rsid w:val="00C75C84"/>
    <w:rsid w:val="00C75D5D"/>
    <w:rsid w:val="00C75FC5"/>
    <w:rsid w:val="00C7607B"/>
    <w:rsid w:val="00C76144"/>
    <w:rsid w:val="00C7617B"/>
    <w:rsid w:val="00C761CB"/>
    <w:rsid w:val="00C761F7"/>
    <w:rsid w:val="00C763AC"/>
    <w:rsid w:val="00C76D15"/>
    <w:rsid w:val="00C76FC6"/>
    <w:rsid w:val="00C772C6"/>
    <w:rsid w:val="00C775D5"/>
    <w:rsid w:val="00C775DA"/>
    <w:rsid w:val="00C776D5"/>
    <w:rsid w:val="00C778D0"/>
    <w:rsid w:val="00C8101E"/>
    <w:rsid w:val="00C81475"/>
    <w:rsid w:val="00C814A8"/>
    <w:rsid w:val="00C817A6"/>
    <w:rsid w:val="00C817E5"/>
    <w:rsid w:val="00C817F3"/>
    <w:rsid w:val="00C81B13"/>
    <w:rsid w:val="00C81B57"/>
    <w:rsid w:val="00C81FA3"/>
    <w:rsid w:val="00C822AA"/>
    <w:rsid w:val="00C82A02"/>
    <w:rsid w:val="00C82A95"/>
    <w:rsid w:val="00C82AC8"/>
    <w:rsid w:val="00C8357A"/>
    <w:rsid w:val="00C835F7"/>
    <w:rsid w:val="00C83605"/>
    <w:rsid w:val="00C83C0F"/>
    <w:rsid w:val="00C83E0E"/>
    <w:rsid w:val="00C841A1"/>
    <w:rsid w:val="00C8420C"/>
    <w:rsid w:val="00C84271"/>
    <w:rsid w:val="00C845AC"/>
    <w:rsid w:val="00C846EF"/>
    <w:rsid w:val="00C847D5"/>
    <w:rsid w:val="00C84889"/>
    <w:rsid w:val="00C84975"/>
    <w:rsid w:val="00C84BEA"/>
    <w:rsid w:val="00C852DC"/>
    <w:rsid w:val="00C85402"/>
    <w:rsid w:val="00C85F08"/>
    <w:rsid w:val="00C8659A"/>
    <w:rsid w:val="00C866FC"/>
    <w:rsid w:val="00C869BD"/>
    <w:rsid w:val="00C86AC9"/>
    <w:rsid w:val="00C86E9F"/>
    <w:rsid w:val="00C877E9"/>
    <w:rsid w:val="00C879DB"/>
    <w:rsid w:val="00C87C1F"/>
    <w:rsid w:val="00C87D32"/>
    <w:rsid w:val="00C90380"/>
    <w:rsid w:val="00C90B94"/>
    <w:rsid w:val="00C90D6D"/>
    <w:rsid w:val="00C91379"/>
    <w:rsid w:val="00C91AC4"/>
    <w:rsid w:val="00C922FD"/>
    <w:rsid w:val="00C927AB"/>
    <w:rsid w:val="00C927E7"/>
    <w:rsid w:val="00C9285F"/>
    <w:rsid w:val="00C92985"/>
    <w:rsid w:val="00C930F4"/>
    <w:rsid w:val="00C93532"/>
    <w:rsid w:val="00C938A2"/>
    <w:rsid w:val="00C93A29"/>
    <w:rsid w:val="00C93F5E"/>
    <w:rsid w:val="00C94036"/>
    <w:rsid w:val="00C943EB"/>
    <w:rsid w:val="00C944C6"/>
    <w:rsid w:val="00C94683"/>
    <w:rsid w:val="00C94C50"/>
    <w:rsid w:val="00C95418"/>
    <w:rsid w:val="00C955E8"/>
    <w:rsid w:val="00C95770"/>
    <w:rsid w:val="00C958E1"/>
    <w:rsid w:val="00C95912"/>
    <w:rsid w:val="00C95B03"/>
    <w:rsid w:val="00C95E3E"/>
    <w:rsid w:val="00C96016"/>
    <w:rsid w:val="00C9608D"/>
    <w:rsid w:val="00C960CE"/>
    <w:rsid w:val="00C960DF"/>
    <w:rsid w:val="00C96107"/>
    <w:rsid w:val="00C961D8"/>
    <w:rsid w:val="00C9654D"/>
    <w:rsid w:val="00C96890"/>
    <w:rsid w:val="00C96D0A"/>
    <w:rsid w:val="00C96D5F"/>
    <w:rsid w:val="00C96D6E"/>
    <w:rsid w:val="00C9732C"/>
    <w:rsid w:val="00C974CC"/>
    <w:rsid w:val="00C975DB"/>
    <w:rsid w:val="00C97BBB"/>
    <w:rsid w:val="00C97CAB"/>
    <w:rsid w:val="00C97E28"/>
    <w:rsid w:val="00CA04BD"/>
    <w:rsid w:val="00CA059E"/>
    <w:rsid w:val="00CA05A2"/>
    <w:rsid w:val="00CA071A"/>
    <w:rsid w:val="00CA0BC4"/>
    <w:rsid w:val="00CA0DCC"/>
    <w:rsid w:val="00CA0FE6"/>
    <w:rsid w:val="00CA1069"/>
    <w:rsid w:val="00CA1A1B"/>
    <w:rsid w:val="00CA1A4C"/>
    <w:rsid w:val="00CA1D23"/>
    <w:rsid w:val="00CA2C95"/>
    <w:rsid w:val="00CA344A"/>
    <w:rsid w:val="00CA3579"/>
    <w:rsid w:val="00CA3663"/>
    <w:rsid w:val="00CA3BCA"/>
    <w:rsid w:val="00CA3DF8"/>
    <w:rsid w:val="00CA3E02"/>
    <w:rsid w:val="00CA4298"/>
    <w:rsid w:val="00CA4300"/>
    <w:rsid w:val="00CA44A7"/>
    <w:rsid w:val="00CA4991"/>
    <w:rsid w:val="00CA4CBB"/>
    <w:rsid w:val="00CA4D23"/>
    <w:rsid w:val="00CA4F9E"/>
    <w:rsid w:val="00CA5646"/>
    <w:rsid w:val="00CA576C"/>
    <w:rsid w:val="00CA5ABA"/>
    <w:rsid w:val="00CA5FE2"/>
    <w:rsid w:val="00CA640A"/>
    <w:rsid w:val="00CA6EDF"/>
    <w:rsid w:val="00CA6FB1"/>
    <w:rsid w:val="00CA713C"/>
    <w:rsid w:val="00CA72B6"/>
    <w:rsid w:val="00CA72FC"/>
    <w:rsid w:val="00CA76B8"/>
    <w:rsid w:val="00CA7955"/>
    <w:rsid w:val="00CA7B65"/>
    <w:rsid w:val="00CA7C5B"/>
    <w:rsid w:val="00CB0B43"/>
    <w:rsid w:val="00CB0D24"/>
    <w:rsid w:val="00CB0DDD"/>
    <w:rsid w:val="00CB0DF4"/>
    <w:rsid w:val="00CB0F0C"/>
    <w:rsid w:val="00CB10FA"/>
    <w:rsid w:val="00CB164B"/>
    <w:rsid w:val="00CB166D"/>
    <w:rsid w:val="00CB16D2"/>
    <w:rsid w:val="00CB1AE5"/>
    <w:rsid w:val="00CB1B91"/>
    <w:rsid w:val="00CB2045"/>
    <w:rsid w:val="00CB2463"/>
    <w:rsid w:val="00CB2556"/>
    <w:rsid w:val="00CB25A3"/>
    <w:rsid w:val="00CB25BE"/>
    <w:rsid w:val="00CB2675"/>
    <w:rsid w:val="00CB2801"/>
    <w:rsid w:val="00CB2A88"/>
    <w:rsid w:val="00CB2D14"/>
    <w:rsid w:val="00CB3271"/>
    <w:rsid w:val="00CB32E4"/>
    <w:rsid w:val="00CB34D9"/>
    <w:rsid w:val="00CB356A"/>
    <w:rsid w:val="00CB35CC"/>
    <w:rsid w:val="00CB3A4F"/>
    <w:rsid w:val="00CB3D1F"/>
    <w:rsid w:val="00CB3F8D"/>
    <w:rsid w:val="00CB41C2"/>
    <w:rsid w:val="00CB4459"/>
    <w:rsid w:val="00CB4605"/>
    <w:rsid w:val="00CB47EA"/>
    <w:rsid w:val="00CB48EE"/>
    <w:rsid w:val="00CB4904"/>
    <w:rsid w:val="00CB4ABA"/>
    <w:rsid w:val="00CB4B00"/>
    <w:rsid w:val="00CB4B25"/>
    <w:rsid w:val="00CB4C82"/>
    <w:rsid w:val="00CB516F"/>
    <w:rsid w:val="00CB52AD"/>
    <w:rsid w:val="00CB562F"/>
    <w:rsid w:val="00CB58F2"/>
    <w:rsid w:val="00CB5C76"/>
    <w:rsid w:val="00CB5D3F"/>
    <w:rsid w:val="00CB5ED8"/>
    <w:rsid w:val="00CB601F"/>
    <w:rsid w:val="00CB6066"/>
    <w:rsid w:val="00CB60A9"/>
    <w:rsid w:val="00CB6543"/>
    <w:rsid w:val="00CB6A5C"/>
    <w:rsid w:val="00CB6A96"/>
    <w:rsid w:val="00CB70BA"/>
    <w:rsid w:val="00CB7126"/>
    <w:rsid w:val="00CB712B"/>
    <w:rsid w:val="00CB7157"/>
    <w:rsid w:val="00CB71B8"/>
    <w:rsid w:val="00CB7481"/>
    <w:rsid w:val="00CB74DC"/>
    <w:rsid w:val="00CB7CC2"/>
    <w:rsid w:val="00CB7DCC"/>
    <w:rsid w:val="00CB7F32"/>
    <w:rsid w:val="00CC02CD"/>
    <w:rsid w:val="00CC044C"/>
    <w:rsid w:val="00CC0703"/>
    <w:rsid w:val="00CC0F6B"/>
    <w:rsid w:val="00CC1028"/>
    <w:rsid w:val="00CC1204"/>
    <w:rsid w:val="00CC1701"/>
    <w:rsid w:val="00CC18AD"/>
    <w:rsid w:val="00CC1A4A"/>
    <w:rsid w:val="00CC1D85"/>
    <w:rsid w:val="00CC20F3"/>
    <w:rsid w:val="00CC21A2"/>
    <w:rsid w:val="00CC251D"/>
    <w:rsid w:val="00CC2933"/>
    <w:rsid w:val="00CC2DFA"/>
    <w:rsid w:val="00CC3000"/>
    <w:rsid w:val="00CC3176"/>
    <w:rsid w:val="00CC32E6"/>
    <w:rsid w:val="00CC3704"/>
    <w:rsid w:val="00CC39A5"/>
    <w:rsid w:val="00CC3C33"/>
    <w:rsid w:val="00CC3F9D"/>
    <w:rsid w:val="00CC43B0"/>
    <w:rsid w:val="00CC448D"/>
    <w:rsid w:val="00CC4824"/>
    <w:rsid w:val="00CC4EBD"/>
    <w:rsid w:val="00CC4F11"/>
    <w:rsid w:val="00CC510C"/>
    <w:rsid w:val="00CC5415"/>
    <w:rsid w:val="00CC555F"/>
    <w:rsid w:val="00CC577B"/>
    <w:rsid w:val="00CC57AF"/>
    <w:rsid w:val="00CC58BB"/>
    <w:rsid w:val="00CC60D9"/>
    <w:rsid w:val="00CC638D"/>
    <w:rsid w:val="00CC639A"/>
    <w:rsid w:val="00CC64A9"/>
    <w:rsid w:val="00CC67F6"/>
    <w:rsid w:val="00CC6995"/>
    <w:rsid w:val="00CC6AE9"/>
    <w:rsid w:val="00CC6DF6"/>
    <w:rsid w:val="00CC6FFE"/>
    <w:rsid w:val="00CC7403"/>
    <w:rsid w:val="00CC7F97"/>
    <w:rsid w:val="00CD0340"/>
    <w:rsid w:val="00CD07B5"/>
    <w:rsid w:val="00CD09DC"/>
    <w:rsid w:val="00CD0B32"/>
    <w:rsid w:val="00CD0B95"/>
    <w:rsid w:val="00CD0F92"/>
    <w:rsid w:val="00CD1529"/>
    <w:rsid w:val="00CD1915"/>
    <w:rsid w:val="00CD1B0C"/>
    <w:rsid w:val="00CD1DF7"/>
    <w:rsid w:val="00CD20D7"/>
    <w:rsid w:val="00CD21D7"/>
    <w:rsid w:val="00CD233A"/>
    <w:rsid w:val="00CD24A2"/>
    <w:rsid w:val="00CD2708"/>
    <w:rsid w:val="00CD29AD"/>
    <w:rsid w:val="00CD2DB1"/>
    <w:rsid w:val="00CD3221"/>
    <w:rsid w:val="00CD3574"/>
    <w:rsid w:val="00CD358C"/>
    <w:rsid w:val="00CD3ABD"/>
    <w:rsid w:val="00CD3AD1"/>
    <w:rsid w:val="00CD3B00"/>
    <w:rsid w:val="00CD3EDC"/>
    <w:rsid w:val="00CD4672"/>
    <w:rsid w:val="00CD4994"/>
    <w:rsid w:val="00CD4B6A"/>
    <w:rsid w:val="00CD4D03"/>
    <w:rsid w:val="00CD4DA4"/>
    <w:rsid w:val="00CD4DF9"/>
    <w:rsid w:val="00CD4E8B"/>
    <w:rsid w:val="00CD521F"/>
    <w:rsid w:val="00CD529C"/>
    <w:rsid w:val="00CD5534"/>
    <w:rsid w:val="00CD55B5"/>
    <w:rsid w:val="00CD5625"/>
    <w:rsid w:val="00CD5903"/>
    <w:rsid w:val="00CD5BE4"/>
    <w:rsid w:val="00CD5C2B"/>
    <w:rsid w:val="00CD5D01"/>
    <w:rsid w:val="00CD5D66"/>
    <w:rsid w:val="00CD5E89"/>
    <w:rsid w:val="00CD5F2E"/>
    <w:rsid w:val="00CD5F8C"/>
    <w:rsid w:val="00CD632C"/>
    <w:rsid w:val="00CD64CF"/>
    <w:rsid w:val="00CD65C4"/>
    <w:rsid w:val="00CD6622"/>
    <w:rsid w:val="00CD66B4"/>
    <w:rsid w:val="00CD6BCE"/>
    <w:rsid w:val="00CD6BDC"/>
    <w:rsid w:val="00CD6C43"/>
    <w:rsid w:val="00CD6E01"/>
    <w:rsid w:val="00CD73AA"/>
    <w:rsid w:val="00CD7511"/>
    <w:rsid w:val="00CD7663"/>
    <w:rsid w:val="00CD772E"/>
    <w:rsid w:val="00CD7845"/>
    <w:rsid w:val="00CD79C8"/>
    <w:rsid w:val="00CD7E86"/>
    <w:rsid w:val="00CD7F0B"/>
    <w:rsid w:val="00CE0240"/>
    <w:rsid w:val="00CE0282"/>
    <w:rsid w:val="00CE06FF"/>
    <w:rsid w:val="00CE0865"/>
    <w:rsid w:val="00CE0B30"/>
    <w:rsid w:val="00CE0EF9"/>
    <w:rsid w:val="00CE0FD2"/>
    <w:rsid w:val="00CE10BE"/>
    <w:rsid w:val="00CE1177"/>
    <w:rsid w:val="00CE127D"/>
    <w:rsid w:val="00CE16BF"/>
    <w:rsid w:val="00CE16EA"/>
    <w:rsid w:val="00CE16FC"/>
    <w:rsid w:val="00CE1948"/>
    <w:rsid w:val="00CE195C"/>
    <w:rsid w:val="00CE1B52"/>
    <w:rsid w:val="00CE1B7E"/>
    <w:rsid w:val="00CE2224"/>
    <w:rsid w:val="00CE2464"/>
    <w:rsid w:val="00CE267F"/>
    <w:rsid w:val="00CE284A"/>
    <w:rsid w:val="00CE2B5B"/>
    <w:rsid w:val="00CE2B9C"/>
    <w:rsid w:val="00CE2E6E"/>
    <w:rsid w:val="00CE30AE"/>
    <w:rsid w:val="00CE3620"/>
    <w:rsid w:val="00CE3866"/>
    <w:rsid w:val="00CE3B57"/>
    <w:rsid w:val="00CE3C8B"/>
    <w:rsid w:val="00CE3D25"/>
    <w:rsid w:val="00CE3D5B"/>
    <w:rsid w:val="00CE3DEC"/>
    <w:rsid w:val="00CE4051"/>
    <w:rsid w:val="00CE40E5"/>
    <w:rsid w:val="00CE4405"/>
    <w:rsid w:val="00CE4485"/>
    <w:rsid w:val="00CE44CF"/>
    <w:rsid w:val="00CE4647"/>
    <w:rsid w:val="00CE4673"/>
    <w:rsid w:val="00CE46C8"/>
    <w:rsid w:val="00CE4AEC"/>
    <w:rsid w:val="00CE4B03"/>
    <w:rsid w:val="00CE4CFD"/>
    <w:rsid w:val="00CE4DCA"/>
    <w:rsid w:val="00CE4F72"/>
    <w:rsid w:val="00CE5145"/>
    <w:rsid w:val="00CE5441"/>
    <w:rsid w:val="00CE5B61"/>
    <w:rsid w:val="00CE5CE9"/>
    <w:rsid w:val="00CE5DEC"/>
    <w:rsid w:val="00CE63C3"/>
    <w:rsid w:val="00CE63D4"/>
    <w:rsid w:val="00CE64EE"/>
    <w:rsid w:val="00CE66A9"/>
    <w:rsid w:val="00CE6B87"/>
    <w:rsid w:val="00CE6C24"/>
    <w:rsid w:val="00CE73CE"/>
    <w:rsid w:val="00CE754B"/>
    <w:rsid w:val="00CE777E"/>
    <w:rsid w:val="00CE794B"/>
    <w:rsid w:val="00CE7B48"/>
    <w:rsid w:val="00CE7CF5"/>
    <w:rsid w:val="00CF0062"/>
    <w:rsid w:val="00CF0B81"/>
    <w:rsid w:val="00CF151C"/>
    <w:rsid w:val="00CF1549"/>
    <w:rsid w:val="00CF1591"/>
    <w:rsid w:val="00CF193E"/>
    <w:rsid w:val="00CF1DDB"/>
    <w:rsid w:val="00CF2922"/>
    <w:rsid w:val="00CF2BEE"/>
    <w:rsid w:val="00CF2E19"/>
    <w:rsid w:val="00CF3033"/>
    <w:rsid w:val="00CF3369"/>
    <w:rsid w:val="00CF3645"/>
    <w:rsid w:val="00CF36EC"/>
    <w:rsid w:val="00CF3B53"/>
    <w:rsid w:val="00CF3CEF"/>
    <w:rsid w:val="00CF3D96"/>
    <w:rsid w:val="00CF3E05"/>
    <w:rsid w:val="00CF3E2C"/>
    <w:rsid w:val="00CF3F97"/>
    <w:rsid w:val="00CF427B"/>
    <w:rsid w:val="00CF4991"/>
    <w:rsid w:val="00CF4A43"/>
    <w:rsid w:val="00CF4B1D"/>
    <w:rsid w:val="00CF4C31"/>
    <w:rsid w:val="00CF4D2D"/>
    <w:rsid w:val="00CF4E78"/>
    <w:rsid w:val="00CF4FC1"/>
    <w:rsid w:val="00CF55BB"/>
    <w:rsid w:val="00CF5734"/>
    <w:rsid w:val="00CF58A4"/>
    <w:rsid w:val="00CF5C02"/>
    <w:rsid w:val="00CF5F36"/>
    <w:rsid w:val="00CF631D"/>
    <w:rsid w:val="00CF6589"/>
    <w:rsid w:val="00CF66E8"/>
    <w:rsid w:val="00CF6783"/>
    <w:rsid w:val="00CF686F"/>
    <w:rsid w:val="00CF6B68"/>
    <w:rsid w:val="00CF6D05"/>
    <w:rsid w:val="00CF7049"/>
    <w:rsid w:val="00CF7153"/>
    <w:rsid w:val="00CF72AA"/>
    <w:rsid w:val="00CF7558"/>
    <w:rsid w:val="00CF7A85"/>
    <w:rsid w:val="00CF7DA5"/>
    <w:rsid w:val="00D000B5"/>
    <w:rsid w:val="00D0021D"/>
    <w:rsid w:val="00D00363"/>
    <w:rsid w:val="00D0062F"/>
    <w:rsid w:val="00D00753"/>
    <w:rsid w:val="00D00CC6"/>
    <w:rsid w:val="00D0153D"/>
    <w:rsid w:val="00D01735"/>
    <w:rsid w:val="00D01B50"/>
    <w:rsid w:val="00D01D54"/>
    <w:rsid w:val="00D01E17"/>
    <w:rsid w:val="00D02687"/>
    <w:rsid w:val="00D026D1"/>
    <w:rsid w:val="00D027DD"/>
    <w:rsid w:val="00D02AE0"/>
    <w:rsid w:val="00D02EBC"/>
    <w:rsid w:val="00D03337"/>
    <w:rsid w:val="00D037B7"/>
    <w:rsid w:val="00D0388A"/>
    <w:rsid w:val="00D0392D"/>
    <w:rsid w:val="00D039BF"/>
    <w:rsid w:val="00D03C97"/>
    <w:rsid w:val="00D04150"/>
    <w:rsid w:val="00D046AE"/>
    <w:rsid w:val="00D049CE"/>
    <w:rsid w:val="00D04A8D"/>
    <w:rsid w:val="00D04E0C"/>
    <w:rsid w:val="00D04F42"/>
    <w:rsid w:val="00D04FAF"/>
    <w:rsid w:val="00D0525A"/>
    <w:rsid w:val="00D05A98"/>
    <w:rsid w:val="00D05C52"/>
    <w:rsid w:val="00D06083"/>
    <w:rsid w:val="00D0632B"/>
    <w:rsid w:val="00D0653E"/>
    <w:rsid w:val="00D0669C"/>
    <w:rsid w:val="00D069CE"/>
    <w:rsid w:val="00D06F26"/>
    <w:rsid w:val="00D07A4D"/>
    <w:rsid w:val="00D07E15"/>
    <w:rsid w:val="00D101A7"/>
    <w:rsid w:val="00D101D7"/>
    <w:rsid w:val="00D1054D"/>
    <w:rsid w:val="00D10637"/>
    <w:rsid w:val="00D1087E"/>
    <w:rsid w:val="00D108C6"/>
    <w:rsid w:val="00D108E9"/>
    <w:rsid w:val="00D114F4"/>
    <w:rsid w:val="00D11594"/>
    <w:rsid w:val="00D11720"/>
    <w:rsid w:val="00D11B77"/>
    <w:rsid w:val="00D11CDC"/>
    <w:rsid w:val="00D11CDF"/>
    <w:rsid w:val="00D11F30"/>
    <w:rsid w:val="00D124E2"/>
    <w:rsid w:val="00D12D41"/>
    <w:rsid w:val="00D12F94"/>
    <w:rsid w:val="00D131AA"/>
    <w:rsid w:val="00D131BA"/>
    <w:rsid w:val="00D13495"/>
    <w:rsid w:val="00D1382C"/>
    <w:rsid w:val="00D13882"/>
    <w:rsid w:val="00D13F45"/>
    <w:rsid w:val="00D14190"/>
    <w:rsid w:val="00D14346"/>
    <w:rsid w:val="00D14381"/>
    <w:rsid w:val="00D14DCF"/>
    <w:rsid w:val="00D14DFE"/>
    <w:rsid w:val="00D152BC"/>
    <w:rsid w:val="00D1540B"/>
    <w:rsid w:val="00D15B11"/>
    <w:rsid w:val="00D15C33"/>
    <w:rsid w:val="00D15CBC"/>
    <w:rsid w:val="00D15CCF"/>
    <w:rsid w:val="00D161F6"/>
    <w:rsid w:val="00D16342"/>
    <w:rsid w:val="00D16A5A"/>
    <w:rsid w:val="00D16D82"/>
    <w:rsid w:val="00D17202"/>
    <w:rsid w:val="00D173F3"/>
    <w:rsid w:val="00D17529"/>
    <w:rsid w:val="00D17C49"/>
    <w:rsid w:val="00D17C96"/>
    <w:rsid w:val="00D17E0E"/>
    <w:rsid w:val="00D200A9"/>
    <w:rsid w:val="00D20100"/>
    <w:rsid w:val="00D20265"/>
    <w:rsid w:val="00D206BA"/>
    <w:rsid w:val="00D206E2"/>
    <w:rsid w:val="00D208B2"/>
    <w:rsid w:val="00D208ED"/>
    <w:rsid w:val="00D20BCA"/>
    <w:rsid w:val="00D20CF0"/>
    <w:rsid w:val="00D20D38"/>
    <w:rsid w:val="00D2102C"/>
    <w:rsid w:val="00D2160F"/>
    <w:rsid w:val="00D21E88"/>
    <w:rsid w:val="00D22133"/>
    <w:rsid w:val="00D221E8"/>
    <w:rsid w:val="00D2233C"/>
    <w:rsid w:val="00D22442"/>
    <w:rsid w:val="00D22765"/>
    <w:rsid w:val="00D22824"/>
    <w:rsid w:val="00D228F4"/>
    <w:rsid w:val="00D22C61"/>
    <w:rsid w:val="00D22E20"/>
    <w:rsid w:val="00D22FC5"/>
    <w:rsid w:val="00D22FEB"/>
    <w:rsid w:val="00D231CA"/>
    <w:rsid w:val="00D233C2"/>
    <w:rsid w:val="00D23560"/>
    <w:rsid w:val="00D23E43"/>
    <w:rsid w:val="00D23F10"/>
    <w:rsid w:val="00D24672"/>
    <w:rsid w:val="00D247EC"/>
    <w:rsid w:val="00D247F0"/>
    <w:rsid w:val="00D2484B"/>
    <w:rsid w:val="00D248D2"/>
    <w:rsid w:val="00D249CD"/>
    <w:rsid w:val="00D24A11"/>
    <w:rsid w:val="00D24D9B"/>
    <w:rsid w:val="00D2500E"/>
    <w:rsid w:val="00D25108"/>
    <w:rsid w:val="00D25334"/>
    <w:rsid w:val="00D2584D"/>
    <w:rsid w:val="00D25CB8"/>
    <w:rsid w:val="00D25E01"/>
    <w:rsid w:val="00D263B5"/>
    <w:rsid w:val="00D2653F"/>
    <w:rsid w:val="00D26747"/>
    <w:rsid w:val="00D26A9F"/>
    <w:rsid w:val="00D26BF9"/>
    <w:rsid w:val="00D26C5E"/>
    <w:rsid w:val="00D26E0C"/>
    <w:rsid w:val="00D26F83"/>
    <w:rsid w:val="00D27166"/>
    <w:rsid w:val="00D27479"/>
    <w:rsid w:val="00D27729"/>
    <w:rsid w:val="00D27933"/>
    <w:rsid w:val="00D27A0E"/>
    <w:rsid w:val="00D27A27"/>
    <w:rsid w:val="00D27AAD"/>
    <w:rsid w:val="00D27D8B"/>
    <w:rsid w:val="00D27F1F"/>
    <w:rsid w:val="00D27F7B"/>
    <w:rsid w:val="00D30280"/>
    <w:rsid w:val="00D302E4"/>
    <w:rsid w:val="00D304F4"/>
    <w:rsid w:val="00D30954"/>
    <w:rsid w:val="00D3111C"/>
    <w:rsid w:val="00D3129E"/>
    <w:rsid w:val="00D31441"/>
    <w:rsid w:val="00D31F8F"/>
    <w:rsid w:val="00D321C7"/>
    <w:rsid w:val="00D32451"/>
    <w:rsid w:val="00D325C2"/>
    <w:rsid w:val="00D327F6"/>
    <w:rsid w:val="00D329E6"/>
    <w:rsid w:val="00D32A68"/>
    <w:rsid w:val="00D32ECC"/>
    <w:rsid w:val="00D3392F"/>
    <w:rsid w:val="00D33AD3"/>
    <w:rsid w:val="00D33B82"/>
    <w:rsid w:val="00D33BF1"/>
    <w:rsid w:val="00D33CF4"/>
    <w:rsid w:val="00D346F0"/>
    <w:rsid w:val="00D34926"/>
    <w:rsid w:val="00D34E16"/>
    <w:rsid w:val="00D35120"/>
    <w:rsid w:val="00D35509"/>
    <w:rsid w:val="00D35547"/>
    <w:rsid w:val="00D355F6"/>
    <w:rsid w:val="00D357A7"/>
    <w:rsid w:val="00D3593B"/>
    <w:rsid w:val="00D35D07"/>
    <w:rsid w:val="00D35DDB"/>
    <w:rsid w:val="00D35EC6"/>
    <w:rsid w:val="00D35FCF"/>
    <w:rsid w:val="00D36442"/>
    <w:rsid w:val="00D36523"/>
    <w:rsid w:val="00D36584"/>
    <w:rsid w:val="00D36C27"/>
    <w:rsid w:val="00D36D6B"/>
    <w:rsid w:val="00D3744F"/>
    <w:rsid w:val="00D377A3"/>
    <w:rsid w:val="00D37A52"/>
    <w:rsid w:val="00D37BB2"/>
    <w:rsid w:val="00D37CBE"/>
    <w:rsid w:val="00D404A9"/>
    <w:rsid w:val="00D40759"/>
    <w:rsid w:val="00D40D0F"/>
    <w:rsid w:val="00D40F5B"/>
    <w:rsid w:val="00D41204"/>
    <w:rsid w:val="00D412BE"/>
    <w:rsid w:val="00D416F8"/>
    <w:rsid w:val="00D41813"/>
    <w:rsid w:val="00D4182C"/>
    <w:rsid w:val="00D41CA0"/>
    <w:rsid w:val="00D41CB7"/>
    <w:rsid w:val="00D42130"/>
    <w:rsid w:val="00D4283D"/>
    <w:rsid w:val="00D4286B"/>
    <w:rsid w:val="00D4358B"/>
    <w:rsid w:val="00D435AA"/>
    <w:rsid w:val="00D4362D"/>
    <w:rsid w:val="00D43712"/>
    <w:rsid w:val="00D43997"/>
    <w:rsid w:val="00D43C24"/>
    <w:rsid w:val="00D43D57"/>
    <w:rsid w:val="00D43DD4"/>
    <w:rsid w:val="00D43E38"/>
    <w:rsid w:val="00D43E42"/>
    <w:rsid w:val="00D4451A"/>
    <w:rsid w:val="00D44759"/>
    <w:rsid w:val="00D44A8A"/>
    <w:rsid w:val="00D4503A"/>
    <w:rsid w:val="00D45175"/>
    <w:rsid w:val="00D45D00"/>
    <w:rsid w:val="00D45D6E"/>
    <w:rsid w:val="00D45E90"/>
    <w:rsid w:val="00D4604B"/>
    <w:rsid w:val="00D46440"/>
    <w:rsid w:val="00D469FE"/>
    <w:rsid w:val="00D46C9F"/>
    <w:rsid w:val="00D46CA6"/>
    <w:rsid w:val="00D4749A"/>
    <w:rsid w:val="00D47B1D"/>
    <w:rsid w:val="00D47B54"/>
    <w:rsid w:val="00D47C2D"/>
    <w:rsid w:val="00D47D9C"/>
    <w:rsid w:val="00D47FEC"/>
    <w:rsid w:val="00D507A7"/>
    <w:rsid w:val="00D50878"/>
    <w:rsid w:val="00D509D5"/>
    <w:rsid w:val="00D50A7D"/>
    <w:rsid w:val="00D50AF1"/>
    <w:rsid w:val="00D50EE6"/>
    <w:rsid w:val="00D50F41"/>
    <w:rsid w:val="00D50F5F"/>
    <w:rsid w:val="00D5129C"/>
    <w:rsid w:val="00D51416"/>
    <w:rsid w:val="00D518A6"/>
    <w:rsid w:val="00D51AC1"/>
    <w:rsid w:val="00D51BC7"/>
    <w:rsid w:val="00D51C49"/>
    <w:rsid w:val="00D521E0"/>
    <w:rsid w:val="00D52314"/>
    <w:rsid w:val="00D52476"/>
    <w:rsid w:val="00D524E3"/>
    <w:rsid w:val="00D5250F"/>
    <w:rsid w:val="00D5280E"/>
    <w:rsid w:val="00D52F45"/>
    <w:rsid w:val="00D52FB5"/>
    <w:rsid w:val="00D530CC"/>
    <w:rsid w:val="00D53107"/>
    <w:rsid w:val="00D53622"/>
    <w:rsid w:val="00D53720"/>
    <w:rsid w:val="00D539C2"/>
    <w:rsid w:val="00D54950"/>
    <w:rsid w:val="00D54CAC"/>
    <w:rsid w:val="00D54DE0"/>
    <w:rsid w:val="00D54F87"/>
    <w:rsid w:val="00D5554D"/>
    <w:rsid w:val="00D556B1"/>
    <w:rsid w:val="00D55DE6"/>
    <w:rsid w:val="00D55E81"/>
    <w:rsid w:val="00D561C4"/>
    <w:rsid w:val="00D5626D"/>
    <w:rsid w:val="00D56506"/>
    <w:rsid w:val="00D565D0"/>
    <w:rsid w:val="00D5661D"/>
    <w:rsid w:val="00D567BF"/>
    <w:rsid w:val="00D5695B"/>
    <w:rsid w:val="00D56AFE"/>
    <w:rsid w:val="00D571C6"/>
    <w:rsid w:val="00D572BA"/>
    <w:rsid w:val="00D57618"/>
    <w:rsid w:val="00D576BA"/>
    <w:rsid w:val="00D57785"/>
    <w:rsid w:val="00D578BC"/>
    <w:rsid w:val="00D60117"/>
    <w:rsid w:val="00D60B01"/>
    <w:rsid w:val="00D60CD4"/>
    <w:rsid w:val="00D61682"/>
    <w:rsid w:val="00D61EA8"/>
    <w:rsid w:val="00D62284"/>
    <w:rsid w:val="00D62AC6"/>
    <w:rsid w:val="00D63268"/>
    <w:rsid w:val="00D632C5"/>
    <w:rsid w:val="00D6334E"/>
    <w:rsid w:val="00D63569"/>
    <w:rsid w:val="00D638DF"/>
    <w:rsid w:val="00D63EB0"/>
    <w:rsid w:val="00D6442C"/>
    <w:rsid w:val="00D644F5"/>
    <w:rsid w:val="00D64A62"/>
    <w:rsid w:val="00D64B53"/>
    <w:rsid w:val="00D64ECE"/>
    <w:rsid w:val="00D654D1"/>
    <w:rsid w:val="00D655E6"/>
    <w:rsid w:val="00D6575F"/>
    <w:rsid w:val="00D6609F"/>
    <w:rsid w:val="00D663FC"/>
    <w:rsid w:val="00D665F5"/>
    <w:rsid w:val="00D666BF"/>
    <w:rsid w:val="00D66728"/>
    <w:rsid w:val="00D66BC2"/>
    <w:rsid w:val="00D674A4"/>
    <w:rsid w:val="00D67A41"/>
    <w:rsid w:val="00D67BA0"/>
    <w:rsid w:val="00D67BFE"/>
    <w:rsid w:val="00D67EF6"/>
    <w:rsid w:val="00D67F11"/>
    <w:rsid w:val="00D67F36"/>
    <w:rsid w:val="00D7046D"/>
    <w:rsid w:val="00D70731"/>
    <w:rsid w:val="00D709EE"/>
    <w:rsid w:val="00D70A18"/>
    <w:rsid w:val="00D70B1F"/>
    <w:rsid w:val="00D70D5A"/>
    <w:rsid w:val="00D70EC1"/>
    <w:rsid w:val="00D711F2"/>
    <w:rsid w:val="00D71321"/>
    <w:rsid w:val="00D713AF"/>
    <w:rsid w:val="00D7152D"/>
    <w:rsid w:val="00D71760"/>
    <w:rsid w:val="00D71D75"/>
    <w:rsid w:val="00D71E8A"/>
    <w:rsid w:val="00D72827"/>
    <w:rsid w:val="00D728A8"/>
    <w:rsid w:val="00D7296A"/>
    <w:rsid w:val="00D72B2B"/>
    <w:rsid w:val="00D72C9D"/>
    <w:rsid w:val="00D72E76"/>
    <w:rsid w:val="00D72F78"/>
    <w:rsid w:val="00D73191"/>
    <w:rsid w:val="00D732E7"/>
    <w:rsid w:val="00D734A9"/>
    <w:rsid w:val="00D73828"/>
    <w:rsid w:val="00D738AB"/>
    <w:rsid w:val="00D73A9F"/>
    <w:rsid w:val="00D73F59"/>
    <w:rsid w:val="00D74107"/>
    <w:rsid w:val="00D7425F"/>
    <w:rsid w:val="00D743AE"/>
    <w:rsid w:val="00D74685"/>
    <w:rsid w:val="00D74AD0"/>
    <w:rsid w:val="00D74B31"/>
    <w:rsid w:val="00D74B63"/>
    <w:rsid w:val="00D75202"/>
    <w:rsid w:val="00D754A8"/>
    <w:rsid w:val="00D75A1A"/>
    <w:rsid w:val="00D75EE1"/>
    <w:rsid w:val="00D763F6"/>
    <w:rsid w:val="00D76AE5"/>
    <w:rsid w:val="00D76DB2"/>
    <w:rsid w:val="00D76DB6"/>
    <w:rsid w:val="00D76E15"/>
    <w:rsid w:val="00D77040"/>
    <w:rsid w:val="00D772C4"/>
    <w:rsid w:val="00D773C5"/>
    <w:rsid w:val="00D77502"/>
    <w:rsid w:val="00D77707"/>
    <w:rsid w:val="00D778F2"/>
    <w:rsid w:val="00D7798D"/>
    <w:rsid w:val="00D77F05"/>
    <w:rsid w:val="00D802A3"/>
    <w:rsid w:val="00D80F89"/>
    <w:rsid w:val="00D80FFC"/>
    <w:rsid w:val="00D817DA"/>
    <w:rsid w:val="00D8181D"/>
    <w:rsid w:val="00D81B13"/>
    <w:rsid w:val="00D81D03"/>
    <w:rsid w:val="00D81E37"/>
    <w:rsid w:val="00D820DE"/>
    <w:rsid w:val="00D82237"/>
    <w:rsid w:val="00D82722"/>
    <w:rsid w:val="00D82995"/>
    <w:rsid w:val="00D82CAA"/>
    <w:rsid w:val="00D82D09"/>
    <w:rsid w:val="00D82D53"/>
    <w:rsid w:val="00D83118"/>
    <w:rsid w:val="00D83417"/>
    <w:rsid w:val="00D83A30"/>
    <w:rsid w:val="00D83A57"/>
    <w:rsid w:val="00D83B4A"/>
    <w:rsid w:val="00D83DCC"/>
    <w:rsid w:val="00D84023"/>
    <w:rsid w:val="00D840A3"/>
    <w:rsid w:val="00D843E1"/>
    <w:rsid w:val="00D8444D"/>
    <w:rsid w:val="00D84732"/>
    <w:rsid w:val="00D8477C"/>
    <w:rsid w:val="00D84850"/>
    <w:rsid w:val="00D848BE"/>
    <w:rsid w:val="00D84F38"/>
    <w:rsid w:val="00D85243"/>
    <w:rsid w:val="00D85664"/>
    <w:rsid w:val="00D85781"/>
    <w:rsid w:val="00D867A6"/>
    <w:rsid w:val="00D86934"/>
    <w:rsid w:val="00D86999"/>
    <w:rsid w:val="00D86BC6"/>
    <w:rsid w:val="00D86C73"/>
    <w:rsid w:val="00D86F05"/>
    <w:rsid w:val="00D86F33"/>
    <w:rsid w:val="00D8708C"/>
    <w:rsid w:val="00D87155"/>
    <w:rsid w:val="00D87318"/>
    <w:rsid w:val="00D87A84"/>
    <w:rsid w:val="00D87E7B"/>
    <w:rsid w:val="00D90828"/>
    <w:rsid w:val="00D9086D"/>
    <w:rsid w:val="00D90E45"/>
    <w:rsid w:val="00D90F7F"/>
    <w:rsid w:val="00D91046"/>
    <w:rsid w:val="00D91156"/>
    <w:rsid w:val="00D91275"/>
    <w:rsid w:val="00D917E0"/>
    <w:rsid w:val="00D91D06"/>
    <w:rsid w:val="00D91EF5"/>
    <w:rsid w:val="00D9223A"/>
    <w:rsid w:val="00D92267"/>
    <w:rsid w:val="00D9234C"/>
    <w:rsid w:val="00D92495"/>
    <w:rsid w:val="00D924F4"/>
    <w:rsid w:val="00D9262E"/>
    <w:rsid w:val="00D92829"/>
    <w:rsid w:val="00D93015"/>
    <w:rsid w:val="00D9327A"/>
    <w:rsid w:val="00D935C2"/>
    <w:rsid w:val="00D93663"/>
    <w:rsid w:val="00D93971"/>
    <w:rsid w:val="00D93A69"/>
    <w:rsid w:val="00D93C1F"/>
    <w:rsid w:val="00D93F5C"/>
    <w:rsid w:val="00D93FA5"/>
    <w:rsid w:val="00D94023"/>
    <w:rsid w:val="00D940F9"/>
    <w:rsid w:val="00D94412"/>
    <w:rsid w:val="00D946A7"/>
    <w:rsid w:val="00D94A21"/>
    <w:rsid w:val="00D95196"/>
    <w:rsid w:val="00D9532C"/>
    <w:rsid w:val="00D955A5"/>
    <w:rsid w:val="00D95879"/>
    <w:rsid w:val="00D95A4A"/>
    <w:rsid w:val="00D95D20"/>
    <w:rsid w:val="00D95DA1"/>
    <w:rsid w:val="00D95DBD"/>
    <w:rsid w:val="00D96568"/>
    <w:rsid w:val="00D96A34"/>
    <w:rsid w:val="00D96C7C"/>
    <w:rsid w:val="00D96DCE"/>
    <w:rsid w:val="00D975FD"/>
    <w:rsid w:val="00D97820"/>
    <w:rsid w:val="00D978BB"/>
    <w:rsid w:val="00D978C1"/>
    <w:rsid w:val="00D97A5E"/>
    <w:rsid w:val="00D97A8D"/>
    <w:rsid w:val="00D97B66"/>
    <w:rsid w:val="00D97C8C"/>
    <w:rsid w:val="00D97EC9"/>
    <w:rsid w:val="00D97EE7"/>
    <w:rsid w:val="00DA0181"/>
    <w:rsid w:val="00DA0531"/>
    <w:rsid w:val="00DA06C0"/>
    <w:rsid w:val="00DA09E3"/>
    <w:rsid w:val="00DA0A4B"/>
    <w:rsid w:val="00DA0C21"/>
    <w:rsid w:val="00DA0C3A"/>
    <w:rsid w:val="00DA1118"/>
    <w:rsid w:val="00DA165D"/>
    <w:rsid w:val="00DA1799"/>
    <w:rsid w:val="00DA1858"/>
    <w:rsid w:val="00DA18AB"/>
    <w:rsid w:val="00DA1B6A"/>
    <w:rsid w:val="00DA1F7A"/>
    <w:rsid w:val="00DA2368"/>
    <w:rsid w:val="00DA27DE"/>
    <w:rsid w:val="00DA2E2E"/>
    <w:rsid w:val="00DA2FCF"/>
    <w:rsid w:val="00DA2FD0"/>
    <w:rsid w:val="00DA3001"/>
    <w:rsid w:val="00DA3063"/>
    <w:rsid w:val="00DA327D"/>
    <w:rsid w:val="00DA354E"/>
    <w:rsid w:val="00DA3870"/>
    <w:rsid w:val="00DA3DB7"/>
    <w:rsid w:val="00DA40D5"/>
    <w:rsid w:val="00DA438D"/>
    <w:rsid w:val="00DA457A"/>
    <w:rsid w:val="00DA4639"/>
    <w:rsid w:val="00DA4892"/>
    <w:rsid w:val="00DA4B79"/>
    <w:rsid w:val="00DA4B8A"/>
    <w:rsid w:val="00DA5094"/>
    <w:rsid w:val="00DA536F"/>
    <w:rsid w:val="00DA53D7"/>
    <w:rsid w:val="00DA5950"/>
    <w:rsid w:val="00DA6606"/>
    <w:rsid w:val="00DA6698"/>
    <w:rsid w:val="00DA6810"/>
    <w:rsid w:val="00DA6835"/>
    <w:rsid w:val="00DA6E1F"/>
    <w:rsid w:val="00DA6FA2"/>
    <w:rsid w:val="00DA712E"/>
    <w:rsid w:val="00DA71D7"/>
    <w:rsid w:val="00DA7251"/>
    <w:rsid w:val="00DA743E"/>
    <w:rsid w:val="00DA793F"/>
    <w:rsid w:val="00DA7DC9"/>
    <w:rsid w:val="00DB0105"/>
    <w:rsid w:val="00DB043D"/>
    <w:rsid w:val="00DB04AB"/>
    <w:rsid w:val="00DB058C"/>
    <w:rsid w:val="00DB0A22"/>
    <w:rsid w:val="00DB106B"/>
    <w:rsid w:val="00DB1290"/>
    <w:rsid w:val="00DB1895"/>
    <w:rsid w:val="00DB1933"/>
    <w:rsid w:val="00DB1A55"/>
    <w:rsid w:val="00DB1BCE"/>
    <w:rsid w:val="00DB1CF4"/>
    <w:rsid w:val="00DB20D8"/>
    <w:rsid w:val="00DB2106"/>
    <w:rsid w:val="00DB24F5"/>
    <w:rsid w:val="00DB276F"/>
    <w:rsid w:val="00DB2870"/>
    <w:rsid w:val="00DB29A0"/>
    <w:rsid w:val="00DB2AFF"/>
    <w:rsid w:val="00DB2CC2"/>
    <w:rsid w:val="00DB2FB3"/>
    <w:rsid w:val="00DB2FE5"/>
    <w:rsid w:val="00DB3016"/>
    <w:rsid w:val="00DB3116"/>
    <w:rsid w:val="00DB3978"/>
    <w:rsid w:val="00DB3B54"/>
    <w:rsid w:val="00DB3FF2"/>
    <w:rsid w:val="00DB429B"/>
    <w:rsid w:val="00DB435A"/>
    <w:rsid w:val="00DB4860"/>
    <w:rsid w:val="00DB48D2"/>
    <w:rsid w:val="00DB4BF4"/>
    <w:rsid w:val="00DB4D90"/>
    <w:rsid w:val="00DB4EE0"/>
    <w:rsid w:val="00DB5289"/>
    <w:rsid w:val="00DB54F0"/>
    <w:rsid w:val="00DB5628"/>
    <w:rsid w:val="00DB57BE"/>
    <w:rsid w:val="00DB5C96"/>
    <w:rsid w:val="00DB60B5"/>
    <w:rsid w:val="00DB6149"/>
    <w:rsid w:val="00DB6353"/>
    <w:rsid w:val="00DB6578"/>
    <w:rsid w:val="00DB668F"/>
    <w:rsid w:val="00DB66E1"/>
    <w:rsid w:val="00DB6BBC"/>
    <w:rsid w:val="00DB6C73"/>
    <w:rsid w:val="00DB6C79"/>
    <w:rsid w:val="00DB727A"/>
    <w:rsid w:val="00DB76D4"/>
    <w:rsid w:val="00DB79D0"/>
    <w:rsid w:val="00DC00AF"/>
    <w:rsid w:val="00DC03C6"/>
    <w:rsid w:val="00DC04E5"/>
    <w:rsid w:val="00DC0860"/>
    <w:rsid w:val="00DC0A60"/>
    <w:rsid w:val="00DC0AA0"/>
    <w:rsid w:val="00DC100C"/>
    <w:rsid w:val="00DC140F"/>
    <w:rsid w:val="00DC1465"/>
    <w:rsid w:val="00DC1ECC"/>
    <w:rsid w:val="00DC274D"/>
    <w:rsid w:val="00DC2D27"/>
    <w:rsid w:val="00DC331B"/>
    <w:rsid w:val="00DC37BF"/>
    <w:rsid w:val="00DC3E8C"/>
    <w:rsid w:val="00DC4174"/>
    <w:rsid w:val="00DC430B"/>
    <w:rsid w:val="00DC43EA"/>
    <w:rsid w:val="00DC4566"/>
    <w:rsid w:val="00DC46A7"/>
    <w:rsid w:val="00DC46A9"/>
    <w:rsid w:val="00DC4ECD"/>
    <w:rsid w:val="00DC4F7E"/>
    <w:rsid w:val="00DC571D"/>
    <w:rsid w:val="00DC585E"/>
    <w:rsid w:val="00DC5C22"/>
    <w:rsid w:val="00DC5D45"/>
    <w:rsid w:val="00DC5F3D"/>
    <w:rsid w:val="00DC64B0"/>
    <w:rsid w:val="00DC64B5"/>
    <w:rsid w:val="00DC67CB"/>
    <w:rsid w:val="00DC6A66"/>
    <w:rsid w:val="00DC6C9F"/>
    <w:rsid w:val="00DC6E38"/>
    <w:rsid w:val="00DC7389"/>
    <w:rsid w:val="00DC7957"/>
    <w:rsid w:val="00DC79B2"/>
    <w:rsid w:val="00DC7E3A"/>
    <w:rsid w:val="00DD04C9"/>
    <w:rsid w:val="00DD0761"/>
    <w:rsid w:val="00DD0B74"/>
    <w:rsid w:val="00DD0DE4"/>
    <w:rsid w:val="00DD102F"/>
    <w:rsid w:val="00DD17D6"/>
    <w:rsid w:val="00DD190A"/>
    <w:rsid w:val="00DD197C"/>
    <w:rsid w:val="00DD1AF1"/>
    <w:rsid w:val="00DD1BAA"/>
    <w:rsid w:val="00DD1E64"/>
    <w:rsid w:val="00DD20BF"/>
    <w:rsid w:val="00DD24A1"/>
    <w:rsid w:val="00DD26F5"/>
    <w:rsid w:val="00DD28DD"/>
    <w:rsid w:val="00DD29AE"/>
    <w:rsid w:val="00DD3161"/>
    <w:rsid w:val="00DD31B0"/>
    <w:rsid w:val="00DD363B"/>
    <w:rsid w:val="00DD3B2E"/>
    <w:rsid w:val="00DD3CCA"/>
    <w:rsid w:val="00DD3CE7"/>
    <w:rsid w:val="00DD3D12"/>
    <w:rsid w:val="00DD3D4F"/>
    <w:rsid w:val="00DD3DDE"/>
    <w:rsid w:val="00DD3F2C"/>
    <w:rsid w:val="00DD43EE"/>
    <w:rsid w:val="00DD44CB"/>
    <w:rsid w:val="00DD4577"/>
    <w:rsid w:val="00DD469B"/>
    <w:rsid w:val="00DD48C9"/>
    <w:rsid w:val="00DD4AE2"/>
    <w:rsid w:val="00DD4BCF"/>
    <w:rsid w:val="00DD4C5D"/>
    <w:rsid w:val="00DD4CF0"/>
    <w:rsid w:val="00DD4D28"/>
    <w:rsid w:val="00DD4F1F"/>
    <w:rsid w:val="00DD56A3"/>
    <w:rsid w:val="00DD56F0"/>
    <w:rsid w:val="00DD5978"/>
    <w:rsid w:val="00DD5B58"/>
    <w:rsid w:val="00DD5DB1"/>
    <w:rsid w:val="00DD5F51"/>
    <w:rsid w:val="00DD6199"/>
    <w:rsid w:val="00DD6292"/>
    <w:rsid w:val="00DD62E2"/>
    <w:rsid w:val="00DD687A"/>
    <w:rsid w:val="00DD6AA3"/>
    <w:rsid w:val="00DD6DD4"/>
    <w:rsid w:val="00DD6E29"/>
    <w:rsid w:val="00DD6EE5"/>
    <w:rsid w:val="00DD6F98"/>
    <w:rsid w:val="00DD774B"/>
    <w:rsid w:val="00DD7C0B"/>
    <w:rsid w:val="00DD7F82"/>
    <w:rsid w:val="00DE02E2"/>
    <w:rsid w:val="00DE0344"/>
    <w:rsid w:val="00DE0823"/>
    <w:rsid w:val="00DE0B14"/>
    <w:rsid w:val="00DE0C22"/>
    <w:rsid w:val="00DE0C60"/>
    <w:rsid w:val="00DE0C95"/>
    <w:rsid w:val="00DE1154"/>
    <w:rsid w:val="00DE11E0"/>
    <w:rsid w:val="00DE1800"/>
    <w:rsid w:val="00DE199B"/>
    <w:rsid w:val="00DE19B5"/>
    <w:rsid w:val="00DE2286"/>
    <w:rsid w:val="00DE24DF"/>
    <w:rsid w:val="00DE25D7"/>
    <w:rsid w:val="00DE2791"/>
    <w:rsid w:val="00DE2DEA"/>
    <w:rsid w:val="00DE3497"/>
    <w:rsid w:val="00DE35CB"/>
    <w:rsid w:val="00DE35ED"/>
    <w:rsid w:val="00DE36C3"/>
    <w:rsid w:val="00DE3724"/>
    <w:rsid w:val="00DE3A72"/>
    <w:rsid w:val="00DE3B51"/>
    <w:rsid w:val="00DE42A7"/>
    <w:rsid w:val="00DE44E6"/>
    <w:rsid w:val="00DE45F4"/>
    <w:rsid w:val="00DE542B"/>
    <w:rsid w:val="00DE550F"/>
    <w:rsid w:val="00DE557B"/>
    <w:rsid w:val="00DE55AC"/>
    <w:rsid w:val="00DE5745"/>
    <w:rsid w:val="00DE57CC"/>
    <w:rsid w:val="00DE5C0B"/>
    <w:rsid w:val="00DE6323"/>
    <w:rsid w:val="00DE6582"/>
    <w:rsid w:val="00DE671D"/>
    <w:rsid w:val="00DE6912"/>
    <w:rsid w:val="00DE6A97"/>
    <w:rsid w:val="00DE6B0A"/>
    <w:rsid w:val="00DE6B6E"/>
    <w:rsid w:val="00DE6DAE"/>
    <w:rsid w:val="00DE7349"/>
    <w:rsid w:val="00DE740C"/>
    <w:rsid w:val="00DE7424"/>
    <w:rsid w:val="00DE745C"/>
    <w:rsid w:val="00DE7707"/>
    <w:rsid w:val="00DE7722"/>
    <w:rsid w:val="00DE7863"/>
    <w:rsid w:val="00DE7C8A"/>
    <w:rsid w:val="00DF0F66"/>
    <w:rsid w:val="00DF1C5D"/>
    <w:rsid w:val="00DF1D00"/>
    <w:rsid w:val="00DF204F"/>
    <w:rsid w:val="00DF24B6"/>
    <w:rsid w:val="00DF276C"/>
    <w:rsid w:val="00DF27C0"/>
    <w:rsid w:val="00DF290A"/>
    <w:rsid w:val="00DF2BBA"/>
    <w:rsid w:val="00DF3300"/>
    <w:rsid w:val="00DF3630"/>
    <w:rsid w:val="00DF386B"/>
    <w:rsid w:val="00DF3A06"/>
    <w:rsid w:val="00DF3F16"/>
    <w:rsid w:val="00DF400A"/>
    <w:rsid w:val="00DF455E"/>
    <w:rsid w:val="00DF45E5"/>
    <w:rsid w:val="00DF46C0"/>
    <w:rsid w:val="00DF4EC8"/>
    <w:rsid w:val="00DF4F57"/>
    <w:rsid w:val="00DF516E"/>
    <w:rsid w:val="00DF527C"/>
    <w:rsid w:val="00DF54C9"/>
    <w:rsid w:val="00DF54D4"/>
    <w:rsid w:val="00DF5695"/>
    <w:rsid w:val="00DF56A0"/>
    <w:rsid w:val="00DF578A"/>
    <w:rsid w:val="00DF58D4"/>
    <w:rsid w:val="00DF5A9A"/>
    <w:rsid w:val="00DF5B03"/>
    <w:rsid w:val="00DF5C03"/>
    <w:rsid w:val="00DF6616"/>
    <w:rsid w:val="00DF66F5"/>
    <w:rsid w:val="00DF692C"/>
    <w:rsid w:val="00DF6BE0"/>
    <w:rsid w:val="00DF6C70"/>
    <w:rsid w:val="00DF7078"/>
    <w:rsid w:val="00DF7627"/>
    <w:rsid w:val="00DF78B7"/>
    <w:rsid w:val="00DF78DC"/>
    <w:rsid w:val="00E0049D"/>
    <w:rsid w:val="00E005A1"/>
    <w:rsid w:val="00E00742"/>
    <w:rsid w:val="00E0087B"/>
    <w:rsid w:val="00E009B9"/>
    <w:rsid w:val="00E00CF2"/>
    <w:rsid w:val="00E00DFC"/>
    <w:rsid w:val="00E00E3F"/>
    <w:rsid w:val="00E01968"/>
    <w:rsid w:val="00E01C97"/>
    <w:rsid w:val="00E0204B"/>
    <w:rsid w:val="00E020E4"/>
    <w:rsid w:val="00E024E4"/>
    <w:rsid w:val="00E025EE"/>
    <w:rsid w:val="00E027D9"/>
    <w:rsid w:val="00E0305D"/>
    <w:rsid w:val="00E030A1"/>
    <w:rsid w:val="00E030DE"/>
    <w:rsid w:val="00E034E8"/>
    <w:rsid w:val="00E03B8F"/>
    <w:rsid w:val="00E03C5D"/>
    <w:rsid w:val="00E03D8B"/>
    <w:rsid w:val="00E04024"/>
    <w:rsid w:val="00E040E3"/>
    <w:rsid w:val="00E043CA"/>
    <w:rsid w:val="00E043EF"/>
    <w:rsid w:val="00E045C6"/>
    <w:rsid w:val="00E04712"/>
    <w:rsid w:val="00E049A4"/>
    <w:rsid w:val="00E04A7C"/>
    <w:rsid w:val="00E04DD8"/>
    <w:rsid w:val="00E04FBD"/>
    <w:rsid w:val="00E05498"/>
    <w:rsid w:val="00E0552A"/>
    <w:rsid w:val="00E05672"/>
    <w:rsid w:val="00E05AC2"/>
    <w:rsid w:val="00E05D6E"/>
    <w:rsid w:val="00E05E62"/>
    <w:rsid w:val="00E05EC3"/>
    <w:rsid w:val="00E0610E"/>
    <w:rsid w:val="00E06189"/>
    <w:rsid w:val="00E0618E"/>
    <w:rsid w:val="00E06249"/>
    <w:rsid w:val="00E06298"/>
    <w:rsid w:val="00E062D7"/>
    <w:rsid w:val="00E06825"/>
    <w:rsid w:val="00E069D2"/>
    <w:rsid w:val="00E06EDC"/>
    <w:rsid w:val="00E06F4C"/>
    <w:rsid w:val="00E06FD8"/>
    <w:rsid w:val="00E07109"/>
    <w:rsid w:val="00E07539"/>
    <w:rsid w:val="00E07584"/>
    <w:rsid w:val="00E0798F"/>
    <w:rsid w:val="00E07BF4"/>
    <w:rsid w:val="00E100B4"/>
    <w:rsid w:val="00E102C8"/>
    <w:rsid w:val="00E1044A"/>
    <w:rsid w:val="00E104E2"/>
    <w:rsid w:val="00E105EB"/>
    <w:rsid w:val="00E10778"/>
    <w:rsid w:val="00E1090A"/>
    <w:rsid w:val="00E109F1"/>
    <w:rsid w:val="00E10AB0"/>
    <w:rsid w:val="00E10BFD"/>
    <w:rsid w:val="00E10C97"/>
    <w:rsid w:val="00E10F33"/>
    <w:rsid w:val="00E11C92"/>
    <w:rsid w:val="00E11E71"/>
    <w:rsid w:val="00E11E7C"/>
    <w:rsid w:val="00E11EB9"/>
    <w:rsid w:val="00E11EE8"/>
    <w:rsid w:val="00E12053"/>
    <w:rsid w:val="00E123CB"/>
    <w:rsid w:val="00E12616"/>
    <w:rsid w:val="00E128BA"/>
    <w:rsid w:val="00E12B99"/>
    <w:rsid w:val="00E13069"/>
    <w:rsid w:val="00E13347"/>
    <w:rsid w:val="00E13578"/>
    <w:rsid w:val="00E135FA"/>
    <w:rsid w:val="00E13621"/>
    <w:rsid w:val="00E13A13"/>
    <w:rsid w:val="00E13A1E"/>
    <w:rsid w:val="00E13A3C"/>
    <w:rsid w:val="00E142AF"/>
    <w:rsid w:val="00E144B4"/>
    <w:rsid w:val="00E1461C"/>
    <w:rsid w:val="00E147D3"/>
    <w:rsid w:val="00E14809"/>
    <w:rsid w:val="00E1483B"/>
    <w:rsid w:val="00E14887"/>
    <w:rsid w:val="00E14DD8"/>
    <w:rsid w:val="00E15199"/>
    <w:rsid w:val="00E15475"/>
    <w:rsid w:val="00E159B3"/>
    <w:rsid w:val="00E15E15"/>
    <w:rsid w:val="00E15EBB"/>
    <w:rsid w:val="00E15F64"/>
    <w:rsid w:val="00E15FF2"/>
    <w:rsid w:val="00E16029"/>
    <w:rsid w:val="00E16283"/>
    <w:rsid w:val="00E1644A"/>
    <w:rsid w:val="00E164F6"/>
    <w:rsid w:val="00E16F8F"/>
    <w:rsid w:val="00E1700B"/>
    <w:rsid w:val="00E171FA"/>
    <w:rsid w:val="00E177C9"/>
    <w:rsid w:val="00E1796D"/>
    <w:rsid w:val="00E17C4C"/>
    <w:rsid w:val="00E17D59"/>
    <w:rsid w:val="00E17FE8"/>
    <w:rsid w:val="00E201E6"/>
    <w:rsid w:val="00E2024A"/>
    <w:rsid w:val="00E20351"/>
    <w:rsid w:val="00E204D4"/>
    <w:rsid w:val="00E205A0"/>
    <w:rsid w:val="00E20992"/>
    <w:rsid w:val="00E20FE5"/>
    <w:rsid w:val="00E2132D"/>
    <w:rsid w:val="00E21694"/>
    <w:rsid w:val="00E216D1"/>
    <w:rsid w:val="00E217B5"/>
    <w:rsid w:val="00E218E5"/>
    <w:rsid w:val="00E21B40"/>
    <w:rsid w:val="00E21E2A"/>
    <w:rsid w:val="00E22109"/>
    <w:rsid w:val="00E22462"/>
    <w:rsid w:val="00E22670"/>
    <w:rsid w:val="00E229C6"/>
    <w:rsid w:val="00E22A9C"/>
    <w:rsid w:val="00E22C17"/>
    <w:rsid w:val="00E22D56"/>
    <w:rsid w:val="00E23131"/>
    <w:rsid w:val="00E232E0"/>
    <w:rsid w:val="00E23392"/>
    <w:rsid w:val="00E23436"/>
    <w:rsid w:val="00E237D4"/>
    <w:rsid w:val="00E23B5E"/>
    <w:rsid w:val="00E23B77"/>
    <w:rsid w:val="00E23E46"/>
    <w:rsid w:val="00E23E4C"/>
    <w:rsid w:val="00E23E74"/>
    <w:rsid w:val="00E23F90"/>
    <w:rsid w:val="00E2410E"/>
    <w:rsid w:val="00E24D0C"/>
    <w:rsid w:val="00E25246"/>
    <w:rsid w:val="00E252B5"/>
    <w:rsid w:val="00E255BB"/>
    <w:rsid w:val="00E25777"/>
    <w:rsid w:val="00E257B3"/>
    <w:rsid w:val="00E25C4D"/>
    <w:rsid w:val="00E25DD2"/>
    <w:rsid w:val="00E26167"/>
    <w:rsid w:val="00E26903"/>
    <w:rsid w:val="00E27156"/>
    <w:rsid w:val="00E27A8C"/>
    <w:rsid w:val="00E27B84"/>
    <w:rsid w:val="00E27F53"/>
    <w:rsid w:val="00E3048C"/>
    <w:rsid w:val="00E3074E"/>
    <w:rsid w:val="00E307F8"/>
    <w:rsid w:val="00E308C7"/>
    <w:rsid w:val="00E30967"/>
    <w:rsid w:val="00E31B58"/>
    <w:rsid w:val="00E31BA9"/>
    <w:rsid w:val="00E31C77"/>
    <w:rsid w:val="00E31DE0"/>
    <w:rsid w:val="00E31F2C"/>
    <w:rsid w:val="00E32071"/>
    <w:rsid w:val="00E32137"/>
    <w:rsid w:val="00E322CF"/>
    <w:rsid w:val="00E32A72"/>
    <w:rsid w:val="00E33539"/>
    <w:rsid w:val="00E33D1A"/>
    <w:rsid w:val="00E34262"/>
    <w:rsid w:val="00E34335"/>
    <w:rsid w:val="00E34A1A"/>
    <w:rsid w:val="00E34AA8"/>
    <w:rsid w:val="00E34B77"/>
    <w:rsid w:val="00E34E96"/>
    <w:rsid w:val="00E351CD"/>
    <w:rsid w:val="00E35674"/>
    <w:rsid w:val="00E35B1F"/>
    <w:rsid w:val="00E35E1A"/>
    <w:rsid w:val="00E36129"/>
    <w:rsid w:val="00E361FE"/>
    <w:rsid w:val="00E3643E"/>
    <w:rsid w:val="00E3646E"/>
    <w:rsid w:val="00E368BA"/>
    <w:rsid w:val="00E36B9B"/>
    <w:rsid w:val="00E36BA6"/>
    <w:rsid w:val="00E36D6C"/>
    <w:rsid w:val="00E36DFC"/>
    <w:rsid w:val="00E36E4C"/>
    <w:rsid w:val="00E36FD2"/>
    <w:rsid w:val="00E36FF9"/>
    <w:rsid w:val="00E36FFE"/>
    <w:rsid w:val="00E37011"/>
    <w:rsid w:val="00E37157"/>
    <w:rsid w:val="00E371FD"/>
    <w:rsid w:val="00E378A1"/>
    <w:rsid w:val="00E37BB8"/>
    <w:rsid w:val="00E37C7A"/>
    <w:rsid w:val="00E37E52"/>
    <w:rsid w:val="00E40920"/>
    <w:rsid w:val="00E40BF9"/>
    <w:rsid w:val="00E40E1B"/>
    <w:rsid w:val="00E41358"/>
    <w:rsid w:val="00E413B5"/>
    <w:rsid w:val="00E41784"/>
    <w:rsid w:val="00E41926"/>
    <w:rsid w:val="00E42815"/>
    <w:rsid w:val="00E42E13"/>
    <w:rsid w:val="00E43036"/>
    <w:rsid w:val="00E43418"/>
    <w:rsid w:val="00E43C90"/>
    <w:rsid w:val="00E43EFD"/>
    <w:rsid w:val="00E44048"/>
    <w:rsid w:val="00E4436A"/>
    <w:rsid w:val="00E44465"/>
    <w:rsid w:val="00E44483"/>
    <w:rsid w:val="00E446AB"/>
    <w:rsid w:val="00E44792"/>
    <w:rsid w:val="00E449BB"/>
    <w:rsid w:val="00E44D27"/>
    <w:rsid w:val="00E44E38"/>
    <w:rsid w:val="00E44FDE"/>
    <w:rsid w:val="00E45626"/>
    <w:rsid w:val="00E4567A"/>
    <w:rsid w:val="00E45BE6"/>
    <w:rsid w:val="00E45C0D"/>
    <w:rsid w:val="00E45C5A"/>
    <w:rsid w:val="00E45FA7"/>
    <w:rsid w:val="00E4623A"/>
    <w:rsid w:val="00E462F8"/>
    <w:rsid w:val="00E465EB"/>
    <w:rsid w:val="00E4667A"/>
    <w:rsid w:val="00E466DD"/>
    <w:rsid w:val="00E46B82"/>
    <w:rsid w:val="00E46B90"/>
    <w:rsid w:val="00E46BD1"/>
    <w:rsid w:val="00E46C3D"/>
    <w:rsid w:val="00E46DC1"/>
    <w:rsid w:val="00E4708B"/>
    <w:rsid w:val="00E47413"/>
    <w:rsid w:val="00E478C4"/>
    <w:rsid w:val="00E479BD"/>
    <w:rsid w:val="00E5073B"/>
    <w:rsid w:val="00E5078B"/>
    <w:rsid w:val="00E507AA"/>
    <w:rsid w:val="00E50B40"/>
    <w:rsid w:val="00E50B81"/>
    <w:rsid w:val="00E5102D"/>
    <w:rsid w:val="00E511B6"/>
    <w:rsid w:val="00E51525"/>
    <w:rsid w:val="00E516C8"/>
    <w:rsid w:val="00E51803"/>
    <w:rsid w:val="00E519B8"/>
    <w:rsid w:val="00E51A1A"/>
    <w:rsid w:val="00E51A71"/>
    <w:rsid w:val="00E51B4C"/>
    <w:rsid w:val="00E51E55"/>
    <w:rsid w:val="00E51F97"/>
    <w:rsid w:val="00E52196"/>
    <w:rsid w:val="00E521E1"/>
    <w:rsid w:val="00E522B5"/>
    <w:rsid w:val="00E524A7"/>
    <w:rsid w:val="00E52685"/>
    <w:rsid w:val="00E52792"/>
    <w:rsid w:val="00E52B9E"/>
    <w:rsid w:val="00E52F66"/>
    <w:rsid w:val="00E52F95"/>
    <w:rsid w:val="00E530A9"/>
    <w:rsid w:val="00E530D1"/>
    <w:rsid w:val="00E53836"/>
    <w:rsid w:val="00E53BA2"/>
    <w:rsid w:val="00E53FBA"/>
    <w:rsid w:val="00E54139"/>
    <w:rsid w:val="00E544A9"/>
    <w:rsid w:val="00E5452A"/>
    <w:rsid w:val="00E54546"/>
    <w:rsid w:val="00E5454F"/>
    <w:rsid w:val="00E54558"/>
    <w:rsid w:val="00E546E0"/>
    <w:rsid w:val="00E548ED"/>
    <w:rsid w:val="00E54BCE"/>
    <w:rsid w:val="00E54C82"/>
    <w:rsid w:val="00E54CF0"/>
    <w:rsid w:val="00E54F66"/>
    <w:rsid w:val="00E555F7"/>
    <w:rsid w:val="00E556BC"/>
    <w:rsid w:val="00E55A36"/>
    <w:rsid w:val="00E55F6F"/>
    <w:rsid w:val="00E56268"/>
    <w:rsid w:val="00E5673E"/>
    <w:rsid w:val="00E5674E"/>
    <w:rsid w:val="00E569B3"/>
    <w:rsid w:val="00E56BA2"/>
    <w:rsid w:val="00E56FD6"/>
    <w:rsid w:val="00E57099"/>
    <w:rsid w:val="00E574CE"/>
    <w:rsid w:val="00E57EC6"/>
    <w:rsid w:val="00E60484"/>
    <w:rsid w:val="00E606C8"/>
    <w:rsid w:val="00E610D7"/>
    <w:rsid w:val="00E61498"/>
    <w:rsid w:val="00E61623"/>
    <w:rsid w:val="00E61E69"/>
    <w:rsid w:val="00E61EE1"/>
    <w:rsid w:val="00E61F47"/>
    <w:rsid w:val="00E62125"/>
    <w:rsid w:val="00E62675"/>
    <w:rsid w:val="00E626DF"/>
    <w:rsid w:val="00E62CF3"/>
    <w:rsid w:val="00E63103"/>
    <w:rsid w:val="00E63620"/>
    <w:rsid w:val="00E63A60"/>
    <w:rsid w:val="00E63AA1"/>
    <w:rsid w:val="00E63CB4"/>
    <w:rsid w:val="00E63ED3"/>
    <w:rsid w:val="00E63EF3"/>
    <w:rsid w:val="00E6430A"/>
    <w:rsid w:val="00E6435A"/>
    <w:rsid w:val="00E6448E"/>
    <w:rsid w:val="00E64890"/>
    <w:rsid w:val="00E64CB8"/>
    <w:rsid w:val="00E651CE"/>
    <w:rsid w:val="00E6528B"/>
    <w:rsid w:val="00E65600"/>
    <w:rsid w:val="00E65D41"/>
    <w:rsid w:val="00E65D85"/>
    <w:rsid w:val="00E662A6"/>
    <w:rsid w:val="00E66391"/>
    <w:rsid w:val="00E66B4C"/>
    <w:rsid w:val="00E66BCF"/>
    <w:rsid w:val="00E66E85"/>
    <w:rsid w:val="00E67071"/>
    <w:rsid w:val="00E670BA"/>
    <w:rsid w:val="00E670F6"/>
    <w:rsid w:val="00E67736"/>
    <w:rsid w:val="00E67996"/>
    <w:rsid w:val="00E67F0E"/>
    <w:rsid w:val="00E70120"/>
    <w:rsid w:val="00E703AB"/>
    <w:rsid w:val="00E7043A"/>
    <w:rsid w:val="00E70504"/>
    <w:rsid w:val="00E70552"/>
    <w:rsid w:val="00E70AC4"/>
    <w:rsid w:val="00E70D38"/>
    <w:rsid w:val="00E70EF9"/>
    <w:rsid w:val="00E71449"/>
    <w:rsid w:val="00E7154B"/>
    <w:rsid w:val="00E718A4"/>
    <w:rsid w:val="00E718AC"/>
    <w:rsid w:val="00E71D4C"/>
    <w:rsid w:val="00E71D7E"/>
    <w:rsid w:val="00E71F20"/>
    <w:rsid w:val="00E71FC5"/>
    <w:rsid w:val="00E71FCC"/>
    <w:rsid w:val="00E72C51"/>
    <w:rsid w:val="00E72D04"/>
    <w:rsid w:val="00E73006"/>
    <w:rsid w:val="00E731ED"/>
    <w:rsid w:val="00E73591"/>
    <w:rsid w:val="00E738BD"/>
    <w:rsid w:val="00E73BF1"/>
    <w:rsid w:val="00E73C6A"/>
    <w:rsid w:val="00E73E90"/>
    <w:rsid w:val="00E73F6E"/>
    <w:rsid w:val="00E7405B"/>
    <w:rsid w:val="00E741BC"/>
    <w:rsid w:val="00E74357"/>
    <w:rsid w:val="00E7437B"/>
    <w:rsid w:val="00E7440B"/>
    <w:rsid w:val="00E747A9"/>
    <w:rsid w:val="00E749A1"/>
    <w:rsid w:val="00E74DE3"/>
    <w:rsid w:val="00E74FBA"/>
    <w:rsid w:val="00E751A9"/>
    <w:rsid w:val="00E7539D"/>
    <w:rsid w:val="00E75581"/>
    <w:rsid w:val="00E755E3"/>
    <w:rsid w:val="00E75E92"/>
    <w:rsid w:val="00E76096"/>
    <w:rsid w:val="00E7640A"/>
    <w:rsid w:val="00E76473"/>
    <w:rsid w:val="00E766BA"/>
    <w:rsid w:val="00E76782"/>
    <w:rsid w:val="00E7699B"/>
    <w:rsid w:val="00E76C70"/>
    <w:rsid w:val="00E76D0C"/>
    <w:rsid w:val="00E77134"/>
    <w:rsid w:val="00E772E8"/>
    <w:rsid w:val="00E7743D"/>
    <w:rsid w:val="00E774EB"/>
    <w:rsid w:val="00E7753D"/>
    <w:rsid w:val="00E776E1"/>
    <w:rsid w:val="00E77770"/>
    <w:rsid w:val="00E77A24"/>
    <w:rsid w:val="00E77E22"/>
    <w:rsid w:val="00E80148"/>
    <w:rsid w:val="00E80724"/>
    <w:rsid w:val="00E8097D"/>
    <w:rsid w:val="00E80EEA"/>
    <w:rsid w:val="00E810B3"/>
    <w:rsid w:val="00E81666"/>
    <w:rsid w:val="00E816AA"/>
    <w:rsid w:val="00E8196E"/>
    <w:rsid w:val="00E81B28"/>
    <w:rsid w:val="00E82086"/>
    <w:rsid w:val="00E82265"/>
    <w:rsid w:val="00E829D6"/>
    <w:rsid w:val="00E82D4C"/>
    <w:rsid w:val="00E8304F"/>
    <w:rsid w:val="00E831E1"/>
    <w:rsid w:val="00E8321B"/>
    <w:rsid w:val="00E83450"/>
    <w:rsid w:val="00E83630"/>
    <w:rsid w:val="00E83807"/>
    <w:rsid w:val="00E8392A"/>
    <w:rsid w:val="00E839C3"/>
    <w:rsid w:val="00E83F79"/>
    <w:rsid w:val="00E840CF"/>
    <w:rsid w:val="00E84142"/>
    <w:rsid w:val="00E841FC"/>
    <w:rsid w:val="00E84244"/>
    <w:rsid w:val="00E8427F"/>
    <w:rsid w:val="00E84D49"/>
    <w:rsid w:val="00E850A6"/>
    <w:rsid w:val="00E85162"/>
    <w:rsid w:val="00E851D7"/>
    <w:rsid w:val="00E8569C"/>
    <w:rsid w:val="00E856C2"/>
    <w:rsid w:val="00E859CE"/>
    <w:rsid w:val="00E85D02"/>
    <w:rsid w:val="00E85F0F"/>
    <w:rsid w:val="00E8613A"/>
    <w:rsid w:val="00E86588"/>
    <w:rsid w:val="00E866EE"/>
    <w:rsid w:val="00E86A35"/>
    <w:rsid w:val="00E871A5"/>
    <w:rsid w:val="00E87233"/>
    <w:rsid w:val="00E872BC"/>
    <w:rsid w:val="00E873B5"/>
    <w:rsid w:val="00E8767F"/>
    <w:rsid w:val="00E876BE"/>
    <w:rsid w:val="00E8794F"/>
    <w:rsid w:val="00E87A6C"/>
    <w:rsid w:val="00E90121"/>
    <w:rsid w:val="00E90497"/>
    <w:rsid w:val="00E90660"/>
    <w:rsid w:val="00E90670"/>
    <w:rsid w:val="00E90857"/>
    <w:rsid w:val="00E908E1"/>
    <w:rsid w:val="00E90BF1"/>
    <w:rsid w:val="00E911AB"/>
    <w:rsid w:val="00E914C1"/>
    <w:rsid w:val="00E91884"/>
    <w:rsid w:val="00E91965"/>
    <w:rsid w:val="00E91A20"/>
    <w:rsid w:val="00E91C7F"/>
    <w:rsid w:val="00E91EF4"/>
    <w:rsid w:val="00E92063"/>
    <w:rsid w:val="00E92067"/>
    <w:rsid w:val="00E9213A"/>
    <w:rsid w:val="00E92510"/>
    <w:rsid w:val="00E92747"/>
    <w:rsid w:val="00E929E8"/>
    <w:rsid w:val="00E92DC8"/>
    <w:rsid w:val="00E92E35"/>
    <w:rsid w:val="00E9301F"/>
    <w:rsid w:val="00E93086"/>
    <w:rsid w:val="00E9308F"/>
    <w:rsid w:val="00E9332E"/>
    <w:rsid w:val="00E938A4"/>
    <w:rsid w:val="00E93C65"/>
    <w:rsid w:val="00E93C6C"/>
    <w:rsid w:val="00E94234"/>
    <w:rsid w:val="00E94589"/>
    <w:rsid w:val="00E945A6"/>
    <w:rsid w:val="00E94C3E"/>
    <w:rsid w:val="00E94FB6"/>
    <w:rsid w:val="00E95151"/>
    <w:rsid w:val="00E952FE"/>
    <w:rsid w:val="00E95302"/>
    <w:rsid w:val="00E95749"/>
    <w:rsid w:val="00E958A1"/>
    <w:rsid w:val="00E95D23"/>
    <w:rsid w:val="00E95E03"/>
    <w:rsid w:val="00E95FCA"/>
    <w:rsid w:val="00E96A78"/>
    <w:rsid w:val="00E96D1D"/>
    <w:rsid w:val="00E96DDF"/>
    <w:rsid w:val="00E97277"/>
    <w:rsid w:val="00E97358"/>
    <w:rsid w:val="00E9739A"/>
    <w:rsid w:val="00E9771E"/>
    <w:rsid w:val="00E97C9F"/>
    <w:rsid w:val="00EA0076"/>
    <w:rsid w:val="00EA01C0"/>
    <w:rsid w:val="00EA0236"/>
    <w:rsid w:val="00EA04EC"/>
    <w:rsid w:val="00EA0942"/>
    <w:rsid w:val="00EA0E62"/>
    <w:rsid w:val="00EA0F8D"/>
    <w:rsid w:val="00EA1017"/>
    <w:rsid w:val="00EA12B6"/>
    <w:rsid w:val="00EA176B"/>
    <w:rsid w:val="00EA1B5E"/>
    <w:rsid w:val="00EA2570"/>
    <w:rsid w:val="00EA28CB"/>
    <w:rsid w:val="00EA2EE8"/>
    <w:rsid w:val="00EA2EED"/>
    <w:rsid w:val="00EA35BE"/>
    <w:rsid w:val="00EA35DA"/>
    <w:rsid w:val="00EA388E"/>
    <w:rsid w:val="00EA4090"/>
    <w:rsid w:val="00EA41BD"/>
    <w:rsid w:val="00EA44DD"/>
    <w:rsid w:val="00EA49A5"/>
    <w:rsid w:val="00EA4ACE"/>
    <w:rsid w:val="00EA4AF4"/>
    <w:rsid w:val="00EA4B55"/>
    <w:rsid w:val="00EA50AC"/>
    <w:rsid w:val="00EA518F"/>
    <w:rsid w:val="00EA52A2"/>
    <w:rsid w:val="00EA5A2B"/>
    <w:rsid w:val="00EA5C70"/>
    <w:rsid w:val="00EA5DEC"/>
    <w:rsid w:val="00EA5E49"/>
    <w:rsid w:val="00EA61E1"/>
    <w:rsid w:val="00EA62B3"/>
    <w:rsid w:val="00EA654E"/>
    <w:rsid w:val="00EA670D"/>
    <w:rsid w:val="00EA6854"/>
    <w:rsid w:val="00EA6CB1"/>
    <w:rsid w:val="00EA6F3A"/>
    <w:rsid w:val="00EA6F79"/>
    <w:rsid w:val="00EA70C6"/>
    <w:rsid w:val="00EA7202"/>
    <w:rsid w:val="00EA7305"/>
    <w:rsid w:val="00EA7C4B"/>
    <w:rsid w:val="00EA7DC5"/>
    <w:rsid w:val="00EA7E59"/>
    <w:rsid w:val="00EB0099"/>
    <w:rsid w:val="00EB00EB"/>
    <w:rsid w:val="00EB0286"/>
    <w:rsid w:val="00EB0519"/>
    <w:rsid w:val="00EB0672"/>
    <w:rsid w:val="00EB06BA"/>
    <w:rsid w:val="00EB0AF9"/>
    <w:rsid w:val="00EB0D16"/>
    <w:rsid w:val="00EB0DC2"/>
    <w:rsid w:val="00EB0E54"/>
    <w:rsid w:val="00EB0F99"/>
    <w:rsid w:val="00EB103F"/>
    <w:rsid w:val="00EB11A4"/>
    <w:rsid w:val="00EB11EF"/>
    <w:rsid w:val="00EB1219"/>
    <w:rsid w:val="00EB12FA"/>
    <w:rsid w:val="00EB1433"/>
    <w:rsid w:val="00EB14A4"/>
    <w:rsid w:val="00EB176F"/>
    <w:rsid w:val="00EB17DC"/>
    <w:rsid w:val="00EB17E5"/>
    <w:rsid w:val="00EB1BD9"/>
    <w:rsid w:val="00EB1DF9"/>
    <w:rsid w:val="00EB1F55"/>
    <w:rsid w:val="00EB1F97"/>
    <w:rsid w:val="00EB21B8"/>
    <w:rsid w:val="00EB260C"/>
    <w:rsid w:val="00EB269F"/>
    <w:rsid w:val="00EB28C0"/>
    <w:rsid w:val="00EB2D99"/>
    <w:rsid w:val="00EB33AE"/>
    <w:rsid w:val="00EB33ED"/>
    <w:rsid w:val="00EB38E8"/>
    <w:rsid w:val="00EB3CBD"/>
    <w:rsid w:val="00EB4040"/>
    <w:rsid w:val="00EB406E"/>
    <w:rsid w:val="00EB41E2"/>
    <w:rsid w:val="00EB43CC"/>
    <w:rsid w:val="00EB452E"/>
    <w:rsid w:val="00EB4901"/>
    <w:rsid w:val="00EB4B53"/>
    <w:rsid w:val="00EB4D9D"/>
    <w:rsid w:val="00EB4E8E"/>
    <w:rsid w:val="00EB4EEC"/>
    <w:rsid w:val="00EB50B7"/>
    <w:rsid w:val="00EB5475"/>
    <w:rsid w:val="00EB5A2A"/>
    <w:rsid w:val="00EB5BD0"/>
    <w:rsid w:val="00EB5E11"/>
    <w:rsid w:val="00EB5F39"/>
    <w:rsid w:val="00EB6314"/>
    <w:rsid w:val="00EB6385"/>
    <w:rsid w:val="00EB6683"/>
    <w:rsid w:val="00EB69A8"/>
    <w:rsid w:val="00EB6CCD"/>
    <w:rsid w:val="00EB6D89"/>
    <w:rsid w:val="00EB6E88"/>
    <w:rsid w:val="00EB6FE1"/>
    <w:rsid w:val="00EB722E"/>
    <w:rsid w:val="00EB73BB"/>
    <w:rsid w:val="00EB77AF"/>
    <w:rsid w:val="00EB7D72"/>
    <w:rsid w:val="00EB7EBA"/>
    <w:rsid w:val="00EC0871"/>
    <w:rsid w:val="00EC0B7A"/>
    <w:rsid w:val="00EC0CAF"/>
    <w:rsid w:val="00EC0D4F"/>
    <w:rsid w:val="00EC0E86"/>
    <w:rsid w:val="00EC0F7A"/>
    <w:rsid w:val="00EC1499"/>
    <w:rsid w:val="00EC153D"/>
    <w:rsid w:val="00EC17B5"/>
    <w:rsid w:val="00EC180C"/>
    <w:rsid w:val="00EC1C13"/>
    <w:rsid w:val="00EC1C98"/>
    <w:rsid w:val="00EC1E41"/>
    <w:rsid w:val="00EC23EB"/>
    <w:rsid w:val="00EC29A4"/>
    <w:rsid w:val="00EC2E7C"/>
    <w:rsid w:val="00EC307A"/>
    <w:rsid w:val="00EC30B7"/>
    <w:rsid w:val="00EC32DC"/>
    <w:rsid w:val="00EC363E"/>
    <w:rsid w:val="00EC3708"/>
    <w:rsid w:val="00EC373A"/>
    <w:rsid w:val="00EC3ACE"/>
    <w:rsid w:val="00EC3D18"/>
    <w:rsid w:val="00EC3D8D"/>
    <w:rsid w:val="00EC3E1D"/>
    <w:rsid w:val="00EC3F3C"/>
    <w:rsid w:val="00EC4466"/>
    <w:rsid w:val="00EC48A8"/>
    <w:rsid w:val="00EC495D"/>
    <w:rsid w:val="00EC49C9"/>
    <w:rsid w:val="00EC4F93"/>
    <w:rsid w:val="00EC569E"/>
    <w:rsid w:val="00EC5FDB"/>
    <w:rsid w:val="00EC6873"/>
    <w:rsid w:val="00EC69F1"/>
    <w:rsid w:val="00EC6D57"/>
    <w:rsid w:val="00EC7128"/>
    <w:rsid w:val="00EC722A"/>
    <w:rsid w:val="00EC75FA"/>
    <w:rsid w:val="00EC766F"/>
    <w:rsid w:val="00EC7B6B"/>
    <w:rsid w:val="00ED0106"/>
    <w:rsid w:val="00ED020C"/>
    <w:rsid w:val="00ED0350"/>
    <w:rsid w:val="00ED0793"/>
    <w:rsid w:val="00ED08A8"/>
    <w:rsid w:val="00ED0A80"/>
    <w:rsid w:val="00ED115D"/>
    <w:rsid w:val="00ED1352"/>
    <w:rsid w:val="00ED1478"/>
    <w:rsid w:val="00ED1677"/>
    <w:rsid w:val="00ED1735"/>
    <w:rsid w:val="00ED20FD"/>
    <w:rsid w:val="00ED226E"/>
    <w:rsid w:val="00ED275B"/>
    <w:rsid w:val="00ED29E7"/>
    <w:rsid w:val="00ED3328"/>
    <w:rsid w:val="00ED358A"/>
    <w:rsid w:val="00ED3621"/>
    <w:rsid w:val="00ED3735"/>
    <w:rsid w:val="00ED3B7C"/>
    <w:rsid w:val="00ED3D06"/>
    <w:rsid w:val="00ED3E4B"/>
    <w:rsid w:val="00ED3FD8"/>
    <w:rsid w:val="00ED46D7"/>
    <w:rsid w:val="00ED4742"/>
    <w:rsid w:val="00ED4C68"/>
    <w:rsid w:val="00ED4EF5"/>
    <w:rsid w:val="00ED4EF7"/>
    <w:rsid w:val="00ED538C"/>
    <w:rsid w:val="00ED5746"/>
    <w:rsid w:val="00ED58AA"/>
    <w:rsid w:val="00ED5B8A"/>
    <w:rsid w:val="00ED5D5D"/>
    <w:rsid w:val="00ED5E29"/>
    <w:rsid w:val="00ED5F47"/>
    <w:rsid w:val="00ED61B9"/>
    <w:rsid w:val="00ED62EE"/>
    <w:rsid w:val="00ED6594"/>
    <w:rsid w:val="00ED6A4A"/>
    <w:rsid w:val="00ED6AD4"/>
    <w:rsid w:val="00ED6BD2"/>
    <w:rsid w:val="00ED6C68"/>
    <w:rsid w:val="00ED6F31"/>
    <w:rsid w:val="00ED7672"/>
    <w:rsid w:val="00ED76BB"/>
    <w:rsid w:val="00ED799D"/>
    <w:rsid w:val="00ED7A45"/>
    <w:rsid w:val="00ED7CF0"/>
    <w:rsid w:val="00EE04BA"/>
    <w:rsid w:val="00EE07B6"/>
    <w:rsid w:val="00EE0D2B"/>
    <w:rsid w:val="00EE11D1"/>
    <w:rsid w:val="00EE15BA"/>
    <w:rsid w:val="00EE1849"/>
    <w:rsid w:val="00EE1BB9"/>
    <w:rsid w:val="00EE1F0A"/>
    <w:rsid w:val="00EE22B5"/>
    <w:rsid w:val="00EE31EF"/>
    <w:rsid w:val="00EE3283"/>
    <w:rsid w:val="00EE33ED"/>
    <w:rsid w:val="00EE3488"/>
    <w:rsid w:val="00EE34DF"/>
    <w:rsid w:val="00EE3A76"/>
    <w:rsid w:val="00EE3AAA"/>
    <w:rsid w:val="00EE3D14"/>
    <w:rsid w:val="00EE3F5F"/>
    <w:rsid w:val="00EE434A"/>
    <w:rsid w:val="00EE43E0"/>
    <w:rsid w:val="00EE4A43"/>
    <w:rsid w:val="00EE4B3E"/>
    <w:rsid w:val="00EE5440"/>
    <w:rsid w:val="00EE564D"/>
    <w:rsid w:val="00EE565B"/>
    <w:rsid w:val="00EE5E79"/>
    <w:rsid w:val="00EE5F5C"/>
    <w:rsid w:val="00EE60C2"/>
    <w:rsid w:val="00EE61E6"/>
    <w:rsid w:val="00EE6347"/>
    <w:rsid w:val="00EE6350"/>
    <w:rsid w:val="00EE6582"/>
    <w:rsid w:val="00EE660B"/>
    <w:rsid w:val="00EE6861"/>
    <w:rsid w:val="00EE6CFD"/>
    <w:rsid w:val="00EE7178"/>
    <w:rsid w:val="00EE75D7"/>
    <w:rsid w:val="00EE7BB0"/>
    <w:rsid w:val="00EE7F64"/>
    <w:rsid w:val="00EF03D0"/>
    <w:rsid w:val="00EF0B9F"/>
    <w:rsid w:val="00EF0E8E"/>
    <w:rsid w:val="00EF1141"/>
    <w:rsid w:val="00EF117E"/>
    <w:rsid w:val="00EF181B"/>
    <w:rsid w:val="00EF1CAD"/>
    <w:rsid w:val="00EF1D9E"/>
    <w:rsid w:val="00EF27DC"/>
    <w:rsid w:val="00EF28DB"/>
    <w:rsid w:val="00EF295A"/>
    <w:rsid w:val="00EF2C78"/>
    <w:rsid w:val="00EF2E0C"/>
    <w:rsid w:val="00EF3225"/>
    <w:rsid w:val="00EF32BF"/>
    <w:rsid w:val="00EF335B"/>
    <w:rsid w:val="00EF358B"/>
    <w:rsid w:val="00EF3997"/>
    <w:rsid w:val="00EF3C42"/>
    <w:rsid w:val="00EF3DEC"/>
    <w:rsid w:val="00EF3E06"/>
    <w:rsid w:val="00EF422D"/>
    <w:rsid w:val="00EF4951"/>
    <w:rsid w:val="00EF4B97"/>
    <w:rsid w:val="00EF4C81"/>
    <w:rsid w:val="00EF5282"/>
    <w:rsid w:val="00EF5353"/>
    <w:rsid w:val="00EF5488"/>
    <w:rsid w:val="00EF58B8"/>
    <w:rsid w:val="00EF5B0F"/>
    <w:rsid w:val="00EF5D9C"/>
    <w:rsid w:val="00EF5F63"/>
    <w:rsid w:val="00EF60CB"/>
    <w:rsid w:val="00EF6256"/>
    <w:rsid w:val="00EF63AD"/>
    <w:rsid w:val="00EF6415"/>
    <w:rsid w:val="00EF651C"/>
    <w:rsid w:val="00EF6606"/>
    <w:rsid w:val="00EF6738"/>
    <w:rsid w:val="00EF67DB"/>
    <w:rsid w:val="00EF68F7"/>
    <w:rsid w:val="00EF6C7C"/>
    <w:rsid w:val="00EF75D3"/>
    <w:rsid w:val="00EF7A14"/>
    <w:rsid w:val="00EF7AFC"/>
    <w:rsid w:val="00EF7BC5"/>
    <w:rsid w:val="00F0014D"/>
    <w:rsid w:val="00F009A1"/>
    <w:rsid w:val="00F00A75"/>
    <w:rsid w:val="00F00B89"/>
    <w:rsid w:val="00F00B8C"/>
    <w:rsid w:val="00F00CCC"/>
    <w:rsid w:val="00F01876"/>
    <w:rsid w:val="00F01BC5"/>
    <w:rsid w:val="00F01D6C"/>
    <w:rsid w:val="00F02086"/>
    <w:rsid w:val="00F022A2"/>
    <w:rsid w:val="00F02570"/>
    <w:rsid w:val="00F025E5"/>
    <w:rsid w:val="00F02989"/>
    <w:rsid w:val="00F02A6B"/>
    <w:rsid w:val="00F02A9D"/>
    <w:rsid w:val="00F02AF6"/>
    <w:rsid w:val="00F032D2"/>
    <w:rsid w:val="00F03A81"/>
    <w:rsid w:val="00F03B30"/>
    <w:rsid w:val="00F03F4B"/>
    <w:rsid w:val="00F0457E"/>
    <w:rsid w:val="00F045CA"/>
    <w:rsid w:val="00F047DB"/>
    <w:rsid w:val="00F04883"/>
    <w:rsid w:val="00F04D97"/>
    <w:rsid w:val="00F0505A"/>
    <w:rsid w:val="00F0528B"/>
    <w:rsid w:val="00F052BA"/>
    <w:rsid w:val="00F05333"/>
    <w:rsid w:val="00F05839"/>
    <w:rsid w:val="00F0593B"/>
    <w:rsid w:val="00F05AA9"/>
    <w:rsid w:val="00F05B98"/>
    <w:rsid w:val="00F05D97"/>
    <w:rsid w:val="00F05F8B"/>
    <w:rsid w:val="00F06100"/>
    <w:rsid w:val="00F068A1"/>
    <w:rsid w:val="00F06AC7"/>
    <w:rsid w:val="00F06C48"/>
    <w:rsid w:val="00F06F0F"/>
    <w:rsid w:val="00F06FC3"/>
    <w:rsid w:val="00F071A6"/>
    <w:rsid w:val="00F074BA"/>
    <w:rsid w:val="00F079FE"/>
    <w:rsid w:val="00F07A16"/>
    <w:rsid w:val="00F07A52"/>
    <w:rsid w:val="00F1028B"/>
    <w:rsid w:val="00F1034C"/>
    <w:rsid w:val="00F1056F"/>
    <w:rsid w:val="00F1058D"/>
    <w:rsid w:val="00F1090D"/>
    <w:rsid w:val="00F10EBB"/>
    <w:rsid w:val="00F10FC9"/>
    <w:rsid w:val="00F11104"/>
    <w:rsid w:val="00F11346"/>
    <w:rsid w:val="00F11503"/>
    <w:rsid w:val="00F11880"/>
    <w:rsid w:val="00F11909"/>
    <w:rsid w:val="00F11B13"/>
    <w:rsid w:val="00F12537"/>
    <w:rsid w:val="00F125B3"/>
    <w:rsid w:val="00F12ED3"/>
    <w:rsid w:val="00F12F7A"/>
    <w:rsid w:val="00F13239"/>
    <w:rsid w:val="00F1369F"/>
    <w:rsid w:val="00F1376D"/>
    <w:rsid w:val="00F1423E"/>
    <w:rsid w:val="00F1448D"/>
    <w:rsid w:val="00F1464D"/>
    <w:rsid w:val="00F14A6A"/>
    <w:rsid w:val="00F1589B"/>
    <w:rsid w:val="00F15945"/>
    <w:rsid w:val="00F15B9F"/>
    <w:rsid w:val="00F15F3A"/>
    <w:rsid w:val="00F161E9"/>
    <w:rsid w:val="00F162BE"/>
    <w:rsid w:val="00F16373"/>
    <w:rsid w:val="00F169F4"/>
    <w:rsid w:val="00F16C89"/>
    <w:rsid w:val="00F16E3D"/>
    <w:rsid w:val="00F17321"/>
    <w:rsid w:val="00F174BF"/>
    <w:rsid w:val="00F17529"/>
    <w:rsid w:val="00F175B3"/>
    <w:rsid w:val="00F17701"/>
    <w:rsid w:val="00F177BF"/>
    <w:rsid w:val="00F17EB4"/>
    <w:rsid w:val="00F200BC"/>
    <w:rsid w:val="00F20469"/>
    <w:rsid w:val="00F204E4"/>
    <w:rsid w:val="00F207CA"/>
    <w:rsid w:val="00F20B0B"/>
    <w:rsid w:val="00F20F6B"/>
    <w:rsid w:val="00F21197"/>
    <w:rsid w:val="00F212BA"/>
    <w:rsid w:val="00F21A56"/>
    <w:rsid w:val="00F21E3B"/>
    <w:rsid w:val="00F21E7E"/>
    <w:rsid w:val="00F22021"/>
    <w:rsid w:val="00F22162"/>
    <w:rsid w:val="00F225CD"/>
    <w:rsid w:val="00F22CD1"/>
    <w:rsid w:val="00F22D76"/>
    <w:rsid w:val="00F2306C"/>
    <w:rsid w:val="00F23636"/>
    <w:rsid w:val="00F23792"/>
    <w:rsid w:val="00F238DB"/>
    <w:rsid w:val="00F23957"/>
    <w:rsid w:val="00F23979"/>
    <w:rsid w:val="00F23D69"/>
    <w:rsid w:val="00F23EFA"/>
    <w:rsid w:val="00F23F4A"/>
    <w:rsid w:val="00F24076"/>
    <w:rsid w:val="00F240D4"/>
    <w:rsid w:val="00F248C4"/>
    <w:rsid w:val="00F24A8B"/>
    <w:rsid w:val="00F24BBD"/>
    <w:rsid w:val="00F24CF3"/>
    <w:rsid w:val="00F24F40"/>
    <w:rsid w:val="00F25151"/>
    <w:rsid w:val="00F2577E"/>
    <w:rsid w:val="00F257B6"/>
    <w:rsid w:val="00F25A29"/>
    <w:rsid w:val="00F25F4D"/>
    <w:rsid w:val="00F263B0"/>
    <w:rsid w:val="00F264C7"/>
    <w:rsid w:val="00F2670A"/>
    <w:rsid w:val="00F268C8"/>
    <w:rsid w:val="00F26BD0"/>
    <w:rsid w:val="00F26EF0"/>
    <w:rsid w:val="00F272C8"/>
    <w:rsid w:val="00F274AD"/>
    <w:rsid w:val="00F2755B"/>
    <w:rsid w:val="00F276D2"/>
    <w:rsid w:val="00F27A08"/>
    <w:rsid w:val="00F27FB0"/>
    <w:rsid w:val="00F300BD"/>
    <w:rsid w:val="00F30386"/>
    <w:rsid w:val="00F3041D"/>
    <w:rsid w:val="00F3053C"/>
    <w:rsid w:val="00F30830"/>
    <w:rsid w:val="00F3093F"/>
    <w:rsid w:val="00F30C38"/>
    <w:rsid w:val="00F3154E"/>
    <w:rsid w:val="00F3163B"/>
    <w:rsid w:val="00F316C3"/>
    <w:rsid w:val="00F318FD"/>
    <w:rsid w:val="00F3194F"/>
    <w:rsid w:val="00F31B39"/>
    <w:rsid w:val="00F31C69"/>
    <w:rsid w:val="00F32623"/>
    <w:rsid w:val="00F3265C"/>
    <w:rsid w:val="00F32808"/>
    <w:rsid w:val="00F328C9"/>
    <w:rsid w:val="00F32C07"/>
    <w:rsid w:val="00F32ECE"/>
    <w:rsid w:val="00F334DD"/>
    <w:rsid w:val="00F3360E"/>
    <w:rsid w:val="00F3365F"/>
    <w:rsid w:val="00F3397E"/>
    <w:rsid w:val="00F33D10"/>
    <w:rsid w:val="00F33E50"/>
    <w:rsid w:val="00F342C3"/>
    <w:rsid w:val="00F3435E"/>
    <w:rsid w:val="00F34561"/>
    <w:rsid w:val="00F3462F"/>
    <w:rsid w:val="00F34C31"/>
    <w:rsid w:val="00F35220"/>
    <w:rsid w:val="00F354A1"/>
    <w:rsid w:val="00F355BA"/>
    <w:rsid w:val="00F35820"/>
    <w:rsid w:val="00F35A0D"/>
    <w:rsid w:val="00F35EF4"/>
    <w:rsid w:val="00F360C9"/>
    <w:rsid w:val="00F36298"/>
    <w:rsid w:val="00F365C7"/>
    <w:rsid w:val="00F36782"/>
    <w:rsid w:val="00F36BBD"/>
    <w:rsid w:val="00F36C60"/>
    <w:rsid w:val="00F373A3"/>
    <w:rsid w:val="00F3769B"/>
    <w:rsid w:val="00F378A4"/>
    <w:rsid w:val="00F378E4"/>
    <w:rsid w:val="00F37908"/>
    <w:rsid w:val="00F37982"/>
    <w:rsid w:val="00F37F60"/>
    <w:rsid w:val="00F40561"/>
    <w:rsid w:val="00F4059C"/>
    <w:rsid w:val="00F408D4"/>
    <w:rsid w:val="00F40928"/>
    <w:rsid w:val="00F40949"/>
    <w:rsid w:val="00F40B66"/>
    <w:rsid w:val="00F40F40"/>
    <w:rsid w:val="00F4102D"/>
    <w:rsid w:val="00F4105F"/>
    <w:rsid w:val="00F41411"/>
    <w:rsid w:val="00F419A6"/>
    <w:rsid w:val="00F41B43"/>
    <w:rsid w:val="00F41FD9"/>
    <w:rsid w:val="00F4227A"/>
    <w:rsid w:val="00F4228A"/>
    <w:rsid w:val="00F424D8"/>
    <w:rsid w:val="00F42572"/>
    <w:rsid w:val="00F42677"/>
    <w:rsid w:val="00F4280F"/>
    <w:rsid w:val="00F42AA8"/>
    <w:rsid w:val="00F42D69"/>
    <w:rsid w:val="00F42D90"/>
    <w:rsid w:val="00F42E5F"/>
    <w:rsid w:val="00F43827"/>
    <w:rsid w:val="00F438D4"/>
    <w:rsid w:val="00F43BE1"/>
    <w:rsid w:val="00F43E0D"/>
    <w:rsid w:val="00F44365"/>
    <w:rsid w:val="00F44779"/>
    <w:rsid w:val="00F447A9"/>
    <w:rsid w:val="00F44D1E"/>
    <w:rsid w:val="00F44DDB"/>
    <w:rsid w:val="00F44EC1"/>
    <w:rsid w:val="00F45393"/>
    <w:rsid w:val="00F455D1"/>
    <w:rsid w:val="00F4594B"/>
    <w:rsid w:val="00F45D00"/>
    <w:rsid w:val="00F4609D"/>
    <w:rsid w:val="00F46294"/>
    <w:rsid w:val="00F4668F"/>
    <w:rsid w:val="00F46763"/>
    <w:rsid w:val="00F469B4"/>
    <w:rsid w:val="00F47245"/>
    <w:rsid w:val="00F473F6"/>
    <w:rsid w:val="00F47716"/>
    <w:rsid w:val="00F47717"/>
    <w:rsid w:val="00F479D1"/>
    <w:rsid w:val="00F47DAD"/>
    <w:rsid w:val="00F47E85"/>
    <w:rsid w:val="00F500D6"/>
    <w:rsid w:val="00F50159"/>
    <w:rsid w:val="00F503AE"/>
    <w:rsid w:val="00F50433"/>
    <w:rsid w:val="00F5060F"/>
    <w:rsid w:val="00F5067B"/>
    <w:rsid w:val="00F50DF7"/>
    <w:rsid w:val="00F5104B"/>
    <w:rsid w:val="00F51385"/>
    <w:rsid w:val="00F51B46"/>
    <w:rsid w:val="00F51D94"/>
    <w:rsid w:val="00F522A8"/>
    <w:rsid w:val="00F529B1"/>
    <w:rsid w:val="00F52DBA"/>
    <w:rsid w:val="00F52E35"/>
    <w:rsid w:val="00F53083"/>
    <w:rsid w:val="00F5341B"/>
    <w:rsid w:val="00F53456"/>
    <w:rsid w:val="00F537C7"/>
    <w:rsid w:val="00F537EB"/>
    <w:rsid w:val="00F5386B"/>
    <w:rsid w:val="00F53882"/>
    <w:rsid w:val="00F53C56"/>
    <w:rsid w:val="00F54126"/>
    <w:rsid w:val="00F54738"/>
    <w:rsid w:val="00F548CD"/>
    <w:rsid w:val="00F54E02"/>
    <w:rsid w:val="00F55027"/>
    <w:rsid w:val="00F5506F"/>
    <w:rsid w:val="00F55342"/>
    <w:rsid w:val="00F5541E"/>
    <w:rsid w:val="00F55833"/>
    <w:rsid w:val="00F55CEA"/>
    <w:rsid w:val="00F55EA1"/>
    <w:rsid w:val="00F55EAA"/>
    <w:rsid w:val="00F55F48"/>
    <w:rsid w:val="00F55FCE"/>
    <w:rsid w:val="00F562D9"/>
    <w:rsid w:val="00F566D0"/>
    <w:rsid w:val="00F56873"/>
    <w:rsid w:val="00F56C44"/>
    <w:rsid w:val="00F56E54"/>
    <w:rsid w:val="00F56F18"/>
    <w:rsid w:val="00F5732C"/>
    <w:rsid w:val="00F57601"/>
    <w:rsid w:val="00F576E9"/>
    <w:rsid w:val="00F57748"/>
    <w:rsid w:val="00F578F4"/>
    <w:rsid w:val="00F57C13"/>
    <w:rsid w:val="00F601C9"/>
    <w:rsid w:val="00F606E1"/>
    <w:rsid w:val="00F60A66"/>
    <w:rsid w:val="00F6134C"/>
    <w:rsid w:val="00F6183A"/>
    <w:rsid w:val="00F61DD7"/>
    <w:rsid w:val="00F61E76"/>
    <w:rsid w:val="00F61EC2"/>
    <w:rsid w:val="00F62312"/>
    <w:rsid w:val="00F62452"/>
    <w:rsid w:val="00F6253A"/>
    <w:rsid w:val="00F62663"/>
    <w:rsid w:val="00F6289A"/>
    <w:rsid w:val="00F629EF"/>
    <w:rsid w:val="00F62B59"/>
    <w:rsid w:val="00F62D28"/>
    <w:rsid w:val="00F62F54"/>
    <w:rsid w:val="00F631FC"/>
    <w:rsid w:val="00F63329"/>
    <w:rsid w:val="00F634A0"/>
    <w:rsid w:val="00F635B0"/>
    <w:rsid w:val="00F638B8"/>
    <w:rsid w:val="00F63DD2"/>
    <w:rsid w:val="00F64153"/>
    <w:rsid w:val="00F6443C"/>
    <w:rsid w:val="00F64486"/>
    <w:rsid w:val="00F64572"/>
    <w:rsid w:val="00F645BF"/>
    <w:rsid w:val="00F645E1"/>
    <w:rsid w:val="00F64793"/>
    <w:rsid w:val="00F648EA"/>
    <w:rsid w:val="00F64964"/>
    <w:rsid w:val="00F64CE3"/>
    <w:rsid w:val="00F654B4"/>
    <w:rsid w:val="00F65555"/>
    <w:rsid w:val="00F65A7F"/>
    <w:rsid w:val="00F65D71"/>
    <w:rsid w:val="00F65D7C"/>
    <w:rsid w:val="00F65E27"/>
    <w:rsid w:val="00F6619F"/>
    <w:rsid w:val="00F66496"/>
    <w:rsid w:val="00F66640"/>
    <w:rsid w:val="00F66668"/>
    <w:rsid w:val="00F666DF"/>
    <w:rsid w:val="00F668D6"/>
    <w:rsid w:val="00F66B83"/>
    <w:rsid w:val="00F66BCE"/>
    <w:rsid w:val="00F66F28"/>
    <w:rsid w:val="00F670DC"/>
    <w:rsid w:val="00F676A5"/>
    <w:rsid w:val="00F67949"/>
    <w:rsid w:val="00F67D61"/>
    <w:rsid w:val="00F67E7E"/>
    <w:rsid w:val="00F67F17"/>
    <w:rsid w:val="00F7000C"/>
    <w:rsid w:val="00F70253"/>
    <w:rsid w:val="00F7027F"/>
    <w:rsid w:val="00F7049B"/>
    <w:rsid w:val="00F70741"/>
    <w:rsid w:val="00F71653"/>
    <w:rsid w:val="00F71A56"/>
    <w:rsid w:val="00F71E1A"/>
    <w:rsid w:val="00F72636"/>
    <w:rsid w:val="00F72BB1"/>
    <w:rsid w:val="00F736F9"/>
    <w:rsid w:val="00F73747"/>
    <w:rsid w:val="00F7388B"/>
    <w:rsid w:val="00F73F19"/>
    <w:rsid w:val="00F74034"/>
    <w:rsid w:val="00F746D9"/>
    <w:rsid w:val="00F74EA0"/>
    <w:rsid w:val="00F74FB7"/>
    <w:rsid w:val="00F7509A"/>
    <w:rsid w:val="00F75290"/>
    <w:rsid w:val="00F75342"/>
    <w:rsid w:val="00F7581D"/>
    <w:rsid w:val="00F7581F"/>
    <w:rsid w:val="00F759EF"/>
    <w:rsid w:val="00F75AF7"/>
    <w:rsid w:val="00F75C3C"/>
    <w:rsid w:val="00F76722"/>
    <w:rsid w:val="00F7697F"/>
    <w:rsid w:val="00F7699A"/>
    <w:rsid w:val="00F76A2C"/>
    <w:rsid w:val="00F76E57"/>
    <w:rsid w:val="00F77221"/>
    <w:rsid w:val="00F7726A"/>
    <w:rsid w:val="00F773F5"/>
    <w:rsid w:val="00F7794F"/>
    <w:rsid w:val="00F77B8B"/>
    <w:rsid w:val="00F77C13"/>
    <w:rsid w:val="00F77F2E"/>
    <w:rsid w:val="00F77F7C"/>
    <w:rsid w:val="00F802C2"/>
    <w:rsid w:val="00F8108A"/>
    <w:rsid w:val="00F8127B"/>
    <w:rsid w:val="00F81D19"/>
    <w:rsid w:val="00F8213A"/>
    <w:rsid w:val="00F82EF6"/>
    <w:rsid w:val="00F83246"/>
    <w:rsid w:val="00F83321"/>
    <w:rsid w:val="00F83324"/>
    <w:rsid w:val="00F83842"/>
    <w:rsid w:val="00F83AFF"/>
    <w:rsid w:val="00F84133"/>
    <w:rsid w:val="00F842DB"/>
    <w:rsid w:val="00F84BC0"/>
    <w:rsid w:val="00F851A1"/>
    <w:rsid w:val="00F851B3"/>
    <w:rsid w:val="00F85283"/>
    <w:rsid w:val="00F855CD"/>
    <w:rsid w:val="00F85919"/>
    <w:rsid w:val="00F85DA2"/>
    <w:rsid w:val="00F85F89"/>
    <w:rsid w:val="00F86077"/>
    <w:rsid w:val="00F860E2"/>
    <w:rsid w:val="00F86207"/>
    <w:rsid w:val="00F8651C"/>
    <w:rsid w:val="00F867E2"/>
    <w:rsid w:val="00F8696D"/>
    <w:rsid w:val="00F86CFB"/>
    <w:rsid w:val="00F86EA3"/>
    <w:rsid w:val="00F86FCD"/>
    <w:rsid w:val="00F870C4"/>
    <w:rsid w:val="00F871FA"/>
    <w:rsid w:val="00F8733D"/>
    <w:rsid w:val="00F87457"/>
    <w:rsid w:val="00F87473"/>
    <w:rsid w:val="00F87607"/>
    <w:rsid w:val="00F8780E"/>
    <w:rsid w:val="00F8790A"/>
    <w:rsid w:val="00F879FA"/>
    <w:rsid w:val="00F87A7D"/>
    <w:rsid w:val="00F87C8D"/>
    <w:rsid w:val="00F87E03"/>
    <w:rsid w:val="00F9017A"/>
    <w:rsid w:val="00F9061B"/>
    <w:rsid w:val="00F90ACA"/>
    <w:rsid w:val="00F90E81"/>
    <w:rsid w:val="00F90FB3"/>
    <w:rsid w:val="00F9120B"/>
    <w:rsid w:val="00F91683"/>
    <w:rsid w:val="00F91738"/>
    <w:rsid w:val="00F918F8"/>
    <w:rsid w:val="00F91B3E"/>
    <w:rsid w:val="00F91C8F"/>
    <w:rsid w:val="00F91FC4"/>
    <w:rsid w:val="00F92073"/>
    <w:rsid w:val="00F92566"/>
    <w:rsid w:val="00F928BB"/>
    <w:rsid w:val="00F92D8D"/>
    <w:rsid w:val="00F935CB"/>
    <w:rsid w:val="00F936DD"/>
    <w:rsid w:val="00F93768"/>
    <w:rsid w:val="00F93915"/>
    <w:rsid w:val="00F93B65"/>
    <w:rsid w:val="00F943F4"/>
    <w:rsid w:val="00F944B8"/>
    <w:rsid w:val="00F947FF"/>
    <w:rsid w:val="00F94BAA"/>
    <w:rsid w:val="00F94D22"/>
    <w:rsid w:val="00F94F97"/>
    <w:rsid w:val="00F9524A"/>
    <w:rsid w:val="00F9530C"/>
    <w:rsid w:val="00F95317"/>
    <w:rsid w:val="00F95889"/>
    <w:rsid w:val="00F95FD4"/>
    <w:rsid w:val="00F961CA"/>
    <w:rsid w:val="00F96206"/>
    <w:rsid w:val="00F964DE"/>
    <w:rsid w:val="00F966E0"/>
    <w:rsid w:val="00F96D76"/>
    <w:rsid w:val="00F96D9F"/>
    <w:rsid w:val="00F9723C"/>
    <w:rsid w:val="00F97388"/>
    <w:rsid w:val="00F9784F"/>
    <w:rsid w:val="00F9799E"/>
    <w:rsid w:val="00F979FA"/>
    <w:rsid w:val="00FA00EA"/>
    <w:rsid w:val="00FA02B0"/>
    <w:rsid w:val="00FA0395"/>
    <w:rsid w:val="00FA03F1"/>
    <w:rsid w:val="00FA05CA"/>
    <w:rsid w:val="00FA07B9"/>
    <w:rsid w:val="00FA0858"/>
    <w:rsid w:val="00FA08D1"/>
    <w:rsid w:val="00FA09C6"/>
    <w:rsid w:val="00FA0EC7"/>
    <w:rsid w:val="00FA1095"/>
    <w:rsid w:val="00FA10B3"/>
    <w:rsid w:val="00FA1192"/>
    <w:rsid w:val="00FA13B5"/>
    <w:rsid w:val="00FA1403"/>
    <w:rsid w:val="00FA15A2"/>
    <w:rsid w:val="00FA1A59"/>
    <w:rsid w:val="00FA1ABE"/>
    <w:rsid w:val="00FA1D40"/>
    <w:rsid w:val="00FA224E"/>
    <w:rsid w:val="00FA24CD"/>
    <w:rsid w:val="00FA2521"/>
    <w:rsid w:val="00FA285D"/>
    <w:rsid w:val="00FA299E"/>
    <w:rsid w:val="00FA29CB"/>
    <w:rsid w:val="00FA29E2"/>
    <w:rsid w:val="00FA2AEA"/>
    <w:rsid w:val="00FA2B03"/>
    <w:rsid w:val="00FA32EF"/>
    <w:rsid w:val="00FA334A"/>
    <w:rsid w:val="00FA34A9"/>
    <w:rsid w:val="00FA3708"/>
    <w:rsid w:val="00FA381F"/>
    <w:rsid w:val="00FA3830"/>
    <w:rsid w:val="00FA3942"/>
    <w:rsid w:val="00FA3A11"/>
    <w:rsid w:val="00FA3B80"/>
    <w:rsid w:val="00FA420E"/>
    <w:rsid w:val="00FA4269"/>
    <w:rsid w:val="00FA483F"/>
    <w:rsid w:val="00FA4957"/>
    <w:rsid w:val="00FA50DB"/>
    <w:rsid w:val="00FA5115"/>
    <w:rsid w:val="00FA5858"/>
    <w:rsid w:val="00FA5A9E"/>
    <w:rsid w:val="00FA5C00"/>
    <w:rsid w:val="00FA5D30"/>
    <w:rsid w:val="00FA5DE6"/>
    <w:rsid w:val="00FA610C"/>
    <w:rsid w:val="00FA626F"/>
    <w:rsid w:val="00FA6698"/>
    <w:rsid w:val="00FA67DA"/>
    <w:rsid w:val="00FA6822"/>
    <w:rsid w:val="00FA684F"/>
    <w:rsid w:val="00FA6D4A"/>
    <w:rsid w:val="00FA6E9B"/>
    <w:rsid w:val="00FA7395"/>
    <w:rsid w:val="00FA73F1"/>
    <w:rsid w:val="00FA751F"/>
    <w:rsid w:val="00FA765F"/>
    <w:rsid w:val="00FA798F"/>
    <w:rsid w:val="00FA7A68"/>
    <w:rsid w:val="00FA7C11"/>
    <w:rsid w:val="00FB03EA"/>
    <w:rsid w:val="00FB09D4"/>
    <w:rsid w:val="00FB0BF0"/>
    <w:rsid w:val="00FB0C58"/>
    <w:rsid w:val="00FB0C6D"/>
    <w:rsid w:val="00FB0D12"/>
    <w:rsid w:val="00FB10E1"/>
    <w:rsid w:val="00FB10FC"/>
    <w:rsid w:val="00FB1226"/>
    <w:rsid w:val="00FB1274"/>
    <w:rsid w:val="00FB138F"/>
    <w:rsid w:val="00FB1461"/>
    <w:rsid w:val="00FB1599"/>
    <w:rsid w:val="00FB16A8"/>
    <w:rsid w:val="00FB180F"/>
    <w:rsid w:val="00FB1B4B"/>
    <w:rsid w:val="00FB1B62"/>
    <w:rsid w:val="00FB1FA0"/>
    <w:rsid w:val="00FB1FE1"/>
    <w:rsid w:val="00FB2219"/>
    <w:rsid w:val="00FB2809"/>
    <w:rsid w:val="00FB2C86"/>
    <w:rsid w:val="00FB2DAC"/>
    <w:rsid w:val="00FB2E9D"/>
    <w:rsid w:val="00FB329A"/>
    <w:rsid w:val="00FB337B"/>
    <w:rsid w:val="00FB3861"/>
    <w:rsid w:val="00FB3944"/>
    <w:rsid w:val="00FB3E1E"/>
    <w:rsid w:val="00FB400A"/>
    <w:rsid w:val="00FB4091"/>
    <w:rsid w:val="00FB4598"/>
    <w:rsid w:val="00FB46FF"/>
    <w:rsid w:val="00FB4DC3"/>
    <w:rsid w:val="00FB4F60"/>
    <w:rsid w:val="00FB502D"/>
    <w:rsid w:val="00FB5199"/>
    <w:rsid w:val="00FB55FA"/>
    <w:rsid w:val="00FB57B4"/>
    <w:rsid w:val="00FB595C"/>
    <w:rsid w:val="00FB66F6"/>
    <w:rsid w:val="00FB6872"/>
    <w:rsid w:val="00FB7703"/>
    <w:rsid w:val="00FB787B"/>
    <w:rsid w:val="00FB7E14"/>
    <w:rsid w:val="00FB7E64"/>
    <w:rsid w:val="00FC0153"/>
    <w:rsid w:val="00FC0D10"/>
    <w:rsid w:val="00FC10B5"/>
    <w:rsid w:val="00FC12CF"/>
    <w:rsid w:val="00FC15B1"/>
    <w:rsid w:val="00FC16A3"/>
    <w:rsid w:val="00FC1781"/>
    <w:rsid w:val="00FC1926"/>
    <w:rsid w:val="00FC1E6B"/>
    <w:rsid w:val="00FC2191"/>
    <w:rsid w:val="00FC2759"/>
    <w:rsid w:val="00FC2BDA"/>
    <w:rsid w:val="00FC2DF1"/>
    <w:rsid w:val="00FC3071"/>
    <w:rsid w:val="00FC30BA"/>
    <w:rsid w:val="00FC3195"/>
    <w:rsid w:val="00FC36EB"/>
    <w:rsid w:val="00FC38CA"/>
    <w:rsid w:val="00FC3BD6"/>
    <w:rsid w:val="00FC3D27"/>
    <w:rsid w:val="00FC40A4"/>
    <w:rsid w:val="00FC4527"/>
    <w:rsid w:val="00FC499B"/>
    <w:rsid w:val="00FC4BED"/>
    <w:rsid w:val="00FC4F9F"/>
    <w:rsid w:val="00FC565E"/>
    <w:rsid w:val="00FC5C96"/>
    <w:rsid w:val="00FC5DDA"/>
    <w:rsid w:val="00FC60BE"/>
    <w:rsid w:val="00FC6141"/>
    <w:rsid w:val="00FC6AE5"/>
    <w:rsid w:val="00FC6B4D"/>
    <w:rsid w:val="00FC7267"/>
    <w:rsid w:val="00FC72E1"/>
    <w:rsid w:val="00FC7399"/>
    <w:rsid w:val="00FC755C"/>
    <w:rsid w:val="00FC7AD8"/>
    <w:rsid w:val="00FC7E6D"/>
    <w:rsid w:val="00FC7F1B"/>
    <w:rsid w:val="00FC7F27"/>
    <w:rsid w:val="00FD0084"/>
    <w:rsid w:val="00FD0712"/>
    <w:rsid w:val="00FD0F36"/>
    <w:rsid w:val="00FD0F47"/>
    <w:rsid w:val="00FD109F"/>
    <w:rsid w:val="00FD1121"/>
    <w:rsid w:val="00FD15B7"/>
    <w:rsid w:val="00FD1ADB"/>
    <w:rsid w:val="00FD1C15"/>
    <w:rsid w:val="00FD1E3F"/>
    <w:rsid w:val="00FD2102"/>
    <w:rsid w:val="00FD212B"/>
    <w:rsid w:val="00FD26D8"/>
    <w:rsid w:val="00FD2834"/>
    <w:rsid w:val="00FD2D59"/>
    <w:rsid w:val="00FD2DD5"/>
    <w:rsid w:val="00FD2E27"/>
    <w:rsid w:val="00FD34F7"/>
    <w:rsid w:val="00FD3987"/>
    <w:rsid w:val="00FD3C31"/>
    <w:rsid w:val="00FD3DCE"/>
    <w:rsid w:val="00FD423C"/>
    <w:rsid w:val="00FD426D"/>
    <w:rsid w:val="00FD42C8"/>
    <w:rsid w:val="00FD452F"/>
    <w:rsid w:val="00FD4810"/>
    <w:rsid w:val="00FD49AC"/>
    <w:rsid w:val="00FD4A1C"/>
    <w:rsid w:val="00FD4B92"/>
    <w:rsid w:val="00FD4D4A"/>
    <w:rsid w:val="00FD50D7"/>
    <w:rsid w:val="00FD5925"/>
    <w:rsid w:val="00FD597C"/>
    <w:rsid w:val="00FD59C7"/>
    <w:rsid w:val="00FD5ACD"/>
    <w:rsid w:val="00FD5F5A"/>
    <w:rsid w:val="00FD6296"/>
    <w:rsid w:val="00FD62A1"/>
    <w:rsid w:val="00FD647F"/>
    <w:rsid w:val="00FD64F1"/>
    <w:rsid w:val="00FD6DDF"/>
    <w:rsid w:val="00FD7053"/>
    <w:rsid w:val="00FD75B2"/>
    <w:rsid w:val="00FD7AF0"/>
    <w:rsid w:val="00FE0101"/>
    <w:rsid w:val="00FE0B56"/>
    <w:rsid w:val="00FE0BB7"/>
    <w:rsid w:val="00FE0E70"/>
    <w:rsid w:val="00FE12F5"/>
    <w:rsid w:val="00FE147E"/>
    <w:rsid w:val="00FE1586"/>
    <w:rsid w:val="00FE1635"/>
    <w:rsid w:val="00FE166A"/>
    <w:rsid w:val="00FE1716"/>
    <w:rsid w:val="00FE1A19"/>
    <w:rsid w:val="00FE1E14"/>
    <w:rsid w:val="00FE2864"/>
    <w:rsid w:val="00FE29CE"/>
    <w:rsid w:val="00FE2D3C"/>
    <w:rsid w:val="00FE2ED2"/>
    <w:rsid w:val="00FE3039"/>
    <w:rsid w:val="00FE393D"/>
    <w:rsid w:val="00FE3AA2"/>
    <w:rsid w:val="00FE3B8C"/>
    <w:rsid w:val="00FE3BA2"/>
    <w:rsid w:val="00FE3CDC"/>
    <w:rsid w:val="00FE3DE8"/>
    <w:rsid w:val="00FE404F"/>
    <w:rsid w:val="00FE4142"/>
    <w:rsid w:val="00FE4230"/>
    <w:rsid w:val="00FE4AFB"/>
    <w:rsid w:val="00FE4BCD"/>
    <w:rsid w:val="00FE4F47"/>
    <w:rsid w:val="00FE53BD"/>
    <w:rsid w:val="00FE5486"/>
    <w:rsid w:val="00FE55CD"/>
    <w:rsid w:val="00FE560C"/>
    <w:rsid w:val="00FE5668"/>
    <w:rsid w:val="00FE5B77"/>
    <w:rsid w:val="00FE6023"/>
    <w:rsid w:val="00FE6111"/>
    <w:rsid w:val="00FE628C"/>
    <w:rsid w:val="00FE65BC"/>
    <w:rsid w:val="00FE6875"/>
    <w:rsid w:val="00FE694D"/>
    <w:rsid w:val="00FE6ACB"/>
    <w:rsid w:val="00FE6EDA"/>
    <w:rsid w:val="00FE6F54"/>
    <w:rsid w:val="00FE6F5F"/>
    <w:rsid w:val="00FE7177"/>
    <w:rsid w:val="00FE71F0"/>
    <w:rsid w:val="00FE733A"/>
    <w:rsid w:val="00FE75EF"/>
    <w:rsid w:val="00FE7624"/>
    <w:rsid w:val="00FE78BA"/>
    <w:rsid w:val="00FE7947"/>
    <w:rsid w:val="00FE7C34"/>
    <w:rsid w:val="00FE7D13"/>
    <w:rsid w:val="00FE7E43"/>
    <w:rsid w:val="00FE7FED"/>
    <w:rsid w:val="00FF014F"/>
    <w:rsid w:val="00FF0490"/>
    <w:rsid w:val="00FF0681"/>
    <w:rsid w:val="00FF097B"/>
    <w:rsid w:val="00FF09B2"/>
    <w:rsid w:val="00FF0AED"/>
    <w:rsid w:val="00FF0DE3"/>
    <w:rsid w:val="00FF102C"/>
    <w:rsid w:val="00FF19E4"/>
    <w:rsid w:val="00FF1DB1"/>
    <w:rsid w:val="00FF1FB6"/>
    <w:rsid w:val="00FF249A"/>
    <w:rsid w:val="00FF29C5"/>
    <w:rsid w:val="00FF2C8E"/>
    <w:rsid w:val="00FF2D29"/>
    <w:rsid w:val="00FF3034"/>
    <w:rsid w:val="00FF3163"/>
    <w:rsid w:val="00FF346C"/>
    <w:rsid w:val="00FF369C"/>
    <w:rsid w:val="00FF397B"/>
    <w:rsid w:val="00FF3BDA"/>
    <w:rsid w:val="00FF3EC4"/>
    <w:rsid w:val="00FF4167"/>
    <w:rsid w:val="00FF444F"/>
    <w:rsid w:val="00FF45F2"/>
    <w:rsid w:val="00FF483F"/>
    <w:rsid w:val="00FF5082"/>
    <w:rsid w:val="00FF50D6"/>
    <w:rsid w:val="00FF5372"/>
    <w:rsid w:val="00FF5580"/>
    <w:rsid w:val="00FF57FA"/>
    <w:rsid w:val="00FF5876"/>
    <w:rsid w:val="00FF594A"/>
    <w:rsid w:val="00FF60E8"/>
    <w:rsid w:val="00FF6213"/>
    <w:rsid w:val="00FF62F9"/>
    <w:rsid w:val="00FF6483"/>
    <w:rsid w:val="00FF64C2"/>
    <w:rsid w:val="00FF6C91"/>
    <w:rsid w:val="00FF6F31"/>
    <w:rsid w:val="00FF7ABD"/>
    <w:rsid w:val="00FF7AD6"/>
    <w:rsid w:val="00FF7B4E"/>
    <w:rsid w:val="00FF7D31"/>
    <w:rsid w:val="00FF7F7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78D3E7"/>
  <w14:defaultImageDpi w14:val="32767"/>
  <w15:chartTrackingRefBased/>
  <w15:docId w15:val="{6ECC1369-E0CE-43A0-ADB5-FF5C7539E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64FD"/>
  </w:style>
  <w:style w:type="paragraph" w:styleId="Heading1">
    <w:name w:val="heading 1"/>
    <w:basedOn w:val="Normal"/>
    <w:next w:val="Normal"/>
    <w:link w:val="Heading1Char"/>
    <w:uiPriority w:val="9"/>
    <w:qFormat/>
    <w:rsid w:val="007534C2"/>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Heading2">
    <w:name w:val="heading 2"/>
    <w:basedOn w:val="Normal"/>
    <w:next w:val="Normal"/>
    <w:link w:val="Heading2Char"/>
    <w:uiPriority w:val="9"/>
    <w:unhideWhenUsed/>
    <w:qFormat/>
    <w:rsid w:val="00A73141"/>
    <w:pPr>
      <w:keepNext/>
      <w:keepLines/>
      <w:spacing w:before="40" w:after="0"/>
      <w:outlineLvl w:val="1"/>
    </w:pPr>
    <w:rPr>
      <w:rFonts w:asciiTheme="majorHAnsi" w:eastAsiaTheme="majorEastAsia" w:hAnsiTheme="majorHAnsi" w:cstheme="majorBidi"/>
      <w:color w:val="0F4761" w:themeColor="accent1" w:themeShade="BF"/>
      <w:sz w:val="26"/>
      <w:szCs w:val="26"/>
    </w:rPr>
  </w:style>
  <w:style w:type="paragraph" w:styleId="Heading3">
    <w:name w:val="heading 3"/>
    <w:basedOn w:val="Normal"/>
    <w:next w:val="Normal"/>
    <w:link w:val="Heading3Char"/>
    <w:uiPriority w:val="9"/>
    <w:unhideWhenUsed/>
    <w:qFormat/>
    <w:rsid w:val="00C847D5"/>
    <w:pPr>
      <w:keepNext/>
      <w:keepLines/>
      <w:spacing w:before="40" w:after="0"/>
      <w:outlineLvl w:val="2"/>
    </w:pPr>
    <w:rPr>
      <w:rFonts w:asciiTheme="majorHAnsi" w:eastAsiaTheme="majorEastAsia" w:hAnsiTheme="majorHAnsi" w:cstheme="majorBidi"/>
      <w:color w:val="0A2F4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6E88"/>
    <w:pPr>
      <w:tabs>
        <w:tab w:val="center" w:pos="4252"/>
        <w:tab w:val="right" w:pos="8504"/>
      </w:tabs>
      <w:spacing w:after="0" w:line="240" w:lineRule="auto"/>
    </w:pPr>
  </w:style>
  <w:style w:type="character" w:customStyle="1" w:styleId="HeaderChar">
    <w:name w:val="Header Char"/>
    <w:basedOn w:val="DefaultParagraphFont"/>
    <w:link w:val="Header"/>
    <w:uiPriority w:val="99"/>
    <w:rsid w:val="00EB6E88"/>
  </w:style>
  <w:style w:type="paragraph" w:styleId="Footer">
    <w:name w:val="footer"/>
    <w:basedOn w:val="Normal"/>
    <w:link w:val="FooterChar"/>
    <w:uiPriority w:val="99"/>
    <w:unhideWhenUsed/>
    <w:rsid w:val="00EB6E88"/>
    <w:pPr>
      <w:tabs>
        <w:tab w:val="center" w:pos="4252"/>
        <w:tab w:val="right" w:pos="8504"/>
      </w:tabs>
      <w:spacing w:after="0" w:line="240" w:lineRule="auto"/>
    </w:pPr>
  </w:style>
  <w:style w:type="character" w:customStyle="1" w:styleId="FooterChar">
    <w:name w:val="Footer Char"/>
    <w:basedOn w:val="DefaultParagraphFont"/>
    <w:link w:val="Footer"/>
    <w:uiPriority w:val="99"/>
    <w:rsid w:val="00EB6E88"/>
  </w:style>
  <w:style w:type="character" w:customStyle="1" w:styleId="Heading1Char">
    <w:name w:val="Heading 1 Char"/>
    <w:basedOn w:val="DefaultParagraphFont"/>
    <w:link w:val="Heading1"/>
    <w:uiPriority w:val="9"/>
    <w:rsid w:val="007534C2"/>
    <w:rPr>
      <w:rFonts w:asciiTheme="majorHAnsi" w:eastAsiaTheme="majorEastAsia" w:hAnsiTheme="majorHAnsi" w:cstheme="majorBidi"/>
      <w:color w:val="0F4761" w:themeColor="accent1" w:themeShade="BF"/>
      <w:sz w:val="32"/>
      <w:szCs w:val="32"/>
    </w:rPr>
  </w:style>
  <w:style w:type="paragraph" w:styleId="Bibliography">
    <w:name w:val="Bibliography"/>
    <w:basedOn w:val="Normal"/>
    <w:next w:val="Normal"/>
    <w:uiPriority w:val="37"/>
    <w:unhideWhenUsed/>
    <w:rsid w:val="00D83A30"/>
    <w:pPr>
      <w:spacing w:after="0" w:line="240" w:lineRule="auto"/>
      <w:ind w:left="720" w:hanging="720"/>
    </w:pPr>
  </w:style>
  <w:style w:type="paragraph" w:styleId="Title">
    <w:name w:val="Title"/>
    <w:basedOn w:val="Normal"/>
    <w:next w:val="Normal"/>
    <w:link w:val="TitleChar"/>
    <w:uiPriority w:val="10"/>
    <w:qFormat/>
    <w:rsid w:val="00E36FF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6FF9"/>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A73141"/>
    <w:rPr>
      <w:rFonts w:asciiTheme="majorHAnsi" w:eastAsiaTheme="majorEastAsia" w:hAnsiTheme="majorHAnsi" w:cstheme="majorBidi"/>
      <w:color w:val="0F4761" w:themeColor="accent1" w:themeShade="BF"/>
      <w:sz w:val="26"/>
      <w:szCs w:val="26"/>
    </w:rPr>
  </w:style>
  <w:style w:type="paragraph" w:styleId="ListParagraph">
    <w:name w:val="List Paragraph"/>
    <w:basedOn w:val="Normal"/>
    <w:uiPriority w:val="34"/>
    <w:qFormat/>
    <w:rsid w:val="009953B8"/>
    <w:pPr>
      <w:ind w:left="720"/>
      <w:contextualSpacing/>
    </w:pPr>
  </w:style>
  <w:style w:type="numbering" w:customStyle="1" w:styleId="Estilo1">
    <w:name w:val="Estilo1"/>
    <w:uiPriority w:val="99"/>
    <w:rsid w:val="008B5841"/>
    <w:pPr>
      <w:numPr>
        <w:numId w:val="3"/>
      </w:numPr>
    </w:pPr>
  </w:style>
  <w:style w:type="numbering" w:customStyle="1" w:styleId="Estilo2">
    <w:name w:val="Estilo2"/>
    <w:uiPriority w:val="99"/>
    <w:rsid w:val="00AB2B75"/>
    <w:pPr>
      <w:numPr>
        <w:numId w:val="4"/>
      </w:numPr>
    </w:pPr>
  </w:style>
  <w:style w:type="numbering" w:customStyle="1" w:styleId="Estilo3">
    <w:name w:val="Estilo3"/>
    <w:uiPriority w:val="99"/>
    <w:rsid w:val="009A4C5D"/>
    <w:pPr>
      <w:numPr>
        <w:numId w:val="5"/>
      </w:numPr>
    </w:pPr>
  </w:style>
  <w:style w:type="numbering" w:customStyle="1" w:styleId="Estilo4">
    <w:name w:val="Estilo4"/>
    <w:uiPriority w:val="99"/>
    <w:rsid w:val="00B62E95"/>
    <w:pPr>
      <w:numPr>
        <w:numId w:val="6"/>
      </w:numPr>
    </w:pPr>
  </w:style>
  <w:style w:type="table" w:styleId="TableGrid">
    <w:name w:val="Table Grid"/>
    <w:basedOn w:val="TableNormal"/>
    <w:uiPriority w:val="59"/>
    <w:rsid w:val="008A51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C52FF7"/>
    <w:pPr>
      <w:outlineLvl w:val="9"/>
    </w:pPr>
    <w:rPr>
      <w:kern w:val="0"/>
      <w:lang w:eastAsia="es-ES"/>
      <w14:ligatures w14:val="none"/>
    </w:rPr>
  </w:style>
  <w:style w:type="paragraph" w:styleId="TOC1">
    <w:name w:val="toc 1"/>
    <w:basedOn w:val="Normal"/>
    <w:next w:val="Normal"/>
    <w:autoRedefine/>
    <w:uiPriority w:val="39"/>
    <w:unhideWhenUsed/>
    <w:rsid w:val="00C52FF7"/>
    <w:pPr>
      <w:spacing w:after="100"/>
    </w:pPr>
  </w:style>
  <w:style w:type="paragraph" w:styleId="TOC2">
    <w:name w:val="toc 2"/>
    <w:basedOn w:val="Normal"/>
    <w:next w:val="Normal"/>
    <w:autoRedefine/>
    <w:uiPriority w:val="39"/>
    <w:unhideWhenUsed/>
    <w:rsid w:val="00C52FF7"/>
    <w:pPr>
      <w:spacing w:after="100"/>
      <w:ind w:left="220"/>
    </w:pPr>
  </w:style>
  <w:style w:type="character" w:styleId="Hyperlink">
    <w:name w:val="Hyperlink"/>
    <w:basedOn w:val="DefaultParagraphFont"/>
    <w:uiPriority w:val="99"/>
    <w:unhideWhenUsed/>
    <w:rsid w:val="00C52FF7"/>
    <w:rPr>
      <w:color w:val="467886" w:themeColor="hyperlink"/>
      <w:u w:val="single"/>
    </w:rPr>
  </w:style>
  <w:style w:type="character" w:styleId="UnresolvedMention">
    <w:name w:val="Unresolved Mention"/>
    <w:basedOn w:val="DefaultParagraphFont"/>
    <w:uiPriority w:val="99"/>
    <w:semiHidden/>
    <w:unhideWhenUsed/>
    <w:rsid w:val="004057EC"/>
    <w:rPr>
      <w:color w:val="605E5C"/>
      <w:shd w:val="clear" w:color="auto" w:fill="E1DFDD"/>
    </w:rPr>
  </w:style>
  <w:style w:type="character" w:customStyle="1" w:styleId="Heading3Char">
    <w:name w:val="Heading 3 Char"/>
    <w:basedOn w:val="DefaultParagraphFont"/>
    <w:link w:val="Heading3"/>
    <w:uiPriority w:val="9"/>
    <w:rsid w:val="00C847D5"/>
    <w:rPr>
      <w:rFonts w:asciiTheme="majorHAnsi" w:eastAsiaTheme="majorEastAsia" w:hAnsiTheme="majorHAnsi" w:cstheme="majorBidi"/>
      <w:color w:val="0A2F40" w:themeColor="accent1" w:themeShade="7F"/>
      <w:sz w:val="24"/>
      <w:szCs w:val="24"/>
    </w:rPr>
  </w:style>
  <w:style w:type="paragraph" w:styleId="TOC3">
    <w:name w:val="toc 3"/>
    <w:basedOn w:val="Normal"/>
    <w:next w:val="Normal"/>
    <w:autoRedefine/>
    <w:uiPriority w:val="39"/>
    <w:unhideWhenUsed/>
    <w:rsid w:val="001D73C2"/>
    <w:pPr>
      <w:spacing w:after="100"/>
      <w:ind w:left="440"/>
    </w:pPr>
  </w:style>
  <w:style w:type="paragraph" w:styleId="Caption">
    <w:name w:val="caption"/>
    <w:basedOn w:val="Normal"/>
    <w:next w:val="Normal"/>
    <w:uiPriority w:val="35"/>
    <w:unhideWhenUsed/>
    <w:qFormat/>
    <w:rsid w:val="00594CD6"/>
    <w:pPr>
      <w:keepNext/>
      <w:spacing w:after="0" w:line="240" w:lineRule="auto"/>
      <w:jc w:val="both"/>
    </w:pPr>
    <w:rPr>
      <w:b/>
      <w:bCs/>
      <w:kern w:val="0"/>
      <w:sz w:val="18"/>
      <w:szCs w:val="18"/>
      <w14:ligatures w14:val="none"/>
    </w:rPr>
  </w:style>
  <w:style w:type="character" w:styleId="CommentReference">
    <w:name w:val="annotation reference"/>
    <w:basedOn w:val="DefaultParagraphFont"/>
    <w:uiPriority w:val="99"/>
    <w:semiHidden/>
    <w:unhideWhenUsed/>
    <w:rsid w:val="008B6735"/>
    <w:rPr>
      <w:sz w:val="16"/>
      <w:szCs w:val="16"/>
    </w:rPr>
  </w:style>
  <w:style w:type="paragraph" w:styleId="CommentText">
    <w:name w:val="annotation text"/>
    <w:basedOn w:val="Normal"/>
    <w:link w:val="CommentTextChar"/>
    <w:uiPriority w:val="99"/>
    <w:unhideWhenUsed/>
    <w:rsid w:val="008B6735"/>
    <w:pPr>
      <w:spacing w:line="240" w:lineRule="auto"/>
    </w:pPr>
    <w:rPr>
      <w:sz w:val="20"/>
      <w:szCs w:val="20"/>
    </w:rPr>
  </w:style>
  <w:style w:type="character" w:customStyle="1" w:styleId="CommentTextChar">
    <w:name w:val="Comment Text Char"/>
    <w:basedOn w:val="DefaultParagraphFont"/>
    <w:link w:val="CommentText"/>
    <w:uiPriority w:val="99"/>
    <w:rsid w:val="008B6735"/>
    <w:rPr>
      <w:sz w:val="20"/>
      <w:szCs w:val="20"/>
    </w:rPr>
  </w:style>
  <w:style w:type="paragraph" w:styleId="CommentSubject">
    <w:name w:val="annotation subject"/>
    <w:basedOn w:val="CommentText"/>
    <w:next w:val="CommentText"/>
    <w:link w:val="CommentSubjectChar"/>
    <w:uiPriority w:val="99"/>
    <w:semiHidden/>
    <w:unhideWhenUsed/>
    <w:rsid w:val="008B6735"/>
    <w:rPr>
      <w:b/>
      <w:bCs/>
    </w:rPr>
  </w:style>
  <w:style w:type="character" w:customStyle="1" w:styleId="CommentSubjectChar">
    <w:name w:val="Comment Subject Char"/>
    <w:basedOn w:val="CommentTextChar"/>
    <w:link w:val="CommentSubject"/>
    <w:uiPriority w:val="99"/>
    <w:semiHidden/>
    <w:rsid w:val="008B6735"/>
    <w:rPr>
      <w:b/>
      <w:bCs/>
      <w:sz w:val="20"/>
      <w:szCs w:val="20"/>
    </w:rPr>
  </w:style>
  <w:style w:type="paragraph" w:styleId="Revision">
    <w:name w:val="Revision"/>
    <w:hidden/>
    <w:uiPriority w:val="99"/>
    <w:semiHidden/>
    <w:rsid w:val="00281126"/>
    <w:pPr>
      <w:spacing w:after="0" w:line="240" w:lineRule="auto"/>
    </w:pPr>
  </w:style>
  <w:style w:type="character" w:styleId="PlaceholderText">
    <w:name w:val="Placeholder Text"/>
    <w:basedOn w:val="DefaultParagraphFont"/>
    <w:uiPriority w:val="99"/>
    <w:semiHidden/>
    <w:rsid w:val="00A94373"/>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341308">
      <w:bodyDiv w:val="1"/>
      <w:marLeft w:val="0"/>
      <w:marRight w:val="0"/>
      <w:marTop w:val="0"/>
      <w:marBottom w:val="0"/>
      <w:divBdr>
        <w:top w:val="none" w:sz="0" w:space="0" w:color="auto"/>
        <w:left w:val="none" w:sz="0" w:space="0" w:color="auto"/>
        <w:bottom w:val="none" w:sz="0" w:space="0" w:color="auto"/>
        <w:right w:val="none" w:sz="0" w:space="0" w:color="auto"/>
      </w:divBdr>
    </w:div>
    <w:div w:id="90515558">
      <w:bodyDiv w:val="1"/>
      <w:marLeft w:val="0"/>
      <w:marRight w:val="0"/>
      <w:marTop w:val="0"/>
      <w:marBottom w:val="0"/>
      <w:divBdr>
        <w:top w:val="none" w:sz="0" w:space="0" w:color="auto"/>
        <w:left w:val="none" w:sz="0" w:space="0" w:color="auto"/>
        <w:bottom w:val="none" w:sz="0" w:space="0" w:color="auto"/>
        <w:right w:val="none" w:sz="0" w:space="0" w:color="auto"/>
      </w:divBdr>
    </w:div>
    <w:div w:id="106046356">
      <w:bodyDiv w:val="1"/>
      <w:marLeft w:val="0"/>
      <w:marRight w:val="0"/>
      <w:marTop w:val="0"/>
      <w:marBottom w:val="0"/>
      <w:divBdr>
        <w:top w:val="none" w:sz="0" w:space="0" w:color="auto"/>
        <w:left w:val="none" w:sz="0" w:space="0" w:color="auto"/>
        <w:bottom w:val="none" w:sz="0" w:space="0" w:color="auto"/>
        <w:right w:val="none" w:sz="0" w:space="0" w:color="auto"/>
      </w:divBdr>
    </w:div>
    <w:div w:id="141192522">
      <w:bodyDiv w:val="1"/>
      <w:marLeft w:val="0"/>
      <w:marRight w:val="0"/>
      <w:marTop w:val="0"/>
      <w:marBottom w:val="0"/>
      <w:divBdr>
        <w:top w:val="none" w:sz="0" w:space="0" w:color="auto"/>
        <w:left w:val="none" w:sz="0" w:space="0" w:color="auto"/>
        <w:bottom w:val="none" w:sz="0" w:space="0" w:color="auto"/>
        <w:right w:val="none" w:sz="0" w:space="0" w:color="auto"/>
      </w:divBdr>
    </w:div>
    <w:div w:id="146827572">
      <w:bodyDiv w:val="1"/>
      <w:marLeft w:val="0"/>
      <w:marRight w:val="0"/>
      <w:marTop w:val="0"/>
      <w:marBottom w:val="0"/>
      <w:divBdr>
        <w:top w:val="none" w:sz="0" w:space="0" w:color="auto"/>
        <w:left w:val="none" w:sz="0" w:space="0" w:color="auto"/>
        <w:bottom w:val="none" w:sz="0" w:space="0" w:color="auto"/>
        <w:right w:val="none" w:sz="0" w:space="0" w:color="auto"/>
      </w:divBdr>
      <w:divsChild>
        <w:div w:id="1201285603">
          <w:marLeft w:val="0"/>
          <w:marRight w:val="0"/>
          <w:marTop w:val="0"/>
          <w:marBottom w:val="0"/>
          <w:divBdr>
            <w:top w:val="none" w:sz="0" w:space="0" w:color="auto"/>
            <w:left w:val="none" w:sz="0" w:space="0" w:color="auto"/>
            <w:bottom w:val="none" w:sz="0" w:space="0" w:color="auto"/>
            <w:right w:val="none" w:sz="0" w:space="0" w:color="auto"/>
          </w:divBdr>
          <w:divsChild>
            <w:div w:id="1946767027">
              <w:marLeft w:val="0"/>
              <w:marRight w:val="0"/>
              <w:marTop w:val="0"/>
              <w:marBottom w:val="0"/>
              <w:divBdr>
                <w:top w:val="none" w:sz="0" w:space="0" w:color="auto"/>
                <w:left w:val="none" w:sz="0" w:space="0" w:color="auto"/>
                <w:bottom w:val="none" w:sz="0" w:space="0" w:color="auto"/>
                <w:right w:val="none" w:sz="0" w:space="0" w:color="auto"/>
              </w:divBdr>
              <w:divsChild>
                <w:div w:id="1894779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68781">
      <w:bodyDiv w:val="1"/>
      <w:marLeft w:val="0"/>
      <w:marRight w:val="0"/>
      <w:marTop w:val="0"/>
      <w:marBottom w:val="0"/>
      <w:divBdr>
        <w:top w:val="none" w:sz="0" w:space="0" w:color="auto"/>
        <w:left w:val="none" w:sz="0" w:space="0" w:color="auto"/>
        <w:bottom w:val="none" w:sz="0" w:space="0" w:color="auto"/>
        <w:right w:val="none" w:sz="0" w:space="0" w:color="auto"/>
      </w:divBdr>
    </w:div>
    <w:div w:id="287662411">
      <w:bodyDiv w:val="1"/>
      <w:marLeft w:val="0"/>
      <w:marRight w:val="0"/>
      <w:marTop w:val="0"/>
      <w:marBottom w:val="0"/>
      <w:divBdr>
        <w:top w:val="none" w:sz="0" w:space="0" w:color="auto"/>
        <w:left w:val="none" w:sz="0" w:space="0" w:color="auto"/>
        <w:bottom w:val="none" w:sz="0" w:space="0" w:color="auto"/>
        <w:right w:val="none" w:sz="0" w:space="0" w:color="auto"/>
      </w:divBdr>
    </w:div>
    <w:div w:id="591624364">
      <w:bodyDiv w:val="1"/>
      <w:marLeft w:val="0"/>
      <w:marRight w:val="0"/>
      <w:marTop w:val="0"/>
      <w:marBottom w:val="0"/>
      <w:divBdr>
        <w:top w:val="none" w:sz="0" w:space="0" w:color="auto"/>
        <w:left w:val="none" w:sz="0" w:space="0" w:color="auto"/>
        <w:bottom w:val="none" w:sz="0" w:space="0" w:color="auto"/>
        <w:right w:val="none" w:sz="0" w:space="0" w:color="auto"/>
      </w:divBdr>
      <w:divsChild>
        <w:div w:id="853887664">
          <w:marLeft w:val="360"/>
          <w:marRight w:val="0"/>
          <w:marTop w:val="200"/>
          <w:marBottom w:val="0"/>
          <w:divBdr>
            <w:top w:val="none" w:sz="0" w:space="0" w:color="auto"/>
            <w:left w:val="none" w:sz="0" w:space="0" w:color="auto"/>
            <w:bottom w:val="none" w:sz="0" w:space="0" w:color="auto"/>
            <w:right w:val="none" w:sz="0" w:space="0" w:color="auto"/>
          </w:divBdr>
        </w:div>
        <w:div w:id="203562447">
          <w:marLeft w:val="360"/>
          <w:marRight w:val="0"/>
          <w:marTop w:val="200"/>
          <w:marBottom w:val="0"/>
          <w:divBdr>
            <w:top w:val="none" w:sz="0" w:space="0" w:color="auto"/>
            <w:left w:val="none" w:sz="0" w:space="0" w:color="auto"/>
            <w:bottom w:val="none" w:sz="0" w:space="0" w:color="auto"/>
            <w:right w:val="none" w:sz="0" w:space="0" w:color="auto"/>
          </w:divBdr>
        </w:div>
        <w:div w:id="1675910608">
          <w:marLeft w:val="360"/>
          <w:marRight w:val="0"/>
          <w:marTop w:val="200"/>
          <w:marBottom w:val="0"/>
          <w:divBdr>
            <w:top w:val="none" w:sz="0" w:space="0" w:color="auto"/>
            <w:left w:val="none" w:sz="0" w:space="0" w:color="auto"/>
            <w:bottom w:val="none" w:sz="0" w:space="0" w:color="auto"/>
            <w:right w:val="none" w:sz="0" w:space="0" w:color="auto"/>
          </w:divBdr>
        </w:div>
      </w:divsChild>
    </w:div>
    <w:div w:id="634529657">
      <w:bodyDiv w:val="1"/>
      <w:marLeft w:val="0"/>
      <w:marRight w:val="0"/>
      <w:marTop w:val="0"/>
      <w:marBottom w:val="0"/>
      <w:divBdr>
        <w:top w:val="none" w:sz="0" w:space="0" w:color="auto"/>
        <w:left w:val="none" w:sz="0" w:space="0" w:color="auto"/>
        <w:bottom w:val="none" w:sz="0" w:space="0" w:color="auto"/>
        <w:right w:val="none" w:sz="0" w:space="0" w:color="auto"/>
      </w:divBdr>
      <w:divsChild>
        <w:div w:id="1687632523">
          <w:marLeft w:val="547"/>
          <w:marRight w:val="0"/>
          <w:marTop w:val="200"/>
          <w:marBottom w:val="0"/>
          <w:divBdr>
            <w:top w:val="none" w:sz="0" w:space="0" w:color="auto"/>
            <w:left w:val="none" w:sz="0" w:space="0" w:color="auto"/>
            <w:bottom w:val="none" w:sz="0" w:space="0" w:color="auto"/>
            <w:right w:val="none" w:sz="0" w:space="0" w:color="auto"/>
          </w:divBdr>
        </w:div>
        <w:div w:id="341858342">
          <w:marLeft w:val="547"/>
          <w:marRight w:val="0"/>
          <w:marTop w:val="200"/>
          <w:marBottom w:val="0"/>
          <w:divBdr>
            <w:top w:val="none" w:sz="0" w:space="0" w:color="auto"/>
            <w:left w:val="none" w:sz="0" w:space="0" w:color="auto"/>
            <w:bottom w:val="none" w:sz="0" w:space="0" w:color="auto"/>
            <w:right w:val="none" w:sz="0" w:space="0" w:color="auto"/>
          </w:divBdr>
        </w:div>
        <w:div w:id="1252005712">
          <w:marLeft w:val="547"/>
          <w:marRight w:val="0"/>
          <w:marTop w:val="200"/>
          <w:marBottom w:val="0"/>
          <w:divBdr>
            <w:top w:val="none" w:sz="0" w:space="0" w:color="auto"/>
            <w:left w:val="none" w:sz="0" w:space="0" w:color="auto"/>
            <w:bottom w:val="none" w:sz="0" w:space="0" w:color="auto"/>
            <w:right w:val="none" w:sz="0" w:space="0" w:color="auto"/>
          </w:divBdr>
        </w:div>
        <w:div w:id="1907565264">
          <w:marLeft w:val="547"/>
          <w:marRight w:val="0"/>
          <w:marTop w:val="200"/>
          <w:marBottom w:val="0"/>
          <w:divBdr>
            <w:top w:val="none" w:sz="0" w:space="0" w:color="auto"/>
            <w:left w:val="none" w:sz="0" w:space="0" w:color="auto"/>
            <w:bottom w:val="none" w:sz="0" w:space="0" w:color="auto"/>
            <w:right w:val="none" w:sz="0" w:space="0" w:color="auto"/>
          </w:divBdr>
        </w:div>
        <w:div w:id="1652129458">
          <w:marLeft w:val="547"/>
          <w:marRight w:val="0"/>
          <w:marTop w:val="200"/>
          <w:marBottom w:val="0"/>
          <w:divBdr>
            <w:top w:val="none" w:sz="0" w:space="0" w:color="auto"/>
            <w:left w:val="none" w:sz="0" w:space="0" w:color="auto"/>
            <w:bottom w:val="none" w:sz="0" w:space="0" w:color="auto"/>
            <w:right w:val="none" w:sz="0" w:space="0" w:color="auto"/>
          </w:divBdr>
        </w:div>
      </w:divsChild>
    </w:div>
    <w:div w:id="679356723">
      <w:bodyDiv w:val="1"/>
      <w:marLeft w:val="0"/>
      <w:marRight w:val="0"/>
      <w:marTop w:val="0"/>
      <w:marBottom w:val="0"/>
      <w:divBdr>
        <w:top w:val="none" w:sz="0" w:space="0" w:color="auto"/>
        <w:left w:val="none" w:sz="0" w:space="0" w:color="auto"/>
        <w:bottom w:val="none" w:sz="0" w:space="0" w:color="auto"/>
        <w:right w:val="none" w:sz="0" w:space="0" w:color="auto"/>
      </w:divBdr>
      <w:divsChild>
        <w:div w:id="163209576">
          <w:marLeft w:val="547"/>
          <w:marRight w:val="0"/>
          <w:marTop w:val="200"/>
          <w:marBottom w:val="0"/>
          <w:divBdr>
            <w:top w:val="none" w:sz="0" w:space="0" w:color="auto"/>
            <w:left w:val="none" w:sz="0" w:space="0" w:color="auto"/>
            <w:bottom w:val="none" w:sz="0" w:space="0" w:color="auto"/>
            <w:right w:val="none" w:sz="0" w:space="0" w:color="auto"/>
          </w:divBdr>
        </w:div>
        <w:div w:id="1767000362">
          <w:marLeft w:val="547"/>
          <w:marRight w:val="0"/>
          <w:marTop w:val="200"/>
          <w:marBottom w:val="0"/>
          <w:divBdr>
            <w:top w:val="none" w:sz="0" w:space="0" w:color="auto"/>
            <w:left w:val="none" w:sz="0" w:space="0" w:color="auto"/>
            <w:bottom w:val="none" w:sz="0" w:space="0" w:color="auto"/>
            <w:right w:val="none" w:sz="0" w:space="0" w:color="auto"/>
          </w:divBdr>
        </w:div>
        <w:div w:id="429199078">
          <w:marLeft w:val="547"/>
          <w:marRight w:val="0"/>
          <w:marTop w:val="200"/>
          <w:marBottom w:val="0"/>
          <w:divBdr>
            <w:top w:val="none" w:sz="0" w:space="0" w:color="auto"/>
            <w:left w:val="none" w:sz="0" w:space="0" w:color="auto"/>
            <w:bottom w:val="none" w:sz="0" w:space="0" w:color="auto"/>
            <w:right w:val="none" w:sz="0" w:space="0" w:color="auto"/>
          </w:divBdr>
        </w:div>
        <w:div w:id="564070376">
          <w:marLeft w:val="547"/>
          <w:marRight w:val="0"/>
          <w:marTop w:val="200"/>
          <w:marBottom w:val="0"/>
          <w:divBdr>
            <w:top w:val="none" w:sz="0" w:space="0" w:color="auto"/>
            <w:left w:val="none" w:sz="0" w:space="0" w:color="auto"/>
            <w:bottom w:val="none" w:sz="0" w:space="0" w:color="auto"/>
            <w:right w:val="none" w:sz="0" w:space="0" w:color="auto"/>
          </w:divBdr>
        </w:div>
        <w:div w:id="201403823">
          <w:marLeft w:val="547"/>
          <w:marRight w:val="0"/>
          <w:marTop w:val="200"/>
          <w:marBottom w:val="0"/>
          <w:divBdr>
            <w:top w:val="none" w:sz="0" w:space="0" w:color="auto"/>
            <w:left w:val="none" w:sz="0" w:space="0" w:color="auto"/>
            <w:bottom w:val="none" w:sz="0" w:space="0" w:color="auto"/>
            <w:right w:val="none" w:sz="0" w:space="0" w:color="auto"/>
          </w:divBdr>
        </w:div>
      </w:divsChild>
    </w:div>
    <w:div w:id="1533377595">
      <w:bodyDiv w:val="1"/>
      <w:marLeft w:val="0"/>
      <w:marRight w:val="0"/>
      <w:marTop w:val="0"/>
      <w:marBottom w:val="0"/>
      <w:divBdr>
        <w:top w:val="none" w:sz="0" w:space="0" w:color="auto"/>
        <w:left w:val="none" w:sz="0" w:space="0" w:color="auto"/>
        <w:bottom w:val="none" w:sz="0" w:space="0" w:color="auto"/>
        <w:right w:val="none" w:sz="0" w:space="0" w:color="auto"/>
      </w:divBdr>
    </w:div>
    <w:div w:id="1779329191">
      <w:bodyDiv w:val="1"/>
      <w:marLeft w:val="0"/>
      <w:marRight w:val="0"/>
      <w:marTop w:val="0"/>
      <w:marBottom w:val="0"/>
      <w:divBdr>
        <w:top w:val="none" w:sz="0" w:space="0" w:color="auto"/>
        <w:left w:val="none" w:sz="0" w:space="0" w:color="auto"/>
        <w:bottom w:val="none" w:sz="0" w:space="0" w:color="auto"/>
        <w:right w:val="none" w:sz="0" w:space="0" w:color="auto"/>
      </w:divBdr>
    </w:div>
    <w:div w:id="1953048147">
      <w:bodyDiv w:val="1"/>
      <w:marLeft w:val="0"/>
      <w:marRight w:val="0"/>
      <w:marTop w:val="0"/>
      <w:marBottom w:val="0"/>
      <w:divBdr>
        <w:top w:val="none" w:sz="0" w:space="0" w:color="auto"/>
        <w:left w:val="none" w:sz="0" w:space="0" w:color="auto"/>
        <w:bottom w:val="none" w:sz="0" w:space="0" w:color="auto"/>
        <w:right w:val="none" w:sz="0" w:space="0" w:color="auto"/>
      </w:divBdr>
      <w:divsChild>
        <w:div w:id="1015229182">
          <w:marLeft w:val="547"/>
          <w:marRight w:val="0"/>
          <w:marTop w:val="200"/>
          <w:marBottom w:val="0"/>
          <w:divBdr>
            <w:top w:val="none" w:sz="0" w:space="0" w:color="auto"/>
            <w:left w:val="none" w:sz="0" w:space="0" w:color="auto"/>
            <w:bottom w:val="none" w:sz="0" w:space="0" w:color="auto"/>
            <w:right w:val="none" w:sz="0" w:space="0" w:color="auto"/>
          </w:divBdr>
        </w:div>
        <w:div w:id="1190217528">
          <w:marLeft w:val="547"/>
          <w:marRight w:val="0"/>
          <w:marTop w:val="200"/>
          <w:marBottom w:val="0"/>
          <w:divBdr>
            <w:top w:val="none" w:sz="0" w:space="0" w:color="auto"/>
            <w:left w:val="none" w:sz="0" w:space="0" w:color="auto"/>
            <w:bottom w:val="none" w:sz="0" w:space="0" w:color="auto"/>
            <w:right w:val="none" w:sz="0" w:space="0" w:color="auto"/>
          </w:divBdr>
        </w:div>
        <w:div w:id="1464232887">
          <w:marLeft w:val="547"/>
          <w:marRight w:val="0"/>
          <w:marTop w:val="200"/>
          <w:marBottom w:val="0"/>
          <w:divBdr>
            <w:top w:val="none" w:sz="0" w:space="0" w:color="auto"/>
            <w:left w:val="none" w:sz="0" w:space="0" w:color="auto"/>
            <w:bottom w:val="none" w:sz="0" w:space="0" w:color="auto"/>
            <w:right w:val="none" w:sz="0" w:space="0" w:color="auto"/>
          </w:divBdr>
        </w:div>
        <w:div w:id="164370605">
          <w:marLeft w:val="547"/>
          <w:marRight w:val="0"/>
          <w:marTop w:val="200"/>
          <w:marBottom w:val="0"/>
          <w:divBdr>
            <w:top w:val="none" w:sz="0" w:space="0" w:color="auto"/>
            <w:left w:val="none" w:sz="0" w:space="0" w:color="auto"/>
            <w:bottom w:val="none" w:sz="0" w:space="0" w:color="auto"/>
            <w:right w:val="none" w:sz="0" w:space="0" w:color="auto"/>
          </w:divBdr>
        </w:div>
        <w:div w:id="1007709755">
          <w:marLeft w:val="547"/>
          <w:marRight w:val="0"/>
          <w:marTop w:val="200"/>
          <w:marBottom w:val="0"/>
          <w:divBdr>
            <w:top w:val="none" w:sz="0" w:space="0" w:color="auto"/>
            <w:left w:val="none" w:sz="0" w:space="0" w:color="auto"/>
            <w:bottom w:val="none" w:sz="0" w:space="0" w:color="auto"/>
            <w:right w:val="none" w:sz="0" w:space="0" w:color="auto"/>
          </w:divBdr>
        </w:div>
      </w:divsChild>
    </w:div>
    <w:div w:id="1953896795">
      <w:bodyDiv w:val="1"/>
      <w:marLeft w:val="0"/>
      <w:marRight w:val="0"/>
      <w:marTop w:val="0"/>
      <w:marBottom w:val="0"/>
      <w:divBdr>
        <w:top w:val="none" w:sz="0" w:space="0" w:color="auto"/>
        <w:left w:val="none" w:sz="0" w:space="0" w:color="auto"/>
        <w:bottom w:val="none" w:sz="0" w:space="0" w:color="auto"/>
        <w:right w:val="none" w:sz="0" w:space="0" w:color="auto"/>
      </w:divBdr>
    </w:div>
    <w:div w:id="2029795542">
      <w:bodyDiv w:val="1"/>
      <w:marLeft w:val="0"/>
      <w:marRight w:val="0"/>
      <w:marTop w:val="0"/>
      <w:marBottom w:val="0"/>
      <w:divBdr>
        <w:top w:val="none" w:sz="0" w:space="0" w:color="auto"/>
        <w:left w:val="none" w:sz="0" w:space="0" w:color="auto"/>
        <w:bottom w:val="none" w:sz="0" w:space="0" w:color="auto"/>
        <w:right w:val="none" w:sz="0" w:space="0" w:color="auto"/>
      </w:divBdr>
      <w:divsChild>
        <w:div w:id="1635064783">
          <w:marLeft w:val="547"/>
          <w:marRight w:val="0"/>
          <w:marTop w:val="200"/>
          <w:marBottom w:val="0"/>
          <w:divBdr>
            <w:top w:val="none" w:sz="0" w:space="0" w:color="auto"/>
            <w:left w:val="none" w:sz="0" w:space="0" w:color="auto"/>
            <w:bottom w:val="none" w:sz="0" w:space="0" w:color="auto"/>
            <w:right w:val="none" w:sz="0" w:space="0" w:color="auto"/>
          </w:divBdr>
        </w:div>
        <w:div w:id="1600604157">
          <w:marLeft w:val="547"/>
          <w:marRight w:val="0"/>
          <w:marTop w:val="200"/>
          <w:marBottom w:val="0"/>
          <w:divBdr>
            <w:top w:val="none" w:sz="0" w:space="0" w:color="auto"/>
            <w:left w:val="none" w:sz="0" w:space="0" w:color="auto"/>
            <w:bottom w:val="none" w:sz="0" w:space="0" w:color="auto"/>
            <w:right w:val="none" w:sz="0" w:space="0" w:color="auto"/>
          </w:divBdr>
        </w:div>
        <w:div w:id="1713069520">
          <w:marLeft w:val="547"/>
          <w:marRight w:val="0"/>
          <w:marTop w:val="200"/>
          <w:marBottom w:val="0"/>
          <w:divBdr>
            <w:top w:val="none" w:sz="0" w:space="0" w:color="auto"/>
            <w:left w:val="none" w:sz="0" w:space="0" w:color="auto"/>
            <w:bottom w:val="none" w:sz="0" w:space="0" w:color="auto"/>
            <w:right w:val="none" w:sz="0" w:space="0" w:color="auto"/>
          </w:divBdr>
        </w:div>
        <w:div w:id="505635321">
          <w:marLeft w:val="547"/>
          <w:marRight w:val="0"/>
          <w:marTop w:val="200"/>
          <w:marBottom w:val="0"/>
          <w:divBdr>
            <w:top w:val="none" w:sz="0" w:space="0" w:color="auto"/>
            <w:left w:val="none" w:sz="0" w:space="0" w:color="auto"/>
            <w:bottom w:val="none" w:sz="0" w:space="0" w:color="auto"/>
            <w:right w:val="none" w:sz="0" w:space="0" w:color="auto"/>
          </w:divBdr>
        </w:div>
        <w:div w:id="1273315839">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diagramDrawing" Target="diagrams/drawing1.xml"/><Relationship Id="rId18" Type="http://schemas.microsoft.com/office/2007/relationships/diagramDrawing" Target="diagrams/drawing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Colors" Target="diagrams/colors2.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diagramLayout" Target="diagrams/layout2.xml"/><Relationship Id="rId10" Type="http://schemas.openxmlformats.org/officeDocument/2006/relationships/diagramLayout" Target="diagrams/layout1.xml"/><Relationship Id="rId19"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1F9ADEB-7950-44F5-AAAF-EAE605E2A59E}" type="doc">
      <dgm:prSet loTypeId="urn:microsoft.com/office/officeart/2005/8/layout/process1" loCatId="process" qsTypeId="urn:microsoft.com/office/officeart/2005/8/quickstyle/simple1" qsCatId="simple" csTypeId="urn:microsoft.com/office/officeart/2005/8/colors/accent1_2" csCatId="accent1" phldr="1"/>
      <dgm:spPr/>
    </dgm:pt>
    <dgm:pt modelId="{4D8D78E8-56D9-4E4E-895A-7D17D4A07B50}">
      <dgm:prSet custT="1"/>
      <dgm:spPr/>
      <dgm:t>
        <a:bodyPr/>
        <a:lstStyle/>
        <a:p>
          <a:r>
            <a:rPr lang="en-GB" sz="1400" i="1"/>
            <a:t>Madurez de Compras</a:t>
          </a:r>
          <a:endParaRPr lang="es-ES" sz="1400"/>
        </a:p>
      </dgm:t>
    </dgm:pt>
    <dgm:pt modelId="{FB9E1F1B-D92B-4DD4-81CE-17E941193FA7}" type="parTrans" cxnId="{CD313783-292F-444A-83FF-E783D62B8251}">
      <dgm:prSet/>
      <dgm:spPr/>
      <dgm:t>
        <a:bodyPr/>
        <a:lstStyle/>
        <a:p>
          <a:endParaRPr lang="es-ES"/>
        </a:p>
      </dgm:t>
    </dgm:pt>
    <dgm:pt modelId="{D22E8E6C-7D37-4A33-A902-FF7F2BF4E2E1}" type="sibTrans" cxnId="{CD313783-292F-444A-83FF-E783D62B8251}">
      <dgm:prSet/>
      <dgm:spPr/>
      <dgm:t>
        <a:bodyPr/>
        <a:lstStyle/>
        <a:p>
          <a:r>
            <a:rPr lang="es-ES"/>
            <a:t>H1 +</a:t>
          </a:r>
        </a:p>
      </dgm:t>
    </dgm:pt>
    <dgm:pt modelId="{AAC6BACC-A1FE-485E-B809-AE155293C65C}">
      <dgm:prSet custT="1"/>
      <dgm:spPr/>
      <dgm:t>
        <a:bodyPr/>
        <a:lstStyle/>
        <a:p>
          <a:r>
            <a:rPr lang="es-ES" sz="1400" i="1"/>
            <a:t>Ahorros indirectos complejos</a:t>
          </a:r>
          <a:endParaRPr lang="es-ES" sz="1400"/>
        </a:p>
      </dgm:t>
    </dgm:pt>
    <dgm:pt modelId="{F0605257-D652-40F6-9D2C-0EE28895072E}" type="parTrans" cxnId="{B94A8DE3-A0D1-42E8-B911-DD9B09D9CDF5}">
      <dgm:prSet/>
      <dgm:spPr/>
      <dgm:t>
        <a:bodyPr/>
        <a:lstStyle/>
        <a:p>
          <a:endParaRPr lang="es-ES"/>
        </a:p>
      </dgm:t>
    </dgm:pt>
    <dgm:pt modelId="{561DD325-66BA-43F8-80C5-6DA0ADA0357A}" type="sibTrans" cxnId="{B94A8DE3-A0D1-42E8-B911-DD9B09D9CDF5}">
      <dgm:prSet/>
      <dgm:spPr/>
    </dgm:pt>
    <dgm:pt modelId="{5DE53E63-3CE5-44AC-B3CE-4B08E0AFE516}" type="pres">
      <dgm:prSet presAssocID="{01F9ADEB-7950-44F5-AAAF-EAE605E2A59E}" presName="Name0" presStyleCnt="0">
        <dgm:presLayoutVars>
          <dgm:dir/>
          <dgm:resizeHandles val="exact"/>
        </dgm:presLayoutVars>
      </dgm:prSet>
      <dgm:spPr/>
    </dgm:pt>
    <dgm:pt modelId="{65B4255B-FE3F-48A4-A53F-990228E4B4E8}" type="pres">
      <dgm:prSet presAssocID="{4D8D78E8-56D9-4E4E-895A-7D17D4A07B50}" presName="node" presStyleLbl="node1" presStyleIdx="0" presStyleCnt="2">
        <dgm:presLayoutVars>
          <dgm:bulletEnabled val="1"/>
        </dgm:presLayoutVars>
      </dgm:prSet>
      <dgm:spPr/>
    </dgm:pt>
    <dgm:pt modelId="{FF9D3644-4054-4BAD-8B7C-28CF2AD8044B}" type="pres">
      <dgm:prSet presAssocID="{D22E8E6C-7D37-4A33-A902-FF7F2BF4E2E1}" presName="sibTrans" presStyleLbl="sibTrans2D1" presStyleIdx="0" presStyleCnt="1" custScaleX="161161"/>
      <dgm:spPr/>
    </dgm:pt>
    <dgm:pt modelId="{EA6E817C-EBD1-44BF-91B2-5CE28CC61625}" type="pres">
      <dgm:prSet presAssocID="{D22E8E6C-7D37-4A33-A902-FF7F2BF4E2E1}" presName="connectorText" presStyleLbl="sibTrans2D1" presStyleIdx="0" presStyleCnt="1"/>
      <dgm:spPr/>
    </dgm:pt>
    <dgm:pt modelId="{88984E2A-2437-4392-A13D-6DD8BA203744}" type="pres">
      <dgm:prSet presAssocID="{AAC6BACC-A1FE-485E-B809-AE155293C65C}" presName="node" presStyleLbl="node1" presStyleIdx="1" presStyleCnt="2">
        <dgm:presLayoutVars>
          <dgm:bulletEnabled val="1"/>
        </dgm:presLayoutVars>
      </dgm:prSet>
      <dgm:spPr/>
    </dgm:pt>
  </dgm:ptLst>
  <dgm:cxnLst>
    <dgm:cxn modelId="{06E9DC23-FDF1-4D32-973C-59B92644689E}" type="presOf" srcId="{AAC6BACC-A1FE-485E-B809-AE155293C65C}" destId="{88984E2A-2437-4392-A13D-6DD8BA203744}" srcOrd="0" destOrd="0" presId="urn:microsoft.com/office/officeart/2005/8/layout/process1"/>
    <dgm:cxn modelId="{CE301168-B531-4A63-828A-C85CBB5B4A34}" type="presOf" srcId="{D22E8E6C-7D37-4A33-A902-FF7F2BF4E2E1}" destId="{FF9D3644-4054-4BAD-8B7C-28CF2AD8044B}" srcOrd="0" destOrd="0" presId="urn:microsoft.com/office/officeart/2005/8/layout/process1"/>
    <dgm:cxn modelId="{ABDDB850-D215-4D7C-9A5B-5C962FBE19F7}" type="presOf" srcId="{D22E8E6C-7D37-4A33-A902-FF7F2BF4E2E1}" destId="{EA6E817C-EBD1-44BF-91B2-5CE28CC61625}" srcOrd="1" destOrd="0" presId="urn:microsoft.com/office/officeart/2005/8/layout/process1"/>
    <dgm:cxn modelId="{CD313783-292F-444A-83FF-E783D62B8251}" srcId="{01F9ADEB-7950-44F5-AAAF-EAE605E2A59E}" destId="{4D8D78E8-56D9-4E4E-895A-7D17D4A07B50}" srcOrd="0" destOrd="0" parTransId="{FB9E1F1B-D92B-4DD4-81CE-17E941193FA7}" sibTransId="{D22E8E6C-7D37-4A33-A902-FF7F2BF4E2E1}"/>
    <dgm:cxn modelId="{F605E1C1-2C70-4EF8-931D-84DFE0EFDCDE}" type="presOf" srcId="{01F9ADEB-7950-44F5-AAAF-EAE605E2A59E}" destId="{5DE53E63-3CE5-44AC-B3CE-4B08E0AFE516}" srcOrd="0" destOrd="0" presId="urn:microsoft.com/office/officeart/2005/8/layout/process1"/>
    <dgm:cxn modelId="{B94A8DE3-A0D1-42E8-B911-DD9B09D9CDF5}" srcId="{01F9ADEB-7950-44F5-AAAF-EAE605E2A59E}" destId="{AAC6BACC-A1FE-485E-B809-AE155293C65C}" srcOrd="1" destOrd="0" parTransId="{F0605257-D652-40F6-9D2C-0EE28895072E}" sibTransId="{561DD325-66BA-43F8-80C5-6DA0ADA0357A}"/>
    <dgm:cxn modelId="{CDD7F4F0-B10F-44E6-BC05-48CBD96D24F0}" type="presOf" srcId="{4D8D78E8-56D9-4E4E-895A-7D17D4A07B50}" destId="{65B4255B-FE3F-48A4-A53F-990228E4B4E8}" srcOrd="0" destOrd="0" presId="urn:microsoft.com/office/officeart/2005/8/layout/process1"/>
    <dgm:cxn modelId="{024369CA-12E5-40ED-8E46-4AA1F146D8C2}" type="presParOf" srcId="{5DE53E63-3CE5-44AC-B3CE-4B08E0AFE516}" destId="{65B4255B-FE3F-48A4-A53F-990228E4B4E8}" srcOrd="0" destOrd="0" presId="urn:microsoft.com/office/officeart/2005/8/layout/process1"/>
    <dgm:cxn modelId="{957BD2CC-0AC8-4999-81D9-E4E7CA31B34E}" type="presParOf" srcId="{5DE53E63-3CE5-44AC-B3CE-4B08E0AFE516}" destId="{FF9D3644-4054-4BAD-8B7C-28CF2AD8044B}" srcOrd="1" destOrd="0" presId="urn:microsoft.com/office/officeart/2005/8/layout/process1"/>
    <dgm:cxn modelId="{6A34B04C-3DB7-4628-8605-4CF03BDA82BB}" type="presParOf" srcId="{FF9D3644-4054-4BAD-8B7C-28CF2AD8044B}" destId="{EA6E817C-EBD1-44BF-91B2-5CE28CC61625}" srcOrd="0" destOrd="0" presId="urn:microsoft.com/office/officeart/2005/8/layout/process1"/>
    <dgm:cxn modelId="{61A0885F-56A3-4B5A-B31B-7AD55C27EA51}" type="presParOf" srcId="{5DE53E63-3CE5-44AC-B3CE-4B08E0AFE516}" destId="{88984E2A-2437-4392-A13D-6DD8BA203744}" srcOrd="2" destOrd="0" presId="urn:microsoft.com/office/officeart/2005/8/layout/process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1F9ADEB-7950-44F5-AAAF-EAE605E2A59E}" type="doc">
      <dgm:prSet loTypeId="urn:microsoft.com/office/officeart/2005/8/layout/process1" loCatId="process" qsTypeId="urn:microsoft.com/office/officeart/2005/8/quickstyle/simple1" qsCatId="simple" csTypeId="urn:microsoft.com/office/officeart/2005/8/colors/accent1_2" csCatId="accent1" phldr="1"/>
      <dgm:spPr/>
    </dgm:pt>
    <dgm:pt modelId="{AAC6BACC-A1FE-485E-B809-AE155293C65C}">
      <dgm:prSet custT="1"/>
      <dgm:spPr/>
      <dgm:t>
        <a:bodyPr/>
        <a:lstStyle/>
        <a:p>
          <a:r>
            <a:rPr lang="es-ES" sz="1400" i="1"/>
            <a:t>Ahorros</a:t>
          </a:r>
          <a:endParaRPr lang="es-ES" sz="1400"/>
        </a:p>
      </dgm:t>
    </dgm:pt>
    <dgm:pt modelId="{F0605257-D652-40F6-9D2C-0EE28895072E}" type="parTrans" cxnId="{B94A8DE3-A0D1-42E8-B911-DD9B09D9CDF5}">
      <dgm:prSet/>
      <dgm:spPr/>
      <dgm:t>
        <a:bodyPr/>
        <a:lstStyle/>
        <a:p>
          <a:endParaRPr lang="es-ES"/>
        </a:p>
      </dgm:t>
    </dgm:pt>
    <dgm:pt modelId="{561DD325-66BA-43F8-80C5-6DA0ADA0357A}" type="sibTrans" cxnId="{B94A8DE3-A0D1-42E8-B911-DD9B09D9CDF5}">
      <dgm:prSet/>
      <dgm:spPr/>
      <dgm:t>
        <a:bodyPr/>
        <a:lstStyle/>
        <a:p>
          <a:r>
            <a:rPr lang="es-ES"/>
            <a:t>H2 +</a:t>
          </a:r>
        </a:p>
      </dgm:t>
    </dgm:pt>
    <dgm:pt modelId="{057A6643-4EE7-44CB-94CA-9999509B9B2F}">
      <dgm:prSet custT="1"/>
      <dgm:spPr/>
      <dgm:t>
        <a:bodyPr/>
        <a:lstStyle/>
        <a:p>
          <a:r>
            <a:rPr lang="en-GB" sz="1400" i="1"/>
            <a:t>Efectos positivos en el medio ambiente</a:t>
          </a:r>
          <a:endParaRPr lang="es-ES" sz="1400"/>
        </a:p>
      </dgm:t>
    </dgm:pt>
    <dgm:pt modelId="{1F006CA9-55A4-4D52-BFE4-F3C23D5A3F7A}" type="parTrans" cxnId="{BD8005DF-BC7C-4821-91DD-19F3E156DA26}">
      <dgm:prSet/>
      <dgm:spPr/>
      <dgm:t>
        <a:bodyPr/>
        <a:lstStyle/>
        <a:p>
          <a:endParaRPr lang="es-ES"/>
        </a:p>
      </dgm:t>
    </dgm:pt>
    <dgm:pt modelId="{1851DCE8-CD73-432F-BB80-80B311BE0E50}" type="sibTrans" cxnId="{BD8005DF-BC7C-4821-91DD-19F3E156DA26}">
      <dgm:prSet/>
      <dgm:spPr/>
      <dgm:t>
        <a:bodyPr/>
        <a:lstStyle/>
        <a:p>
          <a:endParaRPr lang="es-ES"/>
        </a:p>
      </dgm:t>
    </dgm:pt>
    <dgm:pt modelId="{5DE53E63-3CE5-44AC-B3CE-4B08E0AFE516}" type="pres">
      <dgm:prSet presAssocID="{01F9ADEB-7950-44F5-AAAF-EAE605E2A59E}" presName="Name0" presStyleCnt="0">
        <dgm:presLayoutVars>
          <dgm:dir/>
          <dgm:resizeHandles val="exact"/>
        </dgm:presLayoutVars>
      </dgm:prSet>
      <dgm:spPr/>
    </dgm:pt>
    <dgm:pt modelId="{88984E2A-2437-4392-A13D-6DD8BA203744}" type="pres">
      <dgm:prSet presAssocID="{AAC6BACC-A1FE-485E-B809-AE155293C65C}" presName="node" presStyleLbl="node1" presStyleIdx="0" presStyleCnt="2">
        <dgm:presLayoutVars>
          <dgm:bulletEnabled val="1"/>
        </dgm:presLayoutVars>
      </dgm:prSet>
      <dgm:spPr/>
    </dgm:pt>
    <dgm:pt modelId="{39F6ED20-2A1D-4C60-9BF1-5EFB4752BE9C}" type="pres">
      <dgm:prSet presAssocID="{561DD325-66BA-43F8-80C5-6DA0ADA0357A}" presName="sibTrans" presStyleLbl="sibTrans2D1" presStyleIdx="0" presStyleCnt="1" custScaleX="160125"/>
      <dgm:spPr/>
    </dgm:pt>
    <dgm:pt modelId="{A53002B3-9626-4BD9-BBD5-93CBEB86DA8F}" type="pres">
      <dgm:prSet presAssocID="{561DD325-66BA-43F8-80C5-6DA0ADA0357A}" presName="connectorText" presStyleLbl="sibTrans2D1" presStyleIdx="0" presStyleCnt="1"/>
      <dgm:spPr/>
    </dgm:pt>
    <dgm:pt modelId="{AE019D19-F64B-41D7-8ADB-4A80A12CD684}" type="pres">
      <dgm:prSet presAssocID="{057A6643-4EE7-44CB-94CA-9999509B9B2F}" presName="node" presStyleLbl="node1" presStyleIdx="1" presStyleCnt="2">
        <dgm:presLayoutVars>
          <dgm:bulletEnabled val="1"/>
        </dgm:presLayoutVars>
      </dgm:prSet>
      <dgm:spPr/>
    </dgm:pt>
  </dgm:ptLst>
  <dgm:cxnLst>
    <dgm:cxn modelId="{06E9DC23-FDF1-4D32-973C-59B92644689E}" type="presOf" srcId="{AAC6BACC-A1FE-485E-B809-AE155293C65C}" destId="{88984E2A-2437-4392-A13D-6DD8BA203744}" srcOrd="0" destOrd="0" presId="urn:microsoft.com/office/officeart/2005/8/layout/process1"/>
    <dgm:cxn modelId="{786BB029-0CAA-4248-A975-5C7C9C9787FD}" type="presOf" srcId="{561DD325-66BA-43F8-80C5-6DA0ADA0357A}" destId="{39F6ED20-2A1D-4C60-9BF1-5EFB4752BE9C}" srcOrd="0" destOrd="0" presId="urn:microsoft.com/office/officeart/2005/8/layout/process1"/>
    <dgm:cxn modelId="{8497EB7A-A5C2-41FC-B6D9-FAA2299FB8AC}" type="presOf" srcId="{057A6643-4EE7-44CB-94CA-9999509B9B2F}" destId="{AE019D19-F64B-41D7-8ADB-4A80A12CD684}" srcOrd="0" destOrd="0" presId="urn:microsoft.com/office/officeart/2005/8/layout/process1"/>
    <dgm:cxn modelId="{F9674D88-E952-4135-9CF1-BD835980CF0F}" type="presOf" srcId="{561DD325-66BA-43F8-80C5-6DA0ADA0357A}" destId="{A53002B3-9626-4BD9-BBD5-93CBEB86DA8F}" srcOrd="1" destOrd="0" presId="urn:microsoft.com/office/officeart/2005/8/layout/process1"/>
    <dgm:cxn modelId="{F605E1C1-2C70-4EF8-931D-84DFE0EFDCDE}" type="presOf" srcId="{01F9ADEB-7950-44F5-AAAF-EAE605E2A59E}" destId="{5DE53E63-3CE5-44AC-B3CE-4B08E0AFE516}" srcOrd="0" destOrd="0" presId="urn:microsoft.com/office/officeart/2005/8/layout/process1"/>
    <dgm:cxn modelId="{BD8005DF-BC7C-4821-91DD-19F3E156DA26}" srcId="{01F9ADEB-7950-44F5-AAAF-EAE605E2A59E}" destId="{057A6643-4EE7-44CB-94CA-9999509B9B2F}" srcOrd="1" destOrd="0" parTransId="{1F006CA9-55A4-4D52-BFE4-F3C23D5A3F7A}" sibTransId="{1851DCE8-CD73-432F-BB80-80B311BE0E50}"/>
    <dgm:cxn modelId="{B94A8DE3-A0D1-42E8-B911-DD9B09D9CDF5}" srcId="{01F9ADEB-7950-44F5-AAAF-EAE605E2A59E}" destId="{AAC6BACC-A1FE-485E-B809-AE155293C65C}" srcOrd="0" destOrd="0" parTransId="{F0605257-D652-40F6-9D2C-0EE28895072E}" sibTransId="{561DD325-66BA-43F8-80C5-6DA0ADA0357A}"/>
    <dgm:cxn modelId="{61A0885F-56A3-4B5A-B31B-7AD55C27EA51}" type="presParOf" srcId="{5DE53E63-3CE5-44AC-B3CE-4B08E0AFE516}" destId="{88984E2A-2437-4392-A13D-6DD8BA203744}" srcOrd="0" destOrd="0" presId="urn:microsoft.com/office/officeart/2005/8/layout/process1"/>
    <dgm:cxn modelId="{7A3E0483-A2B7-4F6E-9C1F-86DEE739BED8}" type="presParOf" srcId="{5DE53E63-3CE5-44AC-B3CE-4B08E0AFE516}" destId="{39F6ED20-2A1D-4C60-9BF1-5EFB4752BE9C}" srcOrd="1" destOrd="0" presId="urn:microsoft.com/office/officeart/2005/8/layout/process1"/>
    <dgm:cxn modelId="{4E1CC376-63C4-4E4B-ACC9-0A4671D1ADFE}" type="presParOf" srcId="{39F6ED20-2A1D-4C60-9BF1-5EFB4752BE9C}" destId="{A53002B3-9626-4BD9-BBD5-93CBEB86DA8F}" srcOrd="0" destOrd="0" presId="urn:microsoft.com/office/officeart/2005/8/layout/process1"/>
    <dgm:cxn modelId="{7F673DC7-9A27-4852-BA11-BC5252D538EA}" type="presParOf" srcId="{5DE53E63-3CE5-44AC-B3CE-4B08E0AFE516}" destId="{AE019D19-F64B-41D7-8ADB-4A80A12CD684}" srcOrd="2" destOrd="0" presId="urn:microsoft.com/office/officeart/2005/8/layout/process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B4255B-FE3F-48A4-A53F-990228E4B4E8}">
      <dsp:nvSpPr>
        <dsp:cNvPr id="0" name=""/>
        <dsp:cNvSpPr/>
      </dsp:nvSpPr>
      <dsp:spPr>
        <a:xfrm>
          <a:off x="1060" y="0"/>
          <a:ext cx="2261303" cy="53909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GB" sz="1400" i="1" kern="1200"/>
            <a:t>Madurez de Compras</a:t>
          </a:r>
          <a:endParaRPr lang="es-ES" sz="1400" kern="1200"/>
        </a:p>
      </dsp:txBody>
      <dsp:txXfrm>
        <a:off x="16849" y="15789"/>
        <a:ext cx="2229725" cy="507512"/>
      </dsp:txXfrm>
    </dsp:sp>
    <dsp:sp modelId="{FF9D3644-4054-4BAD-8B7C-28CF2AD8044B}">
      <dsp:nvSpPr>
        <dsp:cNvPr id="0" name=""/>
        <dsp:cNvSpPr/>
      </dsp:nvSpPr>
      <dsp:spPr>
        <a:xfrm>
          <a:off x="2341892" y="0"/>
          <a:ext cx="772600" cy="53909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022350">
            <a:lnSpc>
              <a:spcPct val="90000"/>
            </a:lnSpc>
            <a:spcBef>
              <a:spcPct val="0"/>
            </a:spcBef>
            <a:spcAft>
              <a:spcPct val="35000"/>
            </a:spcAft>
            <a:buNone/>
          </a:pPr>
          <a:r>
            <a:rPr lang="es-ES" sz="2300" kern="1200"/>
            <a:t>H1 +</a:t>
          </a:r>
        </a:p>
      </dsp:txBody>
      <dsp:txXfrm>
        <a:off x="2341892" y="107818"/>
        <a:ext cx="610873" cy="323454"/>
      </dsp:txXfrm>
    </dsp:sp>
    <dsp:sp modelId="{88984E2A-2437-4392-A13D-6DD8BA203744}">
      <dsp:nvSpPr>
        <dsp:cNvPr id="0" name=""/>
        <dsp:cNvSpPr/>
      </dsp:nvSpPr>
      <dsp:spPr>
        <a:xfrm>
          <a:off x="3166885" y="0"/>
          <a:ext cx="2261303" cy="53909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i="1" kern="1200"/>
            <a:t>Ahorros indirectos complejos</a:t>
          </a:r>
          <a:endParaRPr lang="es-ES" sz="1400" kern="1200"/>
        </a:p>
      </dsp:txBody>
      <dsp:txXfrm>
        <a:off x="3182674" y="15789"/>
        <a:ext cx="2229725" cy="50751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984E2A-2437-4392-A13D-6DD8BA203744}">
      <dsp:nvSpPr>
        <dsp:cNvPr id="0" name=""/>
        <dsp:cNvSpPr/>
      </dsp:nvSpPr>
      <dsp:spPr>
        <a:xfrm>
          <a:off x="1054" y="0"/>
          <a:ext cx="2249137" cy="55220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ES" sz="1400" i="1" kern="1200"/>
            <a:t>Ahorros</a:t>
          </a:r>
          <a:endParaRPr lang="es-ES" sz="1400" kern="1200"/>
        </a:p>
      </dsp:txBody>
      <dsp:txXfrm>
        <a:off x="17227" y="16173"/>
        <a:ext cx="2216791" cy="519856"/>
      </dsp:txXfrm>
    </dsp:sp>
    <dsp:sp modelId="{39F6ED20-2A1D-4C60-9BF1-5EFB4752BE9C}">
      <dsp:nvSpPr>
        <dsp:cNvPr id="0" name=""/>
        <dsp:cNvSpPr/>
      </dsp:nvSpPr>
      <dsp:spPr>
        <a:xfrm>
          <a:off x="2331763" y="0"/>
          <a:ext cx="763503" cy="55220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022350">
            <a:lnSpc>
              <a:spcPct val="90000"/>
            </a:lnSpc>
            <a:spcBef>
              <a:spcPct val="0"/>
            </a:spcBef>
            <a:spcAft>
              <a:spcPct val="35000"/>
            </a:spcAft>
            <a:buNone/>
          </a:pPr>
          <a:r>
            <a:rPr lang="es-ES" sz="2300" kern="1200"/>
            <a:t>H2 +</a:t>
          </a:r>
        </a:p>
      </dsp:txBody>
      <dsp:txXfrm>
        <a:off x="2331763" y="110440"/>
        <a:ext cx="597842" cy="331322"/>
      </dsp:txXfrm>
    </dsp:sp>
    <dsp:sp modelId="{AE019D19-F64B-41D7-8ADB-4A80A12CD684}">
      <dsp:nvSpPr>
        <dsp:cNvPr id="0" name=""/>
        <dsp:cNvSpPr/>
      </dsp:nvSpPr>
      <dsp:spPr>
        <a:xfrm>
          <a:off x="3149847" y="0"/>
          <a:ext cx="2249137" cy="55220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GB" sz="1400" i="1" kern="1200"/>
            <a:t>Efectos positivos en el medio ambiente</a:t>
          </a:r>
          <a:endParaRPr lang="es-ES" sz="1400" kern="1200"/>
        </a:p>
      </dsp:txBody>
      <dsp:txXfrm>
        <a:off x="3166020" y="16173"/>
        <a:ext cx="2216791" cy="51985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07FCA4-07ED-4E0E-A1DF-AB501E2C82D8}">
  <ds:schemaRefs>
    <ds:schemaRef ds:uri="http://schemas.openxmlformats.org/officeDocument/2006/bibliography"/>
  </ds:schemaRefs>
</ds:datastoreItem>
</file>

<file path=docMetadata/LabelInfo.xml><?xml version="1.0" encoding="utf-8"?>
<clbl:labelList xmlns:clbl="http://schemas.microsoft.com/office/2020/mipLabelMetadata">
  <clbl:label id="{705c9e18-d393-4470-8b67-9616c62ec31f}" enabled="1" method="Standard" siteId="{c5d1e823-e2b8-46bf-92ff-84f54313e0a5}" removed="0"/>
</clbl:labelList>
</file>

<file path=docProps/app.xml><?xml version="1.0" encoding="utf-8"?>
<Properties xmlns="http://schemas.openxmlformats.org/officeDocument/2006/extended-properties" xmlns:vt="http://schemas.openxmlformats.org/officeDocument/2006/docPropsVTypes">
  <Template>Normal</Template>
  <TotalTime>27521</TotalTime>
  <Pages>30</Pages>
  <Words>33912</Words>
  <Characters>186517</Characters>
  <Application>Microsoft Office Word</Application>
  <DocSecurity>0</DocSecurity>
  <Lines>1554</Lines>
  <Paragraphs>439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219990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Ros Ruiz</dc:creator>
  <cp:keywords/>
  <dc:description/>
  <cp:lastModifiedBy>Luis Ros Ruiz</cp:lastModifiedBy>
  <cp:revision>1783</cp:revision>
  <cp:lastPrinted>2024-10-20T10:35:00Z</cp:lastPrinted>
  <dcterms:created xsi:type="dcterms:W3CDTF">2024-10-26T07:53:00Z</dcterms:created>
  <dcterms:modified xsi:type="dcterms:W3CDTF">2024-11-24T20:40:00Z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id="b1IaCvtg"/&gt;&lt;style id="http://www.zotero.org/styles/elsevier-harvard" hasBibliography="1" bibliographyStyleHasBeenSet="1"/&gt;&lt;prefs&gt;&lt;pref name="fieldType" value="Field"/&gt;&lt;pref name="automaticJournal</vt:lpwstr>
  </property>
  <property fmtid="{D5CDD505-2E9C-101B-9397-08002B2CF9AE}" pid="3" name="ZOTERO_PREF_2">
    <vt:lpwstr>Abbreviations" value="true"/&gt;&lt;/prefs&gt;&lt;/data&gt;</vt:lpwstr>
  </property>
</Properties>
</file>