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1A71" w:rsidRPr="00B27DFF" w:rsidRDefault="00C51A71" w:rsidP="004873BE">
      <w:pPr>
        <w:autoSpaceDE w:val="0"/>
        <w:autoSpaceDN w:val="0"/>
        <w:adjustRightInd w:val="0"/>
        <w:spacing w:line="480" w:lineRule="auto"/>
        <w:rPr>
          <w:rFonts w:ascii="Arial" w:hAnsi="Arial" w:cs="Arial"/>
          <w:b/>
          <w:lang w:val="en-US"/>
        </w:rPr>
      </w:pPr>
      <w:bookmarkStart w:id="0" w:name="_GoBack"/>
      <w:bookmarkEnd w:id="0"/>
      <w:r w:rsidRPr="00B27DFF">
        <w:rPr>
          <w:rFonts w:ascii="Arial" w:hAnsi="Arial" w:cs="Arial"/>
          <w:b/>
          <w:lang w:val="en-US"/>
        </w:rPr>
        <w:t>Clinicopathological correlations of renal microthrombosis and inflammatory markers in proliferative lupus nephritis</w:t>
      </w:r>
    </w:p>
    <w:p w:rsidR="00C51A71" w:rsidRPr="00B27DFF" w:rsidRDefault="00C51A71" w:rsidP="004873BE">
      <w:pPr>
        <w:autoSpaceDE w:val="0"/>
        <w:autoSpaceDN w:val="0"/>
        <w:adjustRightInd w:val="0"/>
        <w:spacing w:line="480" w:lineRule="auto"/>
        <w:rPr>
          <w:rFonts w:ascii="Arial" w:hAnsi="Arial" w:cs="Arial"/>
          <w:b/>
          <w:lang w:val="en-US"/>
        </w:rPr>
      </w:pPr>
    </w:p>
    <w:p w:rsidR="00C51A71" w:rsidRPr="00B27DFF" w:rsidRDefault="00C51A71" w:rsidP="004873BE">
      <w:pPr>
        <w:autoSpaceDE w:val="0"/>
        <w:autoSpaceDN w:val="0"/>
        <w:adjustRightInd w:val="0"/>
        <w:spacing w:line="480" w:lineRule="auto"/>
        <w:rPr>
          <w:rFonts w:ascii="Arial" w:hAnsi="Arial" w:cs="Arial"/>
          <w:lang w:val="en-US"/>
        </w:rPr>
      </w:pPr>
      <w:r w:rsidRPr="00B27DFF">
        <w:rPr>
          <w:rFonts w:ascii="Arial" w:hAnsi="Arial" w:cs="Arial"/>
          <w:lang w:val="en-US"/>
        </w:rPr>
        <w:t xml:space="preserve">Gonzalo E. M.Sc. </w:t>
      </w:r>
      <w:r w:rsidRPr="00B27DFF">
        <w:rPr>
          <w:rFonts w:ascii="Arial" w:hAnsi="Arial" w:cs="Arial"/>
          <w:vertAlign w:val="superscript"/>
          <w:lang w:val="en-US"/>
        </w:rPr>
        <w:t>(2)</w:t>
      </w:r>
      <w:r w:rsidRPr="00B27DFF">
        <w:rPr>
          <w:rFonts w:ascii="Arial" w:hAnsi="Arial" w:cs="Arial"/>
          <w:lang w:val="en-US"/>
        </w:rPr>
        <w:t xml:space="preserve">, Toldos O. M.D. </w:t>
      </w:r>
      <w:r w:rsidRPr="00B27DFF">
        <w:rPr>
          <w:rFonts w:ascii="Arial" w:hAnsi="Arial" w:cs="Arial"/>
          <w:vertAlign w:val="superscript"/>
          <w:lang w:val="en-US"/>
        </w:rPr>
        <w:t>(3)</w:t>
      </w:r>
      <w:r w:rsidRPr="00B27DFF">
        <w:rPr>
          <w:rFonts w:ascii="Arial" w:hAnsi="Arial" w:cs="Arial"/>
          <w:lang w:val="en-US"/>
        </w:rPr>
        <w:t xml:space="preserve">, Martinez-Vidal MP. M.D. </w:t>
      </w:r>
      <w:r w:rsidRPr="00B27DFF">
        <w:rPr>
          <w:rFonts w:ascii="Arial" w:hAnsi="Arial" w:cs="Arial"/>
          <w:vertAlign w:val="superscript"/>
          <w:lang w:val="en-US"/>
        </w:rPr>
        <w:t>(1)</w:t>
      </w:r>
      <w:r w:rsidRPr="00B27DFF">
        <w:rPr>
          <w:rFonts w:ascii="Arial" w:hAnsi="Arial" w:cs="Arial"/>
          <w:lang w:val="en-US"/>
        </w:rPr>
        <w:t xml:space="preserve">, Ordoñez MC. M.D. </w:t>
      </w:r>
      <w:r w:rsidRPr="00B27DFF">
        <w:rPr>
          <w:rFonts w:ascii="Arial" w:hAnsi="Arial" w:cs="Arial"/>
          <w:vertAlign w:val="superscript"/>
          <w:lang w:val="en-US"/>
        </w:rPr>
        <w:t>(4)</w:t>
      </w:r>
      <w:r w:rsidRPr="00B27DFF">
        <w:rPr>
          <w:rFonts w:ascii="Arial" w:hAnsi="Arial" w:cs="Arial"/>
          <w:lang w:val="en-US"/>
        </w:rPr>
        <w:t xml:space="preserve">, Santiago B. Ph.D. </w:t>
      </w:r>
      <w:r w:rsidRPr="00B27DFF">
        <w:rPr>
          <w:rFonts w:ascii="Arial" w:hAnsi="Arial" w:cs="Arial"/>
          <w:vertAlign w:val="superscript"/>
          <w:lang w:val="en-US"/>
        </w:rPr>
        <w:t>(2)</w:t>
      </w:r>
      <w:r w:rsidRPr="00B27DFF">
        <w:rPr>
          <w:rFonts w:ascii="Arial" w:hAnsi="Arial" w:cs="Arial"/>
          <w:lang w:val="en-US"/>
        </w:rPr>
        <w:t>, Fernández-Nebro A. M.D., PhD</w:t>
      </w:r>
      <w:r w:rsidRPr="00B27DFF">
        <w:rPr>
          <w:rFonts w:ascii="Arial" w:hAnsi="Arial" w:cs="Arial"/>
          <w:vertAlign w:val="superscript"/>
          <w:lang w:val="en-US"/>
        </w:rPr>
        <w:t xml:space="preserve"> (4)</w:t>
      </w:r>
      <w:r w:rsidRPr="00B27DFF">
        <w:rPr>
          <w:rFonts w:ascii="Arial" w:hAnsi="Arial" w:cs="Arial"/>
          <w:lang w:val="en-US"/>
        </w:rPr>
        <w:t>, Loza E. M.D.</w:t>
      </w:r>
      <w:r w:rsidRPr="00B27DFF">
        <w:rPr>
          <w:rFonts w:ascii="Arial" w:hAnsi="Arial" w:cs="Arial"/>
          <w:vertAlign w:val="superscript"/>
          <w:lang w:val="en-US"/>
        </w:rPr>
        <w:t xml:space="preserve"> (5)</w:t>
      </w:r>
      <w:r w:rsidRPr="00B27DFF">
        <w:rPr>
          <w:rFonts w:ascii="Arial" w:hAnsi="Arial" w:cs="Arial"/>
          <w:lang w:val="en-US"/>
        </w:rPr>
        <w:t>, García I. M.D.</w:t>
      </w:r>
      <w:r w:rsidRPr="00B27DFF">
        <w:rPr>
          <w:rFonts w:ascii="Arial" w:hAnsi="Arial" w:cs="Arial"/>
          <w:vertAlign w:val="superscript"/>
          <w:lang w:val="en-US"/>
        </w:rPr>
        <w:t>(6)</w:t>
      </w:r>
      <w:r w:rsidRPr="00B27DFF">
        <w:rPr>
          <w:rFonts w:ascii="Arial" w:hAnsi="Arial" w:cs="Arial"/>
          <w:lang w:val="en-US"/>
        </w:rPr>
        <w:t>, León M. M.D.</w:t>
      </w:r>
      <w:r w:rsidRPr="00B27DFF">
        <w:rPr>
          <w:rFonts w:ascii="Arial" w:hAnsi="Arial" w:cs="Arial"/>
          <w:vertAlign w:val="superscript"/>
          <w:lang w:val="en-US"/>
        </w:rPr>
        <w:t>(6)</w:t>
      </w:r>
      <w:r w:rsidRPr="00B27DFF">
        <w:rPr>
          <w:rFonts w:ascii="Arial" w:hAnsi="Arial" w:cs="Arial"/>
          <w:lang w:val="en-US"/>
        </w:rPr>
        <w:t xml:space="preserve">, Pablos JL. M.D, PhD* </w:t>
      </w:r>
      <w:r w:rsidRPr="00B27DFF">
        <w:rPr>
          <w:rFonts w:ascii="Arial" w:hAnsi="Arial" w:cs="Arial"/>
          <w:vertAlign w:val="superscript"/>
          <w:lang w:val="en-US"/>
        </w:rPr>
        <w:t>(1,2)</w:t>
      </w:r>
      <w:r w:rsidRPr="00B27DFF">
        <w:rPr>
          <w:rFonts w:ascii="Arial" w:hAnsi="Arial" w:cs="Arial"/>
          <w:lang w:val="en-US"/>
        </w:rPr>
        <w:t xml:space="preserve"> and Galindo M. M.D, PhD*</w:t>
      </w:r>
      <w:r w:rsidRPr="00B27DFF">
        <w:rPr>
          <w:rFonts w:ascii="Arial" w:hAnsi="Arial" w:cs="Arial"/>
          <w:vertAlign w:val="superscript"/>
          <w:lang w:val="en-US"/>
        </w:rPr>
        <w:t>(1,2)</w:t>
      </w:r>
      <w:r w:rsidRPr="00B27DFF">
        <w:rPr>
          <w:rFonts w:ascii="Arial" w:hAnsi="Arial" w:cs="Arial"/>
          <w:lang w:val="en-US"/>
        </w:rPr>
        <w:t>.</w:t>
      </w:r>
    </w:p>
    <w:p w:rsidR="00C51A71" w:rsidRPr="00B27DFF" w:rsidRDefault="00C51A71" w:rsidP="002C4CB3">
      <w:pPr>
        <w:spacing w:line="480" w:lineRule="auto"/>
        <w:rPr>
          <w:rFonts w:ascii="Arial" w:hAnsi="Arial" w:cs="Arial"/>
        </w:rPr>
      </w:pPr>
      <w:r w:rsidRPr="00B27DFF">
        <w:rPr>
          <w:rFonts w:ascii="Arial" w:hAnsi="Arial" w:cs="Arial"/>
        </w:rPr>
        <w:t>(1) Servicio de Reumatología, Hospital 12 de Octubre. Avenida de Córdoba sn, 28041 Madrid, Spain.</w:t>
      </w:r>
    </w:p>
    <w:p w:rsidR="00C51A71" w:rsidRPr="00B27DFF" w:rsidRDefault="00C51A71" w:rsidP="002C4CB3">
      <w:pPr>
        <w:spacing w:line="480" w:lineRule="auto"/>
        <w:rPr>
          <w:rFonts w:ascii="Arial" w:hAnsi="Arial" w:cs="Arial"/>
        </w:rPr>
      </w:pPr>
      <w:r w:rsidRPr="00B27DFF">
        <w:rPr>
          <w:rFonts w:ascii="Arial" w:hAnsi="Arial" w:cs="Arial"/>
        </w:rPr>
        <w:t>(2) Instituto de Investigación Hospital 12 de Octubre (i+12). Avenida de Córdoba sn, 28041 Madrid, Spain.</w:t>
      </w:r>
    </w:p>
    <w:p w:rsidR="00C51A71" w:rsidRPr="00B27DFF" w:rsidRDefault="00C51A71" w:rsidP="002C4CB3">
      <w:pPr>
        <w:spacing w:line="480" w:lineRule="auto"/>
        <w:rPr>
          <w:rFonts w:ascii="Arial" w:hAnsi="Arial" w:cs="Arial"/>
        </w:rPr>
      </w:pPr>
      <w:r w:rsidRPr="00B27DFF">
        <w:rPr>
          <w:rFonts w:ascii="Arial" w:hAnsi="Arial" w:cs="Arial"/>
        </w:rPr>
        <w:t>(3) Servicio de Anatomía Patológica, Hospital 12 de Octubre. Avenida de Córdoba sn, 28041 Madrid, Spain.</w:t>
      </w:r>
    </w:p>
    <w:p w:rsidR="00C51A71" w:rsidRPr="00B27DFF" w:rsidRDefault="00C51A71" w:rsidP="004574DE">
      <w:pPr>
        <w:spacing w:line="480" w:lineRule="auto"/>
        <w:rPr>
          <w:rFonts w:ascii="Arial" w:hAnsi="Arial" w:cs="Arial"/>
        </w:rPr>
      </w:pPr>
      <w:r w:rsidRPr="00B27DFF">
        <w:rPr>
          <w:rFonts w:ascii="Arial" w:hAnsi="Arial" w:cs="Arial"/>
        </w:rPr>
        <w:t>(4) Servicio de Reumatología, Hospital Regional Universitario Carlos Haya. Avenida Carlos Haya sn, 29010 Málaga, Spain.</w:t>
      </w:r>
    </w:p>
    <w:p w:rsidR="00C51A71" w:rsidRPr="00B27DFF" w:rsidRDefault="00C51A71" w:rsidP="004574DE">
      <w:pPr>
        <w:widowControl w:val="0"/>
        <w:autoSpaceDE w:val="0"/>
        <w:autoSpaceDN w:val="0"/>
        <w:adjustRightInd w:val="0"/>
        <w:spacing w:after="140" w:line="480" w:lineRule="auto"/>
        <w:rPr>
          <w:rFonts w:ascii="Arial" w:hAnsi="Arial" w:cs="Arial"/>
        </w:rPr>
      </w:pPr>
      <w:r w:rsidRPr="00B27DFF">
        <w:rPr>
          <w:rFonts w:ascii="Arial" w:hAnsi="Arial" w:cs="Arial"/>
        </w:rPr>
        <w:t xml:space="preserve">(5) Unidad de Investigación de </w:t>
      </w:r>
      <w:smartTag w:uri="urn:schemas-microsoft-com:office:smarttags" w:element="PersonName">
        <w:smartTagPr>
          <w:attr w:name="ProductID" w:val="la Fundación Española"/>
        </w:smartTagPr>
        <w:r w:rsidRPr="00B27DFF">
          <w:rPr>
            <w:rFonts w:ascii="Arial" w:hAnsi="Arial" w:cs="Arial"/>
          </w:rPr>
          <w:t>la Fundación Española</w:t>
        </w:r>
      </w:smartTag>
      <w:r w:rsidRPr="00B27DFF">
        <w:rPr>
          <w:rFonts w:ascii="Arial" w:hAnsi="Arial" w:cs="Arial"/>
        </w:rPr>
        <w:t xml:space="preserve"> de Reumatología, Sociedad Española de Reumatología. Calle Marqués del Duero 5, 1º, 28001 Madrid,  Spain. </w:t>
      </w:r>
    </w:p>
    <w:p w:rsidR="00C51A71" w:rsidRPr="00B27DFF" w:rsidRDefault="00C51A71" w:rsidP="004574DE">
      <w:pPr>
        <w:spacing w:line="480" w:lineRule="auto"/>
        <w:rPr>
          <w:rFonts w:ascii="Arial" w:hAnsi="Arial" w:cs="Arial"/>
          <w:lang w:val="en-GB"/>
        </w:rPr>
      </w:pPr>
      <w:r w:rsidRPr="00B27DFF">
        <w:rPr>
          <w:rFonts w:ascii="Arial" w:hAnsi="Arial" w:cs="Arial"/>
        </w:rPr>
        <w:t xml:space="preserve">(6) Servicio de Anatomía Patológica, Hospital Regional Universitario Carlos Haya. </w:t>
      </w:r>
      <w:r w:rsidRPr="00B27DFF">
        <w:rPr>
          <w:rFonts w:ascii="Arial" w:hAnsi="Arial" w:cs="Arial"/>
          <w:lang w:val="en-GB"/>
        </w:rPr>
        <w:t xml:space="preserve">Avenida Carlos Haya sn, 29010 </w:t>
      </w:r>
      <w:smartTag w:uri="urn:schemas-microsoft-com:office:smarttags" w:element="State">
        <w:smartTag w:uri="urn:schemas-microsoft-com:office:smarttags" w:element="City">
          <w:r w:rsidRPr="00B27DFF">
            <w:rPr>
              <w:rFonts w:ascii="Arial" w:hAnsi="Arial" w:cs="Arial"/>
              <w:lang w:val="en-GB"/>
            </w:rPr>
            <w:t>Málaga</w:t>
          </w:r>
        </w:smartTag>
        <w:r w:rsidRPr="00B27DFF">
          <w:rPr>
            <w:rFonts w:ascii="Arial" w:hAnsi="Arial" w:cs="Arial"/>
            <w:lang w:val="en-GB"/>
          </w:rPr>
          <w:t xml:space="preserve">, </w:t>
        </w:r>
        <w:smartTag w:uri="urn:schemas-microsoft-com:office:smarttags" w:element="State">
          <w:r w:rsidRPr="00B27DFF">
            <w:rPr>
              <w:rFonts w:ascii="Arial" w:hAnsi="Arial" w:cs="Arial"/>
              <w:lang w:val="en-GB"/>
            </w:rPr>
            <w:t>Spain</w:t>
          </w:r>
        </w:smartTag>
      </w:smartTag>
      <w:r w:rsidRPr="00B27DFF">
        <w:rPr>
          <w:rFonts w:ascii="Arial" w:hAnsi="Arial" w:cs="Arial"/>
          <w:lang w:val="en-GB"/>
        </w:rPr>
        <w:t>.</w:t>
      </w:r>
    </w:p>
    <w:p w:rsidR="00C51A71" w:rsidRPr="00B27DFF" w:rsidRDefault="00C51A71" w:rsidP="002C4CB3">
      <w:pPr>
        <w:spacing w:line="480" w:lineRule="auto"/>
        <w:rPr>
          <w:rFonts w:ascii="Arial" w:hAnsi="Arial" w:cs="Arial"/>
          <w:lang w:val="en-US"/>
        </w:rPr>
      </w:pPr>
      <w:r w:rsidRPr="00B27DFF">
        <w:rPr>
          <w:rFonts w:ascii="Arial" w:hAnsi="Arial" w:cs="Arial"/>
          <w:lang w:val="en-US"/>
        </w:rPr>
        <w:t>*These authors share senior authorship.</w:t>
      </w:r>
    </w:p>
    <w:p w:rsidR="00C51A71" w:rsidRPr="00B27DFF" w:rsidRDefault="00C51A71" w:rsidP="002C4CB3">
      <w:pPr>
        <w:spacing w:line="480" w:lineRule="auto"/>
        <w:rPr>
          <w:rFonts w:ascii="Arial" w:hAnsi="Arial" w:cs="Arial"/>
          <w:lang w:val="en-US"/>
        </w:rPr>
      </w:pPr>
      <w:r w:rsidRPr="00B27DFF">
        <w:rPr>
          <w:rFonts w:ascii="Arial" w:hAnsi="Arial" w:cs="Arial"/>
          <w:lang w:val="en-US"/>
        </w:rPr>
        <w:t xml:space="preserve">e-mail addresses for all authors: elenagonzalo_bio@hotmail.com; </w:t>
      </w:r>
      <w:hyperlink r:id="rId7" w:history="1">
        <w:r w:rsidRPr="00B27DFF">
          <w:rPr>
            <w:rStyle w:val="Hipervnculo"/>
            <w:rFonts w:ascii="Arial" w:hAnsi="Arial" w:cs="Arial"/>
            <w:lang w:val="en-US"/>
          </w:rPr>
          <w:t>oscar-toldos@hotmail.com</w:t>
        </w:r>
      </w:hyperlink>
      <w:r w:rsidRPr="00B27DFF">
        <w:rPr>
          <w:rFonts w:ascii="Arial" w:hAnsi="Arial" w:cs="Arial"/>
          <w:lang w:val="en-US"/>
        </w:rPr>
        <w:t xml:space="preserve">;  </w:t>
      </w:r>
      <w:hyperlink r:id="rId8" w:history="1">
        <w:r w:rsidRPr="00B27DFF">
          <w:rPr>
            <w:rStyle w:val="Hipervnculo"/>
            <w:rFonts w:ascii="Arial" w:hAnsi="Arial" w:cs="Arial"/>
            <w:lang w:val="en-US"/>
          </w:rPr>
          <w:t>mpmavidal@yahoo.es</w:t>
        </w:r>
      </w:hyperlink>
      <w:r w:rsidRPr="00B27DFF">
        <w:rPr>
          <w:rFonts w:ascii="Arial" w:hAnsi="Arial" w:cs="Arial"/>
          <w:lang w:val="en-US"/>
        </w:rPr>
        <w:t xml:space="preserve">; </w:t>
      </w:r>
      <w:hyperlink r:id="rId9" w:history="1">
        <w:r w:rsidRPr="00B27DFF">
          <w:rPr>
            <w:rStyle w:val="Hipervnculo"/>
            <w:rFonts w:ascii="Arial" w:hAnsi="Arial" w:cs="Arial"/>
            <w:lang w:val="en-US"/>
          </w:rPr>
          <w:t>maricarmenoc@hotmail.com</w:t>
        </w:r>
      </w:hyperlink>
      <w:r w:rsidRPr="00B27DFF">
        <w:rPr>
          <w:rFonts w:ascii="Arial" w:hAnsi="Arial" w:cs="Arial"/>
          <w:lang w:val="en-US"/>
        </w:rPr>
        <w:t xml:space="preserve">; </w:t>
      </w:r>
      <w:hyperlink r:id="rId10" w:history="1">
        <w:r w:rsidRPr="00B27DFF">
          <w:rPr>
            <w:rStyle w:val="Hipervnculo"/>
            <w:rFonts w:ascii="Arial" w:hAnsi="Arial" w:cs="Arial"/>
            <w:lang w:val="en-US"/>
          </w:rPr>
          <w:t>b.s.martin@hotmail.com</w:t>
        </w:r>
      </w:hyperlink>
      <w:r w:rsidRPr="00B27DFF">
        <w:rPr>
          <w:rFonts w:ascii="Arial" w:hAnsi="Arial" w:cs="Arial"/>
          <w:lang w:val="en-US"/>
        </w:rPr>
        <w:t xml:space="preserve">; </w:t>
      </w:r>
      <w:hyperlink r:id="rId11" w:history="1">
        <w:r w:rsidRPr="00B27DFF">
          <w:rPr>
            <w:rStyle w:val="Hipervnculo"/>
            <w:rFonts w:ascii="Arial" w:hAnsi="Arial" w:cs="Arial"/>
            <w:color w:val="auto"/>
            <w:lang w:val="en-US"/>
          </w:rPr>
          <w:t>afnebro@gmail.com</w:t>
        </w:r>
      </w:hyperlink>
      <w:r w:rsidRPr="00B27DFF">
        <w:rPr>
          <w:rFonts w:ascii="Arial" w:hAnsi="Arial" w:cs="Arial"/>
          <w:lang w:val="en-US"/>
        </w:rPr>
        <w:t xml:space="preserve">;  </w:t>
      </w:r>
      <w:hyperlink r:id="rId12" w:history="1">
        <w:r w:rsidRPr="00B27DFF">
          <w:rPr>
            <w:rStyle w:val="Hipervnculo"/>
            <w:rFonts w:ascii="Arial" w:hAnsi="Arial" w:cs="Arial"/>
            <w:color w:val="auto"/>
            <w:lang w:val="en-US"/>
          </w:rPr>
          <w:t>estitxu.loza@gmail.com</w:t>
        </w:r>
      </w:hyperlink>
      <w:r w:rsidRPr="00B27DFF">
        <w:rPr>
          <w:rFonts w:ascii="Arial" w:hAnsi="Arial" w:cs="Arial"/>
          <w:lang w:val="en-US"/>
        </w:rPr>
        <w:t xml:space="preserve">; </w:t>
      </w:r>
      <w:hyperlink r:id="rId13" w:history="1">
        <w:r w:rsidRPr="00B27DFF">
          <w:rPr>
            <w:rStyle w:val="Hipervnculo"/>
            <w:rFonts w:ascii="Arial" w:hAnsi="Arial" w:cs="Arial"/>
            <w:lang w:val="en-US"/>
          </w:rPr>
          <w:t>isacg973@yahoo.es</w:t>
        </w:r>
      </w:hyperlink>
      <w:r w:rsidRPr="00B27DFF">
        <w:rPr>
          <w:rFonts w:ascii="Arial" w:hAnsi="Arial" w:cs="Arial"/>
          <w:lang w:val="en-US"/>
        </w:rPr>
        <w:t xml:space="preserve">; </w:t>
      </w:r>
      <w:hyperlink r:id="rId14" w:history="1">
        <w:r w:rsidRPr="00B27DFF">
          <w:rPr>
            <w:rStyle w:val="Hipervnculo"/>
            <w:rFonts w:ascii="Arial" w:hAnsi="Arial" w:cs="Arial"/>
            <w:lang w:val="en-US"/>
          </w:rPr>
          <w:t>mylefra@hotmail.com</w:t>
        </w:r>
      </w:hyperlink>
      <w:r w:rsidRPr="00B27DFF">
        <w:rPr>
          <w:rFonts w:ascii="Arial" w:hAnsi="Arial" w:cs="Arial"/>
          <w:lang w:val="en-US"/>
        </w:rPr>
        <w:t xml:space="preserve">; </w:t>
      </w:r>
      <w:hyperlink r:id="rId15" w:history="1">
        <w:r w:rsidRPr="00B27DFF">
          <w:rPr>
            <w:rStyle w:val="Hipervnculo"/>
            <w:rFonts w:ascii="Arial" w:hAnsi="Arial" w:cs="Arial"/>
            <w:lang w:val="en-US"/>
          </w:rPr>
          <w:t>jlpablos@h12o.es</w:t>
        </w:r>
      </w:hyperlink>
      <w:r w:rsidRPr="00B27DFF">
        <w:rPr>
          <w:rFonts w:ascii="Arial" w:hAnsi="Arial" w:cs="Arial"/>
          <w:lang w:val="en-US"/>
        </w:rPr>
        <w:t>; mgalindo@h12o.es</w:t>
      </w:r>
    </w:p>
    <w:p w:rsidR="00C51A71" w:rsidRPr="00B27DFF" w:rsidRDefault="00C51A71" w:rsidP="002C4CB3">
      <w:pPr>
        <w:spacing w:line="480" w:lineRule="auto"/>
        <w:rPr>
          <w:rFonts w:ascii="Arial" w:hAnsi="Arial" w:cs="Arial"/>
        </w:rPr>
      </w:pPr>
      <w:r w:rsidRPr="00B27DFF">
        <w:rPr>
          <w:rFonts w:ascii="Arial" w:hAnsi="Arial" w:cs="Arial"/>
        </w:rPr>
        <w:t>Address for reprint requests:  Servicio de Reumatología. Hospital 12 de Octubre. Avenida de Córdoba sn. 28041 Madrid. Spain.</w:t>
      </w:r>
    </w:p>
    <w:p w:rsidR="00C51A71" w:rsidRPr="00B27DFF" w:rsidRDefault="00C51A71" w:rsidP="002C4CB3">
      <w:pPr>
        <w:spacing w:line="480" w:lineRule="auto"/>
        <w:rPr>
          <w:rFonts w:ascii="Arial" w:hAnsi="Arial" w:cs="Arial"/>
        </w:rPr>
      </w:pPr>
      <w:r w:rsidRPr="00B27DFF">
        <w:rPr>
          <w:rFonts w:ascii="Arial" w:hAnsi="Arial" w:cs="Arial"/>
        </w:rPr>
        <w:t>Corresponding author: María Galindo. Servicio de Reumatología. Hospital 12 de Octubre. Avenida de Córdoba sn. 28041 Madrid. Spain.</w:t>
      </w:r>
    </w:p>
    <w:p w:rsidR="00C51A71" w:rsidRPr="00B27DFF" w:rsidRDefault="00C51A71" w:rsidP="002C4CB3">
      <w:pPr>
        <w:spacing w:line="480" w:lineRule="auto"/>
        <w:rPr>
          <w:rFonts w:ascii="Arial" w:hAnsi="Arial" w:cs="Arial"/>
        </w:rPr>
      </w:pPr>
      <w:r w:rsidRPr="00B27DFF">
        <w:rPr>
          <w:rFonts w:ascii="Arial" w:hAnsi="Arial" w:cs="Arial"/>
        </w:rPr>
        <w:t>Telephone number: +34913808767/8766.</w:t>
      </w:r>
    </w:p>
    <w:p w:rsidR="00C51A71" w:rsidRPr="00B27DFF" w:rsidRDefault="00C51A71" w:rsidP="002C4CB3">
      <w:pPr>
        <w:spacing w:line="480" w:lineRule="auto"/>
        <w:rPr>
          <w:rFonts w:ascii="Arial" w:hAnsi="Arial" w:cs="Arial"/>
        </w:rPr>
      </w:pPr>
      <w:r w:rsidRPr="00B27DFF">
        <w:rPr>
          <w:rFonts w:ascii="Arial" w:hAnsi="Arial" w:cs="Arial"/>
        </w:rPr>
        <w:t>Fax: +34913908544.</w:t>
      </w:r>
    </w:p>
    <w:p w:rsidR="00C51A71" w:rsidRPr="00B27DFF" w:rsidRDefault="00C51A71" w:rsidP="002C4CB3">
      <w:pPr>
        <w:spacing w:line="480" w:lineRule="auto"/>
        <w:rPr>
          <w:rStyle w:val="Hipervnculo"/>
          <w:rFonts w:ascii="Arial" w:hAnsi="Arial" w:cs="Arial"/>
        </w:rPr>
      </w:pPr>
      <w:r w:rsidRPr="00B27DFF">
        <w:rPr>
          <w:rFonts w:ascii="Arial" w:hAnsi="Arial" w:cs="Arial"/>
        </w:rPr>
        <w:t xml:space="preserve">e-mail: </w:t>
      </w:r>
      <w:hyperlink r:id="rId16" w:history="1">
        <w:r w:rsidRPr="00B27DFF">
          <w:rPr>
            <w:rStyle w:val="Hipervnculo"/>
            <w:rFonts w:ascii="Arial" w:hAnsi="Arial" w:cs="Arial"/>
          </w:rPr>
          <w:t>jlpablos@h12o.es</w:t>
        </w:r>
      </w:hyperlink>
    </w:p>
    <w:p w:rsidR="00C51A71" w:rsidRPr="00B27DFF" w:rsidRDefault="00C51A71" w:rsidP="002C4CB3">
      <w:pPr>
        <w:spacing w:line="480" w:lineRule="auto"/>
        <w:rPr>
          <w:rFonts w:ascii="Arial" w:hAnsi="Arial" w:cs="Arial"/>
          <w:lang w:val="en-GB"/>
        </w:rPr>
      </w:pPr>
      <w:r w:rsidRPr="00B27DFF">
        <w:rPr>
          <w:rFonts w:ascii="Arial" w:hAnsi="Arial" w:cs="Arial"/>
          <w:lang w:val="en-GB"/>
        </w:rPr>
        <w:t>Short title: Renal microthrombi and inflammatory markers</w:t>
      </w:r>
    </w:p>
    <w:p w:rsidR="00C51A71" w:rsidRPr="00B27DFF" w:rsidRDefault="00C51A71" w:rsidP="002C4CB3">
      <w:pPr>
        <w:spacing w:line="480" w:lineRule="auto"/>
        <w:rPr>
          <w:rFonts w:ascii="Arial" w:hAnsi="Arial" w:cs="Arial"/>
          <w:b/>
          <w:lang w:val="en-US"/>
        </w:rPr>
      </w:pPr>
    </w:p>
    <w:p w:rsidR="00C51A71" w:rsidRPr="00B27DFF" w:rsidRDefault="00C51A71" w:rsidP="00073E47">
      <w:pPr>
        <w:spacing w:line="480" w:lineRule="auto"/>
        <w:rPr>
          <w:rFonts w:ascii="Arial" w:hAnsi="Arial" w:cs="Arial"/>
          <w:b/>
          <w:lang w:val="en-US"/>
        </w:rPr>
      </w:pPr>
      <w:r w:rsidRPr="00B27DFF">
        <w:rPr>
          <w:rFonts w:ascii="Arial" w:hAnsi="Arial" w:cs="Arial"/>
          <w:b/>
          <w:lang w:val="en-US"/>
        </w:rPr>
        <w:br w:type="page"/>
      </w:r>
      <w:r w:rsidRPr="00B27DFF">
        <w:rPr>
          <w:rFonts w:ascii="Arial" w:hAnsi="Arial" w:cs="Arial"/>
          <w:b/>
          <w:lang w:val="en-US"/>
        </w:rPr>
        <w:lastRenderedPageBreak/>
        <w:t>ABSTRACT</w:t>
      </w:r>
    </w:p>
    <w:p w:rsidR="00C51A71" w:rsidRPr="00B27DFF" w:rsidRDefault="00C51A71" w:rsidP="00073E47">
      <w:pPr>
        <w:autoSpaceDE w:val="0"/>
        <w:autoSpaceDN w:val="0"/>
        <w:adjustRightInd w:val="0"/>
        <w:spacing w:line="480" w:lineRule="auto"/>
        <w:rPr>
          <w:rFonts w:ascii="Arial" w:hAnsi="Arial" w:cs="Arial"/>
          <w:lang w:val="en-US"/>
        </w:rPr>
      </w:pPr>
      <w:r w:rsidRPr="00B27DFF">
        <w:rPr>
          <w:rFonts w:ascii="Arial" w:hAnsi="Arial" w:cs="Arial"/>
          <w:b/>
          <w:lang w:val="en-US"/>
        </w:rPr>
        <w:t xml:space="preserve">Objective: </w:t>
      </w:r>
      <w:r w:rsidRPr="00B27DFF">
        <w:rPr>
          <w:rFonts w:ascii="Arial" w:hAnsi="Arial" w:cs="Arial"/>
          <w:lang w:val="en-US"/>
        </w:rPr>
        <w:t>Microthrombosis is often observed in lupus nephritis lesions (LN) but its clinical significance is unknown. We evaluate the clinicopathological correlations of renal microthrombosis and inflammatory markers in LN.</w:t>
      </w:r>
    </w:p>
    <w:p w:rsidR="00C51A71" w:rsidRPr="00B27DFF" w:rsidRDefault="00C51A71" w:rsidP="00073E47">
      <w:pPr>
        <w:spacing w:line="480" w:lineRule="auto"/>
        <w:rPr>
          <w:rFonts w:ascii="Arial" w:hAnsi="Arial" w:cs="Arial"/>
          <w:lang w:val="en-US"/>
        </w:rPr>
      </w:pPr>
      <w:r w:rsidRPr="00B27DFF">
        <w:rPr>
          <w:rFonts w:ascii="Arial" w:hAnsi="Arial" w:cs="Arial"/>
          <w:b/>
          <w:lang w:val="en-US"/>
        </w:rPr>
        <w:t>Methods</w:t>
      </w:r>
      <w:r w:rsidRPr="00B27DFF">
        <w:rPr>
          <w:rFonts w:ascii="Arial" w:hAnsi="Arial" w:cs="Arial"/>
          <w:lang w:val="en-US"/>
        </w:rPr>
        <w:t xml:space="preserve">: </w:t>
      </w:r>
      <w:r w:rsidRPr="00B27DFF">
        <w:rPr>
          <w:rFonts w:ascii="Arial" w:hAnsi="Arial" w:cs="Arial"/>
          <w:bCs/>
          <w:lang w:val="en-US"/>
        </w:rPr>
        <w:t xml:space="preserve">Kidney biopsies from 58 patients </w:t>
      </w:r>
      <w:r w:rsidRPr="00B27DFF">
        <w:rPr>
          <w:rFonts w:ascii="Arial" w:hAnsi="Arial" w:cs="Arial"/>
          <w:lang w:val="en-US"/>
        </w:rPr>
        <w:t>with systemic lupus erythematosus (SLE) proliferative nephritis were analyzed</w:t>
      </w:r>
      <w:r w:rsidRPr="00B27DFF">
        <w:rPr>
          <w:rFonts w:ascii="Arial" w:hAnsi="Arial" w:cs="Arial"/>
          <w:bCs/>
          <w:lang w:val="en-US"/>
        </w:rPr>
        <w:t xml:space="preserve"> by immunohistochemistry (IHC) for intravascular platelet aggregates (CD61)</w:t>
      </w:r>
      <w:r w:rsidRPr="00B27DFF">
        <w:rPr>
          <w:rFonts w:ascii="Arial" w:hAnsi="Arial" w:cs="Arial"/>
          <w:lang w:val="en-US"/>
        </w:rPr>
        <w:t xml:space="preserve">, macrophagic infiltration (CD68), and activated complement deposition (C4d). </w:t>
      </w:r>
      <w:r w:rsidRPr="00B27DFF">
        <w:rPr>
          <w:rFonts w:ascii="Arial" w:hAnsi="Arial" w:cs="Arial"/>
          <w:bCs/>
          <w:lang w:val="en-US"/>
        </w:rPr>
        <w:t>Clinical data at the time of kidney biopsy and follow-up were analyzed with regard to pathological IHC data.</w:t>
      </w:r>
    </w:p>
    <w:p w:rsidR="00C51A71" w:rsidRPr="00B27DFF" w:rsidRDefault="00C51A71" w:rsidP="00073E47">
      <w:pPr>
        <w:autoSpaceDE w:val="0"/>
        <w:autoSpaceDN w:val="0"/>
        <w:adjustRightInd w:val="0"/>
        <w:spacing w:line="480" w:lineRule="auto"/>
        <w:rPr>
          <w:rFonts w:ascii="Arial" w:hAnsi="Arial" w:cs="Arial"/>
          <w:lang w:val="en-US"/>
        </w:rPr>
      </w:pPr>
      <w:r w:rsidRPr="00B27DFF">
        <w:rPr>
          <w:rFonts w:ascii="Arial" w:hAnsi="Arial" w:cs="Arial"/>
          <w:b/>
          <w:lang w:val="en-US"/>
        </w:rPr>
        <w:t>Results</w:t>
      </w:r>
      <w:r w:rsidRPr="00B27DFF">
        <w:rPr>
          <w:rFonts w:ascii="Arial" w:hAnsi="Arial" w:cs="Arial"/>
          <w:lang w:val="en-US"/>
        </w:rPr>
        <w:t>: Microthrombosis was present in 52% of the tissues. It was significantly more prevalent in patients with antiphospholipid antibodies (aPL) (62% vs 42%). The presence of microthrombosis significantly correlated with higher macrophagic infiltration. Macrophagic infiltration but not microthrombosis was significantly correlated with C4d deposition. Only macrophagic infiltration showed a correlation with SLE and renal activity (proteinuria and active sediment), whereas neither the presence of CD61+ microthrombi nor the extent of C4d deposition correlated with LN</w:t>
      </w:r>
      <w:bookmarkStart w:id="1" w:name="OLE_LINK1"/>
      <w:bookmarkStart w:id="2" w:name="OLE_LINK2"/>
      <w:r w:rsidRPr="00B27DFF">
        <w:rPr>
          <w:rFonts w:ascii="Arial" w:hAnsi="Arial" w:cs="Arial"/>
          <w:lang w:val="en-US"/>
        </w:rPr>
        <w:t xml:space="preserve"> severity or outcome.</w:t>
      </w:r>
      <w:bookmarkEnd w:id="1"/>
      <w:bookmarkEnd w:id="2"/>
    </w:p>
    <w:p w:rsidR="00C51A71" w:rsidRPr="00B27DFF" w:rsidRDefault="00C51A71" w:rsidP="00073E47">
      <w:pPr>
        <w:spacing w:line="480" w:lineRule="auto"/>
        <w:rPr>
          <w:rFonts w:ascii="Arial" w:hAnsi="Arial" w:cs="Arial"/>
          <w:lang w:val="en-US"/>
        </w:rPr>
      </w:pPr>
      <w:r w:rsidRPr="00B27DFF">
        <w:rPr>
          <w:rFonts w:ascii="Arial" w:hAnsi="Arial" w:cs="Arial"/>
          <w:b/>
          <w:lang w:val="en-US"/>
        </w:rPr>
        <w:t>Conclusions</w:t>
      </w:r>
      <w:r w:rsidRPr="00B27DFF">
        <w:rPr>
          <w:rFonts w:ascii="Arial" w:hAnsi="Arial" w:cs="Arial"/>
          <w:lang w:val="en-US"/>
        </w:rPr>
        <w:t>: Microthrombosis is associated to higher macrophagic infiltration in LN but does not seem to independently increase the severity of renal damage. Macrophagic infiltration was the best marker of SLE and renal activity in this LN series.</w:t>
      </w:r>
    </w:p>
    <w:p w:rsidR="00C51A71" w:rsidRPr="00B27DFF" w:rsidRDefault="00C51A71" w:rsidP="00073E47">
      <w:pPr>
        <w:spacing w:line="480" w:lineRule="auto"/>
        <w:rPr>
          <w:rFonts w:ascii="Arial" w:hAnsi="Arial" w:cs="Arial"/>
          <w:lang w:val="en-US"/>
        </w:rPr>
      </w:pPr>
      <w:r w:rsidRPr="00B27DFF">
        <w:rPr>
          <w:rFonts w:ascii="Arial" w:hAnsi="Arial" w:cs="Arial"/>
          <w:b/>
          <w:lang w:val="en-US"/>
        </w:rPr>
        <w:t>KEYWORDS:</w:t>
      </w:r>
      <w:r w:rsidRPr="00B27DFF">
        <w:rPr>
          <w:rFonts w:ascii="Arial" w:hAnsi="Arial" w:cs="Arial"/>
          <w:lang w:val="en-US"/>
        </w:rPr>
        <w:t xml:space="preserve"> lupus nephritis, macrophages, thrombosis, complement.</w:t>
      </w:r>
    </w:p>
    <w:p w:rsidR="00C51A71" w:rsidRPr="00B27DFF" w:rsidRDefault="00C51A71" w:rsidP="00015D34">
      <w:pPr>
        <w:spacing w:line="480" w:lineRule="auto"/>
        <w:rPr>
          <w:rFonts w:ascii="Arial" w:hAnsi="Arial" w:cs="Arial"/>
          <w:lang w:val="en-US"/>
        </w:rPr>
      </w:pPr>
    </w:p>
    <w:p w:rsidR="00C51A71" w:rsidRPr="00B27DFF" w:rsidRDefault="00C51A71" w:rsidP="00015D34">
      <w:pPr>
        <w:spacing w:line="480" w:lineRule="auto"/>
        <w:rPr>
          <w:rFonts w:ascii="Arial" w:hAnsi="Arial" w:cs="Arial"/>
          <w:lang w:val="en-US"/>
        </w:rPr>
      </w:pPr>
    </w:p>
    <w:p w:rsidR="00C51A71" w:rsidRPr="00B27DFF" w:rsidRDefault="00C51A71" w:rsidP="002C4CB3">
      <w:pPr>
        <w:spacing w:line="480" w:lineRule="auto"/>
        <w:rPr>
          <w:rFonts w:ascii="Arial" w:hAnsi="Arial" w:cs="Arial"/>
          <w:b/>
          <w:lang w:val="en-US"/>
        </w:rPr>
      </w:pPr>
      <w:r w:rsidRPr="00B27DFF">
        <w:rPr>
          <w:rFonts w:ascii="Arial" w:hAnsi="Arial" w:cs="Arial"/>
          <w:b/>
          <w:lang w:val="en-US"/>
        </w:rPr>
        <w:br w:type="page"/>
      </w:r>
      <w:r w:rsidRPr="00B27DFF">
        <w:rPr>
          <w:rFonts w:ascii="Arial" w:hAnsi="Arial" w:cs="Arial"/>
          <w:b/>
          <w:lang w:val="en-US"/>
        </w:rPr>
        <w:lastRenderedPageBreak/>
        <w:t>INTRODUCTION</w:t>
      </w:r>
    </w:p>
    <w:p w:rsidR="00C51A71" w:rsidRPr="00B27DFF" w:rsidRDefault="00C51A71" w:rsidP="00C42E78">
      <w:pPr>
        <w:autoSpaceDE w:val="0"/>
        <w:autoSpaceDN w:val="0"/>
        <w:adjustRightInd w:val="0"/>
        <w:spacing w:line="480" w:lineRule="auto"/>
        <w:rPr>
          <w:rFonts w:ascii="Arial" w:hAnsi="Arial" w:cs="Arial"/>
          <w:lang w:val="en-US"/>
        </w:rPr>
      </w:pPr>
      <w:r w:rsidRPr="00B27DFF">
        <w:rPr>
          <w:rFonts w:ascii="Arial" w:hAnsi="Arial" w:cs="Arial"/>
          <w:lang w:val="en-US"/>
        </w:rPr>
        <w:t>Lupus nephritis (LN) develops in 30-50% of patients with systemic lupus erythematosus (SLE) [</w:t>
      </w:r>
      <w:r w:rsidR="00627636">
        <w:fldChar w:fldCharType="begin"/>
      </w:r>
      <w:r w:rsidR="00627636">
        <w:instrText xml:space="preserve"> REF _Ref286143842 \r \h  \* MERGEFORMAT </w:instrText>
      </w:r>
      <w:r w:rsidR="00627636">
        <w:fldChar w:fldCharType="separate"/>
      </w:r>
      <w:r w:rsidRPr="009A13FC">
        <w:t>1</w:t>
      </w:r>
      <w:r w:rsidR="00627636">
        <w:fldChar w:fldCharType="end"/>
      </w:r>
      <w:r w:rsidRPr="00B27DFF">
        <w:rPr>
          <w:rFonts w:ascii="Arial" w:hAnsi="Arial" w:cs="Arial"/>
          <w:lang w:val="en-US"/>
        </w:rPr>
        <w:t>]. Standard clinical practice is to perform a renal biopsy if clinical or analytical parameters suggest renal involvement. Although some clinical variables such as elevation of serum creatinine or persistent elevations of blood pressure have prognostic value, histological inf</w:t>
      </w:r>
      <w:r>
        <w:rPr>
          <w:rFonts w:ascii="Arial" w:hAnsi="Arial" w:cs="Arial"/>
          <w:lang w:val="en-US"/>
        </w:rPr>
        <w:t>ormation obtained from biopsies</w:t>
      </w:r>
      <w:r w:rsidRPr="00B27DFF">
        <w:rPr>
          <w:rFonts w:ascii="Arial" w:hAnsi="Arial" w:cs="Arial"/>
          <w:lang w:val="en-US"/>
        </w:rPr>
        <w:t xml:space="preserve"> continues to be indispensable for classification and outcome prediction [</w:t>
      </w:r>
      <w:r w:rsidR="00627636">
        <w:fldChar w:fldCharType="begin"/>
      </w:r>
      <w:r w:rsidR="00627636">
        <w:instrText xml:space="preserve"> REF _Ref299979213 \r \h  \* MERGEFORMAT </w:instrText>
      </w:r>
      <w:r w:rsidR="00627636">
        <w:fldChar w:fldCharType="separate"/>
      </w:r>
      <w:r w:rsidRPr="009A13FC">
        <w:t>2</w:t>
      </w:r>
      <w:r w:rsidR="00627636">
        <w:fldChar w:fldCharType="end"/>
      </w:r>
      <w:r w:rsidRPr="00B27DFF">
        <w:rPr>
          <w:rFonts w:ascii="Arial" w:hAnsi="Arial" w:cs="Arial"/>
          <w:lang w:val="en-US"/>
        </w:rPr>
        <w:t xml:space="preserve">, </w:t>
      </w:r>
      <w:r w:rsidR="00627636">
        <w:fldChar w:fldCharType="begin"/>
      </w:r>
      <w:r w:rsidR="00627636">
        <w:instrText xml:space="preserve"> REF _Ref299979215 \r \h  \* MERGEFORMAT </w:instrText>
      </w:r>
      <w:r w:rsidR="00627636">
        <w:fldChar w:fldCharType="separate"/>
      </w:r>
      <w:r w:rsidRPr="009A13FC">
        <w:t>3</w:t>
      </w:r>
      <w:r w:rsidR="00627636">
        <w:fldChar w:fldCharType="end"/>
      </w:r>
      <w:r w:rsidRPr="00B27DFF">
        <w:rPr>
          <w:rFonts w:ascii="Arial" w:hAnsi="Arial" w:cs="Arial"/>
          <w:lang w:val="en-US"/>
        </w:rPr>
        <w:t>]. Among local inflammatory markers, glomerular and interstitial macrophage accumulation is a feature of the most aggressive forms of human glomerulonephritis [</w:t>
      </w:r>
      <w:r w:rsidR="00627636">
        <w:fldChar w:fldCharType="begin"/>
      </w:r>
      <w:r w:rsidR="00627636">
        <w:instrText xml:space="preserve"> REF _Ref299979280 \r \h  \* MERGEFORMAT </w:instrText>
      </w:r>
      <w:r w:rsidR="00627636">
        <w:fldChar w:fldCharType="separate"/>
      </w:r>
      <w:r w:rsidRPr="009A13FC">
        <w:t>4</w:t>
      </w:r>
      <w:r w:rsidR="00627636">
        <w:fldChar w:fldCharType="end"/>
      </w:r>
      <w:r w:rsidRPr="00B27DFF">
        <w:rPr>
          <w:rFonts w:ascii="Arial" w:hAnsi="Arial" w:cs="Arial"/>
          <w:lang w:val="en-US"/>
        </w:rPr>
        <w:t>]. These cells, together with dendritic cells, are the major source of inflammatory cytok</w:t>
      </w:r>
      <w:r>
        <w:rPr>
          <w:rFonts w:ascii="Arial" w:hAnsi="Arial" w:cs="Arial"/>
          <w:lang w:val="en-US"/>
        </w:rPr>
        <w:t>ines [5] and</w:t>
      </w:r>
      <w:r w:rsidRPr="00B27DFF">
        <w:rPr>
          <w:rFonts w:ascii="Arial" w:hAnsi="Arial" w:cs="Arial"/>
          <w:lang w:val="en-US"/>
        </w:rPr>
        <w:t xml:space="preserve"> their interaction with resident T cells may amplify renal inflammation. Monocyte numbers in the urine and urinary levels of the monocyte chemoattractant protein-1 (MCP-1) have been found as useful markers to monitor the activity of LN [</w:t>
      </w:r>
      <w:r w:rsidR="00627636">
        <w:fldChar w:fldCharType="begin"/>
      </w:r>
      <w:r w:rsidR="00627636">
        <w:instrText xml:space="preserve">REF _Ref299024992 \r \h  \* MERGEFORMAT </w:instrText>
      </w:r>
      <w:r w:rsidR="00627636">
        <w:fldChar w:fldCharType="separate"/>
      </w:r>
      <w:r w:rsidRPr="009A13FC">
        <w:t>6</w:t>
      </w:r>
      <w:r w:rsidR="00627636">
        <w:fldChar w:fldCharType="end"/>
      </w:r>
      <w:r w:rsidRPr="00B27DFF">
        <w:rPr>
          <w:rFonts w:ascii="Arial" w:hAnsi="Arial" w:cs="Arial"/>
          <w:lang w:val="en-US"/>
        </w:rPr>
        <w:t xml:space="preserve">, </w:t>
      </w:r>
      <w:r w:rsidR="00627636">
        <w:fldChar w:fldCharType="begin"/>
      </w:r>
      <w:r w:rsidR="00627636">
        <w:instrText xml:space="preserve">REF _Ref299024995 \r \h  \* MERGEFORMAT </w:instrText>
      </w:r>
      <w:r w:rsidR="00627636">
        <w:fldChar w:fldCharType="separate"/>
      </w:r>
      <w:r w:rsidRPr="009A13FC">
        <w:t>7</w:t>
      </w:r>
      <w:r w:rsidR="00627636">
        <w:fldChar w:fldCharType="end"/>
      </w:r>
      <w:r w:rsidRPr="00B27DFF">
        <w:rPr>
          <w:rFonts w:ascii="Arial" w:hAnsi="Arial" w:cs="Arial"/>
          <w:lang w:val="en-US"/>
        </w:rPr>
        <w:t>]. In patients with proliferative forms of LN, MCP-1 may also play a role in modulating interstitial inflammatory cell infiltration and tubulointerstitial damage via TGF-beta 1 pathway [</w:t>
      </w:r>
      <w:r w:rsidR="00627636">
        <w:fldChar w:fldCharType="begin"/>
      </w:r>
      <w:r w:rsidR="00627636">
        <w:instrText xml:space="preserve">REF _Ref299025150 \r \h  \* MERGEFORMAT </w:instrText>
      </w:r>
      <w:r w:rsidR="00627636">
        <w:fldChar w:fldCharType="separate"/>
      </w:r>
      <w:r w:rsidRPr="009A13FC">
        <w:t>8</w:t>
      </w:r>
      <w:r w:rsidR="00627636">
        <w:fldChar w:fldCharType="end"/>
      </w:r>
      <w:r w:rsidRPr="00B27DFF">
        <w:rPr>
          <w:rFonts w:ascii="Arial" w:hAnsi="Arial" w:cs="Arial"/>
          <w:lang w:val="en-US"/>
        </w:rPr>
        <w:t>]. Therefore, glomerular and tubular macrophagic infiltration has important pathogenetic implications and it is one of the individual variables that best correlate with clinical parameters [</w:t>
      </w:r>
      <w:r w:rsidR="00627636">
        <w:fldChar w:fldCharType="begin"/>
      </w:r>
      <w:r w:rsidR="00627636">
        <w:instrText xml:space="preserve"> REF _Ref299024342 \r \h  \* MERGEFORMAT </w:instrText>
      </w:r>
      <w:r w:rsidR="00627636">
        <w:fldChar w:fldCharType="separate"/>
      </w:r>
      <w:r w:rsidRPr="009A13FC">
        <w:t>9</w:t>
      </w:r>
      <w:r w:rsidR="00627636">
        <w:fldChar w:fldCharType="end"/>
      </w:r>
      <w:r w:rsidRPr="00B27DFF">
        <w:rPr>
          <w:rFonts w:ascii="Arial" w:hAnsi="Arial" w:cs="Arial"/>
          <w:lang w:val="en-US"/>
        </w:rPr>
        <w:t>].</w:t>
      </w:r>
    </w:p>
    <w:p w:rsidR="00C51A71" w:rsidRPr="00B27DFF" w:rsidRDefault="00C51A71" w:rsidP="00C640A6">
      <w:pPr>
        <w:autoSpaceDE w:val="0"/>
        <w:autoSpaceDN w:val="0"/>
        <w:adjustRightInd w:val="0"/>
        <w:spacing w:line="480" w:lineRule="auto"/>
        <w:rPr>
          <w:rFonts w:ascii="Arial" w:hAnsi="Arial" w:cs="Arial"/>
          <w:lang w:val="en-US"/>
        </w:rPr>
      </w:pPr>
      <w:r w:rsidRPr="00B27DFF">
        <w:rPr>
          <w:rFonts w:ascii="Arial" w:hAnsi="Arial" w:cs="Arial"/>
          <w:lang w:val="en-US"/>
        </w:rPr>
        <w:t>Vascular occlusions can be observed in LN and may relate to worse renal outcomes [</w:t>
      </w:r>
      <w:r w:rsidR="00627636">
        <w:fldChar w:fldCharType="begin"/>
      </w:r>
      <w:r w:rsidR="00627636">
        <w:instrText xml:space="preserve"> REF _Ref305670833 \r \h  \* MERGEFORMAT </w:instrText>
      </w:r>
      <w:r w:rsidR="00627636">
        <w:fldChar w:fldCharType="separate"/>
      </w:r>
      <w:r w:rsidRPr="009A13FC">
        <w:rPr>
          <w:rFonts w:ascii="Arial" w:hAnsi="Arial" w:cs="Arial"/>
          <w:lang w:val="en-US"/>
        </w:rPr>
        <w:t>10</w:t>
      </w:r>
      <w:r w:rsidR="00627636">
        <w:fldChar w:fldCharType="end"/>
      </w:r>
      <w:r w:rsidRPr="00B27DFF">
        <w:rPr>
          <w:rFonts w:ascii="Arial" w:hAnsi="Arial" w:cs="Arial"/>
          <w:lang w:val="en-US"/>
        </w:rPr>
        <w:t xml:space="preserve">]. </w:t>
      </w:r>
      <w:r>
        <w:rPr>
          <w:rFonts w:ascii="Arial" w:hAnsi="Arial" w:cs="Arial"/>
          <w:lang w:val="en-US"/>
        </w:rPr>
        <w:t>A</w:t>
      </w:r>
      <w:r w:rsidRPr="00B27DFF">
        <w:rPr>
          <w:rFonts w:ascii="Arial" w:hAnsi="Arial" w:cs="Arial"/>
          <w:lang w:val="en-US"/>
        </w:rPr>
        <w:t xml:space="preserve">cute thrombosis or chronic occlusive lesions in glomeruli and/or renal arterioles have also been described </w:t>
      </w:r>
      <w:r>
        <w:rPr>
          <w:rFonts w:ascii="Arial" w:hAnsi="Arial" w:cs="Arial"/>
          <w:lang w:val="en-US"/>
        </w:rPr>
        <w:t>i</w:t>
      </w:r>
      <w:r w:rsidRPr="00B27DFF">
        <w:rPr>
          <w:rFonts w:ascii="Arial" w:hAnsi="Arial" w:cs="Arial"/>
          <w:lang w:val="en-US"/>
        </w:rPr>
        <w:t>n patients with antiphospholipid syndrome (APS), [</w:t>
      </w:r>
      <w:r w:rsidR="00627636">
        <w:fldChar w:fldCharType="begin"/>
      </w:r>
      <w:r w:rsidR="00627636">
        <w:instrText xml:space="preserve">REF _Ref286145183 \r \h  \* MERGEFORMAT </w:instrText>
      </w:r>
      <w:r w:rsidR="00627636">
        <w:fldChar w:fldCharType="separate"/>
      </w:r>
      <w:r w:rsidRPr="009A13FC">
        <w:rPr>
          <w:rFonts w:ascii="Arial" w:hAnsi="Arial" w:cs="Arial"/>
          <w:lang w:val="en-US"/>
        </w:rPr>
        <w:t>11</w:t>
      </w:r>
      <w:r w:rsidR="00627636">
        <w:fldChar w:fldCharType="end"/>
      </w:r>
      <w:r w:rsidRPr="00B27DFF">
        <w:rPr>
          <w:rFonts w:ascii="Arial" w:hAnsi="Arial" w:cs="Arial"/>
          <w:lang w:val="en-US"/>
        </w:rPr>
        <w:t xml:space="preserve">, </w:t>
      </w:r>
      <w:r w:rsidR="00627636">
        <w:fldChar w:fldCharType="begin"/>
      </w:r>
      <w:r w:rsidR="00627636">
        <w:instrText xml:space="preserve">REF _Ref210689804 \r \h  \* MERGEFORMAT </w:instrText>
      </w:r>
      <w:r w:rsidR="00627636">
        <w:fldChar w:fldCharType="separate"/>
      </w:r>
      <w:r w:rsidRPr="009A13FC">
        <w:rPr>
          <w:rFonts w:ascii="Arial" w:hAnsi="Arial" w:cs="Arial"/>
          <w:lang w:val="en-US"/>
        </w:rPr>
        <w:t>12</w:t>
      </w:r>
      <w:r w:rsidR="00627636">
        <w:fldChar w:fldCharType="end"/>
      </w:r>
      <w:r w:rsidRPr="00B27DFF">
        <w:rPr>
          <w:rFonts w:ascii="Arial" w:hAnsi="Arial" w:cs="Arial"/>
          <w:lang w:val="en-US"/>
        </w:rPr>
        <w:t xml:space="preserve">]. Acute thrombosis in LN as detected by </w:t>
      </w:r>
      <w:r w:rsidRPr="00B27DFF">
        <w:rPr>
          <w:rFonts w:ascii="Arial" w:hAnsi="Arial" w:cs="Arial"/>
          <w:lang w:val="en-GB"/>
        </w:rPr>
        <w:t xml:space="preserve">routine histology is rarely observed, possibly because of its relatively sparse presence and the small size of tissue samples obtained by renal biopsy. Other </w:t>
      </w:r>
      <w:r w:rsidRPr="00B27DFF">
        <w:rPr>
          <w:rFonts w:ascii="Arial" w:hAnsi="Arial" w:cs="Arial"/>
          <w:lang w:val="en-GB"/>
        </w:rPr>
        <w:lastRenderedPageBreak/>
        <w:t>chronic, non-specific vascular occlusive histological lesions may relate to older age and cardiovascular risk factors associated to arteriosclerotic disease</w:t>
      </w:r>
      <w:r>
        <w:rPr>
          <w:rFonts w:ascii="Arial" w:hAnsi="Arial" w:cs="Arial"/>
          <w:lang w:val="en-GB"/>
        </w:rPr>
        <w:t>,</w:t>
      </w:r>
      <w:r w:rsidRPr="00B27DFF">
        <w:rPr>
          <w:rFonts w:ascii="Arial" w:hAnsi="Arial" w:cs="Arial"/>
          <w:lang w:val="en-GB"/>
        </w:rPr>
        <w:t xml:space="preserve"> even in patients without aPL (antiphospholipid antibodies) [13]. This type of chronic occlusive vascular lesions has been associated with a worse renal function outcome. </w:t>
      </w:r>
      <w:r w:rsidRPr="00B27DFF">
        <w:rPr>
          <w:rFonts w:ascii="Arial" w:hAnsi="Arial" w:cs="Arial"/>
          <w:lang w:val="en-US"/>
        </w:rPr>
        <w:t>Immunohistochemical detection of CD61+ intravascular platelets in SLE renal biopsies increases the sensitivity to detect microthrombosis and reveals a high prevalence of microthrombotic lesions in either aPL-negative or positive LN patients [</w:t>
      </w:r>
      <w:r w:rsidR="00627636">
        <w:fldChar w:fldCharType="begin"/>
      </w:r>
      <w:r w:rsidR="00627636">
        <w:instrText xml:space="preserve">REF _Ref286146523 \r \h  \* MERGEFORMAT </w:instrText>
      </w:r>
      <w:r w:rsidR="00627636">
        <w:fldChar w:fldCharType="separate"/>
      </w:r>
      <w:r w:rsidRPr="009A13FC">
        <w:rPr>
          <w:rFonts w:ascii="Arial" w:hAnsi="Arial" w:cs="Arial"/>
          <w:lang w:val="en-US"/>
        </w:rPr>
        <w:t>13</w:t>
      </w:r>
      <w:r w:rsidR="00627636">
        <w:fldChar w:fldCharType="end"/>
      </w:r>
      <w:r w:rsidRPr="00B27DFF">
        <w:rPr>
          <w:rFonts w:ascii="Arial" w:hAnsi="Arial" w:cs="Arial"/>
          <w:lang w:val="en-US"/>
        </w:rPr>
        <w:t>]. Whether microthrombotic lesions are a consequence of renal inflammation or independently contribute to renal damage is unclear [</w:t>
      </w:r>
      <w:r w:rsidR="00627636">
        <w:fldChar w:fldCharType="begin"/>
      </w:r>
      <w:r w:rsidR="00627636">
        <w:instrText xml:space="preserve"> REF _Ref</w:instrText>
      </w:r>
      <w:r w:rsidR="00627636">
        <w:instrText xml:space="preserve">305670833 \r \h  \* MERGEFORMAT </w:instrText>
      </w:r>
      <w:r w:rsidR="00627636">
        <w:fldChar w:fldCharType="separate"/>
      </w:r>
      <w:r w:rsidRPr="009A13FC">
        <w:rPr>
          <w:rFonts w:ascii="Arial" w:hAnsi="Arial" w:cs="Arial"/>
          <w:lang w:val="en-US"/>
        </w:rPr>
        <w:t>10</w:t>
      </w:r>
      <w:r w:rsidR="00627636">
        <w:fldChar w:fldCharType="end"/>
      </w:r>
      <w:r w:rsidRPr="00B27DFF">
        <w:rPr>
          <w:rFonts w:ascii="Arial" w:hAnsi="Arial" w:cs="Arial"/>
          <w:lang w:val="en-US"/>
        </w:rPr>
        <w:t>-</w:t>
      </w:r>
      <w:r w:rsidR="00627636">
        <w:fldChar w:fldCharType="begin"/>
      </w:r>
      <w:r w:rsidR="00627636">
        <w:instrText xml:space="preserve"> REF _Ref210689804 \r \h  \* MERGEFORMAT </w:instrText>
      </w:r>
      <w:r w:rsidR="00627636">
        <w:fldChar w:fldCharType="separate"/>
      </w:r>
      <w:r w:rsidRPr="009A13FC">
        <w:rPr>
          <w:rFonts w:ascii="Arial" w:hAnsi="Arial" w:cs="Arial"/>
          <w:lang w:val="en-US"/>
        </w:rPr>
        <w:t>12</w:t>
      </w:r>
      <w:r w:rsidR="00627636">
        <w:fldChar w:fldCharType="end"/>
      </w:r>
      <w:r w:rsidRPr="00B27DFF">
        <w:rPr>
          <w:rFonts w:ascii="Arial" w:hAnsi="Arial" w:cs="Arial"/>
          <w:lang w:val="en-US"/>
        </w:rPr>
        <w:t>].</w:t>
      </w:r>
    </w:p>
    <w:p w:rsidR="00C51A71" w:rsidRPr="00B27DFF" w:rsidRDefault="00C51A71" w:rsidP="00C640A6">
      <w:pPr>
        <w:autoSpaceDE w:val="0"/>
        <w:autoSpaceDN w:val="0"/>
        <w:adjustRightInd w:val="0"/>
        <w:spacing w:line="480" w:lineRule="auto"/>
        <w:rPr>
          <w:rFonts w:ascii="Arial" w:hAnsi="Arial" w:cs="Arial"/>
          <w:lang w:val="en-US"/>
        </w:rPr>
      </w:pPr>
      <w:r w:rsidRPr="00B27DFF">
        <w:rPr>
          <w:rFonts w:ascii="Arial" w:hAnsi="Arial" w:cs="Arial"/>
          <w:lang w:val="en-US"/>
        </w:rPr>
        <w:t>A link between activation of the complement system and aPL-induced thrombosis has been described in murine APS models [</w:t>
      </w:r>
      <w:r w:rsidR="00627636">
        <w:fldChar w:fldCharType="begin"/>
      </w:r>
      <w:r w:rsidR="00627636">
        <w:instrText xml:space="preserve">REF _Ref286147141 \r \h  \* MERGEFORMAT </w:instrText>
      </w:r>
      <w:r w:rsidR="00627636">
        <w:fldChar w:fldCharType="separate"/>
      </w:r>
      <w:r w:rsidRPr="009A13FC">
        <w:rPr>
          <w:rFonts w:ascii="Arial" w:hAnsi="Arial" w:cs="Arial"/>
          <w:lang w:val="en-US"/>
        </w:rPr>
        <w:t>14</w:t>
      </w:r>
      <w:r w:rsidR="00627636">
        <w:fldChar w:fldCharType="end"/>
      </w:r>
      <w:r w:rsidRPr="00B27DFF">
        <w:rPr>
          <w:rFonts w:ascii="Arial" w:hAnsi="Arial" w:cs="Arial"/>
          <w:lang w:val="en-US"/>
        </w:rPr>
        <w:t xml:space="preserve">, </w:t>
      </w:r>
      <w:r w:rsidR="00627636">
        <w:fldChar w:fldCharType="begin"/>
      </w:r>
      <w:r w:rsidR="00627636">
        <w:instrText xml:space="preserve">REF _Ref286147142 \r \h  \* MERGEFORMAT </w:instrText>
      </w:r>
      <w:r w:rsidR="00627636">
        <w:fldChar w:fldCharType="separate"/>
      </w:r>
      <w:r w:rsidRPr="009A13FC">
        <w:rPr>
          <w:rFonts w:ascii="Arial" w:hAnsi="Arial" w:cs="Arial"/>
          <w:lang w:val="en-US"/>
        </w:rPr>
        <w:t>15</w:t>
      </w:r>
      <w:r w:rsidR="00627636">
        <w:fldChar w:fldCharType="end"/>
      </w:r>
      <w:r w:rsidRPr="00B27DFF">
        <w:rPr>
          <w:rFonts w:ascii="Arial" w:hAnsi="Arial" w:cs="Arial"/>
          <w:lang w:val="en-US"/>
        </w:rPr>
        <w:t>]. In SLE patients with thrombosis and vascular aPL-related pathology, increased C4d deposition on platelets has been reported [</w:t>
      </w:r>
      <w:r w:rsidR="00627636">
        <w:fldChar w:fldCharType="begin"/>
      </w:r>
      <w:r w:rsidR="00627636">
        <w:instrText xml:space="preserve">REF _Ref160036073 \r \h  \* MERGEFORMAT </w:instrText>
      </w:r>
      <w:r w:rsidR="00627636">
        <w:fldChar w:fldCharType="separate"/>
      </w:r>
      <w:r w:rsidRPr="009A13FC">
        <w:rPr>
          <w:rFonts w:ascii="Arial" w:hAnsi="Arial" w:cs="Arial"/>
          <w:lang w:val="en-US"/>
        </w:rPr>
        <w:t>16</w:t>
      </w:r>
      <w:r w:rsidR="00627636">
        <w:fldChar w:fldCharType="end"/>
      </w:r>
      <w:r w:rsidRPr="00B27DFF">
        <w:rPr>
          <w:rFonts w:ascii="Arial" w:hAnsi="Arial" w:cs="Arial"/>
          <w:lang w:val="en-US"/>
        </w:rPr>
        <w:t>]. In SLE patients without aPL, C4d kidney deposition also correlates with thrombosis [</w:t>
      </w:r>
      <w:r w:rsidR="00627636">
        <w:fldChar w:fldCharType="begin"/>
      </w:r>
      <w:r w:rsidR="00627636">
        <w:instrText xml:space="preserve">REF _Ref205658465 \r \h  \* MERGEFORMAT </w:instrText>
      </w:r>
      <w:r w:rsidR="00627636">
        <w:fldChar w:fldCharType="separate"/>
      </w:r>
      <w:r w:rsidRPr="009A13FC">
        <w:rPr>
          <w:rFonts w:ascii="Arial" w:hAnsi="Arial" w:cs="Arial"/>
          <w:lang w:val="en-US"/>
        </w:rPr>
        <w:t>17</w:t>
      </w:r>
      <w:r w:rsidR="00627636">
        <w:fldChar w:fldCharType="end"/>
      </w:r>
      <w:r w:rsidRPr="00B27DFF">
        <w:rPr>
          <w:rFonts w:ascii="Arial" w:hAnsi="Arial" w:cs="Arial"/>
          <w:lang w:val="en-US"/>
        </w:rPr>
        <w:t>]. Therefore, complement activation might be a common mechanism of renal inflammation and thrombosis in patients with LN with or without aPL.</w:t>
      </w:r>
    </w:p>
    <w:p w:rsidR="00C51A71" w:rsidRPr="00B27DFF" w:rsidRDefault="00C51A71" w:rsidP="0085188A">
      <w:pPr>
        <w:autoSpaceDE w:val="0"/>
        <w:autoSpaceDN w:val="0"/>
        <w:adjustRightInd w:val="0"/>
        <w:spacing w:line="480" w:lineRule="auto"/>
        <w:rPr>
          <w:rFonts w:ascii="Arial" w:hAnsi="Arial" w:cs="Arial"/>
          <w:lang w:val="en-US"/>
        </w:rPr>
      </w:pPr>
      <w:r w:rsidRPr="00B27DFF">
        <w:rPr>
          <w:rFonts w:ascii="Arial" w:hAnsi="Arial" w:cs="Arial"/>
          <w:lang w:val="en-US"/>
        </w:rPr>
        <w:t>We undertook this study to investigate the potential relationship between local complement activation, macrophagic infiltration and renal microthrombosis, as well as their potential independent contribution to renal damage in a large series of SLE patients with proliferative nephritis. Our data provide evidence o</w:t>
      </w:r>
      <w:r>
        <w:rPr>
          <w:rFonts w:ascii="Arial" w:hAnsi="Arial" w:cs="Arial"/>
          <w:lang w:val="en-US"/>
        </w:rPr>
        <w:t>f</w:t>
      </w:r>
      <w:r w:rsidRPr="00B27DFF">
        <w:rPr>
          <w:rFonts w:ascii="Arial" w:hAnsi="Arial" w:cs="Arial"/>
          <w:lang w:val="en-US"/>
        </w:rPr>
        <w:t xml:space="preserve"> the relationship between these three processes but do not support an independent contribution of microthrombosis to renal damage. </w:t>
      </w:r>
    </w:p>
    <w:p w:rsidR="00C51A71" w:rsidRPr="00B27DFF" w:rsidRDefault="00C51A71" w:rsidP="002C4CB3">
      <w:pPr>
        <w:spacing w:line="480" w:lineRule="auto"/>
        <w:rPr>
          <w:rFonts w:ascii="Arial" w:hAnsi="Arial" w:cs="Arial"/>
          <w:b/>
          <w:lang w:val="en-US"/>
        </w:rPr>
      </w:pPr>
      <w:r w:rsidRPr="00B27DFF">
        <w:rPr>
          <w:rFonts w:ascii="Arial" w:hAnsi="Arial" w:cs="Arial"/>
          <w:b/>
          <w:lang w:val="en-US"/>
        </w:rPr>
        <w:br w:type="page"/>
      </w:r>
      <w:r w:rsidRPr="00B27DFF">
        <w:rPr>
          <w:rFonts w:ascii="Arial" w:hAnsi="Arial" w:cs="Arial"/>
          <w:b/>
          <w:lang w:val="en-US"/>
        </w:rPr>
        <w:lastRenderedPageBreak/>
        <w:t>METHODS</w:t>
      </w:r>
    </w:p>
    <w:p w:rsidR="00C51A71" w:rsidRPr="00B27DFF" w:rsidRDefault="00C51A71" w:rsidP="002C4CB3">
      <w:pPr>
        <w:spacing w:line="480" w:lineRule="auto"/>
        <w:rPr>
          <w:rFonts w:ascii="Arial" w:hAnsi="Arial" w:cs="Arial"/>
          <w:b/>
          <w:lang w:val="en-US"/>
        </w:rPr>
      </w:pPr>
      <w:r w:rsidRPr="00B27DFF">
        <w:rPr>
          <w:rFonts w:ascii="Arial" w:hAnsi="Arial" w:cs="Arial"/>
          <w:b/>
          <w:lang w:val="en-US"/>
        </w:rPr>
        <w:t>Patients and kidney biopsies</w:t>
      </w:r>
    </w:p>
    <w:p w:rsidR="00C51A71" w:rsidRPr="00B27DFF" w:rsidRDefault="00C51A71" w:rsidP="00BE6547">
      <w:pPr>
        <w:autoSpaceDE w:val="0"/>
        <w:autoSpaceDN w:val="0"/>
        <w:adjustRightInd w:val="0"/>
        <w:spacing w:after="240" w:line="480" w:lineRule="auto"/>
        <w:rPr>
          <w:rFonts w:ascii="Arial" w:hAnsi="Arial" w:cs="Arial"/>
          <w:lang w:val="en-US"/>
        </w:rPr>
      </w:pPr>
      <w:r w:rsidRPr="00B27DFF">
        <w:rPr>
          <w:rFonts w:ascii="Arial" w:hAnsi="Arial" w:cs="Arial"/>
          <w:lang w:val="en-US"/>
        </w:rPr>
        <w:t xml:space="preserve">From a large cohort of SLE patients followed at two University Hospitals between 1986 and 2010, we selected those with available kidney </w:t>
      </w:r>
      <w:r w:rsidRPr="00B27DFF">
        <w:rPr>
          <w:rFonts w:ascii="Arial" w:hAnsi="Arial" w:cs="Arial"/>
          <w:bCs/>
          <w:lang w:val="en-US"/>
        </w:rPr>
        <w:t>biopsy specimens</w:t>
      </w:r>
      <w:r w:rsidRPr="00B27DFF">
        <w:rPr>
          <w:rFonts w:ascii="Arial" w:hAnsi="Arial" w:cs="Arial"/>
          <w:lang w:val="en-US"/>
        </w:rPr>
        <w:t xml:space="preserve"> to perform histological and immunohistochemical studies. All patients fulfilled at least 4 criteria of the American College of Rheumatology criteria for the diagnosis of SLE [</w:t>
      </w:r>
      <w:r w:rsidR="00627636">
        <w:fldChar w:fldCharType="begin"/>
      </w:r>
      <w:r w:rsidR="00627636">
        <w:instrText xml:space="preserve"> REF _Ref299622070 \r \h  \* MERGEFORMAT </w:instrText>
      </w:r>
      <w:r w:rsidR="00627636">
        <w:fldChar w:fldCharType="separate"/>
      </w:r>
      <w:r w:rsidRPr="009A13FC">
        <w:rPr>
          <w:rFonts w:ascii="Arial" w:hAnsi="Arial" w:cs="Arial"/>
          <w:lang w:val="en-US"/>
        </w:rPr>
        <w:t>18</w:t>
      </w:r>
      <w:r w:rsidR="00627636">
        <w:fldChar w:fldCharType="end"/>
      </w:r>
      <w:r w:rsidRPr="00B27DFF">
        <w:rPr>
          <w:rFonts w:ascii="Arial" w:hAnsi="Arial" w:cs="Arial"/>
          <w:lang w:val="en-US"/>
        </w:rPr>
        <w:t>]. The study received approval by the Ethics Committee of Hospital 12 de Octubre. This study was performed on previously collected</w:t>
      </w:r>
      <w:r w:rsidRPr="00B27DFF">
        <w:rPr>
          <w:rFonts w:ascii="Arial" w:hAnsi="Arial" w:cs="Arial"/>
          <w:sz w:val="26"/>
          <w:szCs w:val="26"/>
          <w:lang w:val="en-US"/>
        </w:rPr>
        <w:t xml:space="preserve"> </w:t>
      </w:r>
      <w:r w:rsidRPr="00B27DFF">
        <w:rPr>
          <w:rFonts w:ascii="Arial" w:hAnsi="Arial" w:cs="Arial"/>
          <w:lang w:val="en-US"/>
        </w:rPr>
        <w:t>and filed pathology materials obtained after informed patient</w:t>
      </w:r>
      <w:r w:rsidRPr="00B27DFF">
        <w:rPr>
          <w:rFonts w:ascii="Arial" w:hAnsi="Arial" w:cs="Arial"/>
          <w:sz w:val="26"/>
          <w:szCs w:val="26"/>
          <w:lang w:val="en-US"/>
        </w:rPr>
        <w:t xml:space="preserve"> </w:t>
      </w:r>
      <w:r w:rsidRPr="00B27DFF">
        <w:rPr>
          <w:rFonts w:ascii="Arial" w:hAnsi="Arial" w:cs="Arial"/>
          <w:lang w:val="en-US"/>
        </w:rPr>
        <w:t>consent. Kidney biopsies had been performed for diagnostic purposes in patients with proteinuria higher than 500 mg</w:t>
      </w:r>
      <w:r>
        <w:rPr>
          <w:rFonts w:ascii="Arial" w:hAnsi="Arial" w:cs="Arial"/>
          <w:lang w:val="en-US"/>
        </w:rPr>
        <w:t>/</w:t>
      </w:r>
      <w:r w:rsidRPr="00B27DFF">
        <w:rPr>
          <w:rFonts w:ascii="Arial" w:hAnsi="Arial" w:cs="Arial"/>
          <w:lang w:val="en-US"/>
        </w:rPr>
        <w:t>da</w:t>
      </w:r>
      <w:r>
        <w:rPr>
          <w:rFonts w:ascii="Arial" w:hAnsi="Arial" w:cs="Arial"/>
          <w:lang w:val="en-US"/>
        </w:rPr>
        <w:t>y</w:t>
      </w:r>
      <w:r w:rsidRPr="00B27DFF">
        <w:rPr>
          <w:rFonts w:ascii="Arial" w:hAnsi="Arial" w:cs="Arial"/>
          <w:lang w:val="en-US"/>
        </w:rPr>
        <w:t xml:space="preserve">, abnormal urinary sediment, or elevated serum creatinine level. </w:t>
      </w:r>
      <w:r w:rsidRPr="00B27DFF">
        <w:rPr>
          <w:rFonts w:ascii="Arial" w:hAnsi="Arial" w:cs="Arial"/>
          <w:lang w:val="en-GB"/>
        </w:rPr>
        <w:t xml:space="preserve">We considered that clinicopathological correlations could be independently analysed in different episodes and therefore, </w:t>
      </w:r>
      <w:r w:rsidRPr="00B27DFF">
        <w:rPr>
          <w:rFonts w:ascii="Arial" w:hAnsi="Arial" w:cs="Arial"/>
          <w:lang w:val="en-US"/>
        </w:rPr>
        <w:t>biopsies from different episodes of the same patient were included when available. Kidney histology was evaluated and classified according to ISN/RPS classification [</w:t>
      </w:r>
      <w:r w:rsidR="00627636">
        <w:fldChar w:fldCharType="begin"/>
      </w:r>
      <w:r w:rsidR="00627636">
        <w:instrText xml:space="preserve"> REF _Ref318726336 \r \h  \* MERGEFORMAT </w:instrText>
      </w:r>
      <w:r w:rsidR="00627636">
        <w:fldChar w:fldCharType="separate"/>
      </w:r>
      <w:r w:rsidRPr="009A13FC">
        <w:rPr>
          <w:rFonts w:ascii="Arial" w:hAnsi="Arial" w:cs="Arial"/>
          <w:lang w:val="en-US"/>
        </w:rPr>
        <w:t>19</w:t>
      </w:r>
      <w:r w:rsidR="00627636">
        <w:fldChar w:fldCharType="end"/>
      </w:r>
      <w:r w:rsidRPr="00B27DFF">
        <w:rPr>
          <w:rFonts w:ascii="Arial" w:hAnsi="Arial" w:cs="Arial"/>
          <w:lang w:val="en-US"/>
        </w:rPr>
        <w:t xml:space="preserve">] by a pathologist who was blinded for patients clinical and IHC data. Haematoxylin-eosin and </w:t>
      </w:r>
      <w:r w:rsidRPr="00B27DFF">
        <w:rPr>
          <w:rFonts w:ascii="Arial" w:hAnsi="Arial" w:cs="Arial"/>
          <w:color w:val="231F20"/>
          <w:lang w:val="en-US"/>
        </w:rPr>
        <w:t>phosphotungstic acid–haematoxylin (PAS</w:t>
      </w:r>
      <w:r w:rsidRPr="00B27DFF">
        <w:rPr>
          <w:rFonts w:ascii="Arial" w:hAnsi="Arial" w:cs="Arial"/>
          <w:lang w:val="en-US"/>
        </w:rPr>
        <w:t xml:space="preserve">) stained sections were evaluated. The whole series included 86 patients. In total, 101 histological samples were analyzed. Among them, we selected 65 samples (64%) with proliferative nephritis (ISN/RPS types II, III and IV) from 58 patients for further study. Their demographic, clinical, laboratory and pathology characteristics before and at renal biopsy are detailed in Table 1. </w:t>
      </w:r>
    </w:p>
    <w:p w:rsidR="00C51A71" w:rsidRPr="00B27DFF" w:rsidRDefault="00C51A71" w:rsidP="00EE6F16">
      <w:pPr>
        <w:autoSpaceDE w:val="0"/>
        <w:autoSpaceDN w:val="0"/>
        <w:adjustRightInd w:val="0"/>
        <w:spacing w:line="480" w:lineRule="auto"/>
        <w:rPr>
          <w:rFonts w:ascii="Arial" w:hAnsi="Arial" w:cs="Arial"/>
          <w:lang w:val="en-GB"/>
        </w:rPr>
      </w:pPr>
      <w:r w:rsidRPr="00B27DFF">
        <w:rPr>
          <w:rFonts w:ascii="Arial" w:hAnsi="Arial" w:cs="Arial"/>
          <w:lang w:val="en-US"/>
        </w:rPr>
        <w:t>APS was diagnosed according to the Sapporo criteria [</w:t>
      </w:r>
      <w:r w:rsidR="00627636">
        <w:fldChar w:fldCharType="begin"/>
      </w:r>
      <w:r w:rsidR="00627636">
        <w:instrText xml:space="preserve"> REF _Ref318731406 \r \h  \* MERGEFORMAT </w:instrText>
      </w:r>
      <w:r w:rsidR="00627636">
        <w:fldChar w:fldCharType="separate"/>
      </w:r>
      <w:r w:rsidRPr="009A13FC">
        <w:rPr>
          <w:rFonts w:ascii="Arial" w:hAnsi="Arial" w:cs="Arial"/>
          <w:lang w:val="en-US"/>
        </w:rPr>
        <w:t>20</w:t>
      </w:r>
      <w:r w:rsidR="00627636">
        <w:fldChar w:fldCharType="end"/>
      </w:r>
      <w:r w:rsidRPr="00B27DFF">
        <w:rPr>
          <w:rFonts w:ascii="Arial" w:hAnsi="Arial" w:cs="Arial"/>
          <w:lang w:val="en-US"/>
        </w:rPr>
        <w:t xml:space="preserve">]. </w:t>
      </w:r>
      <w:r w:rsidRPr="00B27DFF">
        <w:rPr>
          <w:rFonts w:ascii="Arial" w:hAnsi="Arial" w:cs="Arial"/>
          <w:lang w:val="en-GB"/>
        </w:rPr>
        <w:t xml:space="preserve">Definite APS was considered if at least one of the following clinical and laboratory criteria were satisfied. Clinical criteria included the presence of either vascular thrombosis o </w:t>
      </w:r>
      <w:r w:rsidRPr="00B27DFF">
        <w:rPr>
          <w:rFonts w:ascii="Arial" w:hAnsi="Arial" w:cs="Arial"/>
          <w:lang w:val="en-GB"/>
        </w:rPr>
        <w:lastRenderedPageBreak/>
        <w:t>pregnancy morbidity. Laboratory criteria included the presence of aPL on two or more occasions at least 6 weeks apart, as demonstrated by one or more of the following: IgG and/or IgM anticardiolipin (aCL) antibodies in moderate or high titer and lupus anticoagulant (LA) activity. LA was detected following updated guidelines of the Subcommittee for the standardisation of lupus anticoagulant of the International Society of Thrombosis and Haemostasis [</w:t>
      </w:r>
      <w:r w:rsidR="00627636">
        <w:fldChar w:fldCharType="begin"/>
      </w:r>
      <w:r w:rsidR="00627636">
        <w:instrText xml:space="preserve"> REF _Ref318727017 \r \h  \* MERGEFORMAT </w:instrText>
      </w:r>
      <w:r w:rsidR="00627636">
        <w:fldChar w:fldCharType="separate"/>
      </w:r>
      <w:r w:rsidRPr="009A13FC">
        <w:rPr>
          <w:rFonts w:ascii="Arial" w:hAnsi="Arial" w:cs="Arial"/>
          <w:lang w:val="en-GB"/>
        </w:rPr>
        <w:t>21</w:t>
      </w:r>
      <w:r w:rsidR="00627636">
        <w:fldChar w:fldCharType="end"/>
      </w:r>
      <w:r w:rsidRPr="00B27DFF">
        <w:rPr>
          <w:rFonts w:ascii="Arial" w:hAnsi="Arial" w:cs="Arial"/>
          <w:lang w:val="en-GB"/>
        </w:rPr>
        <w:t>], whereas aCL were detected by ELISA following manufacturer’s instructions (Quanta Lite ACA IgG III and IgM III, Inova Diagnostics Inc, San Diego CA).</w:t>
      </w:r>
    </w:p>
    <w:p w:rsidR="00C51A71" w:rsidRPr="00B27DFF" w:rsidRDefault="00C51A71" w:rsidP="00C25AEB">
      <w:pPr>
        <w:autoSpaceDE w:val="0"/>
        <w:autoSpaceDN w:val="0"/>
        <w:adjustRightInd w:val="0"/>
        <w:spacing w:line="480" w:lineRule="auto"/>
        <w:rPr>
          <w:rFonts w:ascii="Arial" w:hAnsi="Arial" w:cs="Arial"/>
          <w:lang w:val="en-US"/>
        </w:rPr>
      </w:pPr>
      <w:r w:rsidRPr="00B27DFF">
        <w:rPr>
          <w:rFonts w:ascii="Arial" w:hAnsi="Arial" w:cs="Arial"/>
          <w:lang w:val="en-US"/>
        </w:rPr>
        <w:t>The following demographic data were recorded:  sex, age, age at SLE diagnosis, age at renal disease, and time from kidney biopsy to the end of follow up. Clinical and laboratory SLE data, including the disease activity index SLEDAI [</w:t>
      </w:r>
      <w:r w:rsidR="00627636">
        <w:fldChar w:fldCharType="begin"/>
      </w:r>
      <w:r w:rsidR="00627636">
        <w:instrText xml:space="preserve"> REF _Ref318731550 \r \h  \* MERGEFORMAT </w:instrText>
      </w:r>
      <w:r w:rsidR="00627636">
        <w:fldChar w:fldCharType="separate"/>
      </w:r>
      <w:r w:rsidRPr="009A13FC">
        <w:rPr>
          <w:rFonts w:ascii="Arial" w:hAnsi="Arial" w:cs="Arial"/>
          <w:lang w:val="en-US"/>
        </w:rPr>
        <w:t>22</w:t>
      </w:r>
      <w:r w:rsidR="00627636">
        <w:fldChar w:fldCharType="end"/>
      </w:r>
      <w:r w:rsidRPr="00B27DFF">
        <w:rPr>
          <w:rFonts w:ascii="Arial" w:hAnsi="Arial" w:cs="Arial"/>
          <w:lang w:val="en-US"/>
        </w:rPr>
        <w:t>], cardiovascular risk factors (high blood pressure [HBP], diabetes, hypercholesterolemia and/or hypertriglyceridemia, smoking, and hormonal contraception), APS criteria, and previous therapy were recorded.</w:t>
      </w:r>
    </w:p>
    <w:p w:rsidR="00C51A71" w:rsidRPr="00E20C88" w:rsidRDefault="00C51A71" w:rsidP="00C25AEB">
      <w:pPr>
        <w:autoSpaceDE w:val="0"/>
        <w:autoSpaceDN w:val="0"/>
        <w:adjustRightInd w:val="0"/>
        <w:spacing w:line="480" w:lineRule="auto"/>
        <w:rPr>
          <w:rFonts w:ascii="Arial" w:hAnsi="Arial" w:cs="Arial"/>
          <w:lang w:val="en-US"/>
        </w:rPr>
      </w:pPr>
      <w:r w:rsidRPr="00B27DFF">
        <w:rPr>
          <w:rFonts w:ascii="Arial" w:hAnsi="Arial" w:cs="Arial"/>
          <w:lang w:val="en-US"/>
        </w:rPr>
        <w:t>Renal manifestations at biopsy and during the follow-up, specific therapy, response and time to response, relapse and time to relapse were analyzed. Renal manifestations included HBP, renal failure defined as serum creatinine ≥ 1.5 mg/dl and/or creatinine clearance ≤ 65 ml/min, 24 hours prote</w:t>
      </w:r>
      <w:r>
        <w:rPr>
          <w:rFonts w:ascii="Arial" w:hAnsi="Arial" w:cs="Arial"/>
          <w:lang w:val="en-US"/>
        </w:rPr>
        <w:t>inuria, hematuria, leukocyturia</w:t>
      </w:r>
      <w:r w:rsidRPr="00B27DFF">
        <w:rPr>
          <w:rFonts w:ascii="Arial" w:hAnsi="Arial" w:cs="Arial"/>
          <w:lang w:val="en-US"/>
        </w:rPr>
        <w:t xml:space="preserve"> </w:t>
      </w:r>
      <w:r>
        <w:rPr>
          <w:rFonts w:ascii="Arial" w:hAnsi="Arial" w:cs="Arial"/>
          <w:lang w:val="en-US"/>
        </w:rPr>
        <w:t>and</w:t>
      </w:r>
      <w:r w:rsidRPr="00B27DFF">
        <w:rPr>
          <w:rFonts w:ascii="Arial" w:hAnsi="Arial" w:cs="Arial"/>
          <w:lang w:val="en-US"/>
        </w:rPr>
        <w:t xml:space="preserve"> cellular casts. Complete clinical response to therapy was defined by 24 hours proteinuria lower than 500 mg, normal urine sediment and normal renal function (serum creatinine &lt;1.5 mg/dl and creatinine clearance &gt;75 ml/min). Partial response to treatment was defined by improvement in all these parameters not reaching complete response criteria. The presence of aPL (LA, IgG or IgM aCL) and APS criteria prior </w:t>
      </w:r>
      <w:r>
        <w:rPr>
          <w:rFonts w:ascii="Arial" w:hAnsi="Arial" w:cs="Arial"/>
          <w:lang w:val="en-US"/>
        </w:rPr>
        <w:t>and</w:t>
      </w:r>
      <w:r w:rsidRPr="00B27DFF">
        <w:rPr>
          <w:rFonts w:ascii="Arial" w:hAnsi="Arial" w:cs="Arial"/>
          <w:lang w:val="en-US"/>
        </w:rPr>
        <w:t xml:space="preserve"> after kidney disease was also recorded.</w:t>
      </w:r>
    </w:p>
    <w:p w:rsidR="00C51A71" w:rsidRPr="00B27DFF" w:rsidRDefault="00C51A71" w:rsidP="00924AF5">
      <w:pPr>
        <w:autoSpaceDE w:val="0"/>
        <w:autoSpaceDN w:val="0"/>
        <w:adjustRightInd w:val="0"/>
        <w:spacing w:line="480" w:lineRule="auto"/>
        <w:rPr>
          <w:rFonts w:ascii="Arial" w:hAnsi="Arial" w:cs="Arial"/>
          <w:b/>
          <w:lang w:val="en-US"/>
        </w:rPr>
      </w:pPr>
      <w:r w:rsidRPr="00B27DFF">
        <w:rPr>
          <w:rFonts w:ascii="Arial" w:hAnsi="Arial" w:cs="Arial"/>
          <w:b/>
          <w:lang w:val="en-US"/>
        </w:rPr>
        <w:lastRenderedPageBreak/>
        <w:t xml:space="preserve">Immunohistochemical detection of CD61-positive platelet microthrombi, CD68-positive macrophages, and activated complement factor C4d </w:t>
      </w:r>
    </w:p>
    <w:p w:rsidR="00C51A71" w:rsidRPr="00B27DFF" w:rsidRDefault="00C51A71" w:rsidP="00924AF5">
      <w:pPr>
        <w:autoSpaceDE w:val="0"/>
        <w:autoSpaceDN w:val="0"/>
        <w:adjustRightInd w:val="0"/>
        <w:spacing w:line="480" w:lineRule="auto"/>
        <w:rPr>
          <w:rFonts w:ascii="Arial" w:hAnsi="Arial" w:cs="Arial"/>
          <w:lang w:val="en-US"/>
        </w:rPr>
      </w:pPr>
      <w:r w:rsidRPr="00B27DFF">
        <w:rPr>
          <w:rFonts w:ascii="Arial" w:hAnsi="Arial" w:cs="Arial"/>
          <w:lang w:val="en-US"/>
        </w:rPr>
        <w:t xml:space="preserve">Immunohistochemical studies were performed on paraffin embedded kidney sections. Immunostaining with either monoclonal mouse anti-human CD68 (CD68, clone KP1, </w:t>
      </w:r>
      <w:bookmarkStart w:id="3" w:name="OLE_LINK3"/>
      <w:bookmarkStart w:id="4" w:name="OLE_LINK4"/>
      <w:r w:rsidRPr="00B27DFF">
        <w:rPr>
          <w:rFonts w:ascii="Arial" w:hAnsi="Arial" w:cs="Arial"/>
          <w:bCs/>
          <w:lang w:val="en-US"/>
        </w:rPr>
        <w:t xml:space="preserve">DakoCytomation Denmark A/S, </w:t>
      </w:r>
      <w:bookmarkEnd w:id="3"/>
      <w:bookmarkEnd w:id="4"/>
      <w:r w:rsidRPr="00B27DFF">
        <w:rPr>
          <w:rFonts w:ascii="Arial" w:hAnsi="Arial" w:cs="Arial"/>
          <w:bCs/>
          <w:lang w:val="en-US"/>
        </w:rPr>
        <w:t>Denmark</w:t>
      </w:r>
      <w:r w:rsidRPr="00B27DFF">
        <w:rPr>
          <w:rFonts w:ascii="Arial" w:hAnsi="Arial" w:cs="Arial"/>
          <w:lang w:val="en-US"/>
        </w:rPr>
        <w:t>), monoclonal mouse anti-human gpIIIa (CD61, sz21, Immunotech, Marseille, France), or polyclonal rabbit anti-human C4d (</w:t>
      </w:r>
      <w:r w:rsidRPr="00B27DFF">
        <w:rPr>
          <w:rFonts w:ascii="Arial" w:hAnsi="Arial" w:cs="Arial"/>
          <w:bCs/>
          <w:lang w:val="en-US"/>
        </w:rPr>
        <w:t xml:space="preserve">C4dpAb, </w:t>
      </w:r>
      <w:r w:rsidRPr="00B27DFF">
        <w:rPr>
          <w:rFonts w:ascii="Arial" w:hAnsi="Arial" w:cs="Arial"/>
          <w:lang w:val="en-US"/>
        </w:rPr>
        <w:t>Biomedica Medizinprodukte GmbH &amp; Co KG, Vienna, Austria) were performed. Renal sections from patients with primary thrombotic microangiopathy (TMA) were used as positive controls for CD61. Renal sections from a normal kidney were used as negative controls.</w:t>
      </w:r>
    </w:p>
    <w:p w:rsidR="00C51A71" w:rsidRPr="00B27DFF" w:rsidRDefault="00C51A71" w:rsidP="00924AF5">
      <w:pPr>
        <w:autoSpaceDE w:val="0"/>
        <w:autoSpaceDN w:val="0"/>
        <w:adjustRightInd w:val="0"/>
        <w:spacing w:line="480" w:lineRule="auto"/>
        <w:rPr>
          <w:rFonts w:ascii="Arial" w:hAnsi="Arial" w:cs="Arial"/>
          <w:lang w:val="en-US"/>
        </w:rPr>
      </w:pPr>
      <w:r w:rsidRPr="00B27DFF">
        <w:rPr>
          <w:rFonts w:ascii="Arial" w:hAnsi="Arial" w:cs="Arial"/>
          <w:lang w:val="en-US"/>
        </w:rPr>
        <w:t xml:space="preserve">Sections were deparaffinized and pretreated with 10 </w:t>
      </w:r>
      <w:r w:rsidRPr="00B27DFF">
        <w:rPr>
          <w:rFonts w:ascii="Arial" w:hAnsi="Arial" w:cs="Arial"/>
          <w:lang w:val="en-US"/>
        </w:rPr>
        <w:sym w:font="Symbol" w:char="F06D"/>
      </w:r>
      <w:r w:rsidRPr="00B27DFF">
        <w:rPr>
          <w:rFonts w:ascii="Arial" w:hAnsi="Arial" w:cs="Arial"/>
          <w:lang w:val="en-US"/>
        </w:rPr>
        <w:t>g/ml proteinase K (P6556, Sigma-Aldrich Quimica SA, Madrid, Spain) in the case of CD61 detection, or boiled in 1mM EDTA or citrate buffer 10 mM pH6 for CD68 and C4d detection, respectively. The slides were incubated overnight at 4ºC with primary antibodies. Immunohistochemical staining was performed with a peroxidase avidin-biotin complex technique (SK-4100, Vector Laboratories Inc., Burlingame, CA). Diaminobenzidine was used as chromogen substrate and sections were counterstained with haematoxylin.</w:t>
      </w:r>
    </w:p>
    <w:p w:rsidR="00C51A71" w:rsidRPr="00B27DFF" w:rsidRDefault="00C51A71" w:rsidP="008D1653">
      <w:pPr>
        <w:autoSpaceDE w:val="0"/>
        <w:autoSpaceDN w:val="0"/>
        <w:adjustRightInd w:val="0"/>
        <w:spacing w:line="480" w:lineRule="auto"/>
        <w:rPr>
          <w:rFonts w:ascii="Arial" w:hAnsi="Arial" w:cs="Arial"/>
          <w:lang w:val="en-US"/>
        </w:rPr>
      </w:pPr>
      <w:r w:rsidRPr="00B27DFF">
        <w:rPr>
          <w:rFonts w:ascii="Arial" w:hAnsi="Arial" w:cs="Arial"/>
          <w:lang w:val="en-US"/>
        </w:rPr>
        <w:t>Glomerular and extraglomerular CD68 and C4d staining was quantified using the public domain image processing program, Image J software [23]</w:t>
      </w:r>
      <w:r w:rsidRPr="00B27DFF">
        <w:rPr>
          <w:rFonts w:ascii="Arial" w:hAnsi="Arial" w:cs="Arial"/>
          <w:lang w:val="en-GB"/>
        </w:rPr>
        <w:t>.</w:t>
      </w:r>
      <w:r w:rsidRPr="00B27DFF">
        <w:rPr>
          <w:rFonts w:ascii="Arial" w:hAnsi="Arial" w:cs="Arial"/>
          <w:lang w:val="en-US"/>
        </w:rPr>
        <w:t xml:space="preserve"> Briefly, percentage of stained area in 10 glomeruli and 10 extraglomerular areas randomly selected from each sample was calculated. Two blinded and independent observers analyzed all slides.  </w:t>
      </w:r>
    </w:p>
    <w:p w:rsidR="00C51A71" w:rsidRPr="00B27DFF" w:rsidRDefault="00C51A71" w:rsidP="00924AF5">
      <w:pPr>
        <w:spacing w:line="480" w:lineRule="auto"/>
        <w:rPr>
          <w:rFonts w:ascii="Arial" w:hAnsi="Arial" w:cs="Arial"/>
          <w:b/>
          <w:lang w:val="en-US"/>
        </w:rPr>
      </w:pPr>
      <w:r w:rsidRPr="00B27DFF">
        <w:rPr>
          <w:rFonts w:ascii="Arial" w:hAnsi="Arial" w:cs="Arial"/>
          <w:b/>
          <w:lang w:val="en-US"/>
        </w:rPr>
        <w:t>Statistical analysis</w:t>
      </w:r>
    </w:p>
    <w:p w:rsidR="00C51A71" w:rsidRPr="00B27DFF" w:rsidRDefault="00C51A71" w:rsidP="00924AF5">
      <w:pPr>
        <w:autoSpaceDE w:val="0"/>
        <w:autoSpaceDN w:val="0"/>
        <w:adjustRightInd w:val="0"/>
        <w:spacing w:line="480" w:lineRule="auto"/>
        <w:rPr>
          <w:rFonts w:ascii="Arial" w:hAnsi="Arial" w:cs="Arial"/>
          <w:lang w:val="en-US"/>
        </w:rPr>
      </w:pPr>
      <w:r w:rsidRPr="00B27DFF">
        <w:rPr>
          <w:rFonts w:ascii="Arial" w:hAnsi="Arial" w:cs="Arial"/>
          <w:lang w:val="en-US"/>
        </w:rPr>
        <w:lastRenderedPageBreak/>
        <w:t xml:space="preserve">The associations between categorical variables were tested using the chi-square or Fisher’s exact test where appropriate. The odds ratios (ORs) with the corresponding 95% confidence intervals (95% CIs) were calculated. For continuous variables, the comparisons were carried out using the </w:t>
      </w:r>
      <w:r w:rsidRPr="00B27DFF">
        <w:rPr>
          <w:rFonts w:ascii="Arial" w:hAnsi="Arial" w:cs="Arial"/>
          <w:i/>
          <w:iCs/>
          <w:lang w:val="en-US"/>
        </w:rPr>
        <w:t>t</w:t>
      </w:r>
      <w:r w:rsidRPr="00B27DFF">
        <w:rPr>
          <w:rFonts w:ascii="Arial" w:hAnsi="Arial" w:cs="Arial"/>
          <w:lang w:val="en-US"/>
        </w:rPr>
        <w:t xml:space="preserve">-test for two independent samples. A Spearman’s rank correlation was used to detect correlations among different study parameters. </w:t>
      </w:r>
      <w:r w:rsidRPr="00B27DFF">
        <w:rPr>
          <w:rFonts w:ascii="Arial" w:hAnsi="Arial" w:cs="Arial"/>
          <w:i/>
          <w:iCs/>
          <w:lang w:val="en-US"/>
        </w:rPr>
        <w:t xml:space="preserve">P </w:t>
      </w:r>
      <w:r w:rsidRPr="00B27DFF">
        <w:rPr>
          <w:rFonts w:ascii="Arial" w:hAnsi="Arial" w:cs="Arial"/>
          <w:lang w:val="en-US"/>
        </w:rPr>
        <w:t xml:space="preserve">values less than 0.05 were considered significant. The analysis was performed using advanced SPSS software version 15. </w:t>
      </w:r>
    </w:p>
    <w:p w:rsidR="00C51A71" w:rsidRPr="00B27DFF" w:rsidRDefault="00C51A71" w:rsidP="00924AF5">
      <w:pPr>
        <w:autoSpaceDE w:val="0"/>
        <w:autoSpaceDN w:val="0"/>
        <w:adjustRightInd w:val="0"/>
        <w:spacing w:line="480" w:lineRule="auto"/>
        <w:rPr>
          <w:rFonts w:ascii="Arial" w:hAnsi="Arial" w:cs="Arial"/>
          <w:b/>
          <w:lang w:val="en-US"/>
        </w:rPr>
      </w:pPr>
      <w:r w:rsidRPr="00B27DFF">
        <w:rPr>
          <w:rFonts w:ascii="Arial" w:hAnsi="Arial" w:cs="Arial"/>
          <w:b/>
          <w:lang w:val="en-US"/>
        </w:rPr>
        <w:br w:type="page"/>
      </w:r>
      <w:r w:rsidRPr="00B27DFF">
        <w:rPr>
          <w:rFonts w:ascii="Arial" w:hAnsi="Arial" w:cs="Arial"/>
          <w:b/>
          <w:lang w:val="en-US"/>
        </w:rPr>
        <w:lastRenderedPageBreak/>
        <w:t>RESULTS</w:t>
      </w:r>
    </w:p>
    <w:p w:rsidR="00C51A71" w:rsidRPr="00B27DFF" w:rsidRDefault="00C51A71" w:rsidP="00E42289">
      <w:pPr>
        <w:autoSpaceDE w:val="0"/>
        <w:autoSpaceDN w:val="0"/>
        <w:adjustRightInd w:val="0"/>
        <w:spacing w:line="480" w:lineRule="auto"/>
        <w:rPr>
          <w:rFonts w:ascii="Arial" w:hAnsi="Arial" w:cs="Arial"/>
          <w:b/>
          <w:lang w:val="en-US"/>
        </w:rPr>
      </w:pPr>
      <w:r w:rsidRPr="00B27DFF">
        <w:rPr>
          <w:rFonts w:ascii="Arial" w:hAnsi="Arial" w:cs="Arial"/>
          <w:b/>
          <w:lang w:val="en-US"/>
        </w:rPr>
        <w:t>Histological and IHC detection of microthrombotic lesions, macrophagic infiltration and C4d deposition in kidney biopsies</w:t>
      </w:r>
    </w:p>
    <w:p w:rsidR="00C51A71" w:rsidRPr="00B27DFF" w:rsidRDefault="00C51A71" w:rsidP="00E42289">
      <w:pPr>
        <w:autoSpaceDE w:val="0"/>
        <w:autoSpaceDN w:val="0"/>
        <w:adjustRightInd w:val="0"/>
        <w:spacing w:line="480" w:lineRule="auto"/>
        <w:rPr>
          <w:rFonts w:ascii="Arial" w:hAnsi="Arial" w:cs="Arial"/>
          <w:lang w:val="en-US"/>
        </w:rPr>
      </w:pPr>
      <w:r w:rsidRPr="00B27DFF">
        <w:rPr>
          <w:rFonts w:ascii="Arial" w:hAnsi="Arial" w:cs="Arial"/>
          <w:lang w:val="en-US"/>
        </w:rPr>
        <w:t>In healthy, histologically normal kidney sections used as controls for IHC, CD61 positive platelet aggregates were not detected (Figure 1a). CD61-positive microthrombi were detected in 52% of the proliferative LN tissues (79% in glomerular and 62% in extraglomerular vessels) (Figure 1d, g, j).</w:t>
      </w:r>
    </w:p>
    <w:p w:rsidR="00C51A71" w:rsidRPr="00B27DFF" w:rsidRDefault="00C51A71" w:rsidP="00A65DED">
      <w:pPr>
        <w:autoSpaceDE w:val="0"/>
        <w:autoSpaceDN w:val="0"/>
        <w:adjustRightInd w:val="0"/>
        <w:spacing w:line="480" w:lineRule="auto"/>
        <w:rPr>
          <w:rFonts w:ascii="Arial" w:hAnsi="Arial" w:cs="Arial"/>
          <w:lang w:val="en-US"/>
        </w:rPr>
      </w:pPr>
      <w:r w:rsidRPr="00B27DFF">
        <w:rPr>
          <w:rFonts w:ascii="Arial" w:hAnsi="Arial" w:cs="Arial"/>
          <w:lang w:val="en-US"/>
        </w:rPr>
        <w:t>CD68-positive macrophages were identified in the mesangial area of both normal (Figure 1b) and lupus glomeruli (Figure 1e), as well as in extraglomerular areas (Figure 1h). The density of CD68-positive macrophages in both glomerular and extraglomerular areas was greatly increased in lupus patients. The mean stained area was 2.37 ± 3.02% and 0.72 ± 0.98% in glomerular and extraglomerular regions of lupus sections respectively, compared to 0.0004 ± 0.0005% and 0.0003 ± 0.0007% in normal kidney.</w:t>
      </w:r>
    </w:p>
    <w:p w:rsidR="00C51A71" w:rsidRPr="00B27DFF" w:rsidRDefault="00C51A71" w:rsidP="00E42289">
      <w:pPr>
        <w:spacing w:line="480" w:lineRule="auto"/>
        <w:rPr>
          <w:rFonts w:ascii="Arial" w:hAnsi="Arial" w:cs="Arial"/>
          <w:lang w:val="en-US"/>
        </w:rPr>
      </w:pPr>
      <w:r w:rsidRPr="00B27DFF">
        <w:rPr>
          <w:rFonts w:ascii="Arial" w:hAnsi="Arial" w:cs="Arial"/>
          <w:lang w:val="en-US"/>
        </w:rPr>
        <w:t>C4d deposition was undetectable in normal kidney sections (Figure 1c), whereas it was detected in most SLE biopsies, in either glomerular (78%) or extraglomerular (86%) regions (Figure 1f, i). The mean C4d stained glomerular and extraglomerular area were 2.76 ± 3.73% and 1.04 ± 1.32%, respectively. The main extraglomerular pattern was diffuse linear C4d deposition along peritubular capillaries (98%), although some focal arteriolar C4d staining was also found in interstitial vessels (19%) (Figure 1l).</w:t>
      </w:r>
    </w:p>
    <w:p w:rsidR="00C51A71" w:rsidRPr="00B27DFF" w:rsidRDefault="00C51A71" w:rsidP="008D1653">
      <w:pPr>
        <w:spacing w:line="480" w:lineRule="auto"/>
        <w:rPr>
          <w:rFonts w:ascii="Arial" w:hAnsi="Arial" w:cs="Arial"/>
          <w:b/>
          <w:color w:val="FF0000"/>
          <w:lang w:val="en-US"/>
        </w:rPr>
      </w:pPr>
      <w:r w:rsidRPr="00B27DFF">
        <w:rPr>
          <w:rFonts w:ascii="Arial" w:hAnsi="Arial" w:cs="Arial"/>
          <w:b/>
          <w:lang w:val="en-US"/>
        </w:rPr>
        <w:t xml:space="preserve">Clinical and laboratory correlations of platelet </w:t>
      </w:r>
      <w:r>
        <w:rPr>
          <w:rFonts w:ascii="Arial" w:hAnsi="Arial" w:cs="Arial"/>
          <w:b/>
          <w:lang w:val="en-US"/>
        </w:rPr>
        <w:t>aggregates</w:t>
      </w:r>
      <w:r w:rsidRPr="00B27DFF">
        <w:rPr>
          <w:rFonts w:ascii="Arial" w:hAnsi="Arial" w:cs="Arial"/>
          <w:b/>
          <w:lang w:val="en-US"/>
        </w:rPr>
        <w:t>, macrophage infiltration and C4d deposition</w:t>
      </w:r>
    </w:p>
    <w:p w:rsidR="00C51A71" w:rsidRPr="00B27DFF" w:rsidRDefault="00C51A71" w:rsidP="00A370DC">
      <w:pPr>
        <w:autoSpaceDE w:val="0"/>
        <w:autoSpaceDN w:val="0"/>
        <w:adjustRightInd w:val="0"/>
        <w:spacing w:line="480" w:lineRule="auto"/>
        <w:rPr>
          <w:rFonts w:ascii="Arial" w:hAnsi="Arial" w:cs="Arial"/>
          <w:lang w:val="en-US"/>
        </w:rPr>
      </w:pPr>
      <w:r w:rsidRPr="00B27DFF">
        <w:rPr>
          <w:rFonts w:ascii="Arial" w:hAnsi="Arial" w:cs="Arial"/>
          <w:lang w:val="en-US"/>
        </w:rPr>
        <w:t xml:space="preserve">Patients with glomerular CD61-positive microthrombi had significantly higher glomerular (p=0.03) macrophage infiltration. C4d extraglomerular deposition </w:t>
      </w:r>
      <w:r w:rsidRPr="00B27DFF">
        <w:rPr>
          <w:rFonts w:ascii="Arial" w:hAnsi="Arial" w:cs="Arial"/>
          <w:lang w:val="en-US"/>
        </w:rPr>
        <w:lastRenderedPageBreak/>
        <w:t>positively correlated with extraglomerular macrophage infiltration (r=0.4; p=0.004), but mean C4d deposition was similar in patients with or without CD61-positive microthrombi.</w:t>
      </w:r>
    </w:p>
    <w:p w:rsidR="00C51A71" w:rsidRPr="00B27DFF" w:rsidRDefault="00C51A71" w:rsidP="00FB450A">
      <w:pPr>
        <w:autoSpaceDE w:val="0"/>
        <w:autoSpaceDN w:val="0"/>
        <w:adjustRightInd w:val="0"/>
        <w:spacing w:line="480" w:lineRule="auto"/>
        <w:rPr>
          <w:rFonts w:ascii="Arial" w:hAnsi="Arial" w:cs="Arial"/>
          <w:lang w:val="en-US"/>
        </w:rPr>
      </w:pPr>
      <w:r w:rsidRPr="00B27DFF">
        <w:rPr>
          <w:rFonts w:ascii="Arial" w:hAnsi="Arial" w:cs="Arial"/>
          <w:lang w:val="en-US"/>
        </w:rPr>
        <w:t>The presence of platelet aggregates was significantly higher in patients with positive aPL (62% vs 42%; OR 4.4; CI 1.5-12.8; p=0.005), but it was similar in patient groups with or without definite APS or with or without previous cardiovascular risk factors. No correlations were found between microthrombosis and SLE or renal clinical data, including positive anti-dsDNA antibodies, low complement levels, SLEDAI, 24 h proteinuria, serum creatinine, creatinine clearance, or the presence of hematuria, leukocyturia, cellular casts, HBP, or renal failure.</w:t>
      </w:r>
    </w:p>
    <w:p w:rsidR="00C51A71" w:rsidRPr="00B27DFF" w:rsidRDefault="00C51A71" w:rsidP="00FB450A">
      <w:pPr>
        <w:autoSpaceDE w:val="0"/>
        <w:autoSpaceDN w:val="0"/>
        <w:adjustRightInd w:val="0"/>
        <w:spacing w:line="480" w:lineRule="auto"/>
        <w:rPr>
          <w:rFonts w:ascii="Arial" w:hAnsi="Arial" w:cs="Arial"/>
          <w:lang w:val="en-US"/>
        </w:rPr>
      </w:pPr>
      <w:r w:rsidRPr="00B27DFF">
        <w:rPr>
          <w:rFonts w:ascii="Arial" w:hAnsi="Arial" w:cs="Arial"/>
          <w:lang w:val="en-US"/>
        </w:rPr>
        <w:t>Both glomerular and extraglomerular macrophagic infiltrations positively correlated with SLE manifestations. Glomerular macrophagic infiltration correlated with SLEDAI (r=0.5; p&lt;0.001) and was significantly higher in patients with positive anti-dsDNA antibodies (p&lt;0.001) or low complement levels (p&lt;0.001) at biopsy. Regarding renal manifestations, glomerular macrophagic infiltration positively correlated with 24 h proteinuria (r=0.4; p=0.002) and was associated to the presence of microhematuria (p&lt;0.001), and cellular casts (p=0.001). Extraglomerular macrophage infiltration correlated with SLEDAI (r=0.3; p=0.01) but was not associated to the presence of anti-dsDNA antibodies or low complement levels. Regarding renal manifestations, extraglomerular macrophage infiltration correlated with 24 h proteinuria (r=0.4; p=0.001) but not with other analytical parameters. No correlation was found between glomerular or extraglomerular macrophage infiltration and renal function defined by creatinine clearance at biopsy.</w:t>
      </w:r>
    </w:p>
    <w:p w:rsidR="00C51A71" w:rsidRPr="00B27DFF" w:rsidRDefault="00C51A71" w:rsidP="00EA52D8">
      <w:pPr>
        <w:autoSpaceDE w:val="0"/>
        <w:autoSpaceDN w:val="0"/>
        <w:adjustRightInd w:val="0"/>
        <w:spacing w:line="480" w:lineRule="auto"/>
        <w:rPr>
          <w:rFonts w:ascii="Arial" w:hAnsi="Arial" w:cs="Arial"/>
          <w:lang w:val="en-US"/>
        </w:rPr>
      </w:pPr>
      <w:r w:rsidRPr="00B27DFF">
        <w:rPr>
          <w:rFonts w:ascii="Arial" w:hAnsi="Arial" w:cs="Arial"/>
          <w:lang w:val="en-US"/>
        </w:rPr>
        <w:lastRenderedPageBreak/>
        <w:t xml:space="preserve">Extraglomerular C4d deposition was significantly higher in patients with positive anti-dsDNA antibodies (p=0.01) and correlated with SLEDAI (r=0.4; p=0.003) and 24h proteinuria (r=0.3; p=0.03). No differences in extraglomerular C4d deposition were found when we considered other clinical or laboratory parameters of renal function and SLE activity. Glomerular C4d deposition did not show any specific trend stratified by all clinical and laboratory variables. Clinical and laboratory correlations of platelet aggregates, macrophage infiltration and C4d deposition are detailed in Table 2. </w:t>
      </w:r>
    </w:p>
    <w:p w:rsidR="00C51A71" w:rsidRPr="00B27DFF" w:rsidRDefault="00C51A71" w:rsidP="009D662C">
      <w:pPr>
        <w:autoSpaceDE w:val="0"/>
        <w:autoSpaceDN w:val="0"/>
        <w:adjustRightInd w:val="0"/>
        <w:spacing w:line="480" w:lineRule="auto"/>
        <w:rPr>
          <w:rFonts w:ascii="Arial" w:hAnsi="Arial" w:cs="Arial"/>
          <w:lang w:val="en-GB"/>
        </w:rPr>
      </w:pPr>
      <w:r w:rsidRPr="00B27DFF">
        <w:rPr>
          <w:rFonts w:ascii="Arial" w:hAnsi="Arial" w:cs="Arial"/>
          <w:lang w:val="en-US"/>
        </w:rPr>
        <w:t xml:space="preserve">As initial therapy for LN, all patients received high doses of steroids (≥ 1 mg/Kg/day) as well as one of the following immunosuppressive drugs: cyclophosphamide (79%), mycophenolate mofetil (17.7%), or azathioprine (1.6%). In addition, 54.2% received aspirin and 5.1% oral anticoagulants. Most patients (77%) had been treated with steroids before LN development for other manifestations at variable doses (Table 1). </w:t>
      </w:r>
      <w:r w:rsidRPr="00B27DFF">
        <w:rPr>
          <w:rFonts w:ascii="Arial" w:hAnsi="Arial" w:cs="Arial"/>
          <w:lang w:val="en-GB"/>
        </w:rPr>
        <w:t xml:space="preserve">Twenty patients were treated with low dose aspirin and two patients were on oral anticoagulation before LN development. In most patients treated with aspirin, indication was positive LA and/or aCL antibodies (n = 12). Some patients received aspirin for HBP. The two patients on oral anticoagulation had previous venous or arterial thrombosis. Different groups of patients stratified by aspirin or steroid dose did not show any trend towards a different expression of LN or platelet aggregates incidence, or differences in the long term outcomes. </w:t>
      </w:r>
      <w:r w:rsidRPr="00B27DFF">
        <w:rPr>
          <w:rFonts w:ascii="Arial" w:hAnsi="Arial" w:cs="Arial"/>
          <w:lang w:val="en-US"/>
        </w:rPr>
        <w:t xml:space="preserve">Fifty patients (83.3 %) responded to treatment and the mean time to partial or complete response was of 15.2 months (range 1-101). To analyze the potential long-term effect of immunohistochemical findings on clinical and renal outcomes, we selected only patients homogenously treated with intravenous cyclophosphamide according </w:t>
      </w:r>
      <w:r w:rsidRPr="00B27DFF">
        <w:rPr>
          <w:rFonts w:ascii="Arial" w:hAnsi="Arial" w:cs="Arial"/>
          <w:lang w:val="en-US"/>
        </w:rPr>
        <w:lastRenderedPageBreak/>
        <w:t>to NIH protocol after excluding repeated episodes of LN [</w:t>
      </w:r>
      <w:r w:rsidR="00627636">
        <w:fldChar w:fldCharType="begin"/>
      </w:r>
      <w:r w:rsidR="00627636">
        <w:instrText xml:space="preserve"> REF _Ref318727773 \r \h  \* MERGEFORMAT </w:instrText>
      </w:r>
      <w:r w:rsidR="00627636">
        <w:fldChar w:fldCharType="separate"/>
      </w:r>
      <w:r w:rsidRPr="009A13FC">
        <w:rPr>
          <w:rFonts w:ascii="Arial" w:hAnsi="Arial" w:cs="Arial"/>
          <w:lang w:val="en-US"/>
        </w:rPr>
        <w:t>24</w:t>
      </w:r>
      <w:r w:rsidR="00627636">
        <w:fldChar w:fldCharType="end"/>
      </w:r>
      <w:r w:rsidRPr="00B27DFF">
        <w:rPr>
          <w:rFonts w:ascii="Arial" w:hAnsi="Arial" w:cs="Arial"/>
          <w:lang w:val="en-US"/>
        </w:rPr>
        <w:t xml:space="preserve">]. Briefly, induction therapy consisted of six monthly boluses of intravenous cyclophosphamide (0.5 to 1 g per square meter, further adjusted by leukocyte count) and glucocorticoids. After six months, patients were treated with intravenous cyclophosphamide boluses every three months and for at least 12 months after remission or stability. Maintenance therapy was variable and according to clinical practice, included azathioprine, mycophenolate mofetil or antimalarials with glucocorticoids. Taking into account only those patients (n = 43) who had received the same induction treatment, we did not found significant correlations between the presence of CD61+ microthrombi, macrophagic infiltration or C4d deposition, and clinical outcomes including: percentage of response to therapy, mean time to response, percentage of relapse, and long-term renal function. </w:t>
      </w:r>
    </w:p>
    <w:p w:rsidR="00C51A71" w:rsidRPr="00B27DFF" w:rsidRDefault="00C51A71" w:rsidP="002C4CB3">
      <w:pPr>
        <w:autoSpaceDE w:val="0"/>
        <w:autoSpaceDN w:val="0"/>
        <w:adjustRightInd w:val="0"/>
        <w:spacing w:line="480" w:lineRule="auto"/>
        <w:rPr>
          <w:rFonts w:ascii="Arial" w:hAnsi="Arial" w:cs="Arial"/>
          <w:b/>
          <w:lang w:val="en-US"/>
        </w:rPr>
      </w:pPr>
      <w:r w:rsidRPr="00B27DFF">
        <w:rPr>
          <w:rFonts w:ascii="Arial" w:hAnsi="Arial" w:cs="Arial"/>
          <w:b/>
          <w:lang w:val="en-US"/>
        </w:rPr>
        <w:br w:type="page"/>
      </w:r>
      <w:r w:rsidRPr="00B27DFF">
        <w:rPr>
          <w:rFonts w:ascii="Arial" w:hAnsi="Arial" w:cs="Arial"/>
          <w:b/>
          <w:lang w:val="en-US"/>
        </w:rPr>
        <w:lastRenderedPageBreak/>
        <w:t>DISCUSSION</w:t>
      </w:r>
    </w:p>
    <w:p w:rsidR="00C51A71" w:rsidRPr="00B27DFF" w:rsidRDefault="00C51A71" w:rsidP="00CD1050">
      <w:pPr>
        <w:autoSpaceDE w:val="0"/>
        <w:autoSpaceDN w:val="0"/>
        <w:adjustRightInd w:val="0"/>
        <w:spacing w:line="480" w:lineRule="auto"/>
        <w:rPr>
          <w:rFonts w:ascii="Arial" w:hAnsi="Arial" w:cs="Arial"/>
          <w:bCs/>
          <w:lang w:val="en-US"/>
        </w:rPr>
      </w:pPr>
      <w:r w:rsidRPr="00B27DFF">
        <w:rPr>
          <w:rFonts w:ascii="Arial" w:hAnsi="Arial" w:cs="Arial"/>
          <w:lang w:val="en-US"/>
        </w:rPr>
        <w:t>These data show that renal microthrombosis is highly prevalent in LN, affecting half of the patients with proliferative LN. It is more prevalent in patients with aPL, consistently with previous reports [</w:t>
      </w:r>
      <w:r w:rsidR="00627636">
        <w:fldChar w:fldCharType="begin"/>
      </w:r>
      <w:r w:rsidR="00627636">
        <w:instrText xml:space="preserve"> REF _Ref286146523 \</w:instrText>
      </w:r>
      <w:r w:rsidR="00627636">
        <w:instrText xml:space="preserve">r \h  \* MERGEFORMAT </w:instrText>
      </w:r>
      <w:r w:rsidR="00627636">
        <w:fldChar w:fldCharType="separate"/>
      </w:r>
      <w:r w:rsidRPr="009A13FC">
        <w:rPr>
          <w:rFonts w:ascii="Arial" w:hAnsi="Arial" w:cs="Arial"/>
          <w:lang w:val="en-US"/>
        </w:rPr>
        <w:t>13</w:t>
      </w:r>
      <w:r w:rsidR="00627636">
        <w:fldChar w:fldCharType="end"/>
      </w:r>
      <w:r w:rsidRPr="00B27DFF">
        <w:rPr>
          <w:rFonts w:ascii="Arial" w:hAnsi="Arial" w:cs="Arial"/>
          <w:lang w:val="en-US"/>
        </w:rPr>
        <w:t xml:space="preserve">]. Moreover, microthrombosis correlates with higher macrophagic infiltration as a marker of inflammatory activity but not with C4d deposition. However, only macrophagic infiltration showed a correlation with SLE renal activity (proteinuria and active sediment) and neither the presence of CD61+ microthrombi or C4d deposition correlated with LN severity or outcome. Although the mechanisms of thrombosis may be different, previous studies point to complement activation and inflammation as common mechanisms in LN and aPL associated vascular pathology. In APS, a </w:t>
      </w:r>
      <w:r w:rsidRPr="00B27DFF">
        <w:rPr>
          <w:rFonts w:ascii="Arial" w:hAnsi="Arial" w:cs="Arial"/>
          <w:bCs/>
          <w:lang w:val="en-US"/>
        </w:rPr>
        <w:t xml:space="preserve">“two hits” theory has been proposed where the presence of aPL would lead to thrombophilia through </w:t>
      </w:r>
      <w:r w:rsidRPr="00B27DFF">
        <w:rPr>
          <w:rFonts w:ascii="Arial" w:hAnsi="Arial" w:cs="Arial"/>
          <w:lang w:val="en-US"/>
        </w:rPr>
        <w:t xml:space="preserve">endothelial cell, platelet and monocyte activation </w:t>
      </w:r>
      <w:r w:rsidRPr="00B27DFF">
        <w:rPr>
          <w:rFonts w:ascii="Arial" w:hAnsi="Arial" w:cs="Arial"/>
          <w:bCs/>
          <w:lang w:val="en-US"/>
        </w:rPr>
        <w:t>(“first hit”)</w:t>
      </w:r>
      <w:r w:rsidRPr="00B27DFF">
        <w:rPr>
          <w:rFonts w:ascii="Arial" w:hAnsi="Arial" w:cs="Arial"/>
          <w:lang w:val="en-US"/>
        </w:rPr>
        <w:t>, and a “second hit” related to i</w:t>
      </w:r>
      <w:r w:rsidRPr="00B27DFF">
        <w:rPr>
          <w:rFonts w:ascii="Arial" w:hAnsi="Arial" w:cs="Arial"/>
          <w:bCs/>
          <w:lang w:val="en-US"/>
        </w:rPr>
        <w:t>nflammation, i.e. toll-like receptors and complement activation, in response to microbial agents might synergize and result in clotting events [</w:t>
      </w:r>
      <w:r w:rsidR="00627636">
        <w:fldChar w:fldCharType="begin"/>
      </w:r>
      <w:r w:rsidR="00627636">
        <w:instrText xml:space="preserve"> REF _Ref305415330 \r \h  \* MERGEFORMAT </w:instrText>
      </w:r>
      <w:r w:rsidR="00627636">
        <w:fldChar w:fldCharType="separate"/>
      </w:r>
      <w:r w:rsidRPr="009A13FC">
        <w:rPr>
          <w:rFonts w:ascii="Arial" w:hAnsi="Arial" w:cs="Arial"/>
          <w:bCs/>
          <w:lang w:val="en-US"/>
        </w:rPr>
        <w:t>25</w:t>
      </w:r>
      <w:r w:rsidR="00627636">
        <w:fldChar w:fldCharType="end"/>
      </w:r>
      <w:r w:rsidRPr="00B27DFF">
        <w:rPr>
          <w:rFonts w:ascii="Arial" w:hAnsi="Arial" w:cs="Arial"/>
          <w:bCs/>
          <w:lang w:val="en-US"/>
        </w:rPr>
        <w:t>]. Our data link inflammatory infiltration and thrombosis in LN but are less clear regarding the relationship of complement activation and thrombosis.</w:t>
      </w:r>
    </w:p>
    <w:p w:rsidR="00C51A71" w:rsidRPr="00B27DFF" w:rsidRDefault="00C51A71" w:rsidP="005504C4">
      <w:pPr>
        <w:spacing w:line="480" w:lineRule="auto"/>
        <w:rPr>
          <w:rFonts w:ascii="Arial" w:hAnsi="Arial" w:cs="Arial"/>
          <w:lang w:val="en-US"/>
        </w:rPr>
      </w:pPr>
      <w:r w:rsidRPr="00B27DFF">
        <w:rPr>
          <w:rFonts w:ascii="Arial" w:hAnsi="Arial" w:cs="Arial"/>
          <w:bCs/>
          <w:lang w:val="en-US"/>
        </w:rPr>
        <w:t xml:space="preserve">   Several studies point to the involvement of complement in the pathogenesis of APS. In </w:t>
      </w:r>
      <w:r w:rsidRPr="00B27DFF">
        <w:rPr>
          <w:rFonts w:ascii="Arial" w:hAnsi="Arial" w:cs="Arial"/>
          <w:lang w:val="en-US"/>
        </w:rPr>
        <w:t>animal models, complement factors C3 and C5 are essential in aPL mediated pathology [</w:t>
      </w:r>
      <w:r w:rsidR="00627636">
        <w:fldChar w:fldCharType="begin"/>
      </w:r>
      <w:r w:rsidR="00627636">
        <w:instrText xml:space="preserve">REF _Ref286147142 \r \h  \* MERGEFORMAT </w:instrText>
      </w:r>
      <w:r w:rsidR="00627636">
        <w:fldChar w:fldCharType="separate"/>
      </w:r>
      <w:r w:rsidRPr="009A13FC">
        <w:rPr>
          <w:rFonts w:ascii="Arial" w:hAnsi="Arial" w:cs="Arial"/>
          <w:lang w:val="en-US"/>
        </w:rPr>
        <w:t>15</w:t>
      </w:r>
      <w:r w:rsidR="00627636">
        <w:fldChar w:fldCharType="end"/>
      </w:r>
      <w:r w:rsidRPr="00B27DFF">
        <w:rPr>
          <w:rFonts w:ascii="Arial" w:hAnsi="Arial" w:cs="Arial"/>
          <w:lang w:val="en-US"/>
        </w:rPr>
        <w:t>]. In these models, endothelial cell activation and inflammatory cell infiltration around blood vessels are observed in placental lesions, suggesting that complications of pregnancy are primarily due to inflammation [</w:t>
      </w:r>
      <w:r w:rsidR="00627636">
        <w:fldChar w:fldCharType="begin"/>
      </w:r>
      <w:r w:rsidR="00627636">
        <w:instrText xml:space="preserve">REF _Ref286147141 \r \h  \* MERGEFORMAT </w:instrText>
      </w:r>
      <w:r w:rsidR="00627636">
        <w:fldChar w:fldCharType="separate"/>
      </w:r>
      <w:r w:rsidRPr="009A13FC">
        <w:rPr>
          <w:rFonts w:ascii="Arial" w:hAnsi="Arial" w:cs="Arial"/>
          <w:lang w:val="en-US"/>
        </w:rPr>
        <w:t>14</w:t>
      </w:r>
      <w:r w:rsidR="00627636">
        <w:fldChar w:fldCharType="end"/>
      </w:r>
      <w:r w:rsidRPr="00B27DFF">
        <w:rPr>
          <w:rFonts w:ascii="Arial" w:hAnsi="Arial" w:cs="Arial"/>
          <w:lang w:val="en-US"/>
        </w:rPr>
        <w:t>]. In humans, a few studies also point to complement activation in aPL mediated thrombosis [</w:t>
      </w:r>
      <w:r w:rsidR="00627636">
        <w:fldChar w:fldCharType="begin"/>
      </w:r>
      <w:r w:rsidR="00627636">
        <w:instrText xml:space="preserve"> REF _Ref305415730 \r \h  \* MERGEFORMAT </w:instrText>
      </w:r>
      <w:r w:rsidR="00627636">
        <w:fldChar w:fldCharType="separate"/>
      </w:r>
      <w:r w:rsidRPr="009A13FC">
        <w:rPr>
          <w:rFonts w:ascii="Arial" w:hAnsi="Arial" w:cs="Arial"/>
          <w:lang w:val="en-US"/>
        </w:rPr>
        <w:t>26</w:t>
      </w:r>
      <w:r w:rsidR="00627636">
        <w:fldChar w:fldCharType="end"/>
      </w:r>
      <w:r w:rsidRPr="00B27DFF">
        <w:rPr>
          <w:rFonts w:ascii="Arial" w:hAnsi="Arial" w:cs="Arial"/>
          <w:lang w:val="en-US"/>
        </w:rPr>
        <w:t>-</w:t>
      </w:r>
      <w:r w:rsidR="00627636">
        <w:fldChar w:fldCharType="begin"/>
      </w:r>
      <w:r w:rsidR="00627636">
        <w:instrText xml:space="preserve"> REF _Ref292360319 \r \h  \* MERGEFORMAT </w:instrText>
      </w:r>
      <w:r w:rsidR="00627636">
        <w:fldChar w:fldCharType="separate"/>
      </w:r>
      <w:r w:rsidRPr="009A13FC">
        <w:rPr>
          <w:rFonts w:ascii="Arial" w:hAnsi="Arial" w:cs="Arial"/>
          <w:lang w:val="en-US"/>
        </w:rPr>
        <w:t>28</w:t>
      </w:r>
      <w:r w:rsidR="00627636">
        <w:fldChar w:fldCharType="end"/>
      </w:r>
      <w:r w:rsidRPr="00B27DFF">
        <w:rPr>
          <w:rFonts w:ascii="Arial" w:hAnsi="Arial" w:cs="Arial"/>
          <w:lang w:val="en-US"/>
        </w:rPr>
        <w:t xml:space="preserve">]. Sera from patients with positive aPL </w:t>
      </w:r>
      <w:r w:rsidRPr="00B27DFF">
        <w:rPr>
          <w:rFonts w:ascii="Arial" w:hAnsi="Arial" w:cs="Arial"/>
          <w:lang w:val="en-US"/>
        </w:rPr>
        <w:lastRenderedPageBreak/>
        <w:t>enhance complement fixation on platelets, which is associated to arterial thrombosis [</w:t>
      </w:r>
      <w:r w:rsidR="00627636">
        <w:fldChar w:fldCharType="begin"/>
      </w:r>
      <w:r w:rsidR="00627636">
        <w:instrText xml:space="preserve">REF _Ref160036073 \r \h  \* MERGEFORMAT </w:instrText>
      </w:r>
      <w:r w:rsidR="00627636">
        <w:fldChar w:fldCharType="separate"/>
      </w:r>
      <w:r w:rsidRPr="009A13FC">
        <w:rPr>
          <w:rFonts w:ascii="Arial" w:hAnsi="Arial" w:cs="Arial"/>
          <w:lang w:val="en-US"/>
        </w:rPr>
        <w:t>16</w:t>
      </w:r>
      <w:r w:rsidR="00627636">
        <w:fldChar w:fldCharType="end"/>
      </w:r>
      <w:r w:rsidRPr="00B27DFF">
        <w:rPr>
          <w:rFonts w:ascii="Arial" w:hAnsi="Arial" w:cs="Arial"/>
          <w:lang w:val="en-US"/>
        </w:rPr>
        <w:t>]. Platelet associated C4d has been reported in 18% of patients with SLE, particularly in those with aPL [</w:t>
      </w:r>
      <w:r w:rsidR="00627636">
        <w:fldChar w:fldCharType="begin"/>
      </w:r>
      <w:r w:rsidR="00627636">
        <w:instrText xml:space="preserve"> REF _Ref205657370 \r \h  \* MERGEFORMAT </w:instrText>
      </w:r>
      <w:r w:rsidR="00627636">
        <w:fldChar w:fldCharType="separate"/>
      </w:r>
      <w:r w:rsidRPr="009A13FC">
        <w:rPr>
          <w:rFonts w:ascii="Arial" w:hAnsi="Arial" w:cs="Arial"/>
          <w:lang w:val="en-US"/>
        </w:rPr>
        <w:t>29</w:t>
      </w:r>
      <w:r w:rsidR="00627636">
        <w:fldChar w:fldCharType="end"/>
      </w:r>
      <w:r w:rsidRPr="00B27DFF">
        <w:rPr>
          <w:rFonts w:ascii="Arial" w:hAnsi="Arial" w:cs="Arial"/>
          <w:lang w:val="en-US"/>
        </w:rPr>
        <w:t>]. In addition, hypocomplementemia and raised plasma levels of anaphylotoxins C3a and C4a have been described in primary APS [</w:t>
      </w:r>
      <w:r w:rsidR="00627636">
        <w:fldChar w:fldCharType="begin"/>
      </w:r>
      <w:r w:rsidR="00627636">
        <w:instrText xml:space="preserve"> REF _Ref305415730 \r \h  \* MERGEFORMAT </w:instrText>
      </w:r>
      <w:r w:rsidR="00627636">
        <w:fldChar w:fldCharType="separate"/>
      </w:r>
      <w:r w:rsidRPr="009A13FC">
        <w:rPr>
          <w:rFonts w:ascii="Arial" w:hAnsi="Arial" w:cs="Arial"/>
          <w:lang w:val="en-US"/>
        </w:rPr>
        <w:t>26</w:t>
      </w:r>
      <w:r w:rsidR="00627636">
        <w:fldChar w:fldCharType="end"/>
      </w:r>
      <w:r w:rsidRPr="00B27DFF">
        <w:rPr>
          <w:rFonts w:ascii="Arial" w:hAnsi="Arial" w:cs="Arial"/>
          <w:lang w:val="en-US"/>
        </w:rPr>
        <w:t>]. However, a direct correlation between raised levels of anaphylotoxins and clinical thrombosis has not been demonstrated [</w:t>
      </w:r>
      <w:r w:rsidR="00627636">
        <w:fldChar w:fldCharType="begin"/>
      </w:r>
      <w:r w:rsidR="00627636">
        <w:instrText xml:space="preserve"> REF _Ref305415730 \r \h  \* MERGEFORMAT </w:instrText>
      </w:r>
      <w:r w:rsidR="00627636">
        <w:fldChar w:fldCharType="separate"/>
      </w:r>
      <w:r w:rsidRPr="009A13FC">
        <w:rPr>
          <w:rFonts w:ascii="Arial" w:hAnsi="Arial" w:cs="Arial"/>
          <w:lang w:val="en-US"/>
        </w:rPr>
        <w:t>26</w:t>
      </w:r>
      <w:r w:rsidR="00627636">
        <w:fldChar w:fldCharType="end"/>
      </w:r>
      <w:r w:rsidRPr="00B27DFF">
        <w:rPr>
          <w:rFonts w:ascii="Arial" w:hAnsi="Arial" w:cs="Arial"/>
          <w:lang w:val="en-US"/>
        </w:rPr>
        <w:t>,</w:t>
      </w:r>
      <w:r>
        <w:rPr>
          <w:rFonts w:ascii="Arial" w:hAnsi="Arial" w:cs="Arial"/>
          <w:lang w:val="en-US"/>
        </w:rPr>
        <w:t xml:space="preserve"> </w:t>
      </w:r>
      <w:r w:rsidR="00627636">
        <w:fldChar w:fldCharType="begin"/>
      </w:r>
      <w:r w:rsidR="00627636">
        <w:instrText xml:space="preserve"> REF _Ref292360319 \r \h  \* MERGEFORMAT </w:instrText>
      </w:r>
      <w:r w:rsidR="00627636">
        <w:fldChar w:fldCharType="separate"/>
      </w:r>
      <w:r w:rsidRPr="009A13FC">
        <w:rPr>
          <w:rFonts w:ascii="Arial" w:hAnsi="Arial" w:cs="Arial"/>
          <w:lang w:val="en-US"/>
        </w:rPr>
        <w:t>28</w:t>
      </w:r>
      <w:r w:rsidR="00627636">
        <w:fldChar w:fldCharType="end"/>
      </w:r>
      <w:r w:rsidRPr="00B27DFF">
        <w:rPr>
          <w:rFonts w:ascii="Arial" w:hAnsi="Arial" w:cs="Arial"/>
          <w:lang w:val="en-US"/>
        </w:rPr>
        <w:t xml:space="preserve">]. </w:t>
      </w:r>
    </w:p>
    <w:p w:rsidR="00C51A71" w:rsidRPr="00B27DFF" w:rsidRDefault="00C51A71" w:rsidP="00CD1050">
      <w:pPr>
        <w:spacing w:line="480" w:lineRule="auto"/>
        <w:rPr>
          <w:rFonts w:ascii="Arial" w:hAnsi="Arial" w:cs="Arial"/>
          <w:lang w:val="en-US"/>
        </w:rPr>
      </w:pPr>
      <w:r w:rsidRPr="00B27DFF">
        <w:rPr>
          <w:rFonts w:ascii="Arial" w:hAnsi="Arial" w:cs="Arial"/>
          <w:lang w:val="en-US"/>
        </w:rPr>
        <w:t>Specifically in LN, immune mediated vascular injury may predispose to platelet accumulation and in situ complement activation. Intense glomerular C4d deposition has been previously found associated to renal microthrombi in LN patients with or without aPL [</w:t>
      </w:r>
      <w:r w:rsidR="00627636">
        <w:fldChar w:fldCharType="begin"/>
      </w:r>
      <w:r w:rsidR="00627636">
        <w:instrText xml:space="preserve"> REF _Ref286147142 \r \h  \* MERGEFORMAT </w:instrText>
      </w:r>
      <w:r w:rsidR="00627636">
        <w:fldChar w:fldCharType="separate"/>
      </w:r>
      <w:r w:rsidRPr="009A13FC">
        <w:rPr>
          <w:rFonts w:ascii="Arial" w:hAnsi="Arial" w:cs="Arial"/>
          <w:lang w:val="en-US"/>
        </w:rPr>
        <w:t>15</w:t>
      </w:r>
      <w:r w:rsidR="00627636">
        <w:fldChar w:fldCharType="end"/>
      </w:r>
      <w:r w:rsidRPr="00B27DFF">
        <w:rPr>
          <w:rFonts w:ascii="Arial" w:hAnsi="Arial" w:cs="Arial"/>
          <w:lang w:val="en-US"/>
        </w:rPr>
        <w:t xml:space="preserve">, </w:t>
      </w:r>
      <w:r w:rsidR="00627636">
        <w:fldChar w:fldCharType="begin"/>
      </w:r>
      <w:r w:rsidR="00627636">
        <w:instrText xml:space="preserve"> REF</w:instrText>
      </w:r>
      <w:r w:rsidR="00627636">
        <w:instrText xml:space="preserve"> _Ref292360319 \r \h  \* MERGEFORMAT </w:instrText>
      </w:r>
      <w:r w:rsidR="00627636">
        <w:fldChar w:fldCharType="separate"/>
      </w:r>
      <w:r w:rsidRPr="009A13FC">
        <w:rPr>
          <w:rFonts w:ascii="Arial" w:hAnsi="Arial" w:cs="Arial"/>
          <w:lang w:val="en-US"/>
        </w:rPr>
        <w:t>28</w:t>
      </w:r>
      <w:r w:rsidR="00627636">
        <w:fldChar w:fldCharType="end"/>
      </w:r>
      <w:r w:rsidRPr="00B27DFF">
        <w:rPr>
          <w:rFonts w:ascii="Arial" w:hAnsi="Arial" w:cs="Arial"/>
          <w:lang w:val="en-US"/>
        </w:rPr>
        <w:t>]. However, since both processes may be associated to proliferative LN and higher activity indexes, this may be an indirect association [</w:t>
      </w:r>
      <w:r w:rsidR="00627636">
        <w:fldChar w:fldCharType="begin"/>
      </w:r>
      <w:r w:rsidR="00627636">
        <w:instrText xml:space="preserve"> REF _Ref3054</w:instrText>
      </w:r>
      <w:r w:rsidR="00627636">
        <w:instrText xml:space="preserve">15730 \r \h  \* MERGEFORMAT </w:instrText>
      </w:r>
      <w:r w:rsidR="00627636">
        <w:fldChar w:fldCharType="separate"/>
      </w:r>
      <w:r w:rsidRPr="009A13FC">
        <w:rPr>
          <w:rFonts w:ascii="Arial" w:hAnsi="Arial" w:cs="Arial"/>
          <w:lang w:val="en-US"/>
        </w:rPr>
        <w:t>26</w:t>
      </w:r>
      <w:r w:rsidR="00627636">
        <w:fldChar w:fldCharType="end"/>
      </w:r>
      <w:r w:rsidRPr="00B27DFF">
        <w:rPr>
          <w:rFonts w:ascii="Arial" w:hAnsi="Arial" w:cs="Arial"/>
          <w:lang w:val="en-US"/>
        </w:rPr>
        <w:t>]. We have specifically analyzed patients with proliferative LN and considered macrophage infiltration as an additional marker of inflammatory activity. Our data do not demonstrate a direct relationship between C4d deposition and microthrombosis. Instead, C4d deposition correlated with the intensity of macrophagic infiltration, which in turn was associated with microthrombosis. Deposition of C4d in peritubular capillaries reflected SLE activity, consistently with previous reports [</w:t>
      </w:r>
      <w:r w:rsidR="00627636">
        <w:fldChar w:fldCharType="begin"/>
      </w:r>
      <w:r w:rsidR="00627636">
        <w:instrText xml:space="preserve"> REF _Ref299025988 \r \h  \* MERGEFORMAT </w:instrText>
      </w:r>
      <w:r w:rsidR="00627636">
        <w:fldChar w:fldCharType="separate"/>
      </w:r>
      <w:r w:rsidRPr="009A13FC">
        <w:rPr>
          <w:rFonts w:ascii="Arial" w:hAnsi="Arial" w:cs="Arial"/>
          <w:lang w:val="en-US"/>
        </w:rPr>
        <w:t>30</w:t>
      </w:r>
      <w:r w:rsidR="00627636">
        <w:fldChar w:fldCharType="end"/>
      </w:r>
      <w:r w:rsidRPr="00B27DFF">
        <w:rPr>
          <w:rFonts w:ascii="Arial" w:hAnsi="Arial" w:cs="Arial"/>
          <w:lang w:val="en-US"/>
        </w:rPr>
        <w:t>,</w:t>
      </w:r>
      <w:r>
        <w:rPr>
          <w:rFonts w:ascii="Arial" w:hAnsi="Arial" w:cs="Arial"/>
          <w:lang w:val="en-US"/>
        </w:rPr>
        <w:t xml:space="preserve"> </w:t>
      </w:r>
      <w:r w:rsidR="00627636">
        <w:fldChar w:fldCharType="begin"/>
      </w:r>
      <w:r w:rsidR="00627636">
        <w:instrText xml:space="preserve"> REF _Ref179327886 \r \h  \* MERGEFORMAT </w:instrText>
      </w:r>
      <w:r w:rsidR="00627636">
        <w:fldChar w:fldCharType="separate"/>
      </w:r>
      <w:r w:rsidRPr="009A13FC">
        <w:rPr>
          <w:rFonts w:ascii="Arial" w:hAnsi="Arial" w:cs="Arial"/>
          <w:lang w:val="en-US"/>
        </w:rPr>
        <w:t>31</w:t>
      </w:r>
      <w:r w:rsidR="00627636">
        <w:fldChar w:fldCharType="end"/>
      </w:r>
      <w:r w:rsidRPr="00B27DFF">
        <w:rPr>
          <w:rFonts w:ascii="Arial" w:hAnsi="Arial" w:cs="Arial"/>
          <w:lang w:val="en-US"/>
        </w:rPr>
        <w:t xml:space="preserve">]. Neither C4d nor microthrombi were directly related to the severity or outcome of LN. </w:t>
      </w:r>
    </w:p>
    <w:p w:rsidR="00C51A71" w:rsidRPr="00B27DFF" w:rsidRDefault="00C51A71" w:rsidP="00EA52D8">
      <w:pPr>
        <w:autoSpaceDE w:val="0"/>
        <w:autoSpaceDN w:val="0"/>
        <w:adjustRightInd w:val="0"/>
        <w:spacing w:line="480" w:lineRule="auto"/>
        <w:jc w:val="both"/>
        <w:rPr>
          <w:rFonts w:ascii="Arial" w:hAnsi="Arial" w:cs="Arial"/>
          <w:color w:val="FF0000"/>
          <w:lang w:val="en-GB"/>
        </w:rPr>
      </w:pPr>
      <w:r w:rsidRPr="00B27DFF">
        <w:rPr>
          <w:rFonts w:ascii="Arial" w:hAnsi="Arial" w:cs="Arial"/>
          <w:lang w:val="en-US"/>
        </w:rPr>
        <w:t xml:space="preserve">The detection of CD61 intravascular platelets by IHC is far more sensitive to detect acute microthrombi in patients with LN compared to routine histological methods. Thrombi detected by regular histology might have a different impact on renal outcomes but are rarely observed. Clinical observations support that TMA in APS or SLE nephritis has an important impact on renal function and requires specific therapy. However, TMA may occur independently of SLE </w:t>
      </w:r>
      <w:r w:rsidRPr="00B27DFF">
        <w:rPr>
          <w:rFonts w:ascii="Arial" w:hAnsi="Arial" w:cs="Arial"/>
          <w:lang w:val="en-US"/>
        </w:rPr>
        <w:lastRenderedPageBreak/>
        <w:t>nephritis and its prevalence associated to LN is very low. Only two cases had microthrombi detected by histology in our series, precluding analyses of the clinical and subclinical (immunohistochemical) correlations in LN. Our data do not support any difference in renal manifestations and outcomes at 6 and 12 months, and further follow-up after therapy in patients with IHC detected CD61-positive microthrombi. The retrospective design of our study limits the interpretation of results regarding clinical correlations and prognosis.   Microthrombi detected by IHC may have a lower impact on renal function and outcome than larger histological microthrombi. Longitudinal prospective studies including patients with LN and repeated biopsies after induction treatment will help us to better define the real significance of this kind of histological and IHC lesions.</w:t>
      </w:r>
    </w:p>
    <w:p w:rsidR="00C51A71" w:rsidRPr="00B27DFF" w:rsidRDefault="00C51A71" w:rsidP="00EA52D8">
      <w:pPr>
        <w:spacing w:line="480" w:lineRule="auto"/>
        <w:rPr>
          <w:rFonts w:ascii="Arial" w:hAnsi="Arial" w:cs="Arial"/>
          <w:lang w:val="en-US"/>
        </w:rPr>
      </w:pPr>
      <w:r w:rsidRPr="00B27DFF">
        <w:rPr>
          <w:rFonts w:ascii="Arial" w:hAnsi="Arial" w:cs="Arial"/>
          <w:lang w:val="en-US"/>
        </w:rPr>
        <w:t>Macrophagic infiltration was the best marker of renal impairment at kidney biopsy, consistent with previous studies [</w:t>
      </w:r>
      <w:r w:rsidR="00627636">
        <w:fldChar w:fldCharType="begin"/>
      </w:r>
      <w:r w:rsidR="00627636">
        <w:instrText xml:space="preserve"> REF _Ref179327919 \r \h  \* MERGEFORMAT </w:instrText>
      </w:r>
      <w:r w:rsidR="00627636">
        <w:fldChar w:fldCharType="separate"/>
      </w:r>
      <w:r w:rsidRPr="009A13FC">
        <w:rPr>
          <w:rFonts w:ascii="Arial" w:hAnsi="Arial" w:cs="Arial"/>
          <w:lang w:val="en-US"/>
        </w:rPr>
        <w:t>32</w:t>
      </w:r>
      <w:r w:rsidR="00627636">
        <w:fldChar w:fldCharType="end"/>
      </w:r>
      <w:r w:rsidRPr="00B27DFF">
        <w:rPr>
          <w:rFonts w:ascii="Arial" w:hAnsi="Arial" w:cs="Arial"/>
          <w:lang w:val="en-US"/>
        </w:rPr>
        <w:t>]. Glomerular and interstitial macrophage infiltration is a feature of the more aggressive forms of LN and the individual variable that best correlate with clinical parameters, including SLE activity and renal manifestations. We found a correlation with activity measures, including the level of proteinuria and active sediment but not with renal function at biopsy or follow-up. A previous study has shown that the persistence of glomerular and extraglomerular macrophagic infiltrates after therapy correlate with long-term renal function outcomes (doubling of serum creatinine and end stage renal disease) [</w:t>
      </w:r>
      <w:r w:rsidR="00627636">
        <w:fldChar w:fldCharType="begin"/>
      </w:r>
      <w:r w:rsidR="00627636">
        <w:instrText xml:space="preserve"> REF _Ref179327919 \r \h  \* MERGEFORMAT </w:instrText>
      </w:r>
      <w:r w:rsidR="00627636">
        <w:fldChar w:fldCharType="separate"/>
      </w:r>
      <w:r w:rsidRPr="009A13FC">
        <w:rPr>
          <w:rFonts w:ascii="Arial" w:hAnsi="Arial" w:cs="Arial"/>
          <w:lang w:val="en-US"/>
        </w:rPr>
        <w:t>32</w:t>
      </w:r>
      <w:r w:rsidR="00627636">
        <w:fldChar w:fldCharType="end"/>
      </w:r>
      <w:r w:rsidRPr="00B27DFF">
        <w:rPr>
          <w:rFonts w:ascii="Arial" w:hAnsi="Arial" w:cs="Arial"/>
          <w:lang w:val="en-US"/>
        </w:rPr>
        <w:t xml:space="preserve">]. However, neither these nor our data demonstrate predictive value for the degree of macrophage infiltration at first biopsy and renal function outcomes. </w:t>
      </w:r>
    </w:p>
    <w:p w:rsidR="00C51A71" w:rsidRPr="00B27DFF" w:rsidRDefault="00C51A71" w:rsidP="00C70489">
      <w:pPr>
        <w:spacing w:line="480" w:lineRule="auto"/>
        <w:rPr>
          <w:rFonts w:ascii="Arial" w:hAnsi="Arial" w:cs="Arial"/>
          <w:b/>
          <w:lang w:val="en-US"/>
        </w:rPr>
      </w:pPr>
      <w:r w:rsidRPr="00B27DFF">
        <w:rPr>
          <w:rFonts w:ascii="Arial" w:hAnsi="Arial" w:cs="Arial"/>
          <w:lang w:val="en-US"/>
        </w:rPr>
        <w:br w:type="page"/>
      </w:r>
      <w:r w:rsidRPr="00B27DFF">
        <w:rPr>
          <w:rFonts w:ascii="Arial" w:hAnsi="Arial" w:cs="Arial"/>
          <w:b/>
          <w:lang w:val="en-US"/>
        </w:rPr>
        <w:lastRenderedPageBreak/>
        <w:t>CONCLUSIONS</w:t>
      </w:r>
    </w:p>
    <w:p w:rsidR="00C51A71" w:rsidRPr="00B27DFF" w:rsidRDefault="00C51A71" w:rsidP="00C70489">
      <w:pPr>
        <w:spacing w:line="480" w:lineRule="auto"/>
        <w:rPr>
          <w:rFonts w:ascii="Arial" w:hAnsi="Arial" w:cs="Arial"/>
          <w:lang w:val="en-US"/>
        </w:rPr>
      </w:pPr>
      <w:r w:rsidRPr="00B27DFF">
        <w:rPr>
          <w:rFonts w:ascii="Arial" w:hAnsi="Arial" w:cs="Arial"/>
          <w:lang w:val="en-US"/>
        </w:rPr>
        <w:t>In summary, our results show a relationship between renal microthrombi and local inflammatory cells infiltration in patients with LN. Renal macrophagic infiltration was the best marker of SLE and renal clinical activity, whereas microthrombi or C4d deposition did not have a direct correlate with severity or prognosis in LN.</w:t>
      </w:r>
    </w:p>
    <w:p w:rsidR="00C51A71" w:rsidRPr="00B27DFF" w:rsidRDefault="00C51A71" w:rsidP="002C4CB3">
      <w:pPr>
        <w:autoSpaceDE w:val="0"/>
        <w:autoSpaceDN w:val="0"/>
        <w:adjustRightInd w:val="0"/>
        <w:spacing w:line="480" w:lineRule="auto"/>
        <w:rPr>
          <w:rFonts w:ascii="Arial" w:hAnsi="Arial" w:cs="Arial"/>
          <w:lang w:val="en-US"/>
        </w:rPr>
      </w:pPr>
    </w:p>
    <w:p w:rsidR="00C51A71" w:rsidRPr="00B27DFF" w:rsidRDefault="00C51A71" w:rsidP="002C4CB3">
      <w:pPr>
        <w:autoSpaceDE w:val="0"/>
        <w:autoSpaceDN w:val="0"/>
        <w:adjustRightInd w:val="0"/>
        <w:spacing w:line="480" w:lineRule="auto"/>
        <w:rPr>
          <w:rFonts w:ascii="Arial" w:hAnsi="Arial" w:cs="Arial"/>
          <w:lang w:val="en-US"/>
        </w:rPr>
      </w:pPr>
    </w:p>
    <w:p w:rsidR="00C51A71" w:rsidRPr="00B27DFF" w:rsidRDefault="00C51A71" w:rsidP="002C4CB3">
      <w:pPr>
        <w:autoSpaceDE w:val="0"/>
        <w:autoSpaceDN w:val="0"/>
        <w:adjustRightInd w:val="0"/>
        <w:spacing w:line="480" w:lineRule="auto"/>
        <w:rPr>
          <w:rFonts w:ascii="Arial" w:hAnsi="Arial" w:cs="Arial"/>
          <w:lang w:val="en-US"/>
        </w:rPr>
      </w:pPr>
    </w:p>
    <w:p w:rsidR="00C51A71" w:rsidRPr="00B27DFF" w:rsidRDefault="00C51A71" w:rsidP="002C4CB3">
      <w:pPr>
        <w:autoSpaceDE w:val="0"/>
        <w:autoSpaceDN w:val="0"/>
        <w:adjustRightInd w:val="0"/>
        <w:spacing w:line="480" w:lineRule="auto"/>
        <w:rPr>
          <w:rFonts w:ascii="Arial" w:hAnsi="Arial" w:cs="Arial"/>
          <w:lang w:val="en-US"/>
        </w:rPr>
      </w:pPr>
    </w:p>
    <w:p w:rsidR="00C51A71" w:rsidRPr="00B27DFF" w:rsidRDefault="00C51A71" w:rsidP="00851CD9">
      <w:pPr>
        <w:pStyle w:val="Ttulo3"/>
        <w:spacing w:line="480" w:lineRule="auto"/>
        <w:rPr>
          <w:rStyle w:val="bold1"/>
          <w:rFonts w:cs="Arial"/>
          <w:bCs w:val="0"/>
          <w:lang w:val="en-US"/>
        </w:rPr>
      </w:pPr>
      <w:r w:rsidRPr="00B27DFF">
        <w:rPr>
          <w:rStyle w:val="bold1"/>
          <w:rFonts w:cs="Arial"/>
          <w:lang w:val="en-US"/>
        </w:rPr>
        <w:br w:type="page"/>
      </w:r>
      <w:r w:rsidRPr="00B27DFF">
        <w:rPr>
          <w:rStyle w:val="bold1"/>
          <w:rFonts w:cs="Arial"/>
          <w:lang w:val="en-US"/>
        </w:rPr>
        <w:lastRenderedPageBreak/>
        <w:t>COMPETING INTERESTS</w:t>
      </w:r>
    </w:p>
    <w:p w:rsidR="00C51A71" w:rsidRPr="00B27DFF" w:rsidRDefault="00C51A71" w:rsidP="00851CD9">
      <w:pPr>
        <w:pStyle w:val="Ttulo3"/>
        <w:spacing w:line="480" w:lineRule="auto"/>
        <w:rPr>
          <w:rStyle w:val="bold1"/>
          <w:rFonts w:cs="Arial"/>
          <w:b/>
          <w:bCs w:val="0"/>
          <w:lang w:val="en-US"/>
        </w:rPr>
      </w:pPr>
      <w:r w:rsidRPr="00B27DFF">
        <w:rPr>
          <w:rStyle w:val="bold1"/>
          <w:rFonts w:cs="Arial"/>
          <w:lang w:val="en-US"/>
        </w:rPr>
        <w:t>The author(s) declare that they have no competing interests.</w:t>
      </w:r>
    </w:p>
    <w:p w:rsidR="00C51A71" w:rsidRPr="00B27DFF" w:rsidRDefault="00C51A71" w:rsidP="00851CD9">
      <w:pPr>
        <w:pStyle w:val="Ttulo3"/>
        <w:spacing w:line="480" w:lineRule="auto"/>
        <w:rPr>
          <w:rFonts w:ascii="Arial" w:hAnsi="Arial" w:cs="Arial"/>
          <w:b w:val="0"/>
          <w:lang w:val="en-GB"/>
        </w:rPr>
      </w:pPr>
      <w:r w:rsidRPr="00B27DFF">
        <w:rPr>
          <w:rFonts w:ascii="Arial" w:hAnsi="Arial" w:cs="Arial"/>
          <w:lang w:val="en-GB"/>
        </w:rPr>
        <w:t>AUTHORS' CONTRIBUTIONS</w:t>
      </w:r>
    </w:p>
    <w:p w:rsidR="00C51A71" w:rsidRPr="00B27DFF" w:rsidRDefault="00C51A71" w:rsidP="00954211">
      <w:pPr>
        <w:autoSpaceDE w:val="0"/>
        <w:autoSpaceDN w:val="0"/>
        <w:adjustRightInd w:val="0"/>
        <w:spacing w:line="480" w:lineRule="auto"/>
        <w:rPr>
          <w:rStyle w:val="bold1"/>
          <w:rFonts w:cs="Arial"/>
          <w:b w:val="0"/>
          <w:color w:val="auto"/>
          <w:lang w:val="en-GB"/>
        </w:rPr>
      </w:pPr>
      <w:r w:rsidRPr="00B27DFF">
        <w:rPr>
          <w:rFonts w:ascii="Arial" w:hAnsi="Arial" w:cs="Arial"/>
          <w:lang w:val="en-GB"/>
        </w:rPr>
        <w:t xml:space="preserve">EG and BS carried out IHC analyses. OT, IG and ML carried out histological studies at Hospital 12 de Octubre (OT) and, Hospital Regional Carlos Haya (IG, ML), respectively. MPM, MG, MCO and AFN participated in collecting and analysing clinical data, both at Hospital 12 de Octubre (MPM, MG) and Hospital Regional Carlos Haya (MCO, AF), respectively. EL participated in the design and statistical analysis. JLP and MG participated in the conception and design of the study, coordination, and analysis of data. All authors participated in drafting and revising the manuscript and have read and approved its final version. </w:t>
      </w:r>
    </w:p>
    <w:p w:rsidR="00C51A71" w:rsidRPr="00B27DFF" w:rsidRDefault="00C51A71" w:rsidP="00954211">
      <w:pPr>
        <w:autoSpaceDE w:val="0"/>
        <w:autoSpaceDN w:val="0"/>
        <w:adjustRightInd w:val="0"/>
        <w:spacing w:line="480" w:lineRule="auto"/>
        <w:rPr>
          <w:rStyle w:val="bold1"/>
          <w:rFonts w:cs="Arial"/>
          <w:bCs/>
          <w:lang w:val="en-US"/>
        </w:rPr>
      </w:pPr>
      <w:r w:rsidRPr="00B27DFF">
        <w:rPr>
          <w:rStyle w:val="bold1"/>
          <w:rFonts w:cs="Arial"/>
          <w:bCs/>
          <w:lang w:val="en-US"/>
        </w:rPr>
        <w:t xml:space="preserve">ACKNOWLEDGMENTS </w:t>
      </w:r>
    </w:p>
    <w:p w:rsidR="00C51A71" w:rsidRPr="00B27DFF" w:rsidRDefault="00C51A71" w:rsidP="00073E47">
      <w:pPr>
        <w:autoSpaceDE w:val="0"/>
        <w:autoSpaceDN w:val="0"/>
        <w:adjustRightInd w:val="0"/>
        <w:spacing w:line="480" w:lineRule="auto"/>
        <w:rPr>
          <w:rFonts w:ascii="Arial" w:hAnsi="Arial" w:cs="Arial"/>
        </w:rPr>
      </w:pPr>
      <w:r w:rsidRPr="00B27DFF">
        <w:rPr>
          <w:rFonts w:ascii="Arial" w:hAnsi="Arial" w:cs="Arial"/>
          <w:color w:val="231F20"/>
          <w:lang w:val="en-US"/>
        </w:rPr>
        <w:t xml:space="preserve">The authors thank Dr. Gabriel Usera for his help with kidney histopathology. </w:t>
      </w:r>
      <w:r w:rsidRPr="00B27DFF">
        <w:rPr>
          <w:rFonts w:ascii="Arial" w:hAnsi="Arial" w:cs="Arial"/>
          <w:color w:val="231F20"/>
        </w:rPr>
        <w:t>This</w:t>
      </w:r>
      <w:r>
        <w:rPr>
          <w:rFonts w:ascii="Arial" w:hAnsi="Arial" w:cs="Arial"/>
          <w:color w:val="231F20"/>
        </w:rPr>
        <w:t xml:space="preserve"> </w:t>
      </w:r>
      <w:r w:rsidRPr="00B27DFF">
        <w:rPr>
          <w:rFonts w:ascii="Arial" w:hAnsi="Arial" w:cs="Arial"/>
          <w:color w:val="231F20"/>
        </w:rPr>
        <w:t>study was supported by Fondo de Investigación Sanitaria (PI06/90374) and RIER (Red de Inflamación y Enfermedades Reumáticas RD08/0075).</w:t>
      </w:r>
    </w:p>
    <w:p w:rsidR="00C51A71" w:rsidRPr="00B27DFF" w:rsidRDefault="00C51A71" w:rsidP="002C4CB3">
      <w:pPr>
        <w:autoSpaceDE w:val="0"/>
        <w:autoSpaceDN w:val="0"/>
        <w:adjustRightInd w:val="0"/>
        <w:spacing w:line="480" w:lineRule="auto"/>
        <w:ind w:firstLine="708"/>
        <w:rPr>
          <w:rFonts w:ascii="Arial" w:hAnsi="Arial" w:cs="Arial"/>
        </w:rPr>
      </w:pPr>
    </w:p>
    <w:p w:rsidR="00C51A71" w:rsidRPr="00B27DFF" w:rsidRDefault="00C51A71" w:rsidP="002C4CB3">
      <w:pPr>
        <w:autoSpaceDE w:val="0"/>
        <w:autoSpaceDN w:val="0"/>
        <w:adjustRightInd w:val="0"/>
        <w:spacing w:line="480" w:lineRule="auto"/>
        <w:rPr>
          <w:rFonts w:ascii="Arial" w:hAnsi="Arial" w:cs="Arial"/>
          <w:b/>
          <w:lang w:val="en-US"/>
        </w:rPr>
      </w:pPr>
      <w:r w:rsidRPr="00B27DFF">
        <w:rPr>
          <w:rFonts w:ascii="Arial" w:hAnsi="Arial" w:cs="Arial"/>
          <w:b/>
        </w:rPr>
        <w:br w:type="page"/>
      </w:r>
      <w:r w:rsidRPr="00B27DFF">
        <w:rPr>
          <w:rFonts w:ascii="Arial" w:hAnsi="Arial" w:cs="Arial"/>
          <w:b/>
          <w:lang w:val="en-US"/>
        </w:rPr>
        <w:lastRenderedPageBreak/>
        <w:t>REFERENCES</w:t>
      </w:r>
      <w:bookmarkStart w:id="5" w:name="_Ref204487400"/>
    </w:p>
    <w:p w:rsidR="00C51A71" w:rsidRPr="00B27DFF" w:rsidRDefault="00C51A71" w:rsidP="00404023">
      <w:pPr>
        <w:pStyle w:val="HTMLconformatoprevio"/>
        <w:numPr>
          <w:ilvl w:val="0"/>
          <w:numId w:val="31"/>
        </w:numPr>
        <w:tabs>
          <w:tab w:val="clear" w:pos="1080"/>
          <w:tab w:val="num" w:pos="360"/>
        </w:tabs>
        <w:spacing w:line="480" w:lineRule="auto"/>
        <w:ind w:left="360"/>
        <w:rPr>
          <w:rFonts w:ascii="Arial" w:hAnsi="Arial" w:cs="Arial"/>
          <w:sz w:val="24"/>
          <w:szCs w:val="24"/>
          <w:lang w:val="en-US"/>
        </w:rPr>
      </w:pPr>
      <w:bookmarkStart w:id="6" w:name="_Ref286143842"/>
      <w:r w:rsidRPr="00B27DFF">
        <w:rPr>
          <w:rFonts w:ascii="Arial" w:hAnsi="Arial" w:cs="Arial"/>
          <w:sz w:val="24"/>
          <w:szCs w:val="24"/>
          <w:lang w:val="en-US"/>
        </w:rPr>
        <w:t xml:space="preserve">Cameron JS: </w:t>
      </w:r>
      <w:r w:rsidRPr="00B27DFF">
        <w:rPr>
          <w:rFonts w:ascii="Arial" w:hAnsi="Arial" w:cs="Arial"/>
          <w:b/>
          <w:sz w:val="24"/>
          <w:szCs w:val="24"/>
          <w:lang w:val="en-US"/>
        </w:rPr>
        <w:t>Lupus nephritis</w:t>
      </w:r>
      <w:r w:rsidRPr="00B27DFF">
        <w:rPr>
          <w:rFonts w:ascii="Arial" w:hAnsi="Arial" w:cs="Arial"/>
          <w:sz w:val="24"/>
          <w:szCs w:val="24"/>
          <w:lang w:val="en-US"/>
        </w:rPr>
        <w:t xml:space="preserve">. </w:t>
      </w:r>
      <w:r w:rsidRPr="00B27DFF">
        <w:rPr>
          <w:rFonts w:ascii="Arial" w:hAnsi="Arial" w:cs="Arial"/>
          <w:i/>
          <w:sz w:val="24"/>
          <w:szCs w:val="24"/>
          <w:lang w:val="en-US"/>
        </w:rPr>
        <w:t>J Am SocNephrol</w:t>
      </w:r>
      <w:r w:rsidRPr="00B27DFF">
        <w:rPr>
          <w:rFonts w:ascii="Arial" w:hAnsi="Arial" w:cs="Arial"/>
          <w:sz w:val="24"/>
          <w:szCs w:val="24"/>
          <w:lang w:val="en-US"/>
        </w:rPr>
        <w:t xml:space="preserve"> 1999; </w:t>
      </w:r>
      <w:r w:rsidRPr="00B27DFF">
        <w:rPr>
          <w:rFonts w:ascii="Arial" w:hAnsi="Arial" w:cs="Arial"/>
          <w:b/>
          <w:sz w:val="24"/>
          <w:szCs w:val="24"/>
          <w:lang w:val="en-US"/>
        </w:rPr>
        <w:t>10</w:t>
      </w:r>
      <w:r w:rsidRPr="00B27DFF">
        <w:rPr>
          <w:rFonts w:ascii="Arial" w:hAnsi="Arial" w:cs="Arial"/>
          <w:sz w:val="24"/>
          <w:szCs w:val="24"/>
          <w:lang w:val="en-US"/>
        </w:rPr>
        <w:t>: 413-24.</w:t>
      </w:r>
      <w:bookmarkEnd w:id="6"/>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7" w:name="_Ref299979213"/>
      <w:bookmarkStart w:id="8" w:name="_Ref160118860"/>
      <w:bookmarkStart w:id="9" w:name="_Ref210721108"/>
      <w:r w:rsidRPr="00B27DFF">
        <w:rPr>
          <w:rFonts w:ascii="Arial" w:hAnsi="Arial" w:cs="Arial"/>
          <w:lang w:val="en-GB"/>
        </w:rPr>
        <w:t xml:space="preserve">Austin HA III, Boumpas DT, Vaughan EM, Balow JE: </w:t>
      </w:r>
      <w:r w:rsidRPr="00B27DFF">
        <w:rPr>
          <w:rFonts w:ascii="Arial" w:hAnsi="Arial" w:cs="Arial"/>
          <w:b/>
          <w:lang w:val="en-GB"/>
        </w:rPr>
        <w:t>High-risk features of lupus nephritis: importance of race and clinical and histological factors in 166 patients</w:t>
      </w:r>
      <w:r w:rsidRPr="00B27DFF">
        <w:rPr>
          <w:rFonts w:ascii="Arial" w:hAnsi="Arial" w:cs="Arial"/>
          <w:lang w:val="en-GB"/>
        </w:rPr>
        <w:t xml:space="preserve">. </w:t>
      </w:r>
      <w:r w:rsidRPr="00B27DFF">
        <w:rPr>
          <w:rFonts w:ascii="Arial" w:hAnsi="Arial" w:cs="Arial"/>
          <w:i/>
          <w:lang w:val="en-GB"/>
        </w:rPr>
        <w:t>Nephrol Dial Transplant</w:t>
      </w:r>
      <w:r w:rsidRPr="00B27DFF">
        <w:rPr>
          <w:rFonts w:ascii="Arial" w:hAnsi="Arial" w:cs="Arial"/>
          <w:lang w:val="en-GB"/>
        </w:rPr>
        <w:t xml:space="preserve"> 1995; </w:t>
      </w:r>
      <w:r w:rsidRPr="00B27DFF">
        <w:rPr>
          <w:rFonts w:ascii="Arial" w:hAnsi="Arial" w:cs="Arial"/>
          <w:b/>
          <w:lang w:val="en-GB"/>
        </w:rPr>
        <w:t>10</w:t>
      </w:r>
      <w:r w:rsidRPr="00B27DFF">
        <w:rPr>
          <w:rFonts w:ascii="Arial" w:hAnsi="Arial" w:cs="Arial"/>
          <w:lang w:val="en-GB"/>
        </w:rPr>
        <w:t>: 1620–8.</w:t>
      </w:r>
      <w:bookmarkEnd w:id="7"/>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0" w:name="_Ref299979215"/>
      <w:r w:rsidRPr="00B27DFF">
        <w:rPr>
          <w:rFonts w:ascii="Arial" w:hAnsi="Arial" w:cs="Arial"/>
          <w:lang w:val="en-GB"/>
        </w:rPr>
        <w:t xml:space="preserve">Esdaile JM, Federgreen W, Quintal H, Suissa S, Hayslett JP, Kashgarian M: </w:t>
      </w:r>
      <w:r w:rsidRPr="00B27DFF">
        <w:rPr>
          <w:rFonts w:ascii="Arial" w:hAnsi="Arial" w:cs="Arial"/>
          <w:b/>
          <w:lang w:val="en-GB"/>
        </w:rPr>
        <w:t>Predictors of one year outcome in lupus nephritis: the importance of renal biopsy</w:t>
      </w:r>
      <w:r w:rsidRPr="00B27DFF">
        <w:rPr>
          <w:rFonts w:ascii="Arial" w:hAnsi="Arial" w:cs="Arial"/>
          <w:lang w:val="en-GB"/>
        </w:rPr>
        <w:t xml:space="preserve">. </w:t>
      </w:r>
      <w:r w:rsidRPr="00B27DFF">
        <w:rPr>
          <w:rFonts w:ascii="Arial" w:hAnsi="Arial" w:cs="Arial"/>
          <w:i/>
          <w:lang w:val="en-GB"/>
        </w:rPr>
        <w:t>Q J Med</w:t>
      </w:r>
      <w:r w:rsidRPr="00B27DFF">
        <w:rPr>
          <w:rFonts w:ascii="Arial" w:hAnsi="Arial" w:cs="Arial"/>
          <w:lang w:val="en-GB"/>
        </w:rPr>
        <w:t xml:space="preserve"> 1991; </w:t>
      </w:r>
      <w:r w:rsidRPr="00B27DFF">
        <w:rPr>
          <w:rFonts w:ascii="Arial" w:hAnsi="Arial" w:cs="Arial"/>
          <w:b/>
          <w:lang w:val="en-GB"/>
        </w:rPr>
        <w:t>81</w:t>
      </w:r>
      <w:r w:rsidRPr="00B27DFF">
        <w:rPr>
          <w:rFonts w:ascii="Arial" w:hAnsi="Arial" w:cs="Arial"/>
          <w:lang w:val="en-GB"/>
        </w:rPr>
        <w:t>: 907–18.</w:t>
      </w:r>
      <w:bookmarkEnd w:id="10"/>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1" w:name="_Ref299979280"/>
      <w:r w:rsidRPr="00B27DFF">
        <w:rPr>
          <w:rFonts w:ascii="Arial" w:hAnsi="Arial" w:cs="Arial"/>
          <w:lang w:val="en-US"/>
        </w:rPr>
        <w:t xml:space="preserve">Yang N, Isbel NM, Nikolic-Paterson DJ, Li Y, Ye R, Atkins RC, Lan HY: </w:t>
      </w:r>
      <w:hyperlink r:id="rId17" w:history="1">
        <w:r w:rsidRPr="00B27DFF">
          <w:rPr>
            <w:rFonts w:ascii="Arial" w:hAnsi="Arial" w:cs="Arial"/>
            <w:b/>
            <w:lang w:val="en-US"/>
          </w:rPr>
          <w:t>Local macrophage proliferation in human glomerulonephritis</w:t>
        </w:r>
        <w:r w:rsidRPr="00B27DFF">
          <w:rPr>
            <w:rFonts w:ascii="Arial" w:hAnsi="Arial" w:cs="Arial"/>
            <w:lang w:val="en-US"/>
          </w:rPr>
          <w:t>.</w:t>
        </w:r>
      </w:hyperlink>
      <w:r w:rsidRPr="00B27DFF">
        <w:rPr>
          <w:rFonts w:ascii="Arial" w:hAnsi="Arial" w:cs="Arial"/>
          <w:lang w:val="en-US"/>
        </w:rPr>
        <w:t xml:space="preserve"> </w:t>
      </w:r>
      <w:r w:rsidRPr="00B27DFF">
        <w:rPr>
          <w:rFonts w:ascii="Arial" w:hAnsi="Arial" w:cs="Arial"/>
          <w:i/>
          <w:lang w:val="en-US"/>
        </w:rPr>
        <w:t>Kidney Int</w:t>
      </w:r>
      <w:r w:rsidRPr="00B27DFF">
        <w:rPr>
          <w:rFonts w:ascii="Arial" w:hAnsi="Arial" w:cs="Arial"/>
          <w:lang w:val="en-US"/>
        </w:rPr>
        <w:t xml:space="preserve">1998; </w:t>
      </w:r>
      <w:r w:rsidRPr="00B27DFF">
        <w:rPr>
          <w:rFonts w:ascii="Arial" w:hAnsi="Arial" w:cs="Arial"/>
          <w:b/>
          <w:lang w:val="en-US"/>
        </w:rPr>
        <w:t>54</w:t>
      </w:r>
      <w:r w:rsidRPr="00B27DFF">
        <w:rPr>
          <w:rFonts w:ascii="Arial" w:hAnsi="Arial" w:cs="Arial"/>
          <w:lang w:val="en-US"/>
        </w:rPr>
        <w:t>: 143-51.</w:t>
      </w:r>
      <w:bookmarkEnd w:id="8"/>
      <w:bookmarkEnd w:id="11"/>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2" w:name="_Ref160118872"/>
      <w:r w:rsidRPr="00B27DFF">
        <w:rPr>
          <w:rFonts w:ascii="Arial" w:hAnsi="Arial" w:cs="Arial"/>
          <w:lang w:val="en-US"/>
        </w:rPr>
        <w:t xml:space="preserve">Takemura T, Yoshioka K, Murakami K, Akano N, Okada M, Aya N, Maki S: </w:t>
      </w:r>
      <w:hyperlink r:id="rId18" w:history="1">
        <w:r w:rsidRPr="00B27DFF">
          <w:rPr>
            <w:rFonts w:ascii="Arial" w:hAnsi="Arial" w:cs="Arial"/>
            <w:b/>
            <w:lang w:val="en-US"/>
          </w:rPr>
          <w:t>Cellular localization of inflammatory cytokines in human glomerulonephritis</w:t>
        </w:r>
        <w:r w:rsidRPr="00B27DFF">
          <w:rPr>
            <w:rFonts w:ascii="Arial" w:hAnsi="Arial" w:cs="Arial"/>
            <w:lang w:val="en-US"/>
          </w:rPr>
          <w:t>.</w:t>
        </w:r>
      </w:hyperlink>
      <w:r w:rsidRPr="00B27DFF">
        <w:rPr>
          <w:rFonts w:ascii="Arial" w:hAnsi="Arial" w:cs="Arial"/>
          <w:lang w:val="en-US"/>
        </w:rPr>
        <w:t xml:space="preserve"> </w:t>
      </w:r>
      <w:r w:rsidRPr="00B27DFF">
        <w:rPr>
          <w:rFonts w:ascii="Arial" w:hAnsi="Arial" w:cs="Arial"/>
          <w:i/>
          <w:lang w:val="en-US"/>
        </w:rPr>
        <w:t>Virchows Arch</w:t>
      </w:r>
      <w:r w:rsidRPr="00B27DFF">
        <w:rPr>
          <w:rFonts w:ascii="Arial" w:hAnsi="Arial" w:cs="Arial"/>
          <w:lang w:val="en-US"/>
        </w:rPr>
        <w:t xml:space="preserve"> 1994; </w:t>
      </w:r>
      <w:r w:rsidRPr="00B27DFF">
        <w:rPr>
          <w:rFonts w:ascii="Arial" w:hAnsi="Arial" w:cs="Arial"/>
          <w:b/>
          <w:lang w:val="en-US"/>
        </w:rPr>
        <w:t>424</w:t>
      </w:r>
      <w:r w:rsidRPr="00B27DFF">
        <w:rPr>
          <w:rFonts w:ascii="Arial" w:hAnsi="Arial" w:cs="Arial"/>
          <w:lang w:val="en-US"/>
        </w:rPr>
        <w:t>: 459-64.</w:t>
      </w:r>
      <w:bookmarkEnd w:id="12"/>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3" w:name="_Ref299024992"/>
      <w:r w:rsidRPr="00B27DFF">
        <w:rPr>
          <w:rFonts w:ascii="Arial" w:hAnsi="Arial" w:cs="Arial"/>
          <w:lang w:val="en-US"/>
        </w:rPr>
        <w:t xml:space="preserve">Grandaliano G, Gesualdo L, Ranieri E, Monno R, Montinaro V, Marra F, Schena FP: </w:t>
      </w:r>
      <w:r w:rsidRPr="00B27DFF">
        <w:rPr>
          <w:rFonts w:ascii="Arial" w:hAnsi="Arial" w:cs="Arial"/>
          <w:b/>
          <w:lang w:val="en-US"/>
        </w:rPr>
        <w:t>Monocyte chemotactic peptide-1 expression in acute and chronic human nephritides: a pathogenetic role in interstitial monocytes recruitment</w:t>
      </w:r>
      <w:r w:rsidRPr="00B27DFF">
        <w:rPr>
          <w:rFonts w:ascii="Arial" w:hAnsi="Arial" w:cs="Arial"/>
          <w:lang w:val="en-US"/>
        </w:rPr>
        <w:t xml:space="preserve">. </w:t>
      </w:r>
      <w:r w:rsidRPr="00B27DFF">
        <w:rPr>
          <w:rFonts w:ascii="Arial" w:hAnsi="Arial" w:cs="Arial"/>
          <w:i/>
          <w:lang w:val="en-US"/>
        </w:rPr>
        <w:t>J Am SocNephrol</w:t>
      </w:r>
      <w:r w:rsidRPr="00B27DFF">
        <w:rPr>
          <w:rFonts w:ascii="Arial" w:hAnsi="Arial" w:cs="Arial"/>
          <w:lang w:val="en-US"/>
        </w:rPr>
        <w:t xml:space="preserve"> 1996; </w:t>
      </w:r>
      <w:r w:rsidRPr="00B27DFF">
        <w:rPr>
          <w:rFonts w:ascii="Arial" w:hAnsi="Arial" w:cs="Arial"/>
          <w:b/>
          <w:lang w:val="en-US"/>
        </w:rPr>
        <w:t>7</w:t>
      </w:r>
      <w:r w:rsidRPr="00B27DFF">
        <w:rPr>
          <w:rFonts w:ascii="Arial" w:hAnsi="Arial" w:cs="Arial"/>
          <w:lang w:val="en-US"/>
        </w:rPr>
        <w:t>: 906-13.</w:t>
      </w:r>
      <w:bookmarkEnd w:id="13"/>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4" w:name="_Ref299024995"/>
      <w:r w:rsidRPr="00B27DFF">
        <w:rPr>
          <w:rFonts w:ascii="Arial" w:hAnsi="Arial" w:cs="Arial"/>
          <w:lang w:val="en-US"/>
        </w:rPr>
        <w:t xml:space="preserve">Wada T, Yokoyama H, Su SB, Mukaida N, Iwano M, Dohi K, Takahashi Y, Sasaki T,  Furuichi K, Segawa C, Hisada Y, Ohta S, Takasawa K, Kobayashi K, Matsushima K: </w:t>
      </w:r>
      <w:r w:rsidRPr="00B27DFF">
        <w:rPr>
          <w:rFonts w:ascii="Arial" w:hAnsi="Arial" w:cs="Arial"/>
          <w:b/>
          <w:lang w:val="en-US"/>
        </w:rPr>
        <w:t>Monitoring urinary levels of monocyte chemotactic and activating factor reflects  disease activity of lupus nephritis</w:t>
      </w:r>
      <w:r w:rsidRPr="00B27DFF">
        <w:rPr>
          <w:rFonts w:ascii="Arial" w:hAnsi="Arial" w:cs="Arial"/>
          <w:lang w:val="en-US"/>
        </w:rPr>
        <w:t xml:space="preserve">. </w:t>
      </w:r>
      <w:r w:rsidRPr="00B27DFF">
        <w:rPr>
          <w:rFonts w:ascii="Arial" w:hAnsi="Arial" w:cs="Arial"/>
          <w:i/>
          <w:lang w:val="en-US"/>
        </w:rPr>
        <w:t>Kidney Int</w:t>
      </w:r>
      <w:r w:rsidRPr="00B27DFF">
        <w:rPr>
          <w:rFonts w:ascii="Arial" w:hAnsi="Arial" w:cs="Arial"/>
          <w:lang w:val="en-US"/>
        </w:rPr>
        <w:t xml:space="preserve"> 1996; </w:t>
      </w:r>
      <w:r w:rsidRPr="00B27DFF">
        <w:rPr>
          <w:rFonts w:ascii="Arial" w:hAnsi="Arial" w:cs="Arial"/>
          <w:b/>
          <w:lang w:val="en-US"/>
        </w:rPr>
        <w:t>49</w:t>
      </w:r>
      <w:r w:rsidRPr="00B27DFF">
        <w:rPr>
          <w:rFonts w:ascii="Arial" w:hAnsi="Arial" w:cs="Arial"/>
          <w:lang w:val="en-US"/>
        </w:rPr>
        <w:t>: 761-7.</w:t>
      </w:r>
      <w:bookmarkEnd w:id="14"/>
    </w:p>
    <w:p w:rsidR="00C51A71" w:rsidRPr="00B27DFF" w:rsidRDefault="00C51A71" w:rsidP="00404023">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5" w:name="_Ref299025150"/>
      <w:r w:rsidRPr="00B27DFF">
        <w:rPr>
          <w:rFonts w:ascii="Arial" w:hAnsi="Arial" w:cs="Arial"/>
          <w:lang w:val="en-US"/>
        </w:rPr>
        <w:t xml:space="preserve">Wagrowska-Danilewicz M, Stasikowska O, Danilewicz M: </w:t>
      </w:r>
      <w:r w:rsidRPr="00B27DFF">
        <w:rPr>
          <w:rFonts w:ascii="Arial" w:hAnsi="Arial" w:cs="Arial"/>
          <w:b/>
          <w:lang w:val="en-US"/>
        </w:rPr>
        <w:t>Correlative insights into immunoexpression of monocyte chemoattractant protein-</w:t>
      </w:r>
      <w:r w:rsidRPr="00B27DFF">
        <w:rPr>
          <w:rFonts w:ascii="Arial" w:hAnsi="Arial" w:cs="Arial"/>
          <w:b/>
          <w:lang w:val="en-US"/>
        </w:rPr>
        <w:lastRenderedPageBreak/>
        <w:t>1, transforming growth factor beta-1 and CD68+ cells in lupus nephritis</w:t>
      </w:r>
      <w:r w:rsidRPr="00B27DFF">
        <w:rPr>
          <w:rFonts w:ascii="Arial" w:hAnsi="Arial" w:cs="Arial"/>
          <w:lang w:val="en-US"/>
        </w:rPr>
        <w:t xml:space="preserve">. </w:t>
      </w:r>
      <w:r w:rsidRPr="00B27DFF">
        <w:rPr>
          <w:rFonts w:ascii="Arial" w:hAnsi="Arial" w:cs="Arial"/>
          <w:i/>
          <w:lang w:val="en-US"/>
        </w:rPr>
        <w:t>Pol J Pathol</w:t>
      </w:r>
      <w:r w:rsidRPr="00B27DFF">
        <w:rPr>
          <w:rFonts w:ascii="Arial" w:hAnsi="Arial" w:cs="Arial"/>
          <w:lang w:val="en-US"/>
        </w:rPr>
        <w:t xml:space="preserve"> 2005; </w:t>
      </w:r>
      <w:r w:rsidRPr="00B27DFF">
        <w:rPr>
          <w:rFonts w:ascii="Arial" w:hAnsi="Arial" w:cs="Arial"/>
          <w:b/>
          <w:lang w:val="en-US"/>
        </w:rPr>
        <w:t>56</w:t>
      </w:r>
      <w:r w:rsidRPr="00B27DFF">
        <w:rPr>
          <w:rFonts w:ascii="Arial" w:hAnsi="Arial" w:cs="Arial"/>
          <w:lang w:val="en-US"/>
        </w:rPr>
        <w:t>: 115-20.</w:t>
      </w:r>
      <w:bookmarkEnd w:id="15"/>
    </w:p>
    <w:p w:rsidR="00C51A71" w:rsidRPr="00B27DFF" w:rsidRDefault="00C51A71" w:rsidP="0000243C">
      <w:pPr>
        <w:widowControl w:val="0"/>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16" w:name="_Ref299024342"/>
      <w:bookmarkStart w:id="17" w:name="_Ref299025170"/>
      <w:r w:rsidRPr="00B27DFF">
        <w:rPr>
          <w:rFonts w:ascii="Arial" w:hAnsi="Arial" w:cs="Arial"/>
          <w:lang w:val="en-US"/>
        </w:rPr>
        <w:t xml:space="preserve">Hill GS, Delahousse M, Nochy D, Tomkiewicz E, Rémy P, Mignon F, Méry JP: </w:t>
      </w:r>
      <w:r w:rsidRPr="00B27DFF">
        <w:rPr>
          <w:rFonts w:ascii="Arial" w:hAnsi="Arial" w:cs="Arial"/>
          <w:b/>
          <w:lang w:val="en-US"/>
        </w:rPr>
        <w:t xml:space="preserve">A new morphologic index for the evaluation of renal biopsies in lupus nephritis. </w:t>
      </w:r>
      <w:r w:rsidRPr="00B27DFF">
        <w:rPr>
          <w:rFonts w:ascii="Arial" w:hAnsi="Arial" w:cs="Arial"/>
          <w:i/>
          <w:lang w:val="en-US"/>
        </w:rPr>
        <w:t>Kidney Int</w:t>
      </w:r>
      <w:r w:rsidRPr="00B27DFF">
        <w:rPr>
          <w:rFonts w:ascii="Arial" w:hAnsi="Arial" w:cs="Arial"/>
          <w:lang w:val="en-US"/>
        </w:rPr>
        <w:t xml:space="preserve"> 2000; </w:t>
      </w:r>
      <w:r w:rsidRPr="00B27DFF">
        <w:rPr>
          <w:rFonts w:ascii="Arial" w:hAnsi="Arial" w:cs="Arial"/>
          <w:b/>
          <w:lang w:val="en-US"/>
        </w:rPr>
        <w:t>58</w:t>
      </w:r>
      <w:r w:rsidRPr="00B27DFF">
        <w:rPr>
          <w:rFonts w:ascii="Arial" w:hAnsi="Arial" w:cs="Arial"/>
          <w:lang w:val="en-US"/>
        </w:rPr>
        <w:t>: 1160-73.</w:t>
      </w:r>
      <w:bookmarkEnd w:id="16"/>
    </w:p>
    <w:bookmarkStart w:id="18" w:name="_Ref305670833"/>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r w:rsidRPr="00B27DFF">
        <w:rPr>
          <w:rFonts w:ascii="Arial" w:hAnsi="Arial" w:cs="Arial"/>
          <w:lang w:val="en-US"/>
        </w:rPr>
        <w:fldChar w:fldCharType="begin"/>
      </w:r>
      <w:r w:rsidRPr="00B27DFF">
        <w:rPr>
          <w:rFonts w:ascii="Arial" w:hAnsi="Arial" w:cs="Arial"/>
          <w:lang w:val="en-US"/>
        </w:rPr>
        <w:instrText xml:space="preserve"> HYPERLINK "http://www.ncbi.nlm.nih.gov/sites/entrez?Db=pubmed&amp;Cmd=Search&amp;Term=%22Descombes%20E%22%5BAuthor%5D&amp;itool=EntrezSystem2.PEntrez.Pubmed.Pubmed_ResultsPanel.Pubmed_RVAbstract" </w:instrText>
      </w:r>
      <w:r w:rsidRPr="00B27DFF">
        <w:rPr>
          <w:rFonts w:ascii="Arial" w:hAnsi="Arial" w:cs="Arial"/>
          <w:lang w:val="en-US"/>
        </w:rPr>
        <w:fldChar w:fldCharType="separate"/>
      </w:r>
      <w:r w:rsidRPr="00B27DFF">
        <w:rPr>
          <w:rStyle w:val="Hipervnculo"/>
          <w:rFonts w:ascii="Arial" w:hAnsi="Arial" w:cs="Arial"/>
          <w:bCs/>
          <w:lang w:val="en-US"/>
        </w:rPr>
        <w:t>Descombes E</w:t>
      </w:r>
      <w:r w:rsidRPr="00B27DFF">
        <w:rPr>
          <w:rFonts w:ascii="Arial" w:hAnsi="Arial" w:cs="Arial"/>
          <w:lang w:val="en-US"/>
        </w:rPr>
        <w:fldChar w:fldCharType="end"/>
      </w:r>
      <w:r w:rsidRPr="00B27DFF">
        <w:rPr>
          <w:rFonts w:ascii="Arial" w:hAnsi="Arial" w:cs="Arial"/>
          <w:lang w:val="en-US"/>
        </w:rPr>
        <w:t xml:space="preserve">, </w:t>
      </w:r>
      <w:hyperlink r:id="rId19" w:history="1">
        <w:r w:rsidRPr="00B27DFF">
          <w:rPr>
            <w:rStyle w:val="Hipervnculo"/>
            <w:rFonts w:ascii="Arial" w:hAnsi="Arial" w:cs="Arial"/>
            <w:bCs/>
            <w:lang w:val="en-US"/>
          </w:rPr>
          <w:t>Droz D</w:t>
        </w:r>
      </w:hyperlink>
      <w:r w:rsidRPr="00B27DFF">
        <w:rPr>
          <w:rFonts w:ascii="Arial" w:hAnsi="Arial" w:cs="Arial"/>
          <w:lang w:val="en-US"/>
        </w:rPr>
        <w:t xml:space="preserve">, </w:t>
      </w:r>
      <w:hyperlink r:id="rId20" w:history="1">
        <w:r w:rsidRPr="00B27DFF">
          <w:rPr>
            <w:rStyle w:val="Hipervnculo"/>
            <w:rFonts w:ascii="Arial" w:hAnsi="Arial" w:cs="Arial"/>
            <w:bCs/>
            <w:lang w:val="en-US"/>
          </w:rPr>
          <w:t>Drouet L</w:t>
        </w:r>
      </w:hyperlink>
      <w:r w:rsidRPr="00B27DFF">
        <w:rPr>
          <w:rFonts w:ascii="Arial" w:hAnsi="Arial" w:cs="Arial"/>
          <w:lang w:val="en-US"/>
        </w:rPr>
        <w:t xml:space="preserve">, </w:t>
      </w:r>
      <w:hyperlink r:id="rId21" w:history="1">
        <w:r w:rsidRPr="00B27DFF">
          <w:rPr>
            <w:rStyle w:val="Hipervnculo"/>
            <w:rFonts w:ascii="Arial" w:hAnsi="Arial" w:cs="Arial"/>
            <w:bCs/>
            <w:lang w:val="en-US"/>
          </w:rPr>
          <w:t>Grünfeld JP</w:t>
        </w:r>
      </w:hyperlink>
      <w:r w:rsidRPr="00B27DFF">
        <w:rPr>
          <w:rFonts w:ascii="Arial" w:hAnsi="Arial" w:cs="Arial"/>
          <w:lang w:val="en-US"/>
        </w:rPr>
        <w:t xml:space="preserve">, </w:t>
      </w:r>
      <w:hyperlink r:id="rId22" w:history="1">
        <w:r w:rsidRPr="00B27DFF">
          <w:rPr>
            <w:rStyle w:val="Hipervnculo"/>
            <w:rFonts w:ascii="Arial" w:hAnsi="Arial" w:cs="Arial"/>
            <w:bCs/>
            <w:lang w:val="en-US"/>
          </w:rPr>
          <w:t>Lesavre P</w:t>
        </w:r>
      </w:hyperlink>
      <w:r w:rsidRPr="00B27DFF">
        <w:rPr>
          <w:rFonts w:ascii="Arial" w:hAnsi="Arial" w:cs="Arial"/>
          <w:lang w:val="en-US"/>
        </w:rPr>
        <w:t xml:space="preserve">: </w:t>
      </w:r>
      <w:r w:rsidRPr="00B27DFF">
        <w:rPr>
          <w:rFonts w:ascii="Arial" w:hAnsi="Arial" w:cs="Arial"/>
          <w:b/>
          <w:bCs/>
          <w:lang w:val="en-US"/>
        </w:rPr>
        <w:t>Renal vascular lesions in lupus nephritis</w:t>
      </w:r>
      <w:r w:rsidRPr="00B27DFF">
        <w:rPr>
          <w:rFonts w:ascii="Arial" w:hAnsi="Arial" w:cs="Arial"/>
          <w:bCs/>
          <w:lang w:val="en-US"/>
        </w:rPr>
        <w:t xml:space="preserve">. </w:t>
      </w:r>
      <w:hyperlink r:id="rId23" w:history="1">
        <w:r w:rsidRPr="00B27DFF">
          <w:rPr>
            <w:rStyle w:val="Hipervnculo"/>
            <w:rFonts w:ascii="Arial" w:hAnsi="Arial" w:cs="Arial"/>
            <w:i/>
            <w:lang w:val="en-US"/>
          </w:rPr>
          <w:t>Medicine (Baltimore)</w:t>
        </w:r>
      </w:hyperlink>
      <w:r w:rsidRPr="00B27DFF">
        <w:rPr>
          <w:rFonts w:ascii="Arial" w:hAnsi="Arial" w:cs="Arial"/>
          <w:lang w:val="en-US"/>
        </w:rPr>
        <w:t xml:space="preserve">1997; </w:t>
      </w:r>
      <w:r w:rsidRPr="00B27DFF">
        <w:rPr>
          <w:rFonts w:ascii="Arial" w:hAnsi="Arial" w:cs="Arial"/>
          <w:b/>
          <w:lang w:val="en-US"/>
        </w:rPr>
        <w:t>76</w:t>
      </w:r>
      <w:r w:rsidRPr="00B27DFF">
        <w:rPr>
          <w:rFonts w:ascii="Arial" w:hAnsi="Arial" w:cs="Arial"/>
          <w:lang w:val="en-US"/>
        </w:rPr>
        <w:t>: 355-68.</w:t>
      </w:r>
      <w:bookmarkEnd w:id="9"/>
      <w:bookmarkEnd w:id="17"/>
      <w:bookmarkEnd w:id="18"/>
    </w:p>
    <w:p w:rsidR="00C51A71" w:rsidRPr="00B27DFF" w:rsidRDefault="00C51A71" w:rsidP="00404023">
      <w:pPr>
        <w:numPr>
          <w:ilvl w:val="0"/>
          <w:numId w:val="31"/>
        </w:numPr>
        <w:tabs>
          <w:tab w:val="clear" w:pos="1080"/>
          <w:tab w:val="num" w:pos="360"/>
          <w:tab w:val="left" w:pos="916"/>
        </w:tabs>
        <w:spacing w:line="480" w:lineRule="auto"/>
        <w:ind w:left="360"/>
        <w:rPr>
          <w:rFonts w:ascii="Arial" w:hAnsi="Arial" w:cs="Arial"/>
          <w:lang w:val="en-US"/>
        </w:rPr>
      </w:pPr>
      <w:bookmarkStart w:id="19" w:name="_Ref286145183"/>
      <w:r w:rsidRPr="00B27DFF">
        <w:rPr>
          <w:rFonts w:ascii="Arial" w:hAnsi="Arial" w:cs="Arial"/>
          <w:lang w:val="en-GB"/>
        </w:rPr>
        <w:t xml:space="preserve">Nochy D, Daugas E, Droz D, et al: </w:t>
      </w:r>
      <w:r w:rsidRPr="00B27DFF">
        <w:rPr>
          <w:rFonts w:ascii="Arial" w:hAnsi="Arial" w:cs="Arial"/>
          <w:b/>
          <w:lang w:val="en-US"/>
        </w:rPr>
        <w:t>The intrarenal vascular lesions associated with primary antiphospholipid syndrome</w:t>
      </w:r>
      <w:r w:rsidRPr="00B27DFF">
        <w:rPr>
          <w:rFonts w:ascii="Arial" w:hAnsi="Arial" w:cs="Arial"/>
          <w:lang w:val="en-US"/>
        </w:rPr>
        <w:t xml:space="preserve">. </w:t>
      </w:r>
      <w:r w:rsidRPr="00B27DFF">
        <w:rPr>
          <w:rFonts w:ascii="Arial" w:hAnsi="Arial" w:cs="Arial"/>
          <w:i/>
          <w:lang w:val="en-US"/>
        </w:rPr>
        <w:t>J Am Soc Nephrol</w:t>
      </w:r>
      <w:r w:rsidRPr="00B27DFF">
        <w:rPr>
          <w:rFonts w:ascii="Arial" w:hAnsi="Arial" w:cs="Arial"/>
          <w:lang w:val="en-US"/>
        </w:rPr>
        <w:t xml:space="preserve"> 1999; </w:t>
      </w:r>
      <w:r w:rsidRPr="00B27DFF">
        <w:rPr>
          <w:rFonts w:ascii="Arial" w:hAnsi="Arial" w:cs="Arial"/>
          <w:b/>
          <w:lang w:val="en-US"/>
        </w:rPr>
        <w:t>10</w:t>
      </w:r>
      <w:r w:rsidRPr="00B27DFF">
        <w:rPr>
          <w:rFonts w:ascii="Arial" w:hAnsi="Arial" w:cs="Arial"/>
          <w:lang w:val="en-US"/>
        </w:rPr>
        <w:t>: 507–18.</w:t>
      </w:r>
      <w:bookmarkEnd w:id="19"/>
    </w:p>
    <w:bookmarkStart w:id="20" w:name="_Ref210689804"/>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r w:rsidRPr="00B27DFF">
        <w:rPr>
          <w:rFonts w:ascii="Arial" w:hAnsi="Arial" w:cs="Arial"/>
          <w:lang w:val="en-US"/>
        </w:rPr>
        <w:fldChar w:fldCharType="begin"/>
      </w:r>
      <w:r w:rsidRPr="00B27DFF">
        <w:rPr>
          <w:rFonts w:ascii="Arial" w:hAnsi="Arial" w:cs="Arial"/>
          <w:lang w:val="en-US"/>
        </w:rPr>
        <w:instrText xml:space="preserve">HYPERLINK "http://www.ncbi.nlm.nih.gov/sites/entrez?Db=pubmed&amp;Cmd=Search&amp;Term=%22Tektonidou%20MG%22%5BAuthor%5D&amp;itool=EntrezSystem2.PEntrez.Pubmed.Pubmed_ResultsPanel.Pubmed_RVAbstract" </w:instrText>
      </w:r>
      <w:r w:rsidRPr="00B27DFF">
        <w:rPr>
          <w:rFonts w:ascii="Arial" w:hAnsi="Arial" w:cs="Arial"/>
          <w:lang w:val="en-US"/>
        </w:rPr>
        <w:fldChar w:fldCharType="separate"/>
      </w:r>
      <w:r w:rsidRPr="00B27DFF">
        <w:rPr>
          <w:rStyle w:val="Hipervnculo"/>
          <w:rFonts w:ascii="Arial" w:hAnsi="Arial" w:cs="Arial"/>
          <w:bCs/>
          <w:lang w:val="en-US"/>
        </w:rPr>
        <w:t>Tektonidou MG</w:t>
      </w:r>
      <w:r w:rsidRPr="00B27DFF">
        <w:rPr>
          <w:rFonts w:ascii="Arial" w:hAnsi="Arial" w:cs="Arial"/>
          <w:lang w:val="en-US"/>
        </w:rPr>
        <w:fldChar w:fldCharType="end"/>
      </w:r>
      <w:r w:rsidRPr="00B27DFF">
        <w:rPr>
          <w:rFonts w:ascii="Arial" w:hAnsi="Arial" w:cs="Arial"/>
          <w:lang w:val="en-US"/>
        </w:rPr>
        <w:t xml:space="preserve">, </w:t>
      </w:r>
      <w:hyperlink r:id="rId24" w:history="1">
        <w:r w:rsidRPr="00B27DFF">
          <w:rPr>
            <w:rStyle w:val="Hipervnculo"/>
            <w:rFonts w:ascii="Arial" w:hAnsi="Arial" w:cs="Arial"/>
            <w:bCs/>
            <w:lang w:val="en-US"/>
          </w:rPr>
          <w:t>Sotsiou F</w:t>
        </w:r>
      </w:hyperlink>
      <w:r w:rsidRPr="00B27DFF">
        <w:rPr>
          <w:rFonts w:ascii="Arial" w:hAnsi="Arial" w:cs="Arial"/>
          <w:lang w:val="en-US"/>
        </w:rPr>
        <w:t xml:space="preserve">, </w:t>
      </w:r>
      <w:hyperlink r:id="rId25" w:history="1">
        <w:r w:rsidRPr="00B27DFF">
          <w:rPr>
            <w:rStyle w:val="Hipervnculo"/>
            <w:rFonts w:ascii="Arial" w:hAnsi="Arial" w:cs="Arial"/>
            <w:bCs/>
            <w:lang w:val="en-US"/>
          </w:rPr>
          <w:t>Nakopoulou L</w:t>
        </w:r>
      </w:hyperlink>
      <w:r w:rsidRPr="00B27DFF">
        <w:rPr>
          <w:rFonts w:ascii="Arial" w:hAnsi="Arial" w:cs="Arial"/>
          <w:lang w:val="en-US"/>
        </w:rPr>
        <w:t xml:space="preserve">, </w:t>
      </w:r>
      <w:hyperlink r:id="rId26" w:history="1">
        <w:r w:rsidRPr="00B27DFF">
          <w:rPr>
            <w:rStyle w:val="Hipervnculo"/>
            <w:rFonts w:ascii="Arial" w:hAnsi="Arial" w:cs="Arial"/>
            <w:bCs/>
            <w:lang w:val="en-US"/>
          </w:rPr>
          <w:t>Vlachoyiannopoulos PG</w:t>
        </w:r>
      </w:hyperlink>
      <w:r w:rsidRPr="00B27DFF">
        <w:rPr>
          <w:rFonts w:ascii="Arial" w:hAnsi="Arial" w:cs="Arial"/>
          <w:lang w:val="en-US"/>
        </w:rPr>
        <w:t xml:space="preserve">, </w:t>
      </w:r>
      <w:hyperlink r:id="rId27" w:history="1">
        <w:r w:rsidRPr="00B27DFF">
          <w:rPr>
            <w:rStyle w:val="Hipervnculo"/>
            <w:rFonts w:ascii="Arial" w:hAnsi="Arial" w:cs="Arial"/>
            <w:bCs/>
            <w:lang w:val="en-US"/>
          </w:rPr>
          <w:t>Moutsopoulos HM</w:t>
        </w:r>
      </w:hyperlink>
      <w:r w:rsidRPr="00B27DFF">
        <w:rPr>
          <w:rFonts w:ascii="Arial" w:hAnsi="Arial" w:cs="Arial"/>
          <w:lang w:val="en-US"/>
        </w:rPr>
        <w:t xml:space="preserve">: </w:t>
      </w:r>
      <w:r w:rsidRPr="00B27DFF">
        <w:rPr>
          <w:rFonts w:ascii="Arial" w:hAnsi="Arial" w:cs="Arial"/>
          <w:b/>
          <w:bCs/>
          <w:lang w:val="en-US"/>
        </w:rPr>
        <w:t>Antiphospholipid syndrome nephropathy in patients with systemic lupus erythematosus and antiphospholipid antibodies: prevalence, clinical associations, and long-term outcome</w:t>
      </w:r>
      <w:r w:rsidRPr="00B27DFF">
        <w:rPr>
          <w:rFonts w:ascii="Arial" w:hAnsi="Arial" w:cs="Arial"/>
          <w:bCs/>
          <w:lang w:val="en-US"/>
        </w:rPr>
        <w:t xml:space="preserve">. </w:t>
      </w:r>
      <w:hyperlink r:id="rId28" w:history="1">
        <w:r w:rsidRPr="00B27DFF">
          <w:rPr>
            <w:rStyle w:val="Hipervnculo"/>
            <w:rFonts w:ascii="Arial" w:hAnsi="Arial" w:cs="Arial"/>
            <w:i/>
            <w:lang w:val="en-US"/>
          </w:rPr>
          <w:t>Arthritis Rheum</w:t>
        </w:r>
      </w:hyperlink>
      <w:r w:rsidRPr="00B27DFF">
        <w:rPr>
          <w:rFonts w:ascii="Arial" w:hAnsi="Arial" w:cs="Arial"/>
          <w:lang w:val="en-US"/>
        </w:rPr>
        <w:t xml:space="preserve"> 2004; </w:t>
      </w:r>
      <w:r w:rsidRPr="00B27DFF">
        <w:rPr>
          <w:rFonts w:ascii="Arial" w:hAnsi="Arial" w:cs="Arial"/>
          <w:b/>
          <w:lang w:val="en-US"/>
        </w:rPr>
        <w:t>50</w:t>
      </w:r>
      <w:r w:rsidRPr="00B27DFF">
        <w:rPr>
          <w:rFonts w:ascii="Arial" w:hAnsi="Arial" w:cs="Arial"/>
          <w:lang w:val="en-US"/>
        </w:rPr>
        <w:t>: 2569-79.</w:t>
      </w:r>
      <w:bookmarkEnd w:id="20"/>
    </w:p>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21" w:name="_Ref286146523"/>
      <w:r w:rsidRPr="00B27DFF">
        <w:rPr>
          <w:rFonts w:ascii="Arial" w:hAnsi="Arial" w:cs="Arial"/>
          <w:lang w:val="en-US"/>
        </w:rPr>
        <w:t xml:space="preserve">Galindo M, Gonzalo E, Martinez-Vidal MP, Montes S, Redondo N, Santiago B, Loza E, Pablos JL: </w:t>
      </w:r>
      <w:r w:rsidRPr="00B27DFF">
        <w:rPr>
          <w:rFonts w:ascii="Arial" w:hAnsi="Arial" w:cs="Arial"/>
          <w:b/>
          <w:lang w:val="en-US"/>
        </w:rPr>
        <w:t xml:space="preserve">Immunohistochemical detection of intravascular platelet microthrombi in patients with lupus nephritis and anti-phospholipid antibodies. </w:t>
      </w:r>
      <w:r w:rsidRPr="00B27DFF">
        <w:rPr>
          <w:rFonts w:ascii="Arial" w:hAnsi="Arial" w:cs="Arial"/>
          <w:i/>
          <w:lang w:val="en-US"/>
        </w:rPr>
        <w:t>Rheumatology</w:t>
      </w:r>
      <w:r w:rsidRPr="00B27DFF">
        <w:rPr>
          <w:rFonts w:ascii="Arial" w:hAnsi="Arial" w:cs="Arial"/>
          <w:lang w:val="en-US"/>
        </w:rPr>
        <w:t xml:space="preserve"> 2009; </w:t>
      </w:r>
      <w:r w:rsidRPr="00B27DFF">
        <w:rPr>
          <w:rFonts w:ascii="Arial" w:hAnsi="Arial" w:cs="Arial"/>
          <w:b/>
          <w:lang w:val="en-US"/>
        </w:rPr>
        <w:t>48</w:t>
      </w:r>
      <w:r w:rsidRPr="00B27DFF">
        <w:rPr>
          <w:rFonts w:ascii="Arial" w:hAnsi="Arial" w:cs="Arial"/>
          <w:lang w:val="en-US"/>
        </w:rPr>
        <w:t>: 1003-7.</w:t>
      </w:r>
      <w:bookmarkEnd w:id="21"/>
    </w:p>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22" w:name="_Ref286147141"/>
      <w:r w:rsidRPr="00B27DFF">
        <w:rPr>
          <w:rFonts w:ascii="Arial" w:hAnsi="Arial" w:cs="Arial"/>
          <w:lang w:val="en-US"/>
        </w:rPr>
        <w:t xml:space="preserve">Girardi G, Berman J, Redecha P, Spruce L, Thurman JM, Kraus D, Hollmann TJ, Casali P, Caroll MC, Wetsel RA, Lambris JD, Holers VM, Salmon JE: </w:t>
      </w:r>
      <w:r w:rsidRPr="00B27DFF">
        <w:rPr>
          <w:rFonts w:ascii="Arial" w:hAnsi="Arial" w:cs="Arial"/>
          <w:b/>
          <w:lang w:val="en-US"/>
        </w:rPr>
        <w:t>Complement C5a receptors and neutrophils mediate fetal injury in the antiphospholipid syndrome</w:t>
      </w:r>
      <w:r w:rsidRPr="00B27DFF">
        <w:rPr>
          <w:rFonts w:ascii="Arial" w:hAnsi="Arial" w:cs="Arial"/>
          <w:lang w:val="en-US"/>
        </w:rPr>
        <w:t xml:space="preserve">. </w:t>
      </w:r>
      <w:r w:rsidRPr="00B27DFF">
        <w:rPr>
          <w:rFonts w:ascii="Arial" w:hAnsi="Arial" w:cs="Arial"/>
          <w:i/>
          <w:lang w:val="en-US"/>
        </w:rPr>
        <w:t>J Clin Invest</w:t>
      </w:r>
      <w:r w:rsidRPr="00B27DFF">
        <w:rPr>
          <w:rFonts w:ascii="Arial" w:hAnsi="Arial" w:cs="Arial"/>
          <w:lang w:val="en-US"/>
        </w:rPr>
        <w:t xml:space="preserve"> 2003; </w:t>
      </w:r>
      <w:r w:rsidRPr="00B27DFF">
        <w:rPr>
          <w:rFonts w:ascii="Arial" w:hAnsi="Arial" w:cs="Arial"/>
          <w:b/>
          <w:lang w:val="en-US"/>
        </w:rPr>
        <w:t>112</w:t>
      </w:r>
      <w:r w:rsidRPr="00B27DFF">
        <w:rPr>
          <w:rFonts w:ascii="Arial" w:hAnsi="Arial" w:cs="Arial"/>
          <w:lang w:val="en-US"/>
        </w:rPr>
        <w:t>: 1644-54.</w:t>
      </w:r>
      <w:bookmarkEnd w:id="22"/>
    </w:p>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23" w:name="_Ref286147142"/>
      <w:r w:rsidRPr="00B27DFF">
        <w:rPr>
          <w:rFonts w:ascii="Arial" w:hAnsi="Arial" w:cs="Arial"/>
          <w:lang w:val="en-US"/>
        </w:rPr>
        <w:lastRenderedPageBreak/>
        <w:t xml:space="preserve">Pierangeli SS, Girardi G, Vega-Ostertag M, Liu X, Espinola RG, Salmon J: </w:t>
      </w:r>
      <w:r w:rsidRPr="00B27DFF">
        <w:rPr>
          <w:rFonts w:ascii="Arial" w:hAnsi="Arial" w:cs="Arial"/>
          <w:b/>
          <w:lang w:val="en-US"/>
        </w:rPr>
        <w:t>Requirement of activation of complement C3 and C5 for antiphospholipid antibody-mediated thrombophilia</w:t>
      </w:r>
      <w:r w:rsidRPr="00B27DFF">
        <w:rPr>
          <w:rFonts w:ascii="Arial" w:hAnsi="Arial" w:cs="Arial"/>
          <w:lang w:val="en-US"/>
        </w:rPr>
        <w:t xml:space="preserve">. </w:t>
      </w:r>
      <w:r w:rsidRPr="00B27DFF">
        <w:rPr>
          <w:rFonts w:ascii="Arial" w:hAnsi="Arial" w:cs="Arial"/>
          <w:i/>
          <w:lang w:val="en-US"/>
        </w:rPr>
        <w:t>Arthritis Rheum</w:t>
      </w:r>
      <w:r w:rsidRPr="00B27DFF">
        <w:rPr>
          <w:rFonts w:ascii="Arial" w:hAnsi="Arial" w:cs="Arial"/>
          <w:lang w:val="en-US"/>
        </w:rPr>
        <w:t xml:space="preserve"> 2005; </w:t>
      </w:r>
      <w:r w:rsidRPr="00B27DFF">
        <w:rPr>
          <w:rFonts w:ascii="Arial" w:hAnsi="Arial" w:cs="Arial"/>
          <w:b/>
          <w:lang w:val="en-US"/>
        </w:rPr>
        <w:t>52</w:t>
      </w:r>
      <w:r w:rsidRPr="00B27DFF">
        <w:rPr>
          <w:rFonts w:ascii="Arial" w:hAnsi="Arial" w:cs="Arial"/>
          <w:lang w:val="en-US"/>
        </w:rPr>
        <w:t>: 2120-4.</w:t>
      </w:r>
      <w:bookmarkEnd w:id="23"/>
    </w:p>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24" w:name="_Ref160036073"/>
      <w:r w:rsidRPr="00B27DFF">
        <w:rPr>
          <w:rFonts w:ascii="Arial" w:hAnsi="Arial" w:cs="Arial"/>
          <w:lang w:val="en-US"/>
        </w:rPr>
        <w:t xml:space="preserve">Peerschke EI, Yin W, Alpert DR, Roubey RA, Salmon JE, Ghebrehiwet B: </w:t>
      </w:r>
      <w:r w:rsidRPr="00B27DFF">
        <w:rPr>
          <w:rFonts w:ascii="Arial" w:hAnsi="Arial" w:cs="Arial"/>
          <w:b/>
          <w:lang w:val="en-US"/>
        </w:rPr>
        <w:t>Serum complement activation on heterologous platelets is associated with arterial thrombosis in patients with systemic lupus erythematosus and antiphospholipid antibodies</w:t>
      </w:r>
      <w:r w:rsidRPr="00B27DFF">
        <w:rPr>
          <w:rFonts w:ascii="Arial" w:hAnsi="Arial" w:cs="Arial"/>
          <w:lang w:val="en-US"/>
        </w:rPr>
        <w:t xml:space="preserve">. </w:t>
      </w:r>
      <w:r w:rsidRPr="00B27DFF">
        <w:rPr>
          <w:rFonts w:ascii="Arial" w:hAnsi="Arial" w:cs="Arial"/>
          <w:i/>
          <w:lang w:val="en-US"/>
        </w:rPr>
        <w:t>Lupus</w:t>
      </w:r>
      <w:r w:rsidRPr="00B27DFF">
        <w:rPr>
          <w:rFonts w:ascii="Arial" w:hAnsi="Arial" w:cs="Arial"/>
          <w:lang w:val="en-US"/>
        </w:rPr>
        <w:t xml:space="preserve"> 2009; </w:t>
      </w:r>
      <w:r w:rsidRPr="00B27DFF">
        <w:rPr>
          <w:rFonts w:ascii="Arial" w:hAnsi="Arial" w:cs="Arial"/>
          <w:b/>
          <w:lang w:val="en-US"/>
        </w:rPr>
        <w:t>18</w:t>
      </w:r>
      <w:r w:rsidRPr="00B27DFF">
        <w:rPr>
          <w:rFonts w:ascii="Arial" w:hAnsi="Arial" w:cs="Arial"/>
          <w:lang w:val="en-US"/>
        </w:rPr>
        <w:t>: 530-8.</w:t>
      </w:r>
      <w:bookmarkEnd w:id="24"/>
    </w:p>
    <w:p w:rsidR="00C51A71" w:rsidRPr="00B27DFF" w:rsidRDefault="00C51A71" w:rsidP="00404023">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25" w:name="_Ref205658465"/>
      <w:bookmarkStart w:id="26" w:name="_Ref205707553"/>
      <w:r w:rsidRPr="00B27DFF">
        <w:rPr>
          <w:rFonts w:ascii="Arial" w:hAnsi="Arial" w:cs="Arial"/>
          <w:lang w:val="en-US"/>
        </w:rPr>
        <w:t xml:space="preserve">Cohen D, Koopmans M, Kremer Hovinga ICL, et al: </w:t>
      </w:r>
      <w:r w:rsidRPr="00B27DFF">
        <w:rPr>
          <w:rFonts w:ascii="Arial" w:hAnsi="Arial" w:cs="Arial"/>
          <w:b/>
          <w:lang w:val="en-US"/>
        </w:rPr>
        <w:t>Potential for glomerular C4d as an indicator of thrombotic microangiopathy in lupus nephritis</w:t>
      </w:r>
      <w:r w:rsidRPr="00B27DFF">
        <w:rPr>
          <w:rFonts w:ascii="Arial" w:hAnsi="Arial" w:cs="Arial"/>
          <w:lang w:val="en-US"/>
        </w:rPr>
        <w:t xml:space="preserve">. </w:t>
      </w:r>
      <w:r w:rsidRPr="00B27DFF">
        <w:rPr>
          <w:rFonts w:ascii="Arial" w:hAnsi="Arial" w:cs="Arial"/>
          <w:i/>
          <w:lang w:val="en-US"/>
        </w:rPr>
        <w:t>Arthritis Rheum</w:t>
      </w:r>
      <w:r w:rsidRPr="00B27DFF">
        <w:rPr>
          <w:rFonts w:ascii="Arial" w:hAnsi="Arial" w:cs="Arial"/>
          <w:lang w:val="en-US"/>
        </w:rPr>
        <w:t xml:space="preserve"> 2008; </w:t>
      </w:r>
      <w:r w:rsidRPr="00B27DFF">
        <w:rPr>
          <w:rFonts w:ascii="Arial" w:hAnsi="Arial" w:cs="Arial"/>
          <w:b/>
          <w:lang w:val="en-US"/>
        </w:rPr>
        <w:t>58</w:t>
      </w:r>
      <w:r w:rsidRPr="00B27DFF">
        <w:rPr>
          <w:rFonts w:ascii="Arial" w:hAnsi="Arial" w:cs="Arial"/>
          <w:lang w:val="en-US"/>
        </w:rPr>
        <w:t>: 2460-9.</w:t>
      </w:r>
      <w:bookmarkStart w:id="27" w:name="_Ref160120560"/>
      <w:bookmarkEnd w:id="25"/>
      <w:bookmarkEnd w:id="26"/>
    </w:p>
    <w:bookmarkStart w:id="28" w:name="_Ref299622070"/>
    <w:bookmarkStart w:id="29" w:name="_Ref299025972"/>
    <w:p w:rsidR="00C51A71" w:rsidRPr="00B27DFF" w:rsidRDefault="00C51A71" w:rsidP="00C75248">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r w:rsidRPr="00B27DFF">
        <w:rPr>
          <w:rFonts w:ascii="Arial" w:hAnsi="Arial" w:cs="Arial"/>
          <w:lang w:val="en-US"/>
        </w:rPr>
        <w:fldChar w:fldCharType="begin"/>
      </w:r>
      <w:r w:rsidRPr="00B27DFF">
        <w:rPr>
          <w:rFonts w:ascii="Arial" w:hAnsi="Arial" w:cs="Arial"/>
          <w:lang w:val="en-US"/>
        </w:rPr>
        <w:instrText xml:space="preserve">HYPERLINK "http://www.ncbi.nlm.nih.gov/sites/entrez?Db=pubmed&amp;Cmd=Search&amp;Term=%22Tan%20EM%22%5BAuthor%5D&amp;itool=EntrezSystem2.PEntrez.Pubmed.Pubmed_ResultsPanel.Pubmed_RVAbstract" </w:instrText>
      </w:r>
      <w:r w:rsidRPr="00B27DFF">
        <w:rPr>
          <w:rFonts w:ascii="Arial" w:hAnsi="Arial" w:cs="Arial"/>
          <w:lang w:val="en-US"/>
        </w:rPr>
        <w:fldChar w:fldCharType="separate"/>
      </w:r>
      <w:r w:rsidRPr="00B27DFF">
        <w:rPr>
          <w:rStyle w:val="Hipervnculo"/>
          <w:rFonts w:ascii="Arial" w:hAnsi="Arial" w:cs="Arial"/>
          <w:bCs/>
          <w:lang w:val="en-US"/>
        </w:rPr>
        <w:t>Tan EM</w:t>
      </w:r>
      <w:r w:rsidRPr="00B27DFF">
        <w:rPr>
          <w:rFonts w:ascii="Arial" w:hAnsi="Arial" w:cs="Arial"/>
          <w:lang w:val="en-US"/>
        </w:rPr>
        <w:fldChar w:fldCharType="end"/>
      </w:r>
      <w:r w:rsidRPr="00B27DFF">
        <w:rPr>
          <w:rFonts w:ascii="Arial" w:hAnsi="Arial" w:cs="Arial"/>
          <w:lang w:val="en-US"/>
        </w:rPr>
        <w:t xml:space="preserve">, </w:t>
      </w:r>
      <w:hyperlink r:id="rId29" w:history="1">
        <w:r w:rsidRPr="00B27DFF">
          <w:rPr>
            <w:rStyle w:val="Hipervnculo"/>
            <w:rFonts w:ascii="Arial" w:hAnsi="Arial" w:cs="Arial"/>
            <w:bCs/>
            <w:lang w:val="en-US"/>
          </w:rPr>
          <w:t>Cohen AS</w:t>
        </w:r>
      </w:hyperlink>
      <w:r w:rsidRPr="00B27DFF">
        <w:rPr>
          <w:rFonts w:ascii="Arial" w:hAnsi="Arial" w:cs="Arial"/>
          <w:lang w:val="en-US"/>
        </w:rPr>
        <w:t xml:space="preserve">, </w:t>
      </w:r>
      <w:hyperlink r:id="rId30" w:history="1">
        <w:r w:rsidRPr="00B27DFF">
          <w:rPr>
            <w:rStyle w:val="Hipervnculo"/>
            <w:rFonts w:ascii="Arial" w:hAnsi="Arial" w:cs="Arial"/>
            <w:bCs/>
            <w:lang w:val="en-US"/>
          </w:rPr>
          <w:t>Fries JF</w:t>
        </w:r>
      </w:hyperlink>
      <w:r w:rsidRPr="00B27DFF">
        <w:rPr>
          <w:rFonts w:ascii="Arial" w:hAnsi="Arial" w:cs="Arial"/>
          <w:lang w:val="en-US"/>
        </w:rPr>
        <w:t xml:space="preserve">, et al: </w:t>
      </w:r>
      <w:r w:rsidRPr="00B27DFF">
        <w:rPr>
          <w:rFonts w:ascii="Arial" w:hAnsi="Arial" w:cs="Arial"/>
          <w:b/>
          <w:bCs/>
          <w:lang w:val="en-US"/>
        </w:rPr>
        <w:t>The 1982 revised criteria for the classification of systemic lupus erythematosus</w:t>
      </w:r>
      <w:r w:rsidRPr="00B27DFF">
        <w:rPr>
          <w:rFonts w:ascii="Arial" w:hAnsi="Arial" w:cs="Arial"/>
          <w:bCs/>
          <w:lang w:val="en-US"/>
        </w:rPr>
        <w:t xml:space="preserve">. </w:t>
      </w:r>
      <w:hyperlink r:id="rId31" w:history="1">
        <w:r w:rsidRPr="00B27DFF">
          <w:rPr>
            <w:rStyle w:val="Hipervnculo"/>
            <w:rFonts w:ascii="Arial" w:hAnsi="Arial" w:cs="Arial"/>
            <w:i/>
            <w:lang w:val="en-US"/>
          </w:rPr>
          <w:t>Arthritis Rheum</w:t>
        </w:r>
      </w:hyperlink>
      <w:r w:rsidRPr="00B27DFF">
        <w:rPr>
          <w:rStyle w:val="Hipervnculo"/>
          <w:rFonts w:ascii="Arial" w:hAnsi="Arial" w:cs="Arial"/>
          <w:i/>
          <w:lang w:val="en-US"/>
        </w:rPr>
        <w:t xml:space="preserve"> </w:t>
      </w:r>
      <w:r w:rsidRPr="00B27DFF">
        <w:rPr>
          <w:rFonts w:ascii="Arial" w:hAnsi="Arial" w:cs="Arial"/>
          <w:lang w:val="en-US"/>
        </w:rPr>
        <w:t xml:space="preserve">1982; </w:t>
      </w:r>
      <w:r w:rsidRPr="00B27DFF">
        <w:rPr>
          <w:rFonts w:ascii="Arial" w:hAnsi="Arial" w:cs="Arial"/>
          <w:b/>
          <w:lang w:val="en-US"/>
        </w:rPr>
        <w:t>25</w:t>
      </w:r>
      <w:r w:rsidRPr="00B27DFF">
        <w:rPr>
          <w:rFonts w:ascii="Arial" w:hAnsi="Arial" w:cs="Arial"/>
          <w:lang w:val="en-US"/>
        </w:rPr>
        <w:t>: 1271-7.</w:t>
      </w:r>
      <w:bookmarkStart w:id="30" w:name="_Ref204488114"/>
      <w:bookmarkStart w:id="31" w:name="_Ref299026187"/>
      <w:bookmarkStart w:id="32" w:name="_Ref299622298"/>
      <w:bookmarkEnd w:id="28"/>
    </w:p>
    <w:p w:rsidR="00C51A71" w:rsidRPr="00B27DFF" w:rsidRDefault="00C51A71" w:rsidP="00C75248">
      <w:pPr>
        <w:numPr>
          <w:ilvl w:val="0"/>
          <w:numId w:val="31"/>
        </w:numPr>
        <w:tabs>
          <w:tab w:val="clear" w:pos="1080"/>
          <w:tab w:val="num" w:pos="360"/>
          <w:tab w:val="left" w:pos="916"/>
        </w:tabs>
        <w:autoSpaceDE w:val="0"/>
        <w:autoSpaceDN w:val="0"/>
        <w:adjustRightInd w:val="0"/>
        <w:spacing w:line="480" w:lineRule="auto"/>
        <w:ind w:left="360"/>
        <w:jc w:val="both"/>
        <w:rPr>
          <w:rFonts w:ascii="Arial" w:hAnsi="Arial" w:cs="Arial"/>
          <w:lang w:val="de-DE"/>
        </w:rPr>
      </w:pPr>
      <w:bookmarkStart w:id="33" w:name="_Ref318726336"/>
      <w:r w:rsidRPr="00B27DFF">
        <w:rPr>
          <w:rFonts w:ascii="Arial" w:eastAsia="MS Minngs" w:hAnsi="Arial" w:cs="Arial"/>
          <w:lang w:val="en-GB" w:eastAsia="ja-JP"/>
        </w:rPr>
        <w:t xml:space="preserve">Weening JJ, D'Agati VD, Schwartz MM, et al: </w:t>
      </w:r>
      <w:r w:rsidRPr="00B27DFF">
        <w:rPr>
          <w:rFonts w:ascii="Arial" w:eastAsia="MS Minngs" w:hAnsi="Arial" w:cs="Arial"/>
          <w:b/>
          <w:lang w:val="en-GB" w:eastAsia="ja-JP"/>
        </w:rPr>
        <w:t>The classification of glomerulonephritis in systemic lupus erythematosus revisited</w:t>
      </w:r>
      <w:r w:rsidRPr="00B27DFF">
        <w:rPr>
          <w:rFonts w:ascii="Arial" w:eastAsia="MS Minngs" w:hAnsi="Arial" w:cs="Arial"/>
          <w:lang w:val="en-GB" w:eastAsia="ja-JP"/>
        </w:rPr>
        <w:t xml:space="preserve">. </w:t>
      </w:r>
      <w:r w:rsidRPr="00B27DFF">
        <w:rPr>
          <w:rFonts w:ascii="Arial" w:eastAsia="MS Minngs" w:hAnsi="Arial" w:cs="Arial"/>
          <w:lang w:val="de-DE" w:eastAsia="ja-JP"/>
        </w:rPr>
        <w:t>J Am Soc Nephrol 2004; 150: 241-50.</w:t>
      </w:r>
      <w:bookmarkEnd w:id="33"/>
    </w:p>
    <w:p w:rsidR="00C51A71" w:rsidRPr="00B27DFF" w:rsidRDefault="00C51A71" w:rsidP="003D3E15">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34" w:name="_Ref318731406"/>
      <w:r w:rsidRPr="00B27DFF">
        <w:rPr>
          <w:rFonts w:ascii="Arial" w:hAnsi="Arial" w:cs="Arial"/>
          <w:lang w:val="en-GB"/>
        </w:rPr>
        <w:t xml:space="preserve">Wilson WA, Gharavi AE, Koike T, et al: </w:t>
      </w:r>
      <w:r w:rsidRPr="00B27DFF">
        <w:rPr>
          <w:rFonts w:ascii="Arial" w:hAnsi="Arial" w:cs="Arial"/>
          <w:b/>
          <w:lang w:val="en-GB"/>
        </w:rPr>
        <w:t>International consensus statement on preliminary classification criteria for definite antiphospholipid syndrome: report of an international workshop</w:t>
      </w:r>
      <w:r w:rsidRPr="00B27DFF">
        <w:rPr>
          <w:rFonts w:ascii="Arial" w:hAnsi="Arial" w:cs="Arial"/>
          <w:lang w:val="en-GB"/>
        </w:rPr>
        <w:t xml:space="preserve">. </w:t>
      </w:r>
      <w:r w:rsidRPr="00B27DFF">
        <w:rPr>
          <w:rFonts w:ascii="Arial" w:hAnsi="Arial" w:cs="Arial"/>
          <w:i/>
          <w:iCs/>
          <w:lang w:val="en-US"/>
        </w:rPr>
        <w:t>Arthritis Rheum</w:t>
      </w:r>
      <w:r w:rsidRPr="00B27DFF">
        <w:rPr>
          <w:rFonts w:ascii="Arial" w:hAnsi="Arial" w:cs="Arial"/>
          <w:lang w:val="en-US"/>
        </w:rPr>
        <w:t xml:space="preserve"> 1999; </w:t>
      </w:r>
      <w:r w:rsidRPr="00B27DFF">
        <w:rPr>
          <w:rFonts w:ascii="Arial" w:hAnsi="Arial" w:cs="Arial"/>
          <w:b/>
          <w:bCs/>
          <w:lang w:val="en-US"/>
        </w:rPr>
        <w:t>42</w:t>
      </w:r>
      <w:r w:rsidRPr="00B27DFF">
        <w:rPr>
          <w:rFonts w:ascii="Arial" w:hAnsi="Arial" w:cs="Arial"/>
          <w:lang w:val="en-US"/>
        </w:rPr>
        <w:t>: 1309-11.</w:t>
      </w:r>
      <w:bookmarkEnd w:id="30"/>
      <w:bookmarkEnd w:id="31"/>
      <w:bookmarkEnd w:id="32"/>
      <w:bookmarkEnd w:id="34"/>
    </w:p>
    <w:p w:rsidR="00C51A71" w:rsidRPr="00B27DFF" w:rsidRDefault="00C51A71" w:rsidP="00EE6F16">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GB"/>
        </w:rPr>
      </w:pPr>
      <w:bookmarkStart w:id="35" w:name="_Ref318727017"/>
      <w:bookmarkStart w:id="36" w:name="_Ref204488162"/>
      <w:r w:rsidRPr="00B27DFF">
        <w:rPr>
          <w:rFonts w:ascii="Arial" w:eastAsia="MS Minngs" w:hAnsi="Arial" w:cs="Arial"/>
          <w:lang w:val="en-GB" w:eastAsia="ja-JP"/>
        </w:rPr>
        <w:t xml:space="preserve">Pengo V, Tripodi A, Reber G, et al; Subcommittee on Lupus Anticoagulant/Antiphospholipid Antibody of the Scientific and Standardisation Committee of the International Society on Thrombosis and Haemostasis: </w:t>
      </w:r>
      <w:r w:rsidRPr="00B27DFF">
        <w:rPr>
          <w:rFonts w:ascii="Arial" w:eastAsia="MS Minngs" w:hAnsi="Arial" w:cs="Arial"/>
          <w:b/>
          <w:lang w:val="en-GB" w:eastAsia="ja-JP"/>
        </w:rPr>
        <w:t xml:space="preserve">Update of the guidelines for lupus anticoagulant </w:t>
      </w:r>
      <w:r w:rsidRPr="00B27DFF">
        <w:rPr>
          <w:rFonts w:ascii="Arial" w:eastAsia="MS Minngs" w:hAnsi="Arial" w:cs="Arial"/>
          <w:b/>
          <w:lang w:val="en-GB" w:eastAsia="ja-JP"/>
        </w:rPr>
        <w:lastRenderedPageBreak/>
        <w:t>detection. Subcommittee on Lupus Anticoagulant/Antiphospholipid Antibody of the Scientific and Standardisation Committee of the International Society on Thrombosis and Haemostasis</w:t>
      </w:r>
      <w:r w:rsidRPr="00B27DFF">
        <w:rPr>
          <w:rFonts w:ascii="Arial" w:eastAsia="MS Minngs" w:hAnsi="Arial" w:cs="Arial"/>
          <w:lang w:val="en-GB" w:eastAsia="ja-JP"/>
        </w:rPr>
        <w:t>. J Thromb Haemost 2009; 7: 1737-40.</w:t>
      </w:r>
      <w:bookmarkEnd w:id="35"/>
    </w:p>
    <w:p w:rsidR="00C51A71" w:rsidRPr="00B27DFF" w:rsidRDefault="00C51A71" w:rsidP="00C25AEB">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37" w:name="_Ref318731550"/>
      <w:r w:rsidRPr="00B27DFF">
        <w:rPr>
          <w:rFonts w:ascii="Arial" w:hAnsi="Arial" w:cs="Arial"/>
          <w:lang w:val="en-US"/>
        </w:rPr>
        <w:t xml:space="preserve">Bombardier C, Gladman DD, Urowitz MB, Caron D, Chang CH: </w:t>
      </w:r>
      <w:r w:rsidRPr="00B27DFF">
        <w:rPr>
          <w:rFonts w:ascii="Arial" w:hAnsi="Arial" w:cs="Arial"/>
          <w:b/>
          <w:lang w:val="en-US"/>
        </w:rPr>
        <w:t>Derivation of the SLEDAI. A disease activity index for lupus patients. The Committee on Prognosis Studies in SLE</w:t>
      </w:r>
      <w:r w:rsidRPr="00B27DFF">
        <w:rPr>
          <w:rFonts w:ascii="Arial" w:hAnsi="Arial" w:cs="Arial"/>
          <w:lang w:val="en-US"/>
        </w:rPr>
        <w:t xml:space="preserve">. </w:t>
      </w:r>
      <w:r w:rsidRPr="00B27DFF">
        <w:rPr>
          <w:rFonts w:ascii="Arial" w:hAnsi="Arial" w:cs="Arial"/>
          <w:i/>
          <w:lang w:val="en-US"/>
        </w:rPr>
        <w:t>Arthritis Rheum</w:t>
      </w:r>
      <w:r w:rsidRPr="00B27DFF">
        <w:rPr>
          <w:rFonts w:ascii="Arial" w:hAnsi="Arial" w:cs="Arial"/>
          <w:lang w:val="en-US"/>
        </w:rPr>
        <w:t xml:space="preserve"> 1992; </w:t>
      </w:r>
      <w:r w:rsidRPr="00B27DFF">
        <w:rPr>
          <w:rStyle w:val="volume"/>
          <w:rFonts w:ascii="Arial" w:hAnsi="Arial" w:cs="Arial"/>
          <w:b/>
          <w:lang w:val="en-US"/>
        </w:rPr>
        <w:t>35</w:t>
      </w:r>
      <w:r w:rsidRPr="00B27DFF">
        <w:rPr>
          <w:rFonts w:ascii="Arial" w:hAnsi="Arial" w:cs="Arial"/>
          <w:lang w:val="en-US"/>
        </w:rPr>
        <w:t>: 6</w:t>
      </w:r>
      <w:r w:rsidRPr="00B27DFF">
        <w:rPr>
          <w:rStyle w:val="pages"/>
          <w:rFonts w:ascii="Arial" w:hAnsi="Arial" w:cs="Arial"/>
          <w:lang w:val="en-US"/>
        </w:rPr>
        <w:t>30-40</w:t>
      </w:r>
      <w:r w:rsidRPr="00B27DFF">
        <w:rPr>
          <w:rFonts w:ascii="Arial" w:hAnsi="Arial" w:cs="Arial"/>
          <w:lang w:val="en-US"/>
        </w:rPr>
        <w:t>.</w:t>
      </w:r>
      <w:bookmarkStart w:id="38" w:name="_Ref204532320"/>
      <w:bookmarkEnd w:id="36"/>
      <w:bookmarkEnd w:id="37"/>
    </w:p>
    <w:p w:rsidR="00C51A71" w:rsidRPr="00B27DFF" w:rsidRDefault="00C51A71" w:rsidP="00C25AEB">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r w:rsidRPr="00B27DFF">
        <w:rPr>
          <w:rFonts w:ascii="Arial" w:hAnsi="Arial"/>
          <w:b/>
          <w:lang w:val="en-GB"/>
        </w:rPr>
        <w:t>Image J: Image processing and analysis in Java</w:t>
      </w:r>
      <w:r w:rsidRPr="00B27DFF">
        <w:rPr>
          <w:lang w:val="en-GB"/>
        </w:rPr>
        <w:t xml:space="preserve"> [</w:t>
      </w:r>
      <w:hyperlink r:id="rId32" w:history="1">
        <w:r w:rsidRPr="00B27DFF">
          <w:rPr>
            <w:rFonts w:ascii="Arial" w:hAnsi="Arial" w:cs="Arial"/>
            <w:lang w:val="en-GB"/>
          </w:rPr>
          <w:t>http://rsb.info.nih.gov/ij</w:t>
        </w:r>
      </w:hyperlink>
      <w:r w:rsidRPr="00B27DFF">
        <w:rPr>
          <w:rFonts w:ascii="Arial" w:hAnsi="Arial" w:cs="Arial"/>
          <w:lang w:val="en-GB"/>
        </w:rPr>
        <w:t>]</w:t>
      </w:r>
    </w:p>
    <w:bookmarkStart w:id="39" w:name="_Ref318727773"/>
    <w:p w:rsidR="00C51A71" w:rsidRPr="00B27DFF" w:rsidRDefault="00C51A71" w:rsidP="00544D46">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r w:rsidRPr="00B27DFF">
        <w:rPr>
          <w:rFonts w:ascii="Arial" w:hAnsi="Arial" w:cs="Arial"/>
          <w:lang w:val="en-GB"/>
        </w:rPr>
        <w:fldChar w:fldCharType="begin"/>
      </w:r>
      <w:r w:rsidRPr="00B27DFF">
        <w:rPr>
          <w:rFonts w:ascii="Arial" w:hAnsi="Arial" w:cs="Arial"/>
          <w:lang w:val="en-GB"/>
        </w:rPr>
        <w:instrText xml:space="preserve"> HYPERLINK "http://www.ncbi.nlm.nih.gov/sites/entrez?Db=pubmed&amp;Cmd=Search&amp;Term=%22Austin%20HA%203rd%22%5BAuthor%5D&amp;itool=EntrezSystem2.PEntrez.Pubmed.Pubmed_ResultsPanel.Pubmed_RVAbstract" </w:instrText>
      </w:r>
      <w:r w:rsidRPr="00B27DFF">
        <w:rPr>
          <w:rFonts w:ascii="Arial" w:hAnsi="Arial" w:cs="Arial"/>
          <w:lang w:val="en-GB"/>
        </w:rPr>
        <w:fldChar w:fldCharType="separate"/>
      </w:r>
      <w:r w:rsidRPr="00B27DFF">
        <w:rPr>
          <w:rStyle w:val="Hipervnculo"/>
          <w:rFonts w:ascii="Arial" w:hAnsi="Arial" w:cs="Arial"/>
          <w:bCs/>
          <w:lang w:val="en-GB"/>
        </w:rPr>
        <w:t>Austin HA 3rd</w:t>
      </w:r>
      <w:r w:rsidRPr="00B27DFF">
        <w:rPr>
          <w:rFonts w:ascii="Arial" w:hAnsi="Arial" w:cs="Arial"/>
          <w:lang w:val="en-GB"/>
        </w:rPr>
        <w:fldChar w:fldCharType="end"/>
      </w:r>
      <w:r w:rsidRPr="00B27DFF">
        <w:rPr>
          <w:rFonts w:ascii="Arial" w:hAnsi="Arial" w:cs="Arial"/>
          <w:lang w:val="en-GB"/>
        </w:rPr>
        <w:t xml:space="preserve">, </w:t>
      </w:r>
      <w:hyperlink r:id="rId33" w:history="1">
        <w:r w:rsidRPr="00B27DFF">
          <w:rPr>
            <w:rStyle w:val="Hipervnculo"/>
            <w:rFonts w:ascii="Arial" w:hAnsi="Arial" w:cs="Arial"/>
            <w:bCs/>
            <w:lang w:val="en-GB"/>
          </w:rPr>
          <w:t>Klippel JH</w:t>
        </w:r>
      </w:hyperlink>
      <w:r w:rsidRPr="00B27DFF">
        <w:rPr>
          <w:rFonts w:ascii="Arial" w:hAnsi="Arial" w:cs="Arial"/>
          <w:lang w:val="en-GB"/>
        </w:rPr>
        <w:t xml:space="preserve">, </w:t>
      </w:r>
      <w:hyperlink r:id="rId34" w:history="1">
        <w:r w:rsidRPr="00B27DFF">
          <w:rPr>
            <w:rStyle w:val="Hipervnculo"/>
            <w:rFonts w:ascii="Arial" w:hAnsi="Arial" w:cs="Arial"/>
            <w:bCs/>
            <w:lang w:val="en-GB"/>
          </w:rPr>
          <w:t>Balow JE</w:t>
        </w:r>
      </w:hyperlink>
      <w:r w:rsidRPr="00B27DFF">
        <w:rPr>
          <w:rFonts w:ascii="Arial" w:hAnsi="Arial" w:cs="Arial"/>
          <w:lang w:val="en-GB"/>
        </w:rPr>
        <w:t xml:space="preserve">, et al: </w:t>
      </w:r>
      <w:r w:rsidRPr="00B27DFF">
        <w:rPr>
          <w:rFonts w:ascii="Arial" w:hAnsi="Arial" w:cs="Arial"/>
          <w:b/>
          <w:bCs/>
          <w:lang w:val="en-US"/>
        </w:rPr>
        <w:t>Therapy of lupus nephritis. Controlled trial of prednisone and cytotoxic drugs</w:t>
      </w:r>
      <w:r w:rsidRPr="00B27DFF">
        <w:rPr>
          <w:rFonts w:ascii="Arial" w:hAnsi="Arial" w:cs="Arial"/>
          <w:bCs/>
          <w:lang w:val="en-US"/>
        </w:rPr>
        <w:t xml:space="preserve">. </w:t>
      </w:r>
      <w:hyperlink r:id="rId35" w:history="1">
        <w:r w:rsidRPr="00B27DFF">
          <w:rPr>
            <w:rStyle w:val="Hipervnculo"/>
            <w:rFonts w:ascii="Arial" w:hAnsi="Arial" w:cs="Arial"/>
            <w:i/>
            <w:lang w:val="en-US"/>
          </w:rPr>
          <w:t>N Engl J Med</w:t>
        </w:r>
      </w:hyperlink>
      <w:r w:rsidRPr="00B27DFF">
        <w:rPr>
          <w:rFonts w:ascii="Arial" w:hAnsi="Arial" w:cs="Arial"/>
          <w:lang w:val="en-US"/>
        </w:rPr>
        <w:t xml:space="preserve"> 1986; </w:t>
      </w:r>
      <w:r w:rsidRPr="00B27DFF">
        <w:rPr>
          <w:rFonts w:ascii="Arial" w:hAnsi="Arial" w:cs="Arial"/>
          <w:b/>
          <w:lang w:val="en-US"/>
        </w:rPr>
        <w:t>314</w:t>
      </w:r>
      <w:r w:rsidRPr="00B27DFF">
        <w:rPr>
          <w:rFonts w:ascii="Arial" w:hAnsi="Arial" w:cs="Arial"/>
          <w:lang w:val="en-US"/>
        </w:rPr>
        <w:t>: 614-9.</w:t>
      </w:r>
      <w:bookmarkStart w:id="40" w:name="_Ref165392931"/>
      <w:bookmarkStart w:id="41" w:name="_Ref165821318"/>
      <w:bookmarkEnd w:id="38"/>
      <w:bookmarkEnd w:id="39"/>
    </w:p>
    <w:p w:rsidR="00C51A71" w:rsidRPr="00B27DFF" w:rsidRDefault="00C51A71" w:rsidP="00544D46">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42" w:name="_Ref305415330"/>
      <w:r w:rsidRPr="00B27DFF">
        <w:rPr>
          <w:rFonts w:ascii="Arial" w:hAnsi="Arial" w:cs="Arial"/>
          <w:lang w:val="en-US"/>
        </w:rPr>
        <w:t xml:space="preserve">Leroyer AS, Anfosso F, Lacroix R, et al: </w:t>
      </w:r>
      <w:r w:rsidRPr="00B27DFF">
        <w:rPr>
          <w:rFonts w:ascii="Arial" w:hAnsi="Arial" w:cs="Arial"/>
          <w:b/>
          <w:lang w:val="en-GB"/>
        </w:rPr>
        <w:t>Endothelial-derived microparticles: Biological conveyors at the crossroad of inflammation, thrombosis and angiogenesis</w:t>
      </w:r>
      <w:r w:rsidRPr="00B27DFF">
        <w:rPr>
          <w:rFonts w:ascii="Arial" w:hAnsi="Arial" w:cs="Arial"/>
          <w:lang w:val="en-GB"/>
        </w:rPr>
        <w:t xml:space="preserve">. </w:t>
      </w:r>
      <w:r w:rsidRPr="00B27DFF">
        <w:rPr>
          <w:rFonts w:ascii="Arial" w:hAnsi="Arial" w:cs="Arial"/>
          <w:i/>
        </w:rPr>
        <w:t>Thromb Haemost</w:t>
      </w:r>
      <w:r w:rsidRPr="00B27DFF">
        <w:rPr>
          <w:rFonts w:ascii="Arial" w:hAnsi="Arial" w:cs="Arial"/>
        </w:rPr>
        <w:t xml:space="preserve"> 2010; </w:t>
      </w:r>
      <w:r w:rsidRPr="00B27DFF">
        <w:rPr>
          <w:rFonts w:ascii="Arial" w:hAnsi="Arial" w:cs="Arial"/>
          <w:b/>
        </w:rPr>
        <w:t>104</w:t>
      </w:r>
      <w:r w:rsidRPr="00B27DFF">
        <w:rPr>
          <w:rFonts w:ascii="Arial" w:hAnsi="Arial" w:cs="Arial"/>
        </w:rPr>
        <w:t>: 456-63.</w:t>
      </w:r>
      <w:bookmarkEnd w:id="42"/>
    </w:p>
    <w:p w:rsidR="00C51A71" w:rsidRPr="00B27DFF" w:rsidRDefault="00C51A71" w:rsidP="00F51E3A">
      <w:pPr>
        <w:numPr>
          <w:ilvl w:val="0"/>
          <w:numId w:val="31"/>
        </w:numPr>
        <w:tabs>
          <w:tab w:val="clear" w:pos="1080"/>
          <w:tab w:val="num" w:pos="360"/>
          <w:tab w:val="left" w:pos="916"/>
        </w:tabs>
        <w:autoSpaceDE w:val="0"/>
        <w:autoSpaceDN w:val="0"/>
        <w:adjustRightInd w:val="0"/>
        <w:spacing w:line="480" w:lineRule="auto"/>
        <w:ind w:left="360"/>
        <w:jc w:val="both"/>
        <w:rPr>
          <w:rFonts w:ascii="Arial" w:hAnsi="Arial" w:cs="Arial"/>
          <w:lang w:val="en-US"/>
        </w:rPr>
      </w:pPr>
      <w:bookmarkStart w:id="43" w:name="_Ref305415730"/>
      <w:r w:rsidRPr="00B27DFF">
        <w:rPr>
          <w:rFonts w:ascii="Arial" w:hAnsi="Arial" w:cs="Arial"/>
          <w:lang w:val="en-GB"/>
        </w:rPr>
        <w:t xml:space="preserve">Distelmaier K, Adlbrecht C, Jakowitsch J, et al: </w:t>
      </w:r>
      <w:r w:rsidRPr="00B27DFF">
        <w:rPr>
          <w:rFonts w:ascii="Arial" w:hAnsi="Arial" w:cs="Arial"/>
          <w:b/>
          <w:lang w:val="en-US"/>
        </w:rPr>
        <w:t>Local complement activation triggers neutrophil recruitment to the site of thrombus formation in acute myocardial infarction</w:t>
      </w:r>
      <w:r w:rsidRPr="00B27DFF">
        <w:rPr>
          <w:rFonts w:ascii="Arial" w:hAnsi="Arial" w:cs="Arial"/>
          <w:lang w:val="en-US"/>
        </w:rPr>
        <w:t xml:space="preserve">. </w:t>
      </w:r>
      <w:r w:rsidRPr="00B27DFF">
        <w:rPr>
          <w:rFonts w:ascii="Arial" w:hAnsi="Arial" w:cs="Arial"/>
          <w:i/>
          <w:lang w:val="en-US"/>
        </w:rPr>
        <w:t>Thromb Haemost</w:t>
      </w:r>
      <w:r w:rsidRPr="00B27DFF">
        <w:rPr>
          <w:rFonts w:ascii="Arial" w:hAnsi="Arial" w:cs="Arial"/>
          <w:lang w:val="en-US"/>
        </w:rPr>
        <w:t xml:space="preserve"> 2009; </w:t>
      </w:r>
      <w:r w:rsidRPr="00B27DFF">
        <w:rPr>
          <w:rFonts w:ascii="Arial" w:hAnsi="Arial" w:cs="Arial"/>
          <w:b/>
          <w:lang w:val="en-US"/>
        </w:rPr>
        <w:t>102</w:t>
      </w:r>
      <w:r w:rsidRPr="00B27DFF">
        <w:rPr>
          <w:rFonts w:ascii="Arial" w:hAnsi="Arial" w:cs="Arial"/>
          <w:lang w:val="en-US"/>
        </w:rPr>
        <w:t>: 564-72.</w:t>
      </w:r>
      <w:bookmarkStart w:id="44" w:name="_Ref165412733"/>
      <w:bookmarkEnd w:id="40"/>
      <w:bookmarkEnd w:id="41"/>
      <w:bookmarkEnd w:id="43"/>
    </w:p>
    <w:p w:rsidR="00C51A71" w:rsidRPr="00B27DFF" w:rsidRDefault="00C51A71" w:rsidP="00F51E3A">
      <w:pPr>
        <w:numPr>
          <w:ilvl w:val="0"/>
          <w:numId w:val="31"/>
        </w:numPr>
        <w:tabs>
          <w:tab w:val="clear" w:pos="1080"/>
          <w:tab w:val="num" w:pos="360"/>
          <w:tab w:val="left" w:pos="916"/>
        </w:tabs>
        <w:autoSpaceDE w:val="0"/>
        <w:autoSpaceDN w:val="0"/>
        <w:adjustRightInd w:val="0"/>
        <w:spacing w:line="480" w:lineRule="auto"/>
        <w:ind w:left="360"/>
        <w:jc w:val="both"/>
        <w:rPr>
          <w:rFonts w:ascii="Arial" w:hAnsi="Arial" w:cs="Arial"/>
          <w:lang w:val="en-US"/>
        </w:rPr>
      </w:pPr>
      <w:bookmarkStart w:id="45" w:name="_Ref293052239"/>
      <w:r w:rsidRPr="00B27DFF">
        <w:rPr>
          <w:rFonts w:ascii="Arial" w:hAnsi="Arial" w:cs="Arial"/>
          <w:lang w:val="en-US"/>
        </w:rPr>
        <w:t xml:space="preserve">Oku K, Atsumi T, Bohgaki M, et al: </w:t>
      </w:r>
      <w:r w:rsidRPr="00B27DFF">
        <w:rPr>
          <w:rFonts w:ascii="Arial" w:hAnsi="Arial" w:cs="Arial"/>
          <w:b/>
          <w:lang w:val="en-US"/>
        </w:rPr>
        <w:t>Complement activation in patients with primary antiphospholipid syndrome</w:t>
      </w:r>
      <w:r w:rsidRPr="00B27DFF">
        <w:rPr>
          <w:rFonts w:ascii="Arial" w:hAnsi="Arial" w:cs="Arial"/>
          <w:lang w:val="en-US"/>
        </w:rPr>
        <w:t xml:space="preserve">. </w:t>
      </w:r>
      <w:r w:rsidRPr="00B27DFF">
        <w:rPr>
          <w:rFonts w:ascii="Arial" w:hAnsi="Arial" w:cs="Arial"/>
          <w:i/>
          <w:lang w:val="en-US"/>
        </w:rPr>
        <w:t>Ann Rheum Dis</w:t>
      </w:r>
      <w:r w:rsidRPr="00B27DFF">
        <w:rPr>
          <w:rFonts w:ascii="Arial" w:hAnsi="Arial" w:cs="Arial"/>
          <w:lang w:val="en-US"/>
        </w:rPr>
        <w:t xml:space="preserve"> 2009; </w:t>
      </w:r>
      <w:r w:rsidRPr="00B27DFF">
        <w:rPr>
          <w:rFonts w:ascii="Arial" w:hAnsi="Arial" w:cs="Arial"/>
          <w:b/>
          <w:lang w:val="en-US"/>
        </w:rPr>
        <w:t>68:</w:t>
      </w:r>
      <w:r w:rsidRPr="00B27DFF">
        <w:rPr>
          <w:rFonts w:ascii="Arial" w:hAnsi="Arial" w:cs="Arial"/>
          <w:lang w:val="en-US"/>
        </w:rPr>
        <w:t>1030-5.</w:t>
      </w:r>
      <w:bookmarkEnd w:id="44"/>
      <w:bookmarkEnd w:id="45"/>
    </w:p>
    <w:p w:rsidR="00C51A71" w:rsidRPr="00B27DFF" w:rsidRDefault="00C51A71" w:rsidP="00E4072E">
      <w:pPr>
        <w:numPr>
          <w:ilvl w:val="0"/>
          <w:numId w:val="31"/>
        </w:numPr>
        <w:tabs>
          <w:tab w:val="clear" w:pos="1080"/>
          <w:tab w:val="num" w:pos="360"/>
          <w:tab w:val="left" w:pos="916"/>
        </w:tabs>
        <w:autoSpaceDE w:val="0"/>
        <w:autoSpaceDN w:val="0"/>
        <w:adjustRightInd w:val="0"/>
        <w:spacing w:line="480" w:lineRule="auto"/>
        <w:ind w:left="360"/>
        <w:jc w:val="both"/>
        <w:rPr>
          <w:rFonts w:ascii="Arial" w:hAnsi="Arial" w:cs="Arial"/>
          <w:lang w:val="en-US"/>
        </w:rPr>
      </w:pPr>
      <w:bookmarkStart w:id="46" w:name="_Ref292360319"/>
      <w:r w:rsidRPr="00B27DFF">
        <w:rPr>
          <w:rFonts w:ascii="Arial" w:hAnsi="Arial" w:cs="Arial"/>
          <w:lang w:val="en-US"/>
        </w:rPr>
        <w:t xml:space="preserve">Shen Y, Chen XW, Sun CY, Dai M, Yan YC, Yang CD: </w:t>
      </w:r>
      <w:r w:rsidRPr="00B27DFF">
        <w:rPr>
          <w:rFonts w:ascii="Arial" w:hAnsi="Arial" w:cs="Arial"/>
          <w:b/>
          <w:lang w:val="en-US"/>
        </w:rPr>
        <w:t xml:space="preserve">Association between anti-beta2 glycoprotein I antibodies and renal glomerular C4d deposition in lupus nephritis patients with glomerular </w:t>
      </w:r>
      <w:r w:rsidRPr="00B27DFF">
        <w:rPr>
          <w:rFonts w:ascii="Arial" w:hAnsi="Arial" w:cs="Arial"/>
          <w:b/>
          <w:lang w:val="en-US"/>
        </w:rPr>
        <w:lastRenderedPageBreak/>
        <w:t>microthrombosis: a prospective study of 155 cases</w:t>
      </w:r>
      <w:r w:rsidRPr="00B27DFF">
        <w:rPr>
          <w:rFonts w:ascii="Arial" w:hAnsi="Arial" w:cs="Arial"/>
          <w:lang w:val="en-US"/>
        </w:rPr>
        <w:t xml:space="preserve">. </w:t>
      </w:r>
      <w:r w:rsidRPr="00B27DFF">
        <w:rPr>
          <w:rFonts w:ascii="Arial" w:hAnsi="Arial" w:cs="Arial"/>
          <w:i/>
          <w:lang w:val="en-US"/>
        </w:rPr>
        <w:t>Lupus</w:t>
      </w:r>
      <w:r w:rsidRPr="00B27DFF">
        <w:rPr>
          <w:rFonts w:ascii="Arial" w:hAnsi="Arial" w:cs="Arial"/>
          <w:lang w:val="en-US"/>
        </w:rPr>
        <w:t xml:space="preserve"> 2010; </w:t>
      </w:r>
      <w:r w:rsidRPr="00B27DFF">
        <w:rPr>
          <w:rFonts w:ascii="Arial" w:hAnsi="Arial" w:cs="Arial"/>
          <w:b/>
          <w:lang w:val="en-US"/>
        </w:rPr>
        <w:t>19</w:t>
      </w:r>
      <w:r w:rsidRPr="00B27DFF">
        <w:rPr>
          <w:rFonts w:ascii="Arial" w:hAnsi="Arial" w:cs="Arial"/>
          <w:lang w:val="en-US"/>
        </w:rPr>
        <w:t>: 1195-203.</w:t>
      </w:r>
      <w:bookmarkEnd w:id="46"/>
    </w:p>
    <w:bookmarkStart w:id="47" w:name="_Ref205657370"/>
    <w:bookmarkStart w:id="48" w:name="_Ref165392929"/>
    <w:bookmarkStart w:id="49" w:name="_Ref291762056"/>
    <w:bookmarkStart w:id="50" w:name="_Ref165818953"/>
    <w:p w:rsidR="00C51A71" w:rsidRPr="00B27DFF" w:rsidRDefault="00C51A71" w:rsidP="00E4072E">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r w:rsidRPr="00B27DFF">
        <w:rPr>
          <w:rFonts w:ascii="Arial" w:hAnsi="Arial" w:cs="Arial"/>
          <w:lang w:val="en-US"/>
        </w:rPr>
        <w:fldChar w:fldCharType="begin"/>
      </w:r>
      <w:r w:rsidRPr="00B27DFF">
        <w:rPr>
          <w:rFonts w:ascii="Arial" w:hAnsi="Arial" w:cs="Arial"/>
          <w:lang w:val="en-US"/>
        </w:rPr>
        <w:instrText xml:space="preserve">HYPERLINK "http://www.ncbi.nlm.nih.gov/sites/entrez?Db=pubmed&amp;Cmd=Search&amp;Term=%22Navratil%20JS%22%5BAuthor%5D&amp;itool=EntrezSystem2.PEntrez.Pubmed.Pubmed_ResultsPanel.Pubmed_RVAbstract" </w:instrText>
      </w:r>
      <w:r w:rsidRPr="00B27DFF">
        <w:rPr>
          <w:rFonts w:ascii="Arial" w:hAnsi="Arial" w:cs="Arial"/>
          <w:lang w:val="en-US"/>
        </w:rPr>
        <w:fldChar w:fldCharType="separate"/>
      </w:r>
      <w:r w:rsidRPr="00B27DFF">
        <w:rPr>
          <w:rStyle w:val="Hipervnculo"/>
          <w:rFonts w:ascii="Arial" w:hAnsi="Arial" w:cs="Arial"/>
          <w:bCs/>
          <w:color w:val="auto"/>
          <w:lang w:val="en-US"/>
        </w:rPr>
        <w:t>Navratil JS</w:t>
      </w:r>
      <w:r w:rsidRPr="00B27DFF">
        <w:rPr>
          <w:rFonts w:ascii="Arial" w:hAnsi="Arial" w:cs="Arial"/>
          <w:lang w:val="en-US"/>
        </w:rPr>
        <w:fldChar w:fldCharType="end"/>
      </w:r>
      <w:r w:rsidRPr="00B27DFF">
        <w:rPr>
          <w:rFonts w:ascii="Arial" w:hAnsi="Arial" w:cs="Arial"/>
          <w:lang w:val="en-US"/>
        </w:rPr>
        <w:t xml:space="preserve">, </w:t>
      </w:r>
      <w:hyperlink r:id="rId36" w:history="1">
        <w:r w:rsidRPr="00B27DFF">
          <w:rPr>
            <w:rStyle w:val="Hipervnculo"/>
            <w:rFonts w:ascii="Arial" w:hAnsi="Arial" w:cs="Arial"/>
            <w:bCs/>
            <w:color w:val="auto"/>
            <w:lang w:val="en-US"/>
          </w:rPr>
          <w:t>Manzi S</w:t>
        </w:r>
      </w:hyperlink>
      <w:r w:rsidRPr="00B27DFF">
        <w:rPr>
          <w:rFonts w:ascii="Arial" w:hAnsi="Arial" w:cs="Arial"/>
          <w:lang w:val="en-US"/>
        </w:rPr>
        <w:t xml:space="preserve">, </w:t>
      </w:r>
      <w:hyperlink r:id="rId37" w:history="1">
        <w:r w:rsidRPr="00B27DFF">
          <w:rPr>
            <w:rStyle w:val="Hipervnculo"/>
            <w:rFonts w:ascii="Arial" w:hAnsi="Arial" w:cs="Arial"/>
            <w:bCs/>
            <w:color w:val="auto"/>
            <w:lang w:val="en-US"/>
          </w:rPr>
          <w:t>Kao AH</w:t>
        </w:r>
      </w:hyperlink>
      <w:r w:rsidRPr="00B27DFF">
        <w:rPr>
          <w:rFonts w:ascii="Arial" w:hAnsi="Arial" w:cs="Arial"/>
          <w:lang w:val="en-US"/>
        </w:rPr>
        <w:t xml:space="preserve">, et al: </w:t>
      </w:r>
      <w:r w:rsidRPr="00B27DFF">
        <w:rPr>
          <w:rFonts w:ascii="Arial" w:hAnsi="Arial" w:cs="Arial"/>
          <w:b/>
          <w:bCs/>
          <w:lang w:val="en-US"/>
        </w:rPr>
        <w:t>Platelet C4d is highly specific for systemic lupus erythematosus</w:t>
      </w:r>
      <w:r w:rsidRPr="00B27DFF">
        <w:rPr>
          <w:rFonts w:ascii="Arial" w:hAnsi="Arial" w:cs="Arial"/>
          <w:bCs/>
          <w:lang w:val="en-US"/>
        </w:rPr>
        <w:t xml:space="preserve">. </w:t>
      </w:r>
      <w:r w:rsidRPr="00B27DFF">
        <w:rPr>
          <w:rFonts w:ascii="Arial" w:hAnsi="Arial" w:cs="Arial"/>
          <w:bCs/>
          <w:i/>
          <w:lang w:val="en-US"/>
        </w:rPr>
        <w:t>Arthritis Rheum</w:t>
      </w:r>
      <w:r w:rsidRPr="00B27DFF">
        <w:rPr>
          <w:rFonts w:ascii="Arial" w:hAnsi="Arial" w:cs="Arial"/>
          <w:lang w:val="en-US"/>
        </w:rPr>
        <w:t xml:space="preserve"> 2006; </w:t>
      </w:r>
      <w:r w:rsidRPr="00B27DFF">
        <w:rPr>
          <w:rFonts w:ascii="Arial" w:hAnsi="Arial" w:cs="Arial"/>
          <w:b/>
          <w:lang w:val="en-US"/>
        </w:rPr>
        <w:t>54</w:t>
      </w:r>
      <w:r w:rsidRPr="00B27DFF">
        <w:rPr>
          <w:rFonts w:ascii="Arial" w:hAnsi="Arial" w:cs="Arial"/>
          <w:lang w:val="en-US"/>
        </w:rPr>
        <w:t>: 670-4.</w:t>
      </w:r>
      <w:bookmarkEnd w:id="47"/>
    </w:p>
    <w:p w:rsidR="00C51A71" w:rsidRPr="00B27DFF" w:rsidRDefault="00C51A71" w:rsidP="00176840">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51" w:name="_Ref299025988"/>
      <w:bookmarkStart w:id="52" w:name="_Ref173278205"/>
      <w:bookmarkEnd w:id="48"/>
      <w:bookmarkEnd w:id="49"/>
      <w:bookmarkEnd w:id="50"/>
      <w:r w:rsidRPr="00B27DFF">
        <w:rPr>
          <w:rFonts w:ascii="Arial" w:hAnsi="Arial" w:cs="Arial"/>
          <w:lang w:val="en-US"/>
        </w:rPr>
        <w:t xml:space="preserve">Kim SH, Jeong HJ: </w:t>
      </w:r>
      <w:r w:rsidRPr="00B27DFF">
        <w:rPr>
          <w:rFonts w:ascii="Arial" w:hAnsi="Arial" w:cs="Arial"/>
          <w:b/>
          <w:lang w:val="en-US"/>
        </w:rPr>
        <w:t>Glomerular C4d deposition indicates in situ classic complement pathway activation, but is not a marker for lupus nephritis activity</w:t>
      </w:r>
      <w:r w:rsidRPr="00B27DFF">
        <w:rPr>
          <w:rFonts w:ascii="Arial" w:hAnsi="Arial" w:cs="Arial"/>
          <w:lang w:val="en-US"/>
        </w:rPr>
        <w:t xml:space="preserve">. </w:t>
      </w:r>
      <w:r w:rsidRPr="00B27DFF">
        <w:rPr>
          <w:rFonts w:ascii="Arial" w:hAnsi="Arial" w:cs="Arial"/>
          <w:i/>
          <w:lang w:val="en-US"/>
        </w:rPr>
        <w:t>Yonsei Med J</w:t>
      </w:r>
      <w:r w:rsidRPr="00B27DFF">
        <w:rPr>
          <w:rFonts w:ascii="Arial" w:hAnsi="Arial" w:cs="Arial"/>
          <w:lang w:val="en-US"/>
        </w:rPr>
        <w:t xml:space="preserve"> 2003; </w:t>
      </w:r>
      <w:r w:rsidRPr="00B27DFF">
        <w:rPr>
          <w:rFonts w:ascii="Arial" w:hAnsi="Arial" w:cs="Arial"/>
          <w:b/>
          <w:lang w:val="en-US"/>
        </w:rPr>
        <w:t>44</w:t>
      </w:r>
      <w:r w:rsidRPr="00B27DFF">
        <w:rPr>
          <w:rFonts w:ascii="Arial" w:hAnsi="Arial" w:cs="Arial"/>
          <w:lang w:val="en-US"/>
        </w:rPr>
        <w:t>: 75-80.</w:t>
      </w:r>
      <w:bookmarkStart w:id="53" w:name="_Ref299026092"/>
      <w:bookmarkEnd w:id="51"/>
    </w:p>
    <w:p w:rsidR="00C51A71" w:rsidRPr="00B27DFF" w:rsidRDefault="00C51A71" w:rsidP="008D7F9D">
      <w:pPr>
        <w:numPr>
          <w:ilvl w:val="0"/>
          <w:numId w:val="31"/>
        </w:numPr>
        <w:tabs>
          <w:tab w:val="clear" w:pos="1080"/>
          <w:tab w:val="num" w:pos="360"/>
          <w:tab w:val="left" w:pos="916"/>
        </w:tabs>
        <w:autoSpaceDE w:val="0"/>
        <w:autoSpaceDN w:val="0"/>
        <w:adjustRightInd w:val="0"/>
        <w:spacing w:line="480" w:lineRule="auto"/>
        <w:ind w:left="360"/>
        <w:rPr>
          <w:rFonts w:ascii="Arial" w:hAnsi="Arial" w:cs="Arial"/>
          <w:lang w:val="en-US"/>
        </w:rPr>
      </w:pPr>
      <w:bookmarkStart w:id="54" w:name="_Ref179327886"/>
      <w:bookmarkEnd w:id="53"/>
      <w:r w:rsidRPr="00B27DFF">
        <w:rPr>
          <w:rFonts w:ascii="Arial" w:hAnsi="Arial" w:cs="Arial"/>
          <w:lang w:val="en-US"/>
        </w:rPr>
        <w:t xml:space="preserve">Li SJ, Liu ZH, Zen CH, Wang QW, Wang Y, Li LS: </w:t>
      </w:r>
      <w:r w:rsidRPr="00B27DFF">
        <w:rPr>
          <w:rFonts w:ascii="Arial" w:hAnsi="Arial" w:cs="Arial"/>
          <w:b/>
          <w:lang w:val="en-US"/>
        </w:rPr>
        <w:t>Peritubular capillary C4d deposition in lupus nephritis different from antibody-mediated renal rejection</w:t>
      </w:r>
      <w:r w:rsidRPr="00B27DFF">
        <w:rPr>
          <w:rFonts w:ascii="Arial" w:hAnsi="Arial" w:cs="Arial"/>
          <w:lang w:val="en-US"/>
        </w:rPr>
        <w:t xml:space="preserve">. </w:t>
      </w:r>
      <w:r w:rsidRPr="00B27DFF">
        <w:rPr>
          <w:rFonts w:ascii="Arial" w:hAnsi="Arial" w:cs="Arial"/>
          <w:i/>
          <w:lang w:val="en-US"/>
        </w:rPr>
        <w:t>Lupus</w:t>
      </w:r>
      <w:r w:rsidRPr="00B27DFF">
        <w:rPr>
          <w:rFonts w:ascii="Arial" w:hAnsi="Arial" w:cs="Arial"/>
          <w:lang w:val="en-US"/>
        </w:rPr>
        <w:t xml:space="preserve"> 2007; </w:t>
      </w:r>
      <w:r w:rsidRPr="00B27DFF">
        <w:rPr>
          <w:rFonts w:ascii="Arial" w:hAnsi="Arial" w:cs="Arial"/>
          <w:b/>
          <w:lang w:val="en-US"/>
        </w:rPr>
        <w:t>16</w:t>
      </w:r>
      <w:r w:rsidRPr="00B27DFF">
        <w:rPr>
          <w:rFonts w:ascii="Arial" w:hAnsi="Arial" w:cs="Arial"/>
          <w:lang w:val="en-US"/>
        </w:rPr>
        <w:t>: 875-80.</w:t>
      </w:r>
      <w:bookmarkEnd w:id="54"/>
    </w:p>
    <w:p w:rsidR="00C51A71" w:rsidRPr="00B27DFF" w:rsidRDefault="00C51A71" w:rsidP="00F74F97">
      <w:pPr>
        <w:numPr>
          <w:ilvl w:val="0"/>
          <w:numId w:val="31"/>
        </w:numPr>
        <w:tabs>
          <w:tab w:val="clear" w:pos="1080"/>
          <w:tab w:val="num" w:pos="360"/>
          <w:tab w:val="left" w:pos="916"/>
        </w:tabs>
        <w:autoSpaceDE w:val="0"/>
        <w:autoSpaceDN w:val="0"/>
        <w:adjustRightInd w:val="0"/>
        <w:spacing w:line="480" w:lineRule="auto"/>
        <w:ind w:left="360"/>
        <w:jc w:val="both"/>
        <w:rPr>
          <w:rFonts w:ascii="Arial" w:hAnsi="Arial" w:cs="Arial"/>
          <w:lang w:val="en-US"/>
        </w:rPr>
      </w:pPr>
      <w:bookmarkStart w:id="55" w:name="_Ref179327919"/>
      <w:r w:rsidRPr="00B27DFF">
        <w:rPr>
          <w:rFonts w:ascii="Arial" w:hAnsi="Arial" w:cs="Arial"/>
          <w:lang w:val="en-US"/>
        </w:rPr>
        <w:t xml:space="preserve">Hill GS, Delahousse M, Nochy D, Rémy P, Mignon F, Méry JP, Bariéty J: </w:t>
      </w:r>
      <w:r w:rsidRPr="00B27DFF">
        <w:rPr>
          <w:rFonts w:ascii="Arial" w:hAnsi="Arial" w:cs="Arial"/>
          <w:b/>
          <w:lang w:val="en-US"/>
        </w:rPr>
        <w:t>Predictive power of the second renal biopsy in lupus nephritis: significance of macrophages</w:t>
      </w:r>
      <w:r w:rsidRPr="00B27DFF">
        <w:rPr>
          <w:rFonts w:ascii="Arial" w:hAnsi="Arial" w:cs="Arial"/>
          <w:lang w:val="en-US"/>
        </w:rPr>
        <w:t xml:space="preserve">. </w:t>
      </w:r>
      <w:r w:rsidRPr="00B27DFF">
        <w:rPr>
          <w:rFonts w:ascii="Arial" w:hAnsi="Arial" w:cs="Arial"/>
          <w:i/>
          <w:lang w:val="en-US"/>
        </w:rPr>
        <w:t>Kidney Int</w:t>
      </w:r>
      <w:r w:rsidRPr="00B27DFF">
        <w:rPr>
          <w:rFonts w:ascii="Arial" w:hAnsi="Arial" w:cs="Arial"/>
          <w:lang w:val="en-US"/>
        </w:rPr>
        <w:t xml:space="preserve"> 2001; </w:t>
      </w:r>
      <w:r w:rsidRPr="00B27DFF">
        <w:rPr>
          <w:rFonts w:ascii="Arial" w:hAnsi="Arial" w:cs="Arial"/>
          <w:b/>
          <w:lang w:val="en-US"/>
        </w:rPr>
        <w:t>59</w:t>
      </w:r>
      <w:r w:rsidRPr="00B27DFF">
        <w:rPr>
          <w:rFonts w:ascii="Arial" w:hAnsi="Arial" w:cs="Arial"/>
          <w:lang w:val="en-US"/>
        </w:rPr>
        <w:t>: 304-16.</w:t>
      </w:r>
      <w:bookmarkEnd w:id="52"/>
      <w:bookmarkEnd w:id="55"/>
    </w:p>
    <w:bookmarkEnd w:id="5"/>
    <w:bookmarkEnd w:id="27"/>
    <w:bookmarkEnd w:id="29"/>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br w:type="page"/>
      </w:r>
      <w:r w:rsidRPr="00B27DFF">
        <w:rPr>
          <w:rFonts w:ascii="Arial" w:hAnsi="Arial" w:cs="Arial"/>
          <w:lang w:val="en-US"/>
        </w:rPr>
        <w:lastRenderedPageBreak/>
        <w:t>Table 1. Demographic, clinical and laboratory characteristics of SLE patients with proliferative nephritis</w:t>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140"/>
      </w:tblGrid>
      <w:tr w:rsidR="00C51A71" w:rsidRPr="00B27DFF" w:rsidTr="00E8298C">
        <w:tc>
          <w:tcPr>
            <w:tcW w:w="4968" w:type="dxa"/>
            <w:tcBorders>
              <w:left w:val="single" w:sz="4" w:space="0" w:color="FFFFFF"/>
              <w:right w:val="single" w:sz="4" w:space="0" w:color="FFFFFF"/>
            </w:tcBorders>
          </w:tcPr>
          <w:p w:rsidR="00C51A71" w:rsidRPr="00B27DFF" w:rsidRDefault="00C51A71" w:rsidP="002C4CB3">
            <w:pPr>
              <w:autoSpaceDE w:val="0"/>
              <w:autoSpaceDN w:val="0"/>
              <w:adjustRightInd w:val="0"/>
              <w:spacing w:line="480" w:lineRule="auto"/>
              <w:rPr>
                <w:rFonts w:ascii="Arial" w:hAnsi="Arial" w:cs="Arial"/>
                <w:lang w:val="en-US"/>
              </w:rPr>
            </w:pPr>
          </w:p>
        </w:tc>
        <w:tc>
          <w:tcPr>
            <w:tcW w:w="4140" w:type="dxa"/>
            <w:tcBorders>
              <w:left w:val="single" w:sz="4" w:space="0" w:color="FFFFFF"/>
              <w:right w:val="single" w:sz="4" w:space="0" w:color="FFFFFF"/>
            </w:tcBorders>
          </w:tcPr>
          <w:p w:rsidR="00C51A71" w:rsidRPr="00B27DFF" w:rsidRDefault="00C51A71" w:rsidP="002C4CB3">
            <w:pPr>
              <w:autoSpaceDE w:val="0"/>
              <w:autoSpaceDN w:val="0"/>
              <w:adjustRightInd w:val="0"/>
              <w:spacing w:line="480" w:lineRule="auto"/>
              <w:jc w:val="center"/>
              <w:rPr>
                <w:rFonts w:ascii="Arial" w:hAnsi="Arial" w:cs="Arial"/>
                <w:lang w:val="en-US"/>
              </w:rPr>
            </w:pPr>
            <w:r w:rsidRPr="00B27DFF">
              <w:rPr>
                <w:rFonts w:ascii="Arial" w:hAnsi="Arial" w:cs="Arial"/>
                <w:lang w:val="en-US"/>
              </w:rPr>
              <w:t>Patients (n=58)</w:t>
            </w:r>
          </w:p>
          <w:p w:rsidR="00C51A71" w:rsidRPr="00B27DFF" w:rsidRDefault="00C51A71" w:rsidP="002C4CB3">
            <w:pPr>
              <w:autoSpaceDE w:val="0"/>
              <w:autoSpaceDN w:val="0"/>
              <w:adjustRightInd w:val="0"/>
              <w:spacing w:line="480" w:lineRule="auto"/>
              <w:jc w:val="center"/>
              <w:rPr>
                <w:rFonts w:ascii="Arial" w:hAnsi="Arial" w:cs="Arial"/>
                <w:lang w:val="en-US"/>
              </w:rPr>
            </w:pPr>
            <w:r w:rsidRPr="00B27DFF">
              <w:rPr>
                <w:rFonts w:ascii="Arial" w:hAnsi="Arial" w:cs="Arial"/>
                <w:lang w:val="en-US"/>
              </w:rPr>
              <w:t>N (% or range)</w:t>
            </w:r>
          </w:p>
        </w:tc>
      </w:tr>
      <w:tr w:rsidR="00C51A71" w:rsidRPr="00B27DFF" w:rsidTr="00E8298C">
        <w:tc>
          <w:tcPr>
            <w:tcW w:w="4968" w:type="dxa"/>
            <w:tcBorders>
              <w:left w:val="single" w:sz="4" w:space="0" w:color="FFFFFF"/>
              <w:right w:val="single" w:sz="4" w:space="0" w:color="FFFFFF"/>
            </w:tcBorders>
            <w:vAlign w:val="center"/>
          </w:tcPr>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Sex : F/M</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Mean age (years)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Mean age at SLE diagnosis (years)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Mean age at nephritis (years)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Mean duration of follow up (months)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Cardiovascular risk factors*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Positive aPL</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APS</w:t>
            </w:r>
          </w:p>
          <w:p w:rsidR="00C51A71" w:rsidRPr="00B27DFF" w:rsidRDefault="00C51A71" w:rsidP="002C4CB3">
            <w:pPr>
              <w:autoSpaceDE w:val="0"/>
              <w:autoSpaceDN w:val="0"/>
              <w:adjustRightInd w:val="0"/>
              <w:spacing w:line="480" w:lineRule="auto"/>
              <w:rPr>
                <w:rFonts w:ascii="Arial" w:hAnsi="Arial" w:cs="Arial"/>
                <w:lang w:val="pt-BR"/>
              </w:rPr>
            </w:pPr>
            <w:r w:rsidRPr="00B27DFF">
              <w:rPr>
                <w:rFonts w:ascii="Arial" w:hAnsi="Arial" w:cs="Arial"/>
                <w:lang w:val="pt-BR"/>
              </w:rPr>
              <w:t>ANA (+)</w:t>
            </w:r>
          </w:p>
          <w:p w:rsidR="00C51A71" w:rsidRPr="00B27DFF" w:rsidRDefault="00C51A71" w:rsidP="002C4CB3">
            <w:pPr>
              <w:autoSpaceDE w:val="0"/>
              <w:autoSpaceDN w:val="0"/>
              <w:adjustRightInd w:val="0"/>
              <w:spacing w:line="480" w:lineRule="auto"/>
              <w:rPr>
                <w:rFonts w:ascii="Arial" w:hAnsi="Arial" w:cs="Arial"/>
                <w:lang w:val="pt-BR"/>
              </w:rPr>
            </w:pPr>
            <w:r w:rsidRPr="00B27DFF">
              <w:rPr>
                <w:rFonts w:ascii="Arial" w:hAnsi="Arial" w:cs="Arial"/>
                <w:lang w:val="pt-BR"/>
              </w:rPr>
              <w:t>a-DNA (+)</w:t>
            </w:r>
          </w:p>
          <w:p w:rsidR="00C51A71" w:rsidRPr="00B27DFF" w:rsidRDefault="00C51A71" w:rsidP="002C4CB3">
            <w:pPr>
              <w:autoSpaceDE w:val="0"/>
              <w:autoSpaceDN w:val="0"/>
              <w:adjustRightInd w:val="0"/>
              <w:spacing w:line="480" w:lineRule="auto"/>
              <w:rPr>
                <w:rFonts w:ascii="Arial" w:hAnsi="Arial" w:cs="Arial"/>
                <w:lang w:val="pt-BR"/>
              </w:rPr>
            </w:pPr>
            <w:r w:rsidRPr="00B27DFF">
              <w:rPr>
                <w:rFonts w:ascii="Arial" w:hAnsi="Arial" w:cs="Arial"/>
                <w:lang w:val="pt-BR"/>
              </w:rPr>
              <w:t>a-Ro (+)</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a-Sm (+)</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a-RNP (+)</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Low complement levels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Treatment before first renal biopsy:</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 xml:space="preserve">   Antiaggregation</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 xml:space="preserve">   Oral anticoagulation</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 xml:space="preserve">   Glucocorticoids</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 xml:space="preserve">      </w:t>
            </w:r>
            <w:r w:rsidRPr="00B27DFF">
              <w:rPr>
                <w:rFonts w:ascii="MS Gothi" w:eastAsia="MS Gothi"/>
                <w:color w:val="000000"/>
                <w:lang w:val="en-US"/>
              </w:rPr>
              <w:t>≤</w:t>
            </w:r>
            <w:r w:rsidRPr="00B27DFF">
              <w:rPr>
                <w:rFonts w:ascii="Arial" w:hAnsi="Arial" w:cs="Arial"/>
                <w:lang w:val="en-US"/>
              </w:rPr>
              <w:t xml:space="preserve"> 7.5 mg/d prednisone</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 xml:space="preserve">      &lt; 7.5-30 mg/d prednisone</w:t>
            </w:r>
          </w:p>
          <w:p w:rsidR="00C51A71" w:rsidRPr="00B27DFF" w:rsidRDefault="00C51A71" w:rsidP="00BB48CD">
            <w:pPr>
              <w:autoSpaceDE w:val="0"/>
              <w:autoSpaceDN w:val="0"/>
              <w:adjustRightInd w:val="0"/>
              <w:spacing w:line="480" w:lineRule="auto"/>
              <w:rPr>
                <w:rFonts w:ascii="Arial" w:hAnsi="Arial" w:cs="Arial"/>
                <w:lang w:val="en-US"/>
              </w:rPr>
            </w:pPr>
            <w:r w:rsidRPr="00B27DFF">
              <w:rPr>
                <w:rFonts w:ascii="Arial" w:hAnsi="Arial" w:cs="Arial"/>
                <w:lang w:val="en-US"/>
              </w:rPr>
              <w:t xml:space="preserve">      &gt; 30-60 mg/d prednisone</w:t>
            </w:r>
          </w:p>
          <w:p w:rsidR="00C51A71" w:rsidRPr="00B27DFF" w:rsidRDefault="00C51A71" w:rsidP="00735C82">
            <w:pPr>
              <w:autoSpaceDE w:val="0"/>
              <w:autoSpaceDN w:val="0"/>
              <w:adjustRightInd w:val="0"/>
              <w:spacing w:line="480" w:lineRule="auto"/>
              <w:ind w:left="760"/>
              <w:rPr>
                <w:rFonts w:ascii="Arial" w:hAnsi="Arial" w:cs="Arial"/>
                <w:lang w:val="en-US"/>
              </w:rPr>
            </w:pPr>
            <w:r w:rsidRPr="00B27DFF">
              <w:rPr>
                <w:rFonts w:ascii="Arial" w:hAnsi="Arial" w:cs="Arial"/>
                <w:lang w:val="en-US"/>
              </w:rPr>
              <w:lastRenderedPageBreak/>
              <w:t>&gt; 1mg/Kg/d prednisone</w:t>
            </w:r>
          </w:p>
          <w:p w:rsidR="00C51A71" w:rsidRPr="00B27DFF" w:rsidRDefault="00C51A71" w:rsidP="00735C82">
            <w:pPr>
              <w:autoSpaceDE w:val="0"/>
              <w:autoSpaceDN w:val="0"/>
              <w:adjustRightInd w:val="0"/>
              <w:spacing w:line="480" w:lineRule="auto"/>
              <w:rPr>
                <w:rFonts w:ascii="Arial" w:hAnsi="Arial" w:cs="Arial"/>
                <w:lang w:val="en-US"/>
              </w:rPr>
            </w:pPr>
            <w:r w:rsidRPr="00B27DFF">
              <w:rPr>
                <w:rFonts w:ascii="Arial" w:hAnsi="Arial" w:cs="Arial"/>
                <w:lang w:val="en-US"/>
              </w:rPr>
              <w:t xml:space="preserve">   Azathioprine</w:t>
            </w:r>
          </w:p>
          <w:p w:rsidR="00C51A71" w:rsidRPr="00B27DFF" w:rsidRDefault="00C51A71" w:rsidP="00735C82">
            <w:pPr>
              <w:autoSpaceDE w:val="0"/>
              <w:autoSpaceDN w:val="0"/>
              <w:adjustRightInd w:val="0"/>
              <w:spacing w:line="480" w:lineRule="auto"/>
              <w:rPr>
                <w:rFonts w:ascii="Arial" w:hAnsi="Arial" w:cs="Arial"/>
                <w:lang w:val="en-US"/>
              </w:rPr>
            </w:pPr>
            <w:r w:rsidRPr="00B27DFF">
              <w:rPr>
                <w:rFonts w:ascii="Arial" w:hAnsi="Arial" w:cs="Arial"/>
                <w:lang w:val="en-US"/>
              </w:rPr>
              <w:t xml:space="preserve">   Antimalarials</w:t>
            </w:r>
          </w:p>
          <w:p w:rsidR="00C51A71" w:rsidRPr="00B27DFF" w:rsidRDefault="00C51A71" w:rsidP="00B56595">
            <w:pPr>
              <w:autoSpaceDE w:val="0"/>
              <w:autoSpaceDN w:val="0"/>
              <w:adjustRightInd w:val="0"/>
              <w:spacing w:line="480" w:lineRule="auto"/>
              <w:rPr>
                <w:rFonts w:ascii="Arial" w:hAnsi="Arial" w:cs="Arial"/>
                <w:lang w:val="fr-FR"/>
              </w:rPr>
            </w:pPr>
            <w:r w:rsidRPr="00B27DFF">
              <w:rPr>
                <w:rFonts w:ascii="Arial" w:hAnsi="Arial" w:cs="Arial"/>
                <w:lang w:val="fr-FR"/>
              </w:rPr>
              <w:t>ISN/RPS nephritis classification:</w:t>
            </w:r>
          </w:p>
          <w:p w:rsidR="00C51A71" w:rsidRPr="00B27DFF" w:rsidRDefault="00C51A71" w:rsidP="00D05323">
            <w:pPr>
              <w:autoSpaceDE w:val="0"/>
              <w:autoSpaceDN w:val="0"/>
              <w:adjustRightInd w:val="0"/>
              <w:spacing w:line="480" w:lineRule="auto"/>
              <w:rPr>
                <w:rFonts w:ascii="Arial" w:hAnsi="Arial" w:cs="Arial"/>
                <w:lang w:val="fr-FR"/>
              </w:rPr>
            </w:pPr>
            <w:r w:rsidRPr="00B27DFF">
              <w:rPr>
                <w:rFonts w:ascii="Arial" w:hAnsi="Arial" w:cs="Arial"/>
                <w:lang w:val="fr-FR"/>
              </w:rPr>
              <w:t xml:space="preserve">   Type II</w:t>
            </w:r>
          </w:p>
          <w:p w:rsidR="00C51A71" w:rsidRPr="00B27DFF" w:rsidRDefault="00C51A71" w:rsidP="00D05323">
            <w:pPr>
              <w:autoSpaceDE w:val="0"/>
              <w:autoSpaceDN w:val="0"/>
              <w:adjustRightInd w:val="0"/>
              <w:spacing w:line="480" w:lineRule="auto"/>
              <w:rPr>
                <w:rFonts w:ascii="Arial" w:hAnsi="Arial" w:cs="Arial"/>
                <w:lang w:val="fr-FR"/>
              </w:rPr>
            </w:pPr>
            <w:r w:rsidRPr="00B27DFF">
              <w:rPr>
                <w:rFonts w:ascii="Arial" w:hAnsi="Arial" w:cs="Arial"/>
                <w:lang w:val="fr-FR"/>
              </w:rPr>
              <w:t xml:space="preserve">   Type III-A</w:t>
            </w:r>
          </w:p>
          <w:p w:rsidR="00C51A71" w:rsidRPr="00B27DFF" w:rsidRDefault="00C51A71" w:rsidP="00D05323">
            <w:pPr>
              <w:autoSpaceDE w:val="0"/>
              <w:autoSpaceDN w:val="0"/>
              <w:adjustRightInd w:val="0"/>
              <w:spacing w:line="480" w:lineRule="auto"/>
              <w:rPr>
                <w:rFonts w:ascii="Arial" w:hAnsi="Arial" w:cs="Arial"/>
                <w:lang w:val="fr-FR"/>
              </w:rPr>
            </w:pPr>
            <w:r w:rsidRPr="00B27DFF">
              <w:rPr>
                <w:rFonts w:ascii="Arial" w:hAnsi="Arial" w:cs="Arial"/>
                <w:lang w:val="fr-FR"/>
              </w:rPr>
              <w:t xml:space="preserve">   Type III-A/C</w:t>
            </w:r>
          </w:p>
          <w:p w:rsidR="00C51A71" w:rsidRPr="00B27DFF" w:rsidRDefault="00C51A71" w:rsidP="00D05323">
            <w:pPr>
              <w:autoSpaceDE w:val="0"/>
              <w:autoSpaceDN w:val="0"/>
              <w:adjustRightInd w:val="0"/>
              <w:spacing w:line="480" w:lineRule="auto"/>
              <w:rPr>
                <w:rFonts w:ascii="Arial" w:hAnsi="Arial" w:cs="Arial"/>
                <w:lang w:val="fr-FR"/>
              </w:rPr>
            </w:pPr>
            <w:r w:rsidRPr="00B27DFF">
              <w:rPr>
                <w:rFonts w:ascii="Arial" w:hAnsi="Arial" w:cs="Arial"/>
                <w:lang w:val="fr-FR"/>
              </w:rPr>
              <w:t xml:space="preserve">   Type III-A + V</w:t>
            </w:r>
          </w:p>
          <w:p w:rsidR="00C51A71" w:rsidRPr="00B27DFF" w:rsidRDefault="00C51A71" w:rsidP="00D05323">
            <w:pPr>
              <w:autoSpaceDE w:val="0"/>
              <w:autoSpaceDN w:val="0"/>
              <w:adjustRightInd w:val="0"/>
              <w:spacing w:line="480" w:lineRule="auto"/>
              <w:rPr>
                <w:rFonts w:ascii="Arial" w:hAnsi="Arial" w:cs="Arial"/>
                <w:lang w:val="fr-FR"/>
              </w:rPr>
            </w:pPr>
            <w:r w:rsidRPr="00B27DFF">
              <w:rPr>
                <w:rFonts w:ascii="Arial" w:hAnsi="Arial" w:cs="Arial"/>
                <w:lang w:val="fr-FR"/>
              </w:rPr>
              <w:t xml:space="preserve">   Type IV-SA</w:t>
            </w:r>
          </w:p>
          <w:p w:rsidR="00C51A71" w:rsidRPr="00B27DFF" w:rsidRDefault="00C51A71" w:rsidP="00D05323">
            <w:pPr>
              <w:autoSpaceDE w:val="0"/>
              <w:autoSpaceDN w:val="0"/>
              <w:adjustRightInd w:val="0"/>
              <w:spacing w:line="480" w:lineRule="auto"/>
              <w:rPr>
                <w:rFonts w:ascii="Arial" w:hAnsi="Arial" w:cs="Arial"/>
                <w:lang w:val="nb-NO"/>
              </w:rPr>
            </w:pPr>
            <w:r w:rsidRPr="00B27DFF">
              <w:rPr>
                <w:rFonts w:ascii="Arial" w:hAnsi="Arial" w:cs="Arial"/>
                <w:lang w:val="fr-FR"/>
              </w:rPr>
              <w:t xml:space="preserve">   </w:t>
            </w:r>
            <w:r w:rsidRPr="00B27DFF">
              <w:rPr>
                <w:rFonts w:ascii="Arial" w:hAnsi="Arial" w:cs="Arial"/>
                <w:lang w:val="nb-NO"/>
              </w:rPr>
              <w:t>Type IV-SA/C</w:t>
            </w:r>
          </w:p>
          <w:p w:rsidR="00C51A71" w:rsidRPr="00B27DFF" w:rsidRDefault="00C51A71" w:rsidP="00D05323">
            <w:pPr>
              <w:autoSpaceDE w:val="0"/>
              <w:autoSpaceDN w:val="0"/>
              <w:adjustRightInd w:val="0"/>
              <w:spacing w:line="480" w:lineRule="auto"/>
              <w:rPr>
                <w:rFonts w:ascii="Arial" w:hAnsi="Arial" w:cs="Arial"/>
                <w:lang w:val="nb-NO"/>
              </w:rPr>
            </w:pPr>
            <w:r w:rsidRPr="00B27DFF">
              <w:rPr>
                <w:rFonts w:ascii="Arial" w:hAnsi="Arial" w:cs="Arial"/>
                <w:lang w:val="nb-NO"/>
              </w:rPr>
              <w:t xml:space="preserve">   Type IV-GA</w:t>
            </w:r>
          </w:p>
          <w:p w:rsidR="00C51A71" w:rsidRPr="00B27DFF" w:rsidRDefault="00C51A71" w:rsidP="00D05323">
            <w:pPr>
              <w:autoSpaceDE w:val="0"/>
              <w:autoSpaceDN w:val="0"/>
              <w:adjustRightInd w:val="0"/>
              <w:spacing w:line="480" w:lineRule="auto"/>
              <w:rPr>
                <w:rFonts w:ascii="Arial" w:hAnsi="Arial" w:cs="Arial"/>
                <w:lang w:val="nb-NO"/>
              </w:rPr>
            </w:pPr>
            <w:r w:rsidRPr="00B27DFF">
              <w:rPr>
                <w:rFonts w:ascii="Arial" w:hAnsi="Arial" w:cs="Arial"/>
                <w:lang w:val="nb-NO"/>
              </w:rPr>
              <w:t xml:space="preserve">   Type IV-GA/C</w:t>
            </w:r>
          </w:p>
          <w:p w:rsidR="00C51A71" w:rsidRPr="00B27DFF" w:rsidRDefault="00C51A71" w:rsidP="00D05323">
            <w:pPr>
              <w:autoSpaceDE w:val="0"/>
              <w:autoSpaceDN w:val="0"/>
              <w:adjustRightInd w:val="0"/>
              <w:spacing w:line="480" w:lineRule="auto"/>
              <w:rPr>
                <w:rFonts w:ascii="Arial" w:hAnsi="Arial" w:cs="Arial"/>
                <w:lang w:val="nb-NO"/>
              </w:rPr>
            </w:pPr>
            <w:r w:rsidRPr="00B27DFF">
              <w:rPr>
                <w:rFonts w:ascii="Arial" w:hAnsi="Arial" w:cs="Arial"/>
                <w:lang w:val="nb-NO"/>
              </w:rPr>
              <w:t xml:space="preserve">   Type IV-GA/C + V</w:t>
            </w:r>
          </w:p>
          <w:p w:rsidR="00C51A71" w:rsidRPr="00B27DFF" w:rsidRDefault="00C51A71" w:rsidP="00B56595">
            <w:pPr>
              <w:autoSpaceDE w:val="0"/>
              <w:autoSpaceDN w:val="0"/>
              <w:adjustRightInd w:val="0"/>
              <w:spacing w:line="480" w:lineRule="auto"/>
              <w:rPr>
                <w:rFonts w:ascii="Arial" w:hAnsi="Arial" w:cs="Arial"/>
                <w:lang w:val="nb-NO"/>
              </w:rPr>
            </w:pPr>
            <w:r w:rsidRPr="00B27DFF">
              <w:rPr>
                <w:rFonts w:ascii="Arial" w:hAnsi="Arial" w:cs="Arial"/>
                <w:lang w:val="nb-NO"/>
              </w:rPr>
              <w:t>24 hours proteinuria (mg)**</w:t>
            </w:r>
          </w:p>
          <w:p w:rsidR="00C51A71" w:rsidRPr="00B27DFF" w:rsidRDefault="00C51A71" w:rsidP="00B56595">
            <w:pPr>
              <w:autoSpaceDE w:val="0"/>
              <w:autoSpaceDN w:val="0"/>
              <w:adjustRightInd w:val="0"/>
              <w:spacing w:line="480" w:lineRule="auto"/>
              <w:rPr>
                <w:rFonts w:ascii="Arial" w:hAnsi="Arial" w:cs="Arial"/>
                <w:lang w:val="nb-NO"/>
              </w:rPr>
            </w:pPr>
            <w:r w:rsidRPr="00B27DFF">
              <w:rPr>
                <w:rFonts w:ascii="Arial" w:hAnsi="Arial" w:cs="Arial"/>
                <w:lang w:val="nb-NO"/>
              </w:rPr>
              <w:t>Hematuria (+)**</w:t>
            </w:r>
          </w:p>
          <w:p w:rsidR="00C51A71" w:rsidRPr="00B27DFF" w:rsidRDefault="00C51A71" w:rsidP="00B56595">
            <w:pPr>
              <w:autoSpaceDE w:val="0"/>
              <w:autoSpaceDN w:val="0"/>
              <w:adjustRightInd w:val="0"/>
              <w:spacing w:line="480" w:lineRule="auto"/>
              <w:rPr>
                <w:rFonts w:ascii="Arial" w:hAnsi="Arial" w:cs="Arial"/>
                <w:lang w:val="nb-NO"/>
              </w:rPr>
            </w:pPr>
            <w:r w:rsidRPr="00B27DFF">
              <w:rPr>
                <w:rFonts w:ascii="Arial" w:hAnsi="Arial" w:cs="Arial"/>
                <w:lang w:val="nb-NO"/>
              </w:rPr>
              <w:t>Leukocyturia (+)**</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Cellular casts (+)**</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Mean serum creatinine (mg/dl)**</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Mean creatinine clearance (ml/min)**</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Renal failure**</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 xml:space="preserve">HBP** </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 xml:space="preserve">SLEDAI** </w:t>
            </w:r>
          </w:p>
          <w:p w:rsidR="00C51A71" w:rsidRPr="00B27DFF" w:rsidRDefault="00C51A71" w:rsidP="00B56595">
            <w:pPr>
              <w:autoSpaceDE w:val="0"/>
              <w:autoSpaceDN w:val="0"/>
              <w:adjustRightInd w:val="0"/>
              <w:spacing w:line="480" w:lineRule="auto"/>
              <w:rPr>
                <w:rFonts w:ascii="Arial" w:hAnsi="Arial" w:cs="Arial"/>
                <w:lang w:val="en-US"/>
              </w:rPr>
            </w:pPr>
            <w:r w:rsidRPr="00B27DFF">
              <w:rPr>
                <w:rFonts w:ascii="Arial" w:hAnsi="Arial" w:cs="Arial"/>
                <w:lang w:val="en-US"/>
              </w:rPr>
              <w:t>Response to treatment</w:t>
            </w:r>
          </w:p>
          <w:p w:rsidR="00C51A71" w:rsidRPr="00B27DFF" w:rsidRDefault="00C51A71" w:rsidP="002C4CB3">
            <w:pPr>
              <w:autoSpaceDE w:val="0"/>
              <w:autoSpaceDN w:val="0"/>
              <w:adjustRightInd w:val="0"/>
              <w:spacing w:line="480" w:lineRule="auto"/>
              <w:rPr>
                <w:rFonts w:ascii="Arial" w:hAnsi="Arial" w:cs="Arial"/>
                <w:lang w:val="en-US"/>
              </w:rPr>
            </w:pPr>
            <w:r w:rsidRPr="00B27DFF">
              <w:rPr>
                <w:rFonts w:ascii="Arial" w:hAnsi="Arial" w:cs="Arial"/>
                <w:lang w:val="en-US"/>
              </w:rPr>
              <w:t>Mean time of response (months)</w:t>
            </w:r>
          </w:p>
        </w:tc>
        <w:tc>
          <w:tcPr>
            <w:tcW w:w="4140" w:type="dxa"/>
            <w:tcBorders>
              <w:left w:val="single" w:sz="4" w:space="0" w:color="FFFFFF"/>
              <w:right w:val="single" w:sz="4" w:space="0" w:color="FFFFFF"/>
            </w:tcBorders>
          </w:tcPr>
          <w:p w:rsidR="00C51A71" w:rsidRPr="00B27DFF" w:rsidRDefault="00C51A71" w:rsidP="002C4CB3">
            <w:pPr>
              <w:autoSpaceDE w:val="0"/>
              <w:autoSpaceDN w:val="0"/>
              <w:adjustRightInd w:val="0"/>
              <w:spacing w:line="480" w:lineRule="auto"/>
              <w:jc w:val="center"/>
              <w:rPr>
                <w:rFonts w:ascii="Arial" w:hAnsi="Arial" w:cs="Arial"/>
                <w:lang w:val="en-US"/>
              </w:rPr>
            </w:pPr>
            <w:r w:rsidRPr="00B27DFF">
              <w:rPr>
                <w:rFonts w:ascii="Arial" w:hAnsi="Arial" w:cs="Arial"/>
                <w:lang w:val="en-US"/>
              </w:rPr>
              <w:lastRenderedPageBreak/>
              <w:t>54/4 (93/7)</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39 ± 12 (22-75)</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26 ± 11 (8-66)</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29 ± 12 (8-73)</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97 (1-273)</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35 (58)</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31 (53.4)</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8 (14.8)</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58 (100)</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49 (84.5)</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21 (42.9)</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16 (33.3)</w:t>
            </w:r>
          </w:p>
          <w:p w:rsidR="00C51A71" w:rsidRPr="00B27DFF" w:rsidRDefault="00C51A71" w:rsidP="002C4CB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11 (22.9)</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52 (91.2)</w:t>
            </w:r>
          </w:p>
          <w:p w:rsidR="00C51A71" w:rsidRPr="00B27DFF" w:rsidRDefault="00C51A71" w:rsidP="00D05323">
            <w:pPr>
              <w:autoSpaceDE w:val="0"/>
              <w:autoSpaceDN w:val="0"/>
              <w:adjustRightInd w:val="0"/>
              <w:spacing w:line="480" w:lineRule="auto"/>
              <w:ind w:left="360"/>
              <w:jc w:val="center"/>
              <w:rPr>
                <w:rFonts w:ascii="Arial" w:hAnsi="Arial" w:cs="Arial"/>
                <w:lang w:val="en-US"/>
              </w:rPr>
            </w:pP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20/65 (31)</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2/65 (3.1)</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50/65 (77)</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42%</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43%</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10%</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lastRenderedPageBreak/>
              <w:t>5%</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13/65 (20)</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20/65 (31)</w:t>
            </w:r>
          </w:p>
          <w:p w:rsidR="00C51A71" w:rsidRPr="00B27DFF" w:rsidRDefault="00C51A71" w:rsidP="00D05323">
            <w:pPr>
              <w:autoSpaceDE w:val="0"/>
              <w:autoSpaceDN w:val="0"/>
              <w:adjustRightInd w:val="0"/>
              <w:spacing w:line="480" w:lineRule="auto"/>
              <w:ind w:left="360"/>
              <w:jc w:val="center"/>
              <w:rPr>
                <w:rFonts w:ascii="Arial" w:hAnsi="Arial" w:cs="Arial"/>
                <w:lang w:val="en-US"/>
              </w:rPr>
            </w:pP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2/65 (3)</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13/65 (20)</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4/65 (6.1)</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2/65 (3)</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10/65 (15.4)</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4/65 (6.1)</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23/65 (35.4)</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5/65 (7.7)</w:t>
            </w:r>
          </w:p>
          <w:p w:rsidR="00C51A71" w:rsidRPr="00B27DFF" w:rsidRDefault="00C51A71" w:rsidP="00BF7E35">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2/65 (3)</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3355.1 ± 3372.3 (230-19700)</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56 (86.2)</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52 (80)</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42 (64.6)</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1.1 ± 0.5 (0.4-3.4)</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91.8 ± 44.4 (25-289)</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17 (26.2)</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35 (53.8)</w:t>
            </w:r>
          </w:p>
          <w:p w:rsidR="00C51A71" w:rsidRPr="00B27DFF" w:rsidRDefault="00C51A71" w:rsidP="001D2FA1">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20.4 (4-36)</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50 (83.3)</w:t>
            </w:r>
          </w:p>
          <w:p w:rsidR="00C51A71" w:rsidRPr="00B27DFF" w:rsidRDefault="00C51A71" w:rsidP="00D05323">
            <w:pPr>
              <w:autoSpaceDE w:val="0"/>
              <w:autoSpaceDN w:val="0"/>
              <w:adjustRightInd w:val="0"/>
              <w:spacing w:line="480" w:lineRule="auto"/>
              <w:ind w:left="360"/>
              <w:jc w:val="center"/>
              <w:rPr>
                <w:rFonts w:ascii="Arial" w:hAnsi="Arial" w:cs="Arial"/>
                <w:lang w:val="en-US"/>
              </w:rPr>
            </w:pPr>
            <w:r w:rsidRPr="00B27DFF">
              <w:rPr>
                <w:rFonts w:ascii="Arial" w:hAnsi="Arial" w:cs="Arial"/>
                <w:lang w:val="en-US"/>
              </w:rPr>
              <w:t>15 ± 19 (1-101)</w:t>
            </w:r>
          </w:p>
        </w:tc>
      </w:tr>
    </w:tbl>
    <w:p w:rsidR="00C51A71" w:rsidRPr="00B27DFF" w:rsidRDefault="00C51A71" w:rsidP="001D2FA1">
      <w:pPr>
        <w:autoSpaceDE w:val="0"/>
        <w:autoSpaceDN w:val="0"/>
        <w:adjustRightInd w:val="0"/>
        <w:spacing w:line="480" w:lineRule="auto"/>
        <w:rPr>
          <w:rFonts w:ascii="Arial" w:hAnsi="Arial" w:cs="Arial"/>
          <w:lang w:val="en-US"/>
        </w:rPr>
      </w:pPr>
    </w:p>
    <w:p w:rsidR="00C51A71" w:rsidRPr="00B27DFF" w:rsidRDefault="00C51A71" w:rsidP="001D2FA1">
      <w:pPr>
        <w:autoSpaceDE w:val="0"/>
        <w:autoSpaceDN w:val="0"/>
        <w:adjustRightInd w:val="0"/>
        <w:spacing w:line="480" w:lineRule="auto"/>
        <w:rPr>
          <w:rFonts w:ascii="Arial" w:hAnsi="Arial" w:cs="Arial"/>
          <w:lang w:val="en-US"/>
        </w:rPr>
      </w:pPr>
      <w:r w:rsidRPr="00B27DFF">
        <w:rPr>
          <w:rFonts w:ascii="Arial" w:hAnsi="Arial" w:cs="Arial"/>
          <w:lang w:val="en-US"/>
        </w:rPr>
        <w:lastRenderedPageBreak/>
        <w:t>* Cardiovascular risk factors include: high blood pressure [HBP], diabetes, hypercholesterolemia and/or hypertriglyceridemia, smoking, and hormonal contraception.</w:t>
      </w:r>
    </w:p>
    <w:p w:rsidR="00C51A71" w:rsidRPr="00B27DFF" w:rsidRDefault="00C51A71" w:rsidP="001D2FA1">
      <w:pPr>
        <w:autoSpaceDE w:val="0"/>
        <w:autoSpaceDN w:val="0"/>
        <w:adjustRightInd w:val="0"/>
        <w:spacing w:line="480" w:lineRule="auto"/>
        <w:rPr>
          <w:rFonts w:ascii="Arial" w:hAnsi="Arial" w:cs="Arial"/>
          <w:lang w:val="en-US"/>
        </w:rPr>
      </w:pPr>
      <w:r w:rsidRPr="00B27DFF">
        <w:rPr>
          <w:rFonts w:ascii="Arial" w:hAnsi="Arial" w:cs="Arial"/>
          <w:lang w:val="en-US"/>
        </w:rPr>
        <w:t>** Values at renal biopsy</w:t>
      </w:r>
    </w:p>
    <w:p w:rsidR="00C51A71" w:rsidRPr="00B27DFF" w:rsidRDefault="00C51A71" w:rsidP="003251A0">
      <w:pPr>
        <w:spacing w:line="480" w:lineRule="auto"/>
        <w:rPr>
          <w:rFonts w:ascii="Arial" w:hAnsi="Arial" w:cs="Arial"/>
          <w:lang w:val="en-US"/>
        </w:rPr>
      </w:pPr>
      <w:r w:rsidRPr="00B27DFF">
        <w:rPr>
          <w:rFonts w:ascii="Arial" w:hAnsi="Arial" w:cs="Arial"/>
          <w:lang w:val="en-US"/>
        </w:rPr>
        <w:br w:type="page"/>
      </w:r>
      <w:r w:rsidRPr="00B27DFF">
        <w:rPr>
          <w:rFonts w:ascii="Arial" w:hAnsi="Arial" w:cs="Arial"/>
          <w:lang w:val="en-US"/>
        </w:rPr>
        <w:lastRenderedPageBreak/>
        <w:t>Table 2. Clinical and laboratory associations of CD61-positive microthrombi, CD68-positive macrophage infiltration and C4d deposition.</w:t>
      </w:r>
    </w:p>
    <w:p w:rsidR="00C51A71" w:rsidRPr="00B27DFF" w:rsidRDefault="00C51A71" w:rsidP="003251A0">
      <w:pPr>
        <w:spacing w:line="480" w:lineRule="auto"/>
        <w:rPr>
          <w:rFonts w:ascii="Arial" w:hAnsi="Arial" w:cs="Arial"/>
          <w:sz w:val="20"/>
          <w:szCs w:val="20"/>
          <w:lang w:val="fr-FR"/>
        </w:rPr>
      </w:pPr>
      <w:r w:rsidRPr="00B27DFF">
        <w:rPr>
          <w:rFonts w:ascii="Arial" w:hAnsi="Arial" w:cs="Arial"/>
          <w:sz w:val="20"/>
          <w:szCs w:val="20"/>
          <w:lang w:val="en-US"/>
        </w:rPr>
        <w:t xml:space="preserve">                          </w:t>
      </w:r>
      <w:r w:rsidRPr="00B27DFF">
        <w:rPr>
          <w:rFonts w:ascii="Arial" w:hAnsi="Arial" w:cs="Arial"/>
          <w:sz w:val="20"/>
          <w:szCs w:val="20"/>
          <w:lang w:val="fr-FR"/>
        </w:rPr>
        <w:t>CD61 microthrombi                  CD68+ infiltration                          C4d deposition</w:t>
      </w:r>
    </w:p>
    <w:tbl>
      <w:tblPr>
        <w:tblW w:w="1034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60"/>
        <w:gridCol w:w="284"/>
        <w:gridCol w:w="1275"/>
        <w:gridCol w:w="1249"/>
        <w:gridCol w:w="1161"/>
        <w:gridCol w:w="1701"/>
        <w:gridCol w:w="1418"/>
        <w:gridCol w:w="1701"/>
      </w:tblGrid>
      <w:tr w:rsidR="00C51A71" w:rsidRPr="00B27DFF" w:rsidTr="0010427A">
        <w:tc>
          <w:tcPr>
            <w:tcW w:w="1560" w:type="dxa"/>
            <w:tcBorders>
              <w:top w:val="single" w:sz="12" w:space="0" w:color="auto"/>
              <w:left w:val="single" w:sz="12" w:space="0" w:color="auto"/>
              <w:bottom w:val="single" w:sz="12" w:space="0" w:color="auto"/>
              <w:right w:val="nil"/>
            </w:tcBorders>
            <w:vAlign w:val="center"/>
          </w:tcPr>
          <w:p w:rsidR="00C51A71" w:rsidRPr="00B27DFF" w:rsidRDefault="00C51A71" w:rsidP="0010427A">
            <w:pPr>
              <w:spacing w:line="360" w:lineRule="auto"/>
              <w:rPr>
                <w:rFonts w:ascii="Arial" w:hAnsi="Arial" w:cs="Arial"/>
                <w:sz w:val="20"/>
                <w:szCs w:val="20"/>
                <w:lang w:val="fr-FR"/>
              </w:rPr>
            </w:pPr>
          </w:p>
        </w:tc>
        <w:tc>
          <w:tcPr>
            <w:tcW w:w="284" w:type="dxa"/>
            <w:tcBorders>
              <w:top w:val="single" w:sz="12" w:space="0" w:color="auto"/>
              <w:left w:val="nil"/>
              <w:bottom w:val="single" w:sz="12" w:space="0" w:color="auto"/>
              <w:right w:val="nil"/>
            </w:tcBorders>
            <w:vAlign w:val="center"/>
          </w:tcPr>
          <w:p w:rsidR="00C51A71" w:rsidRPr="00B27DFF" w:rsidRDefault="00C51A71" w:rsidP="0010427A">
            <w:pPr>
              <w:spacing w:line="360" w:lineRule="auto"/>
              <w:rPr>
                <w:rFonts w:ascii="Arial" w:hAnsi="Arial" w:cs="Arial"/>
                <w:sz w:val="20"/>
                <w:szCs w:val="20"/>
                <w:lang w:val="fr-FR"/>
              </w:rPr>
            </w:pPr>
          </w:p>
        </w:tc>
        <w:tc>
          <w:tcPr>
            <w:tcW w:w="1275" w:type="dxa"/>
            <w:tcBorders>
              <w:top w:val="single" w:sz="1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49" w:type="dxa"/>
            <w:tcBorders>
              <w:top w:val="single" w:sz="1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161" w:type="dxa"/>
            <w:tcBorders>
              <w:top w:val="single" w:sz="1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glomerular</w:t>
            </w:r>
          </w:p>
        </w:tc>
        <w:tc>
          <w:tcPr>
            <w:tcW w:w="1701" w:type="dxa"/>
            <w:tcBorders>
              <w:top w:val="single" w:sz="1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extraglomerular</w:t>
            </w:r>
          </w:p>
        </w:tc>
        <w:tc>
          <w:tcPr>
            <w:tcW w:w="1418" w:type="dxa"/>
            <w:tcBorders>
              <w:top w:val="single" w:sz="1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glomerular</w:t>
            </w:r>
          </w:p>
        </w:tc>
        <w:tc>
          <w:tcPr>
            <w:tcW w:w="1701" w:type="dxa"/>
            <w:tcBorders>
              <w:top w:val="single" w:sz="12" w:space="0" w:color="auto"/>
              <w:left w:val="nil"/>
              <w:bottom w:val="single" w:sz="12" w:space="0" w:color="auto"/>
              <w:right w:val="single" w:sz="12" w:space="0" w:color="auto"/>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extraglomerular</w:t>
            </w:r>
          </w:p>
        </w:tc>
      </w:tr>
      <w:tr w:rsidR="00C51A71" w:rsidRPr="00B27DFF" w:rsidTr="0010427A">
        <w:tc>
          <w:tcPr>
            <w:tcW w:w="1560" w:type="dxa"/>
            <w:tcBorders>
              <w:top w:val="single" w:sz="1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SLEDAI</w:t>
            </w:r>
          </w:p>
        </w:tc>
        <w:tc>
          <w:tcPr>
            <w:tcW w:w="284" w:type="dxa"/>
            <w:tcBorders>
              <w:top w:val="single" w:sz="12" w:space="0" w:color="auto"/>
              <w:left w:val="nil"/>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p>
        </w:tc>
        <w:tc>
          <w:tcPr>
            <w:tcW w:w="1275" w:type="dxa"/>
            <w:tcBorders>
              <w:top w:val="single" w:sz="1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20.5 ± 6.9</w:t>
            </w:r>
          </w:p>
        </w:tc>
        <w:tc>
          <w:tcPr>
            <w:tcW w:w="1249" w:type="dxa"/>
            <w:tcBorders>
              <w:top w:val="single" w:sz="1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20.3 ± 6.6 </w:t>
            </w:r>
          </w:p>
        </w:tc>
        <w:tc>
          <w:tcPr>
            <w:tcW w:w="1161" w:type="dxa"/>
            <w:tcBorders>
              <w:top w:val="single" w:sz="1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r=0.5 *</w:t>
            </w:r>
          </w:p>
        </w:tc>
        <w:tc>
          <w:tcPr>
            <w:tcW w:w="1701" w:type="dxa"/>
            <w:tcBorders>
              <w:top w:val="single" w:sz="1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r=0.3 *</w:t>
            </w:r>
          </w:p>
        </w:tc>
        <w:tc>
          <w:tcPr>
            <w:tcW w:w="1418" w:type="dxa"/>
            <w:tcBorders>
              <w:top w:val="single" w:sz="1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r=-0.1</w:t>
            </w:r>
          </w:p>
        </w:tc>
        <w:tc>
          <w:tcPr>
            <w:tcW w:w="1701" w:type="dxa"/>
            <w:tcBorders>
              <w:top w:val="single" w:sz="1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r=0.4 *</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 xml:space="preserve">aPL    </w:t>
            </w:r>
          </w:p>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 xml:space="preserve">           </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69%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31%</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33%</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67%</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1.9 ± 1.9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2.1 ± 3.1</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1 ± 1.3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0.4 ± 0.6</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2.6 ± 2.9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2.9 ± 4.7</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0.9 ± 1.4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 ± 1.2</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anti-dsDNA</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91%</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9%</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74%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26%</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2.8 ± 3.2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0.6 ± 0.7</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1</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0.5 ± 0.8</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2.4 ± 2.9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3.8 ± 6</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1.2 ± 1.4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0.5 ± 0.5</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Low complement</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94%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6%</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87%</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13%</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2.6 ± 3.1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0.5 ± 0.5</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0.7 ± 1</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0.9 ± 0.9</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2.4 ± 2.9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5.4 ± 8</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1.1 ± 1.4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0.5</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24h proteinuria (g)</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3.2 ± 3.1</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3.6 ± 3.6</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r=0.4 *</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r=0.4 *</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r=0.1</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r=0.3 *</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Hematuria</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88%</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12%</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16%</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2.7 ± 3.2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0.6 ± 0.7</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0.9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0.6 ± 1.4</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2.7 ± 3.9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2.9 ± 2.9</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1.1 ± 1.4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0.5 ± 0.6</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Leukocyturia</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76.5%</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23.5%</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16%</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2.7 ± 3.2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1.3 ± 1.5</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0.7 ± 0.9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0.7 ± 1.2</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2.7 ± 3.6</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2.8 ± 4.5</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1.1 ± 1.4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1</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Cellular casts</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62%</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38%</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68%</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32%</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3.1 ± 3.5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1.1 ± 1.3</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0.8</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0.7 ± 1.3</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3.1 ± 4.2</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2.1 ± 2.7</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1.1 ± 1.2</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0.9 ± 1.6</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Creatinine clearance</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97.9 ± 50.2</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84.3 ± 35.6</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r=-0.01</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r=-0.2</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r=0.1</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r=- 0.1</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Response to treatment</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jc w:val="center"/>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81%</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19%</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95%</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5%</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3.1 ± 3.5</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2.2 ± 1.4 </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0.9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1.3 ± 1.7</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2.9 ± 4.2</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1.9 ± 1.5</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1.2 ± 1.5</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0.9 ± 0.4</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Mean time to response</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sz w:val="20"/>
                <w:szCs w:val="20"/>
                <w:lang w:val="en-US"/>
              </w:rPr>
            </w:pP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25.1 ± 27.9</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8.8 ± 10.8</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r=-0.15</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r=-0.26</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r=-0.17</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r=-0.05</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LN relapse</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33%</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67%</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45%</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55%</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2.8 ± 3.3</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3.4 ± 4.4</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0.6 ± 0.7</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0.7 ± 0.8</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1.9 ± 2.9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2.9 ± 3.5</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1.1 ± 1.1</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1.4 ± 1.9</w:t>
            </w:r>
          </w:p>
        </w:tc>
      </w:tr>
      <w:tr w:rsidR="00C51A71" w:rsidRPr="00B27DFF" w:rsidTr="0010427A">
        <w:tc>
          <w:tcPr>
            <w:tcW w:w="1560" w:type="dxa"/>
            <w:tcBorders>
              <w:top w:val="single" w:sz="2" w:space="0" w:color="auto"/>
              <w:left w:val="single" w:sz="12" w:space="0" w:color="auto"/>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Renal failure at 1 year</w:t>
            </w:r>
          </w:p>
        </w:tc>
        <w:tc>
          <w:tcPr>
            <w:tcW w:w="284" w:type="dxa"/>
            <w:tcBorders>
              <w:top w:val="single" w:sz="2" w:space="0" w:color="auto"/>
              <w:left w:val="nil"/>
              <w:bottom w:val="single" w:sz="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17.4%</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82.6%</w:t>
            </w:r>
          </w:p>
        </w:tc>
        <w:tc>
          <w:tcPr>
            <w:tcW w:w="1249"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15%</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85%</w:t>
            </w:r>
          </w:p>
        </w:tc>
        <w:tc>
          <w:tcPr>
            <w:tcW w:w="116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3.2 ± 3.6</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1.9 ± 2.1</w:t>
            </w:r>
          </w:p>
        </w:tc>
        <w:tc>
          <w:tcPr>
            <w:tcW w:w="1701"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0.8 ± 0.9</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1.5 ± 1.6 </w:t>
            </w:r>
          </w:p>
        </w:tc>
        <w:tc>
          <w:tcPr>
            <w:tcW w:w="1418" w:type="dxa"/>
            <w:tcBorders>
              <w:top w:val="single" w:sz="2" w:space="0" w:color="auto"/>
              <w:left w:val="nil"/>
              <w:bottom w:val="single" w:sz="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2.9 ± 4.2</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1.3 ± 1.7</w:t>
            </w:r>
          </w:p>
        </w:tc>
        <w:tc>
          <w:tcPr>
            <w:tcW w:w="1701" w:type="dxa"/>
            <w:tcBorders>
              <w:top w:val="single" w:sz="2" w:space="0" w:color="auto"/>
              <w:left w:val="nil"/>
              <w:bottom w:val="single" w:sz="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1.3 ± 1.6</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1.2 ± 0.7</w:t>
            </w:r>
          </w:p>
        </w:tc>
      </w:tr>
      <w:tr w:rsidR="00C51A71" w:rsidRPr="00B27DFF" w:rsidTr="0010427A">
        <w:tc>
          <w:tcPr>
            <w:tcW w:w="1560" w:type="dxa"/>
            <w:tcBorders>
              <w:top w:val="single" w:sz="2" w:space="0" w:color="auto"/>
              <w:left w:val="single" w:sz="12" w:space="0" w:color="auto"/>
              <w:bottom w:val="single" w:sz="1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Renal failure at last visit</w:t>
            </w:r>
          </w:p>
        </w:tc>
        <w:tc>
          <w:tcPr>
            <w:tcW w:w="284" w:type="dxa"/>
            <w:tcBorders>
              <w:top w:val="single" w:sz="2" w:space="0" w:color="auto"/>
              <w:left w:val="nil"/>
              <w:bottom w:val="single" w:sz="12" w:space="0" w:color="auto"/>
              <w:right w:val="nil"/>
            </w:tcBorders>
            <w:vAlign w:val="center"/>
          </w:tcPr>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w:t>
            </w:r>
          </w:p>
          <w:p w:rsidR="00C51A71" w:rsidRPr="00B27DFF" w:rsidRDefault="00C51A71" w:rsidP="0010427A">
            <w:pPr>
              <w:spacing w:line="360" w:lineRule="auto"/>
              <w:rPr>
                <w:rFonts w:ascii="Arial" w:hAnsi="Arial" w:cs="Arial"/>
                <w:sz w:val="20"/>
                <w:szCs w:val="20"/>
                <w:lang w:val="en-US"/>
              </w:rPr>
            </w:pPr>
            <w:r w:rsidRPr="00B27DFF">
              <w:rPr>
                <w:rFonts w:ascii="Arial" w:hAnsi="Arial" w:cs="Arial"/>
                <w:sz w:val="20"/>
                <w:szCs w:val="20"/>
                <w:lang w:val="en-US"/>
              </w:rPr>
              <w:t>-</w:t>
            </w:r>
          </w:p>
        </w:tc>
        <w:tc>
          <w:tcPr>
            <w:tcW w:w="1275" w:type="dxa"/>
            <w:tcBorders>
              <w:top w:val="single" w:sz="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20.8%</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79.2%</w:t>
            </w:r>
          </w:p>
        </w:tc>
        <w:tc>
          <w:tcPr>
            <w:tcW w:w="1249" w:type="dxa"/>
            <w:tcBorders>
              <w:top w:val="single" w:sz="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30%</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70%</w:t>
            </w:r>
          </w:p>
        </w:tc>
        <w:tc>
          <w:tcPr>
            <w:tcW w:w="1161" w:type="dxa"/>
            <w:tcBorders>
              <w:top w:val="single" w:sz="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3.3 ± 3.7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2.1 ± 1.9</w:t>
            </w:r>
          </w:p>
        </w:tc>
        <w:tc>
          <w:tcPr>
            <w:tcW w:w="1701" w:type="dxa"/>
            <w:tcBorders>
              <w:top w:val="single" w:sz="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0.9 ± 1</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1 ± 1.4 </w:t>
            </w:r>
          </w:p>
        </w:tc>
        <w:tc>
          <w:tcPr>
            <w:tcW w:w="1418" w:type="dxa"/>
            <w:tcBorders>
              <w:top w:val="single" w:sz="2" w:space="0" w:color="auto"/>
              <w:left w:val="nil"/>
              <w:bottom w:val="single" w:sz="12" w:space="0" w:color="auto"/>
              <w:right w:val="nil"/>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 xml:space="preserve">3 ± 4.4 </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1.5 ± 1.7</w:t>
            </w:r>
          </w:p>
        </w:tc>
        <w:tc>
          <w:tcPr>
            <w:tcW w:w="1701" w:type="dxa"/>
            <w:tcBorders>
              <w:top w:val="single" w:sz="2" w:space="0" w:color="auto"/>
              <w:left w:val="nil"/>
              <w:bottom w:val="single" w:sz="12" w:space="0" w:color="auto"/>
              <w:right w:val="single" w:sz="12" w:space="0" w:color="auto"/>
            </w:tcBorders>
            <w:vAlign w:val="center"/>
          </w:tcPr>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1.3 ± 1.6</w:t>
            </w:r>
          </w:p>
          <w:p w:rsidR="00C51A71" w:rsidRPr="00B27DFF" w:rsidRDefault="00C51A71" w:rsidP="0010427A">
            <w:pPr>
              <w:spacing w:line="360" w:lineRule="auto"/>
              <w:jc w:val="center"/>
              <w:rPr>
                <w:rFonts w:ascii="Arial" w:hAnsi="Arial" w:cs="Arial"/>
                <w:color w:val="000000"/>
                <w:sz w:val="20"/>
                <w:szCs w:val="20"/>
              </w:rPr>
            </w:pPr>
            <w:r w:rsidRPr="00B27DFF">
              <w:rPr>
                <w:rFonts w:ascii="Arial" w:hAnsi="Arial" w:cs="Arial"/>
                <w:color w:val="000000"/>
                <w:sz w:val="20"/>
                <w:szCs w:val="20"/>
              </w:rPr>
              <w:t>1 ± 0.7</w:t>
            </w:r>
          </w:p>
        </w:tc>
      </w:tr>
    </w:tbl>
    <w:p w:rsidR="00C51A71" w:rsidRPr="00B27DFF" w:rsidRDefault="00C51A71" w:rsidP="001B0C30">
      <w:pPr>
        <w:spacing w:line="480" w:lineRule="auto"/>
      </w:pPr>
    </w:p>
    <w:p w:rsidR="00C51A71" w:rsidRPr="00B27DFF" w:rsidRDefault="00C51A71" w:rsidP="001B0C30">
      <w:pPr>
        <w:spacing w:line="480" w:lineRule="auto"/>
        <w:rPr>
          <w:rFonts w:ascii="Arial" w:hAnsi="Arial" w:cs="Arial"/>
          <w:lang w:val="en-US"/>
        </w:rPr>
      </w:pPr>
      <w:r w:rsidRPr="00B27DFF">
        <w:rPr>
          <w:rFonts w:ascii="Arial" w:hAnsi="Arial" w:cs="Arial"/>
          <w:sz w:val="20"/>
          <w:szCs w:val="20"/>
          <w:lang w:val="en-US"/>
        </w:rPr>
        <w:t>(*): p&lt; 0.05</w:t>
      </w:r>
    </w:p>
    <w:p w:rsidR="00C51A71" w:rsidRPr="00B27DFF" w:rsidRDefault="00C51A71" w:rsidP="00737A6A">
      <w:pPr>
        <w:autoSpaceDE w:val="0"/>
        <w:autoSpaceDN w:val="0"/>
        <w:adjustRightInd w:val="0"/>
        <w:spacing w:line="480" w:lineRule="auto"/>
        <w:rPr>
          <w:rFonts w:ascii="Arial" w:hAnsi="Arial" w:cs="Arial"/>
          <w:b/>
          <w:lang w:val="en-US"/>
        </w:rPr>
      </w:pPr>
    </w:p>
    <w:p w:rsidR="00C51A71" w:rsidRPr="00B27DFF" w:rsidRDefault="00C51A71" w:rsidP="00737A6A">
      <w:pPr>
        <w:autoSpaceDE w:val="0"/>
        <w:autoSpaceDN w:val="0"/>
        <w:adjustRightInd w:val="0"/>
        <w:spacing w:line="480" w:lineRule="auto"/>
        <w:rPr>
          <w:rFonts w:ascii="Arial" w:hAnsi="Arial" w:cs="Arial"/>
          <w:b/>
          <w:lang w:val="en-US"/>
        </w:rPr>
      </w:pPr>
    </w:p>
    <w:p w:rsidR="00C51A71" w:rsidRPr="00B27DFF" w:rsidRDefault="00C51A71" w:rsidP="00737A6A">
      <w:pPr>
        <w:autoSpaceDE w:val="0"/>
        <w:autoSpaceDN w:val="0"/>
        <w:adjustRightInd w:val="0"/>
        <w:spacing w:line="480" w:lineRule="auto"/>
        <w:rPr>
          <w:rFonts w:ascii="Arial" w:hAnsi="Arial" w:cs="Arial"/>
          <w:b/>
          <w:lang w:val="en-US"/>
        </w:rPr>
      </w:pPr>
    </w:p>
    <w:p w:rsidR="00C51A71" w:rsidRPr="00B27DFF" w:rsidRDefault="00C51A71" w:rsidP="00737A6A">
      <w:pPr>
        <w:autoSpaceDE w:val="0"/>
        <w:autoSpaceDN w:val="0"/>
        <w:adjustRightInd w:val="0"/>
        <w:spacing w:line="480" w:lineRule="auto"/>
        <w:rPr>
          <w:rFonts w:ascii="Arial" w:hAnsi="Arial" w:cs="Arial"/>
          <w:b/>
          <w:lang w:val="en-US"/>
        </w:rPr>
      </w:pPr>
      <w:r w:rsidRPr="00B27DFF">
        <w:rPr>
          <w:rFonts w:ascii="Arial" w:hAnsi="Arial" w:cs="Arial"/>
          <w:b/>
          <w:lang w:val="en-US"/>
        </w:rPr>
        <w:lastRenderedPageBreak/>
        <w:t xml:space="preserve">Legend to Figure </w:t>
      </w:r>
    </w:p>
    <w:p w:rsidR="00C51A71" w:rsidRPr="006F5DB6" w:rsidRDefault="00C51A71" w:rsidP="00737A6A">
      <w:pPr>
        <w:spacing w:line="480" w:lineRule="auto"/>
        <w:jc w:val="both"/>
        <w:rPr>
          <w:rFonts w:ascii="Arial" w:hAnsi="Arial" w:cs="Arial"/>
          <w:lang w:val="en-US"/>
        </w:rPr>
      </w:pPr>
      <w:r w:rsidRPr="00B27DFF">
        <w:rPr>
          <w:rFonts w:ascii="Arial" w:hAnsi="Arial" w:cs="Arial"/>
          <w:b/>
          <w:bCs/>
          <w:lang w:val="en-US"/>
        </w:rPr>
        <w:t xml:space="preserve">Figure1. Immunohistochemical detection of platelet microthrombi lesions, macrophagic infiltration and activated complement deposition in kidney biopsies. </w:t>
      </w:r>
      <w:r w:rsidRPr="00B27DFF">
        <w:rPr>
          <w:rFonts w:ascii="Arial" w:hAnsi="Arial" w:cs="Arial"/>
          <w:lang w:val="en-US"/>
        </w:rPr>
        <w:t>CD61 (left), CD68 (middle) and C4d (right) antigens were detected by immunoperoxidase (brown color) in serial sections of healthy kidney (a-c) and SLE nephritis tissues (d-l). SLE glomerular (d-f) or extraglomerular (g-i) markers are shown. Positive CD61 microtrombi (j), CD68 infiltration (k) and C4d perivascular deposition (l) was detected. Sections were counterstained by haematoxylin. Original magnification: x 400.</w:t>
      </w:r>
    </w:p>
    <w:p w:rsidR="00C51A71" w:rsidRPr="006F5DB6" w:rsidRDefault="00C51A71" w:rsidP="001112A8">
      <w:pPr>
        <w:spacing w:line="480" w:lineRule="auto"/>
        <w:jc w:val="both"/>
        <w:rPr>
          <w:rFonts w:ascii="Arial" w:hAnsi="Arial" w:cs="Arial"/>
          <w:lang w:val="en-US"/>
        </w:rPr>
      </w:pPr>
    </w:p>
    <w:sectPr w:rsidR="00C51A71" w:rsidRPr="006F5DB6" w:rsidSect="00A14BAF">
      <w:footerReference w:type="even" r:id="rId38"/>
      <w:footerReference w:type="default" r:id="rId3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A71" w:rsidRDefault="00C51A71">
      <w:r>
        <w:separator/>
      </w:r>
    </w:p>
  </w:endnote>
  <w:endnote w:type="continuationSeparator" w:id="0">
    <w:p w:rsidR="00C51A71" w:rsidRDefault="00C51A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
    <w:altName w:val="~??eg"/>
    <w:panose1 w:val="00000000000000000000"/>
    <w:charset w:val="80"/>
    <w:family w:val="moder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ngs">
    <w:altName w:val="Arial Unicode MS"/>
    <w:panose1 w:val="00000000000000000000"/>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A71" w:rsidRDefault="00C51A71" w:rsidP="0056365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51A71" w:rsidRDefault="00C51A71" w:rsidP="007E503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A71" w:rsidRPr="007E5033" w:rsidRDefault="00C51A71" w:rsidP="0056365D">
    <w:pPr>
      <w:pStyle w:val="Piedepgina"/>
      <w:framePr w:wrap="around" w:vAnchor="text" w:hAnchor="margin" w:xAlign="right" w:y="1"/>
      <w:rPr>
        <w:rStyle w:val="Nmerodepgina"/>
        <w:rFonts w:ascii="Arial" w:hAnsi="Arial" w:cs="Arial"/>
        <w:sz w:val="20"/>
        <w:szCs w:val="20"/>
      </w:rPr>
    </w:pPr>
    <w:r>
      <w:rPr>
        <w:rStyle w:val="Nmerodepgina"/>
        <w:rFonts w:ascii="Arial" w:hAnsi="Arial" w:cs="Arial"/>
        <w:sz w:val="20"/>
        <w:szCs w:val="20"/>
      </w:rPr>
      <w:fldChar w:fldCharType="begin"/>
    </w:r>
    <w:r>
      <w:rPr>
        <w:rStyle w:val="Nmerodepgina"/>
        <w:rFonts w:ascii="Arial" w:hAnsi="Arial" w:cs="Arial"/>
        <w:sz w:val="20"/>
        <w:szCs w:val="20"/>
      </w:rPr>
      <w:instrText>PAGE</w:instrText>
    </w:r>
    <w:r>
      <w:rPr>
        <w:rStyle w:val="Nmerodepgina"/>
        <w:rFonts w:ascii="Arial" w:hAnsi="Arial" w:cs="Arial"/>
        <w:sz w:val="20"/>
        <w:szCs w:val="20"/>
      </w:rPr>
      <w:fldChar w:fldCharType="separate"/>
    </w:r>
    <w:r w:rsidR="00627636">
      <w:rPr>
        <w:rStyle w:val="Nmerodepgina"/>
        <w:rFonts w:ascii="Arial" w:hAnsi="Arial" w:cs="Arial"/>
        <w:noProof/>
        <w:sz w:val="20"/>
        <w:szCs w:val="20"/>
      </w:rPr>
      <w:t>2</w:t>
    </w:r>
    <w:r>
      <w:rPr>
        <w:rStyle w:val="Nmerodepgina"/>
        <w:rFonts w:ascii="Arial" w:hAnsi="Arial" w:cs="Arial"/>
        <w:sz w:val="20"/>
        <w:szCs w:val="20"/>
      </w:rPr>
      <w:fldChar w:fldCharType="end"/>
    </w:r>
  </w:p>
  <w:p w:rsidR="00C51A71" w:rsidRDefault="00C51A71" w:rsidP="007E5033">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A71" w:rsidRDefault="00C51A71">
      <w:r>
        <w:separator/>
      </w:r>
    </w:p>
  </w:footnote>
  <w:footnote w:type="continuationSeparator" w:id="0">
    <w:p w:rsidR="00C51A71" w:rsidRDefault="00C51A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0219F"/>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37C612A"/>
    <w:multiLevelType w:val="hybridMultilevel"/>
    <w:tmpl w:val="87E25EB6"/>
    <w:lvl w:ilvl="0" w:tplc="0C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7545331"/>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7E05723"/>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BC53B55"/>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EAF7986"/>
    <w:multiLevelType w:val="hybridMultilevel"/>
    <w:tmpl w:val="B6B4AA40"/>
    <w:lvl w:ilvl="0" w:tplc="0C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24F1765"/>
    <w:multiLevelType w:val="hybridMultilevel"/>
    <w:tmpl w:val="68DE9FD6"/>
    <w:lvl w:ilvl="0" w:tplc="E2D49F22">
      <w:start w:val="6"/>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4761EA5"/>
    <w:multiLevelType w:val="hybridMultilevel"/>
    <w:tmpl w:val="C0AAE0B2"/>
    <w:lvl w:ilvl="0" w:tplc="0C0A000F">
      <w:start w:val="1"/>
      <w:numFmt w:val="decimal"/>
      <w:lvlText w:val="%1."/>
      <w:lvlJc w:val="left"/>
      <w:pPr>
        <w:tabs>
          <w:tab w:val="num" w:pos="1080"/>
        </w:tabs>
        <w:ind w:left="1080" w:hanging="360"/>
      </w:pPr>
      <w:rPr>
        <w:rFonts w:cs="Times New Roman"/>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1E3D4185"/>
    <w:multiLevelType w:val="hybridMultilevel"/>
    <w:tmpl w:val="22F69044"/>
    <w:lvl w:ilvl="0" w:tplc="0A0017CA">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8700089"/>
    <w:multiLevelType w:val="hybridMultilevel"/>
    <w:tmpl w:val="4BBCCE7C"/>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F3302B74">
      <w:start w:val="21"/>
      <w:numFmt w:val="decimal"/>
      <w:lvlText w:val="%2"/>
      <w:lvlJc w:val="left"/>
      <w:pPr>
        <w:tabs>
          <w:tab w:val="num" w:pos="360"/>
        </w:tabs>
        <w:ind w:left="360" w:hanging="360"/>
      </w:pPr>
      <w:rPr>
        <w:rFonts w:ascii="Times New Roman" w:eastAsia="Times New Roman" w:hAnsi="Times New Roman"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A04084F"/>
    <w:multiLevelType w:val="hybridMultilevel"/>
    <w:tmpl w:val="7B9208B4"/>
    <w:lvl w:ilvl="0" w:tplc="F5E603AE">
      <w:numFmt w:val="bullet"/>
      <w:lvlText w:val=""/>
      <w:lvlJc w:val="left"/>
      <w:pPr>
        <w:ind w:left="760" w:hanging="360"/>
      </w:pPr>
      <w:rPr>
        <w:rFonts w:ascii="Wingdings" w:eastAsia="Times New Roman" w:hAnsi="Wingdings" w:hint="default"/>
      </w:rPr>
    </w:lvl>
    <w:lvl w:ilvl="1" w:tplc="0C0A0003" w:tentative="1">
      <w:start w:val="1"/>
      <w:numFmt w:val="bullet"/>
      <w:lvlText w:val="o"/>
      <w:lvlJc w:val="left"/>
      <w:pPr>
        <w:ind w:left="1480" w:hanging="360"/>
      </w:pPr>
      <w:rPr>
        <w:rFonts w:ascii="Courier New" w:hAnsi="Courier New" w:hint="default"/>
      </w:rPr>
    </w:lvl>
    <w:lvl w:ilvl="2" w:tplc="0C0A0005" w:tentative="1">
      <w:start w:val="1"/>
      <w:numFmt w:val="bullet"/>
      <w:lvlText w:val=""/>
      <w:lvlJc w:val="left"/>
      <w:pPr>
        <w:ind w:left="2200" w:hanging="360"/>
      </w:pPr>
      <w:rPr>
        <w:rFonts w:ascii="Wingdings" w:hAnsi="Wingdings" w:hint="default"/>
      </w:rPr>
    </w:lvl>
    <w:lvl w:ilvl="3" w:tplc="0C0A0001" w:tentative="1">
      <w:start w:val="1"/>
      <w:numFmt w:val="bullet"/>
      <w:lvlText w:val=""/>
      <w:lvlJc w:val="left"/>
      <w:pPr>
        <w:ind w:left="2920" w:hanging="360"/>
      </w:pPr>
      <w:rPr>
        <w:rFonts w:ascii="Symbol" w:hAnsi="Symbol" w:hint="default"/>
      </w:rPr>
    </w:lvl>
    <w:lvl w:ilvl="4" w:tplc="0C0A0003" w:tentative="1">
      <w:start w:val="1"/>
      <w:numFmt w:val="bullet"/>
      <w:lvlText w:val="o"/>
      <w:lvlJc w:val="left"/>
      <w:pPr>
        <w:ind w:left="3640" w:hanging="360"/>
      </w:pPr>
      <w:rPr>
        <w:rFonts w:ascii="Courier New" w:hAnsi="Courier New" w:hint="default"/>
      </w:rPr>
    </w:lvl>
    <w:lvl w:ilvl="5" w:tplc="0C0A0005" w:tentative="1">
      <w:start w:val="1"/>
      <w:numFmt w:val="bullet"/>
      <w:lvlText w:val=""/>
      <w:lvlJc w:val="left"/>
      <w:pPr>
        <w:ind w:left="4360" w:hanging="360"/>
      </w:pPr>
      <w:rPr>
        <w:rFonts w:ascii="Wingdings" w:hAnsi="Wingdings" w:hint="default"/>
      </w:rPr>
    </w:lvl>
    <w:lvl w:ilvl="6" w:tplc="0C0A0001" w:tentative="1">
      <w:start w:val="1"/>
      <w:numFmt w:val="bullet"/>
      <w:lvlText w:val=""/>
      <w:lvlJc w:val="left"/>
      <w:pPr>
        <w:ind w:left="5080" w:hanging="360"/>
      </w:pPr>
      <w:rPr>
        <w:rFonts w:ascii="Symbol" w:hAnsi="Symbol" w:hint="default"/>
      </w:rPr>
    </w:lvl>
    <w:lvl w:ilvl="7" w:tplc="0C0A0003" w:tentative="1">
      <w:start w:val="1"/>
      <w:numFmt w:val="bullet"/>
      <w:lvlText w:val="o"/>
      <w:lvlJc w:val="left"/>
      <w:pPr>
        <w:ind w:left="5800" w:hanging="360"/>
      </w:pPr>
      <w:rPr>
        <w:rFonts w:ascii="Courier New" w:hAnsi="Courier New" w:hint="default"/>
      </w:rPr>
    </w:lvl>
    <w:lvl w:ilvl="8" w:tplc="0C0A0005" w:tentative="1">
      <w:start w:val="1"/>
      <w:numFmt w:val="bullet"/>
      <w:lvlText w:val=""/>
      <w:lvlJc w:val="left"/>
      <w:pPr>
        <w:ind w:left="6520" w:hanging="360"/>
      </w:pPr>
      <w:rPr>
        <w:rFonts w:ascii="Wingdings" w:hAnsi="Wingdings" w:hint="default"/>
      </w:rPr>
    </w:lvl>
  </w:abstractNum>
  <w:abstractNum w:abstractNumId="11" w15:restartNumberingAfterBreak="0">
    <w:nsid w:val="2CAD3323"/>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CB97683"/>
    <w:multiLevelType w:val="hybridMultilevel"/>
    <w:tmpl w:val="936ABF0E"/>
    <w:lvl w:ilvl="0" w:tplc="0AA01520">
      <w:start w:val="12"/>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E6509B0"/>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FC90075"/>
    <w:multiLevelType w:val="hybridMultilevel"/>
    <w:tmpl w:val="E44AA76C"/>
    <w:lvl w:ilvl="0" w:tplc="5F56018E">
      <w:start w:val="80"/>
      <w:numFmt w:val="decimal"/>
      <w:lvlText w:val="%1"/>
      <w:lvlJc w:val="left"/>
      <w:pPr>
        <w:tabs>
          <w:tab w:val="num" w:pos="2220"/>
        </w:tabs>
        <w:ind w:left="2220" w:hanging="18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31FD00E9"/>
    <w:multiLevelType w:val="multilevel"/>
    <w:tmpl w:val="1E2A8080"/>
    <w:lvl w:ilvl="0">
      <w:start w:val="23"/>
      <w:numFmt w:val="decimal"/>
      <w:lvlText w:val="%1"/>
      <w:lvlJc w:val="left"/>
      <w:pPr>
        <w:tabs>
          <w:tab w:val="num" w:pos="1860"/>
        </w:tabs>
        <w:ind w:left="1860" w:hanging="1860"/>
      </w:pPr>
      <w:rPr>
        <w:rFonts w:cs="Times New Roman" w:hint="default"/>
      </w:rPr>
    </w:lvl>
    <w:lvl w:ilvl="1">
      <w:start w:val="1"/>
      <w:numFmt w:val="decimal"/>
      <w:lvlText w:val="%1.%2"/>
      <w:lvlJc w:val="left"/>
      <w:pPr>
        <w:tabs>
          <w:tab w:val="num" w:pos="2220"/>
        </w:tabs>
        <w:ind w:left="2220" w:hanging="1860"/>
      </w:pPr>
      <w:rPr>
        <w:rFonts w:cs="Times New Roman" w:hint="default"/>
      </w:rPr>
    </w:lvl>
    <w:lvl w:ilvl="2">
      <w:start w:val="1"/>
      <w:numFmt w:val="decimal"/>
      <w:lvlText w:val="%1.%2.%3"/>
      <w:lvlJc w:val="left"/>
      <w:pPr>
        <w:tabs>
          <w:tab w:val="num" w:pos="2580"/>
        </w:tabs>
        <w:ind w:left="2580" w:hanging="1860"/>
      </w:pPr>
      <w:rPr>
        <w:rFonts w:cs="Times New Roman" w:hint="default"/>
      </w:rPr>
    </w:lvl>
    <w:lvl w:ilvl="3">
      <w:start w:val="1"/>
      <w:numFmt w:val="decimal"/>
      <w:lvlText w:val="%1.%2.%3.%4"/>
      <w:lvlJc w:val="left"/>
      <w:pPr>
        <w:tabs>
          <w:tab w:val="num" w:pos="2940"/>
        </w:tabs>
        <w:ind w:left="2940" w:hanging="1860"/>
      </w:pPr>
      <w:rPr>
        <w:rFonts w:cs="Times New Roman" w:hint="default"/>
      </w:rPr>
    </w:lvl>
    <w:lvl w:ilvl="4">
      <w:start w:val="1"/>
      <w:numFmt w:val="decimal"/>
      <w:lvlText w:val="%1.%2.%3.%4.%5"/>
      <w:lvlJc w:val="left"/>
      <w:pPr>
        <w:tabs>
          <w:tab w:val="num" w:pos="3300"/>
        </w:tabs>
        <w:ind w:left="3300" w:hanging="1860"/>
      </w:pPr>
      <w:rPr>
        <w:rFonts w:cs="Times New Roman" w:hint="default"/>
      </w:rPr>
    </w:lvl>
    <w:lvl w:ilvl="5">
      <w:start w:val="1"/>
      <w:numFmt w:val="decimal"/>
      <w:lvlText w:val="%1.%2.%3.%4.%5.%6"/>
      <w:lvlJc w:val="left"/>
      <w:pPr>
        <w:tabs>
          <w:tab w:val="num" w:pos="3660"/>
        </w:tabs>
        <w:ind w:left="3660" w:hanging="1860"/>
      </w:pPr>
      <w:rPr>
        <w:rFonts w:cs="Times New Roman" w:hint="default"/>
      </w:rPr>
    </w:lvl>
    <w:lvl w:ilvl="6">
      <w:start w:val="1"/>
      <w:numFmt w:val="decimal"/>
      <w:lvlText w:val="%1.%2.%3.%4.%5.%6.%7"/>
      <w:lvlJc w:val="left"/>
      <w:pPr>
        <w:tabs>
          <w:tab w:val="num" w:pos="4020"/>
        </w:tabs>
        <w:ind w:left="4020" w:hanging="1860"/>
      </w:pPr>
      <w:rPr>
        <w:rFonts w:cs="Times New Roman" w:hint="default"/>
      </w:rPr>
    </w:lvl>
    <w:lvl w:ilvl="7">
      <w:start w:val="1"/>
      <w:numFmt w:val="decimal"/>
      <w:lvlText w:val="%1.%2.%3.%4.%5.%6.%7.%8"/>
      <w:lvlJc w:val="left"/>
      <w:pPr>
        <w:tabs>
          <w:tab w:val="num" w:pos="4380"/>
        </w:tabs>
        <w:ind w:left="4380" w:hanging="1860"/>
      </w:pPr>
      <w:rPr>
        <w:rFonts w:cs="Times New Roman" w:hint="default"/>
      </w:rPr>
    </w:lvl>
    <w:lvl w:ilvl="8">
      <w:start w:val="1"/>
      <w:numFmt w:val="decimal"/>
      <w:lvlText w:val="%1.%2.%3.%4.%5.%6.%7.%8.%9"/>
      <w:lvlJc w:val="left"/>
      <w:pPr>
        <w:tabs>
          <w:tab w:val="num" w:pos="4740"/>
        </w:tabs>
        <w:ind w:left="4740" w:hanging="1860"/>
      </w:pPr>
      <w:rPr>
        <w:rFonts w:cs="Times New Roman" w:hint="default"/>
      </w:rPr>
    </w:lvl>
  </w:abstractNum>
  <w:abstractNum w:abstractNumId="16" w15:restartNumberingAfterBreak="0">
    <w:nsid w:val="396F0EC6"/>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39A40017"/>
    <w:multiLevelType w:val="multilevel"/>
    <w:tmpl w:val="105E5C0E"/>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40077EBE"/>
    <w:multiLevelType w:val="hybridMultilevel"/>
    <w:tmpl w:val="EB54BE72"/>
    <w:lvl w:ilvl="0" w:tplc="CB6A4FB2">
      <w:start w:val="15"/>
      <w:numFmt w:val="bullet"/>
      <w:lvlText w:val=""/>
      <w:lvlJc w:val="left"/>
      <w:pPr>
        <w:ind w:left="420" w:hanging="360"/>
      </w:pPr>
      <w:rPr>
        <w:rFonts w:ascii="Symbol" w:eastAsia="Times New Roman" w:hAnsi="Symbol" w:hint="default"/>
      </w:rPr>
    </w:lvl>
    <w:lvl w:ilvl="1" w:tplc="0C0A0003" w:tentative="1">
      <w:start w:val="1"/>
      <w:numFmt w:val="bullet"/>
      <w:lvlText w:val="o"/>
      <w:lvlJc w:val="left"/>
      <w:pPr>
        <w:ind w:left="1140" w:hanging="360"/>
      </w:pPr>
      <w:rPr>
        <w:rFonts w:ascii="Courier New" w:hAnsi="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9" w15:restartNumberingAfterBreak="0">
    <w:nsid w:val="44F4074B"/>
    <w:multiLevelType w:val="hybridMultilevel"/>
    <w:tmpl w:val="89F4BB9C"/>
    <w:lvl w:ilvl="0" w:tplc="0C0A000F">
      <w:start w:val="1"/>
      <w:numFmt w:val="decimal"/>
      <w:lvlText w:val="%1."/>
      <w:lvlJc w:val="left"/>
      <w:pPr>
        <w:tabs>
          <w:tab w:val="num" w:pos="1080"/>
        </w:tabs>
        <w:ind w:left="1080" w:hanging="360"/>
      </w:pPr>
      <w:rPr>
        <w:rFonts w:cs="Times New Roman"/>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20" w15:restartNumberingAfterBreak="0">
    <w:nsid w:val="451D1AF5"/>
    <w:multiLevelType w:val="multilevel"/>
    <w:tmpl w:val="A83454FE"/>
    <w:lvl w:ilvl="0">
      <w:start w:val="56"/>
      <w:numFmt w:val="decimal"/>
      <w:lvlText w:val="%1"/>
      <w:lvlJc w:val="left"/>
      <w:pPr>
        <w:tabs>
          <w:tab w:val="num" w:pos="1830"/>
        </w:tabs>
        <w:ind w:left="1830" w:hanging="1830"/>
      </w:pPr>
      <w:rPr>
        <w:rFonts w:cs="Times New Roman" w:hint="default"/>
      </w:rPr>
    </w:lvl>
    <w:lvl w:ilvl="1">
      <w:start w:val="2"/>
      <w:numFmt w:val="decimal"/>
      <w:lvlText w:val="%1.%2"/>
      <w:lvlJc w:val="left"/>
      <w:pPr>
        <w:tabs>
          <w:tab w:val="num" w:pos="2190"/>
        </w:tabs>
        <w:ind w:left="2190" w:hanging="1830"/>
      </w:pPr>
      <w:rPr>
        <w:rFonts w:cs="Times New Roman" w:hint="default"/>
      </w:rPr>
    </w:lvl>
    <w:lvl w:ilvl="2">
      <w:start w:val="1"/>
      <w:numFmt w:val="decimal"/>
      <w:lvlText w:val="%1.%2.%3"/>
      <w:lvlJc w:val="left"/>
      <w:pPr>
        <w:tabs>
          <w:tab w:val="num" w:pos="2550"/>
        </w:tabs>
        <w:ind w:left="2550" w:hanging="1830"/>
      </w:pPr>
      <w:rPr>
        <w:rFonts w:cs="Times New Roman" w:hint="default"/>
      </w:rPr>
    </w:lvl>
    <w:lvl w:ilvl="3">
      <w:start w:val="1"/>
      <w:numFmt w:val="decimal"/>
      <w:lvlText w:val="%1.%2.%3.%4"/>
      <w:lvlJc w:val="left"/>
      <w:pPr>
        <w:tabs>
          <w:tab w:val="num" w:pos="2910"/>
        </w:tabs>
        <w:ind w:left="2910" w:hanging="1830"/>
      </w:pPr>
      <w:rPr>
        <w:rFonts w:cs="Times New Roman" w:hint="default"/>
      </w:rPr>
    </w:lvl>
    <w:lvl w:ilvl="4">
      <w:start w:val="1"/>
      <w:numFmt w:val="decimal"/>
      <w:lvlText w:val="%1.%2.%3.%4.%5"/>
      <w:lvlJc w:val="left"/>
      <w:pPr>
        <w:tabs>
          <w:tab w:val="num" w:pos="3270"/>
        </w:tabs>
        <w:ind w:left="3270" w:hanging="1830"/>
      </w:pPr>
      <w:rPr>
        <w:rFonts w:cs="Times New Roman" w:hint="default"/>
      </w:rPr>
    </w:lvl>
    <w:lvl w:ilvl="5">
      <w:start w:val="1"/>
      <w:numFmt w:val="decimal"/>
      <w:lvlText w:val="%1.%2.%3.%4.%5.%6"/>
      <w:lvlJc w:val="left"/>
      <w:pPr>
        <w:tabs>
          <w:tab w:val="num" w:pos="3630"/>
        </w:tabs>
        <w:ind w:left="3630" w:hanging="1830"/>
      </w:pPr>
      <w:rPr>
        <w:rFonts w:cs="Times New Roman" w:hint="default"/>
      </w:rPr>
    </w:lvl>
    <w:lvl w:ilvl="6">
      <w:start w:val="1"/>
      <w:numFmt w:val="decimal"/>
      <w:lvlText w:val="%1.%2.%3.%4.%5.%6.%7"/>
      <w:lvlJc w:val="left"/>
      <w:pPr>
        <w:tabs>
          <w:tab w:val="num" w:pos="3990"/>
        </w:tabs>
        <w:ind w:left="3990" w:hanging="1830"/>
      </w:pPr>
      <w:rPr>
        <w:rFonts w:cs="Times New Roman" w:hint="default"/>
      </w:rPr>
    </w:lvl>
    <w:lvl w:ilvl="7">
      <w:start w:val="1"/>
      <w:numFmt w:val="decimal"/>
      <w:lvlText w:val="%1.%2.%3.%4.%5.%6.%7.%8"/>
      <w:lvlJc w:val="left"/>
      <w:pPr>
        <w:tabs>
          <w:tab w:val="num" w:pos="4350"/>
        </w:tabs>
        <w:ind w:left="4350" w:hanging="1830"/>
      </w:pPr>
      <w:rPr>
        <w:rFonts w:cs="Times New Roman" w:hint="default"/>
      </w:rPr>
    </w:lvl>
    <w:lvl w:ilvl="8">
      <w:start w:val="1"/>
      <w:numFmt w:val="decimal"/>
      <w:lvlText w:val="%1.%2.%3.%4.%5.%6.%7.%8.%9"/>
      <w:lvlJc w:val="left"/>
      <w:pPr>
        <w:tabs>
          <w:tab w:val="num" w:pos="4710"/>
        </w:tabs>
        <w:ind w:left="4710" w:hanging="1830"/>
      </w:pPr>
      <w:rPr>
        <w:rFonts w:cs="Times New Roman" w:hint="default"/>
      </w:rPr>
    </w:lvl>
  </w:abstractNum>
  <w:abstractNum w:abstractNumId="21" w15:restartNumberingAfterBreak="0">
    <w:nsid w:val="48D01434"/>
    <w:multiLevelType w:val="multilevel"/>
    <w:tmpl w:val="8C8C4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4B61B38"/>
    <w:multiLevelType w:val="hybridMultilevel"/>
    <w:tmpl w:val="37E84732"/>
    <w:lvl w:ilvl="0" w:tplc="56F4386E">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5E2219C7"/>
    <w:multiLevelType w:val="multilevel"/>
    <w:tmpl w:val="17CA2586"/>
    <w:lvl w:ilvl="0">
      <w:start w:val="42"/>
      <w:numFmt w:val="decimal"/>
      <w:lvlText w:val="%1"/>
      <w:lvlJc w:val="left"/>
      <w:pPr>
        <w:tabs>
          <w:tab w:val="num" w:pos="1830"/>
        </w:tabs>
        <w:ind w:left="1830" w:hanging="1830"/>
      </w:pPr>
      <w:rPr>
        <w:rFonts w:cs="Times New Roman" w:hint="default"/>
      </w:rPr>
    </w:lvl>
    <w:lvl w:ilvl="1">
      <w:start w:val="8"/>
      <w:numFmt w:val="decimal"/>
      <w:lvlText w:val="%1.%2"/>
      <w:lvlJc w:val="left"/>
      <w:pPr>
        <w:tabs>
          <w:tab w:val="num" w:pos="2190"/>
        </w:tabs>
        <w:ind w:left="2190" w:hanging="1830"/>
      </w:pPr>
      <w:rPr>
        <w:rFonts w:cs="Times New Roman" w:hint="default"/>
      </w:rPr>
    </w:lvl>
    <w:lvl w:ilvl="2">
      <w:start w:val="1"/>
      <w:numFmt w:val="decimal"/>
      <w:lvlText w:val="%1.%2.%3"/>
      <w:lvlJc w:val="left"/>
      <w:pPr>
        <w:tabs>
          <w:tab w:val="num" w:pos="2550"/>
        </w:tabs>
        <w:ind w:left="2550" w:hanging="1830"/>
      </w:pPr>
      <w:rPr>
        <w:rFonts w:cs="Times New Roman" w:hint="default"/>
      </w:rPr>
    </w:lvl>
    <w:lvl w:ilvl="3">
      <w:start w:val="1"/>
      <w:numFmt w:val="decimal"/>
      <w:lvlText w:val="%1.%2.%3.%4"/>
      <w:lvlJc w:val="left"/>
      <w:pPr>
        <w:tabs>
          <w:tab w:val="num" w:pos="2910"/>
        </w:tabs>
        <w:ind w:left="2910" w:hanging="1830"/>
      </w:pPr>
      <w:rPr>
        <w:rFonts w:cs="Times New Roman" w:hint="default"/>
      </w:rPr>
    </w:lvl>
    <w:lvl w:ilvl="4">
      <w:start w:val="1"/>
      <w:numFmt w:val="decimal"/>
      <w:lvlText w:val="%1.%2.%3.%4.%5"/>
      <w:lvlJc w:val="left"/>
      <w:pPr>
        <w:tabs>
          <w:tab w:val="num" w:pos="3270"/>
        </w:tabs>
        <w:ind w:left="3270" w:hanging="1830"/>
      </w:pPr>
      <w:rPr>
        <w:rFonts w:cs="Times New Roman" w:hint="default"/>
      </w:rPr>
    </w:lvl>
    <w:lvl w:ilvl="5">
      <w:start w:val="1"/>
      <w:numFmt w:val="decimal"/>
      <w:lvlText w:val="%1.%2.%3.%4.%5.%6"/>
      <w:lvlJc w:val="left"/>
      <w:pPr>
        <w:tabs>
          <w:tab w:val="num" w:pos="3630"/>
        </w:tabs>
        <w:ind w:left="3630" w:hanging="1830"/>
      </w:pPr>
      <w:rPr>
        <w:rFonts w:cs="Times New Roman" w:hint="default"/>
      </w:rPr>
    </w:lvl>
    <w:lvl w:ilvl="6">
      <w:start w:val="1"/>
      <w:numFmt w:val="decimal"/>
      <w:lvlText w:val="%1.%2.%3.%4.%5.%6.%7"/>
      <w:lvlJc w:val="left"/>
      <w:pPr>
        <w:tabs>
          <w:tab w:val="num" w:pos="3990"/>
        </w:tabs>
        <w:ind w:left="3990" w:hanging="1830"/>
      </w:pPr>
      <w:rPr>
        <w:rFonts w:cs="Times New Roman" w:hint="default"/>
      </w:rPr>
    </w:lvl>
    <w:lvl w:ilvl="7">
      <w:start w:val="1"/>
      <w:numFmt w:val="decimal"/>
      <w:lvlText w:val="%1.%2.%3.%4.%5.%6.%7.%8"/>
      <w:lvlJc w:val="left"/>
      <w:pPr>
        <w:tabs>
          <w:tab w:val="num" w:pos="4350"/>
        </w:tabs>
        <w:ind w:left="4350" w:hanging="1830"/>
      </w:pPr>
      <w:rPr>
        <w:rFonts w:cs="Times New Roman" w:hint="default"/>
      </w:rPr>
    </w:lvl>
    <w:lvl w:ilvl="8">
      <w:start w:val="1"/>
      <w:numFmt w:val="decimal"/>
      <w:lvlText w:val="%1.%2.%3.%4.%5.%6.%7.%8.%9"/>
      <w:lvlJc w:val="left"/>
      <w:pPr>
        <w:tabs>
          <w:tab w:val="num" w:pos="4710"/>
        </w:tabs>
        <w:ind w:left="4710" w:hanging="1830"/>
      </w:pPr>
      <w:rPr>
        <w:rFonts w:cs="Times New Roman" w:hint="default"/>
      </w:rPr>
    </w:lvl>
  </w:abstractNum>
  <w:abstractNum w:abstractNumId="24" w15:restartNumberingAfterBreak="0">
    <w:nsid w:val="629532E0"/>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62A34AF3"/>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62C436FC"/>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641B1F6C"/>
    <w:multiLevelType w:val="hybridMultilevel"/>
    <w:tmpl w:val="6E7E66C4"/>
    <w:lvl w:ilvl="0" w:tplc="0C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6FB96504"/>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71E6520E"/>
    <w:multiLevelType w:val="hybridMultilevel"/>
    <w:tmpl w:val="FC20E98C"/>
    <w:lvl w:ilvl="0" w:tplc="0A6ADBF6">
      <w:start w:val="59"/>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6DE7ADB"/>
    <w:multiLevelType w:val="multilevel"/>
    <w:tmpl w:val="EE28286E"/>
    <w:lvl w:ilvl="0">
      <w:start w:val="15"/>
      <w:numFmt w:val="decimal"/>
      <w:lvlText w:val="%1"/>
      <w:lvlJc w:val="left"/>
      <w:pPr>
        <w:tabs>
          <w:tab w:val="num" w:pos="1830"/>
        </w:tabs>
        <w:ind w:left="1830" w:hanging="1830"/>
      </w:pPr>
      <w:rPr>
        <w:rFonts w:cs="Times New Roman" w:hint="default"/>
      </w:rPr>
    </w:lvl>
    <w:lvl w:ilvl="1">
      <w:start w:val="8"/>
      <w:numFmt w:val="decimal"/>
      <w:lvlText w:val="%1.%2"/>
      <w:lvlJc w:val="left"/>
      <w:pPr>
        <w:tabs>
          <w:tab w:val="num" w:pos="2190"/>
        </w:tabs>
        <w:ind w:left="2190" w:hanging="1830"/>
      </w:pPr>
      <w:rPr>
        <w:rFonts w:cs="Times New Roman" w:hint="default"/>
      </w:rPr>
    </w:lvl>
    <w:lvl w:ilvl="2">
      <w:start w:val="1"/>
      <w:numFmt w:val="decimal"/>
      <w:lvlText w:val="%1.%2.%3"/>
      <w:lvlJc w:val="left"/>
      <w:pPr>
        <w:tabs>
          <w:tab w:val="num" w:pos="2550"/>
        </w:tabs>
        <w:ind w:left="2550" w:hanging="1830"/>
      </w:pPr>
      <w:rPr>
        <w:rFonts w:cs="Times New Roman" w:hint="default"/>
      </w:rPr>
    </w:lvl>
    <w:lvl w:ilvl="3">
      <w:start w:val="1"/>
      <w:numFmt w:val="decimal"/>
      <w:lvlText w:val="%1.%2.%3.%4"/>
      <w:lvlJc w:val="left"/>
      <w:pPr>
        <w:tabs>
          <w:tab w:val="num" w:pos="2910"/>
        </w:tabs>
        <w:ind w:left="2910" w:hanging="1830"/>
      </w:pPr>
      <w:rPr>
        <w:rFonts w:cs="Times New Roman" w:hint="default"/>
      </w:rPr>
    </w:lvl>
    <w:lvl w:ilvl="4">
      <w:start w:val="1"/>
      <w:numFmt w:val="decimal"/>
      <w:lvlText w:val="%1.%2.%3.%4.%5"/>
      <w:lvlJc w:val="left"/>
      <w:pPr>
        <w:tabs>
          <w:tab w:val="num" w:pos="3270"/>
        </w:tabs>
        <w:ind w:left="3270" w:hanging="1830"/>
      </w:pPr>
      <w:rPr>
        <w:rFonts w:cs="Times New Roman" w:hint="default"/>
      </w:rPr>
    </w:lvl>
    <w:lvl w:ilvl="5">
      <w:start w:val="1"/>
      <w:numFmt w:val="decimal"/>
      <w:lvlText w:val="%1.%2.%3.%4.%5.%6"/>
      <w:lvlJc w:val="left"/>
      <w:pPr>
        <w:tabs>
          <w:tab w:val="num" w:pos="3630"/>
        </w:tabs>
        <w:ind w:left="3630" w:hanging="1830"/>
      </w:pPr>
      <w:rPr>
        <w:rFonts w:cs="Times New Roman" w:hint="default"/>
      </w:rPr>
    </w:lvl>
    <w:lvl w:ilvl="6">
      <w:start w:val="1"/>
      <w:numFmt w:val="decimal"/>
      <w:lvlText w:val="%1.%2.%3.%4.%5.%6.%7"/>
      <w:lvlJc w:val="left"/>
      <w:pPr>
        <w:tabs>
          <w:tab w:val="num" w:pos="3990"/>
        </w:tabs>
        <w:ind w:left="3990" w:hanging="1830"/>
      </w:pPr>
      <w:rPr>
        <w:rFonts w:cs="Times New Roman" w:hint="default"/>
      </w:rPr>
    </w:lvl>
    <w:lvl w:ilvl="7">
      <w:start w:val="1"/>
      <w:numFmt w:val="decimal"/>
      <w:lvlText w:val="%1.%2.%3.%4.%5.%6.%7.%8"/>
      <w:lvlJc w:val="left"/>
      <w:pPr>
        <w:tabs>
          <w:tab w:val="num" w:pos="4350"/>
        </w:tabs>
        <w:ind w:left="4350" w:hanging="1830"/>
      </w:pPr>
      <w:rPr>
        <w:rFonts w:cs="Times New Roman" w:hint="default"/>
      </w:rPr>
    </w:lvl>
    <w:lvl w:ilvl="8">
      <w:start w:val="1"/>
      <w:numFmt w:val="decimal"/>
      <w:lvlText w:val="%1.%2.%3.%4.%5.%6.%7.%8.%9"/>
      <w:lvlJc w:val="left"/>
      <w:pPr>
        <w:tabs>
          <w:tab w:val="num" w:pos="4710"/>
        </w:tabs>
        <w:ind w:left="4710" w:hanging="1830"/>
      </w:pPr>
      <w:rPr>
        <w:rFonts w:cs="Times New Roman" w:hint="default"/>
      </w:rPr>
    </w:lvl>
  </w:abstractNum>
  <w:abstractNum w:abstractNumId="31" w15:restartNumberingAfterBreak="0">
    <w:nsid w:val="780358E9"/>
    <w:multiLevelType w:val="hybridMultilevel"/>
    <w:tmpl w:val="192E6B38"/>
    <w:lvl w:ilvl="0" w:tplc="0AA01520">
      <w:start w:val="1"/>
      <w:numFmt w:val="decimal"/>
      <w:lvlText w:val="%1"/>
      <w:lvlJc w:val="left"/>
      <w:pPr>
        <w:tabs>
          <w:tab w:val="num" w:pos="720"/>
        </w:tabs>
        <w:ind w:left="720" w:hanging="360"/>
      </w:pPr>
      <w:rPr>
        <w:rFonts w:ascii="Times New Roman" w:eastAsia="Times New Roman" w:hAnsi="Times New Roman"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78EA0BB4"/>
    <w:multiLevelType w:val="multilevel"/>
    <w:tmpl w:val="691841F0"/>
    <w:lvl w:ilvl="0">
      <w:start w:val="32"/>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780"/>
        </w:tabs>
        <w:ind w:left="780" w:hanging="4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num w:numId="1">
    <w:abstractNumId w:val="27"/>
  </w:num>
  <w:num w:numId="2">
    <w:abstractNumId w:val="29"/>
  </w:num>
  <w:num w:numId="3">
    <w:abstractNumId w:val="6"/>
  </w:num>
  <w:num w:numId="4">
    <w:abstractNumId w:val="22"/>
  </w:num>
  <w:num w:numId="5">
    <w:abstractNumId w:val="8"/>
  </w:num>
  <w:num w:numId="6">
    <w:abstractNumId w:val="5"/>
  </w:num>
  <w:num w:numId="7">
    <w:abstractNumId w:val="1"/>
  </w:num>
  <w:num w:numId="8">
    <w:abstractNumId w:val="19"/>
  </w:num>
  <w:num w:numId="9">
    <w:abstractNumId w:val="9"/>
  </w:num>
  <w:num w:numId="10">
    <w:abstractNumId w:val="21"/>
  </w:num>
  <w:num w:numId="11">
    <w:abstractNumId w:val="14"/>
  </w:num>
  <w:num w:numId="12">
    <w:abstractNumId w:val="15"/>
  </w:num>
  <w:num w:numId="13">
    <w:abstractNumId w:val="23"/>
  </w:num>
  <w:num w:numId="14">
    <w:abstractNumId w:val="30"/>
  </w:num>
  <w:num w:numId="15">
    <w:abstractNumId w:val="20"/>
  </w:num>
  <w:num w:numId="16">
    <w:abstractNumId w:val="32"/>
  </w:num>
  <w:num w:numId="17">
    <w:abstractNumId w:val="17"/>
  </w:num>
  <w:num w:numId="18">
    <w:abstractNumId w:val="12"/>
  </w:num>
  <w:num w:numId="19">
    <w:abstractNumId w:val="26"/>
  </w:num>
  <w:num w:numId="20">
    <w:abstractNumId w:val="31"/>
  </w:num>
  <w:num w:numId="21">
    <w:abstractNumId w:val="3"/>
  </w:num>
  <w:num w:numId="22">
    <w:abstractNumId w:val="25"/>
  </w:num>
  <w:num w:numId="23">
    <w:abstractNumId w:val="2"/>
  </w:num>
  <w:num w:numId="24">
    <w:abstractNumId w:val="16"/>
  </w:num>
  <w:num w:numId="25">
    <w:abstractNumId w:val="0"/>
  </w:num>
  <w:num w:numId="26">
    <w:abstractNumId w:val="28"/>
  </w:num>
  <w:num w:numId="27">
    <w:abstractNumId w:val="13"/>
  </w:num>
  <w:num w:numId="28">
    <w:abstractNumId w:val="4"/>
  </w:num>
  <w:num w:numId="29">
    <w:abstractNumId w:val="24"/>
  </w:num>
  <w:num w:numId="30">
    <w:abstractNumId w:val="11"/>
  </w:num>
  <w:num w:numId="31">
    <w:abstractNumId w:val="7"/>
  </w:num>
  <w:num w:numId="32">
    <w:abstractNumId w:val="18"/>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176"/>
    <w:rsid w:val="00000A27"/>
    <w:rsid w:val="0000243C"/>
    <w:rsid w:val="000033CC"/>
    <w:rsid w:val="0000392F"/>
    <w:rsid w:val="00005E05"/>
    <w:rsid w:val="000124DE"/>
    <w:rsid w:val="00015D34"/>
    <w:rsid w:val="00016D0D"/>
    <w:rsid w:val="000170DF"/>
    <w:rsid w:val="0001787A"/>
    <w:rsid w:val="0002009E"/>
    <w:rsid w:val="00020738"/>
    <w:rsid w:val="00024125"/>
    <w:rsid w:val="000249E8"/>
    <w:rsid w:val="00026C2E"/>
    <w:rsid w:val="00030E57"/>
    <w:rsid w:val="00034AE1"/>
    <w:rsid w:val="00036206"/>
    <w:rsid w:val="00040B61"/>
    <w:rsid w:val="0004257F"/>
    <w:rsid w:val="00042886"/>
    <w:rsid w:val="00043BDF"/>
    <w:rsid w:val="00044ABD"/>
    <w:rsid w:val="00045095"/>
    <w:rsid w:val="00045977"/>
    <w:rsid w:val="000462B3"/>
    <w:rsid w:val="00046C7B"/>
    <w:rsid w:val="00051A97"/>
    <w:rsid w:val="00052804"/>
    <w:rsid w:val="00053DD0"/>
    <w:rsid w:val="00053EDA"/>
    <w:rsid w:val="0005412B"/>
    <w:rsid w:val="0005530B"/>
    <w:rsid w:val="000562AE"/>
    <w:rsid w:val="00056694"/>
    <w:rsid w:val="000600F7"/>
    <w:rsid w:val="00061566"/>
    <w:rsid w:val="0006189D"/>
    <w:rsid w:val="00061E16"/>
    <w:rsid w:val="0006241F"/>
    <w:rsid w:val="000629AB"/>
    <w:rsid w:val="00062DF5"/>
    <w:rsid w:val="00063103"/>
    <w:rsid w:val="00063F42"/>
    <w:rsid w:val="000641E3"/>
    <w:rsid w:val="00064FB0"/>
    <w:rsid w:val="00065797"/>
    <w:rsid w:val="00065F4F"/>
    <w:rsid w:val="0006676E"/>
    <w:rsid w:val="000678F4"/>
    <w:rsid w:val="0007006D"/>
    <w:rsid w:val="00072680"/>
    <w:rsid w:val="000729E1"/>
    <w:rsid w:val="00072B0E"/>
    <w:rsid w:val="00073AFD"/>
    <w:rsid w:val="00073E47"/>
    <w:rsid w:val="00073FC0"/>
    <w:rsid w:val="00074697"/>
    <w:rsid w:val="00074E29"/>
    <w:rsid w:val="000750BE"/>
    <w:rsid w:val="00080577"/>
    <w:rsid w:val="000813DC"/>
    <w:rsid w:val="00081635"/>
    <w:rsid w:val="000818EA"/>
    <w:rsid w:val="00082431"/>
    <w:rsid w:val="00082539"/>
    <w:rsid w:val="0008460D"/>
    <w:rsid w:val="00085108"/>
    <w:rsid w:val="0008511F"/>
    <w:rsid w:val="000853CE"/>
    <w:rsid w:val="000856A9"/>
    <w:rsid w:val="000868AC"/>
    <w:rsid w:val="00087CB7"/>
    <w:rsid w:val="00090F3D"/>
    <w:rsid w:val="00093039"/>
    <w:rsid w:val="00093C14"/>
    <w:rsid w:val="00093EF4"/>
    <w:rsid w:val="00094738"/>
    <w:rsid w:val="00094ECD"/>
    <w:rsid w:val="00097F8C"/>
    <w:rsid w:val="000A09DA"/>
    <w:rsid w:val="000A30F2"/>
    <w:rsid w:val="000A5200"/>
    <w:rsid w:val="000A5D9F"/>
    <w:rsid w:val="000A64CC"/>
    <w:rsid w:val="000A7985"/>
    <w:rsid w:val="000B021A"/>
    <w:rsid w:val="000B0BCE"/>
    <w:rsid w:val="000B14AE"/>
    <w:rsid w:val="000B24CE"/>
    <w:rsid w:val="000B3827"/>
    <w:rsid w:val="000B4D8E"/>
    <w:rsid w:val="000B555D"/>
    <w:rsid w:val="000B6399"/>
    <w:rsid w:val="000B6C11"/>
    <w:rsid w:val="000B6EA5"/>
    <w:rsid w:val="000B7295"/>
    <w:rsid w:val="000B7F41"/>
    <w:rsid w:val="000C21A4"/>
    <w:rsid w:val="000C261F"/>
    <w:rsid w:val="000C2CA6"/>
    <w:rsid w:val="000C2FC8"/>
    <w:rsid w:val="000C6549"/>
    <w:rsid w:val="000D2A57"/>
    <w:rsid w:val="000D2A5C"/>
    <w:rsid w:val="000D2F71"/>
    <w:rsid w:val="000D3119"/>
    <w:rsid w:val="000D31CF"/>
    <w:rsid w:val="000D3D12"/>
    <w:rsid w:val="000D3DDB"/>
    <w:rsid w:val="000D3F42"/>
    <w:rsid w:val="000D59A8"/>
    <w:rsid w:val="000D69E6"/>
    <w:rsid w:val="000D6E61"/>
    <w:rsid w:val="000D7708"/>
    <w:rsid w:val="000E0B72"/>
    <w:rsid w:val="000E1102"/>
    <w:rsid w:val="000E3671"/>
    <w:rsid w:val="000E425A"/>
    <w:rsid w:val="000E4D3C"/>
    <w:rsid w:val="000E5AFB"/>
    <w:rsid w:val="000F2209"/>
    <w:rsid w:val="000F22D6"/>
    <w:rsid w:val="000F2C9E"/>
    <w:rsid w:val="000F73AE"/>
    <w:rsid w:val="000F7F60"/>
    <w:rsid w:val="00100DE6"/>
    <w:rsid w:val="0010112D"/>
    <w:rsid w:val="0010419A"/>
    <w:rsid w:val="0010427A"/>
    <w:rsid w:val="001051C5"/>
    <w:rsid w:val="00105A6B"/>
    <w:rsid w:val="00106296"/>
    <w:rsid w:val="001074D5"/>
    <w:rsid w:val="00107FB7"/>
    <w:rsid w:val="001112A8"/>
    <w:rsid w:val="00112819"/>
    <w:rsid w:val="00113776"/>
    <w:rsid w:val="00113898"/>
    <w:rsid w:val="0011588E"/>
    <w:rsid w:val="0012032F"/>
    <w:rsid w:val="001206B2"/>
    <w:rsid w:val="001215FF"/>
    <w:rsid w:val="00122A64"/>
    <w:rsid w:val="00123559"/>
    <w:rsid w:val="0012378E"/>
    <w:rsid w:val="00123DFF"/>
    <w:rsid w:val="001248BC"/>
    <w:rsid w:val="001254A3"/>
    <w:rsid w:val="00125698"/>
    <w:rsid w:val="00125BAE"/>
    <w:rsid w:val="001263C1"/>
    <w:rsid w:val="001275DE"/>
    <w:rsid w:val="00127EA6"/>
    <w:rsid w:val="001314AC"/>
    <w:rsid w:val="00133429"/>
    <w:rsid w:val="00134176"/>
    <w:rsid w:val="00134957"/>
    <w:rsid w:val="001360A8"/>
    <w:rsid w:val="00137659"/>
    <w:rsid w:val="00137E64"/>
    <w:rsid w:val="00140996"/>
    <w:rsid w:val="00144869"/>
    <w:rsid w:val="00144A00"/>
    <w:rsid w:val="00144EC8"/>
    <w:rsid w:val="001465C5"/>
    <w:rsid w:val="00147648"/>
    <w:rsid w:val="00147E68"/>
    <w:rsid w:val="001501D4"/>
    <w:rsid w:val="00151A33"/>
    <w:rsid w:val="00152C16"/>
    <w:rsid w:val="001543B8"/>
    <w:rsid w:val="001549E2"/>
    <w:rsid w:val="001603FD"/>
    <w:rsid w:val="001608BE"/>
    <w:rsid w:val="00161690"/>
    <w:rsid w:val="0016169E"/>
    <w:rsid w:val="00161B7C"/>
    <w:rsid w:val="001629E7"/>
    <w:rsid w:val="00162B2E"/>
    <w:rsid w:val="00163013"/>
    <w:rsid w:val="001649A9"/>
    <w:rsid w:val="0016569F"/>
    <w:rsid w:val="00165CE0"/>
    <w:rsid w:val="00165F14"/>
    <w:rsid w:val="001669A0"/>
    <w:rsid w:val="001701DF"/>
    <w:rsid w:val="001727C9"/>
    <w:rsid w:val="00173E11"/>
    <w:rsid w:val="00175540"/>
    <w:rsid w:val="00176840"/>
    <w:rsid w:val="00177BFA"/>
    <w:rsid w:val="00180EDB"/>
    <w:rsid w:val="00180F77"/>
    <w:rsid w:val="00181F1B"/>
    <w:rsid w:val="0018211D"/>
    <w:rsid w:val="001866E5"/>
    <w:rsid w:val="00186915"/>
    <w:rsid w:val="00187EEA"/>
    <w:rsid w:val="001903D3"/>
    <w:rsid w:val="00190D96"/>
    <w:rsid w:val="00192547"/>
    <w:rsid w:val="00194F5E"/>
    <w:rsid w:val="00195AA2"/>
    <w:rsid w:val="00196C8C"/>
    <w:rsid w:val="0019791B"/>
    <w:rsid w:val="001A2B66"/>
    <w:rsid w:val="001A33A7"/>
    <w:rsid w:val="001A403B"/>
    <w:rsid w:val="001A54D9"/>
    <w:rsid w:val="001A5513"/>
    <w:rsid w:val="001A560A"/>
    <w:rsid w:val="001A7461"/>
    <w:rsid w:val="001B06B9"/>
    <w:rsid w:val="001B0C30"/>
    <w:rsid w:val="001B1E9B"/>
    <w:rsid w:val="001B209B"/>
    <w:rsid w:val="001B2991"/>
    <w:rsid w:val="001B2AD2"/>
    <w:rsid w:val="001B3182"/>
    <w:rsid w:val="001B31EE"/>
    <w:rsid w:val="001B3658"/>
    <w:rsid w:val="001B512A"/>
    <w:rsid w:val="001B6369"/>
    <w:rsid w:val="001C0F95"/>
    <w:rsid w:val="001C4701"/>
    <w:rsid w:val="001C4CD6"/>
    <w:rsid w:val="001C71EE"/>
    <w:rsid w:val="001C767B"/>
    <w:rsid w:val="001D2114"/>
    <w:rsid w:val="001D27BC"/>
    <w:rsid w:val="001D2FA1"/>
    <w:rsid w:val="001D6868"/>
    <w:rsid w:val="001D7004"/>
    <w:rsid w:val="001E25CE"/>
    <w:rsid w:val="001E28C2"/>
    <w:rsid w:val="001E2BF9"/>
    <w:rsid w:val="001E4382"/>
    <w:rsid w:val="001E597E"/>
    <w:rsid w:val="001E5FC8"/>
    <w:rsid w:val="001E6E4E"/>
    <w:rsid w:val="001E6EC0"/>
    <w:rsid w:val="001E7509"/>
    <w:rsid w:val="001F00A1"/>
    <w:rsid w:val="001F1017"/>
    <w:rsid w:val="001F114A"/>
    <w:rsid w:val="001F1567"/>
    <w:rsid w:val="001F1A29"/>
    <w:rsid w:val="001F253B"/>
    <w:rsid w:val="001F2AA1"/>
    <w:rsid w:val="001F5073"/>
    <w:rsid w:val="001F5A44"/>
    <w:rsid w:val="001F6368"/>
    <w:rsid w:val="001F6653"/>
    <w:rsid w:val="001F7BD9"/>
    <w:rsid w:val="00200ED7"/>
    <w:rsid w:val="00200F5B"/>
    <w:rsid w:val="0020249F"/>
    <w:rsid w:val="002024C8"/>
    <w:rsid w:val="00202B52"/>
    <w:rsid w:val="002033BF"/>
    <w:rsid w:val="00203758"/>
    <w:rsid w:val="00203ACC"/>
    <w:rsid w:val="00206CC0"/>
    <w:rsid w:val="00207773"/>
    <w:rsid w:val="00207AA8"/>
    <w:rsid w:val="00211F6E"/>
    <w:rsid w:val="002141A5"/>
    <w:rsid w:val="00214C6D"/>
    <w:rsid w:val="0021630B"/>
    <w:rsid w:val="0022208B"/>
    <w:rsid w:val="0022260B"/>
    <w:rsid w:val="00223B40"/>
    <w:rsid w:val="0022481C"/>
    <w:rsid w:val="002255C5"/>
    <w:rsid w:val="002267B7"/>
    <w:rsid w:val="0022750E"/>
    <w:rsid w:val="0023135C"/>
    <w:rsid w:val="00231A94"/>
    <w:rsid w:val="00232B8D"/>
    <w:rsid w:val="00232CA3"/>
    <w:rsid w:val="00232CB4"/>
    <w:rsid w:val="00233B46"/>
    <w:rsid w:val="00233C7A"/>
    <w:rsid w:val="002351D9"/>
    <w:rsid w:val="0024017D"/>
    <w:rsid w:val="00240C6D"/>
    <w:rsid w:val="00240E9F"/>
    <w:rsid w:val="0024322E"/>
    <w:rsid w:val="00243BF1"/>
    <w:rsid w:val="00243F67"/>
    <w:rsid w:val="00244521"/>
    <w:rsid w:val="002456E2"/>
    <w:rsid w:val="0024726D"/>
    <w:rsid w:val="00247B65"/>
    <w:rsid w:val="00250692"/>
    <w:rsid w:val="002506AF"/>
    <w:rsid w:val="00252340"/>
    <w:rsid w:val="00255202"/>
    <w:rsid w:val="00255BCC"/>
    <w:rsid w:val="00255EAA"/>
    <w:rsid w:val="0025643B"/>
    <w:rsid w:val="0026114D"/>
    <w:rsid w:val="0026330B"/>
    <w:rsid w:val="002636F0"/>
    <w:rsid w:val="002640A0"/>
    <w:rsid w:val="002662A5"/>
    <w:rsid w:val="00266382"/>
    <w:rsid w:val="0026764F"/>
    <w:rsid w:val="00267E6A"/>
    <w:rsid w:val="00271D90"/>
    <w:rsid w:val="00273087"/>
    <w:rsid w:val="00273ECD"/>
    <w:rsid w:val="00276109"/>
    <w:rsid w:val="002805DA"/>
    <w:rsid w:val="00282974"/>
    <w:rsid w:val="00282FC7"/>
    <w:rsid w:val="00283128"/>
    <w:rsid w:val="0028324A"/>
    <w:rsid w:val="00283310"/>
    <w:rsid w:val="00283C5A"/>
    <w:rsid w:val="00283EDB"/>
    <w:rsid w:val="00284696"/>
    <w:rsid w:val="0028472F"/>
    <w:rsid w:val="00284D04"/>
    <w:rsid w:val="00285A58"/>
    <w:rsid w:val="0028781E"/>
    <w:rsid w:val="00287AB6"/>
    <w:rsid w:val="00290A15"/>
    <w:rsid w:val="0029142D"/>
    <w:rsid w:val="0029228A"/>
    <w:rsid w:val="0029239C"/>
    <w:rsid w:val="00292F0F"/>
    <w:rsid w:val="0029382A"/>
    <w:rsid w:val="00293FE8"/>
    <w:rsid w:val="0029406E"/>
    <w:rsid w:val="002951E6"/>
    <w:rsid w:val="00295341"/>
    <w:rsid w:val="00296C81"/>
    <w:rsid w:val="002A086F"/>
    <w:rsid w:val="002A1F9E"/>
    <w:rsid w:val="002A217D"/>
    <w:rsid w:val="002A3786"/>
    <w:rsid w:val="002A68DD"/>
    <w:rsid w:val="002A7176"/>
    <w:rsid w:val="002B1839"/>
    <w:rsid w:val="002B24A6"/>
    <w:rsid w:val="002B3596"/>
    <w:rsid w:val="002B3C10"/>
    <w:rsid w:val="002B56E2"/>
    <w:rsid w:val="002B6D7A"/>
    <w:rsid w:val="002C0D9A"/>
    <w:rsid w:val="002C28E0"/>
    <w:rsid w:val="002C40FD"/>
    <w:rsid w:val="002C4CB3"/>
    <w:rsid w:val="002C674B"/>
    <w:rsid w:val="002D0492"/>
    <w:rsid w:val="002D1B15"/>
    <w:rsid w:val="002D3B03"/>
    <w:rsid w:val="002D4794"/>
    <w:rsid w:val="002D605C"/>
    <w:rsid w:val="002D699D"/>
    <w:rsid w:val="002D7C4B"/>
    <w:rsid w:val="002E16D0"/>
    <w:rsid w:val="002E29CD"/>
    <w:rsid w:val="002E305E"/>
    <w:rsid w:val="002E449E"/>
    <w:rsid w:val="002E5D59"/>
    <w:rsid w:val="002E5E7B"/>
    <w:rsid w:val="002E6A08"/>
    <w:rsid w:val="002E6B8D"/>
    <w:rsid w:val="002F1ECB"/>
    <w:rsid w:val="002F3151"/>
    <w:rsid w:val="002F451D"/>
    <w:rsid w:val="002F4904"/>
    <w:rsid w:val="002F5D46"/>
    <w:rsid w:val="002F65EC"/>
    <w:rsid w:val="002F6ABB"/>
    <w:rsid w:val="003001FF"/>
    <w:rsid w:val="00300CEF"/>
    <w:rsid w:val="00301033"/>
    <w:rsid w:val="003016BD"/>
    <w:rsid w:val="00301F91"/>
    <w:rsid w:val="00302561"/>
    <w:rsid w:val="0030274D"/>
    <w:rsid w:val="00302B4D"/>
    <w:rsid w:val="00304377"/>
    <w:rsid w:val="003051A8"/>
    <w:rsid w:val="00306884"/>
    <w:rsid w:val="003071C4"/>
    <w:rsid w:val="0031250D"/>
    <w:rsid w:val="00313806"/>
    <w:rsid w:val="00313E80"/>
    <w:rsid w:val="00313ECF"/>
    <w:rsid w:val="00317EF5"/>
    <w:rsid w:val="00320494"/>
    <w:rsid w:val="0032088A"/>
    <w:rsid w:val="0032156E"/>
    <w:rsid w:val="003219D0"/>
    <w:rsid w:val="00321EB1"/>
    <w:rsid w:val="00322908"/>
    <w:rsid w:val="00322FA8"/>
    <w:rsid w:val="0032492D"/>
    <w:rsid w:val="0032518A"/>
    <w:rsid w:val="003251A0"/>
    <w:rsid w:val="00325A1F"/>
    <w:rsid w:val="00325C15"/>
    <w:rsid w:val="00326E9D"/>
    <w:rsid w:val="00327229"/>
    <w:rsid w:val="003276C4"/>
    <w:rsid w:val="00330130"/>
    <w:rsid w:val="00331719"/>
    <w:rsid w:val="003331DA"/>
    <w:rsid w:val="00335883"/>
    <w:rsid w:val="00336D99"/>
    <w:rsid w:val="00336EC1"/>
    <w:rsid w:val="0033709C"/>
    <w:rsid w:val="00337545"/>
    <w:rsid w:val="003402C9"/>
    <w:rsid w:val="00341309"/>
    <w:rsid w:val="003421D4"/>
    <w:rsid w:val="00342EEA"/>
    <w:rsid w:val="0034472B"/>
    <w:rsid w:val="003455FC"/>
    <w:rsid w:val="00347C99"/>
    <w:rsid w:val="0035387B"/>
    <w:rsid w:val="003539A6"/>
    <w:rsid w:val="00354987"/>
    <w:rsid w:val="00354B52"/>
    <w:rsid w:val="0035521A"/>
    <w:rsid w:val="00356127"/>
    <w:rsid w:val="003572D4"/>
    <w:rsid w:val="00357CF6"/>
    <w:rsid w:val="00357EFC"/>
    <w:rsid w:val="00357F82"/>
    <w:rsid w:val="003604EC"/>
    <w:rsid w:val="00360A8C"/>
    <w:rsid w:val="00361DDD"/>
    <w:rsid w:val="003629F0"/>
    <w:rsid w:val="00365719"/>
    <w:rsid w:val="0036598F"/>
    <w:rsid w:val="003712CB"/>
    <w:rsid w:val="003713A1"/>
    <w:rsid w:val="003733D1"/>
    <w:rsid w:val="0037392C"/>
    <w:rsid w:val="00374878"/>
    <w:rsid w:val="00374B84"/>
    <w:rsid w:val="00374DEB"/>
    <w:rsid w:val="00380F91"/>
    <w:rsid w:val="00381726"/>
    <w:rsid w:val="00381EBF"/>
    <w:rsid w:val="00383940"/>
    <w:rsid w:val="00383FF9"/>
    <w:rsid w:val="003864AC"/>
    <w:rsid w:val="003876D6"/>
    <w:rsid w:val="00387B1D"/>
    <w:rsid w:val="0039424F"/>
    <w:rsid w:val="00395560"/>
    <w:rsid w:val="003957E9"/>
    <w:rsid w:val="00395BB0"/>
    <w:rsid w:val="00395F82"/>
    <w:rsid w:val="003965EA"/>
    <w:rsid w:val="0039732D"/>
    <w:rsid w:val="003A0014"/>
    <w:rsid w:val="003A1828"/>
    <w:rsid w:val="003A4085"/>
    <w:rsid w:val="003A485F"/>
    <w:rsid w:val="003A5E56"/>
    <w:rsid w:val="003A6C7B"/>
    <w:rsid w:val="003B093F"/>
    <w:rsid w:val="003B22F0"/>
    <w:rsid w:val="003B3CA2"/>
    <w:rsid w:val="003B5A92"/>
    <w:rsid w:val="003B5F65"/>
    <w:rsid w:val="003B6AED"/>
    <w:rsid w:val="003B7CA6"/>
    <w:rsid w:val="003B7F4F"/>
    <w:rsid w:val="003C1B0E"/>
    <w:rsid w:val="003C2613"/>
    <w:rsid w:val="003C3E54"/>
    <w:rsid w:val="003C448D"/>
    <w:rsid w:val="003C6898"/>
    <w:rsid w:val="003C6EA1"/>
    <w:rsid w:val="003C729A"/>
    <w:rsid w:val="003D0710"/>
    <w:rsid w:val="003D14EA"/>
    <w:rsid w:val="003D227F"/>
    <w:rsid w:val="003D2834"/>
    <w:rsid w:val="003D33F8"/>
    <w:rsid w:val="003D3D10"/>
    <w:rsid w:val="003D3E15"/>
    <w:rsid w:val="003E3F30"/>
    <w:rsid w:val="003E5204"/>
    <w:rsid w:val="003E531B"/>
    <w:rsid w:val="003E6522"/>
    <w:rsid w:val="003E6A64"/>
    <w:rsid w:val="003E6DB5"/>
    <w:rsid w:val="003E7246"/>
    <w:rsid w:val="003F2EC8"/>
    <w:rsid w:val="003F3008"/>
    <w:rsid w:val="003F381C"/>
    <w:rsid w:val="003F38BE"/>
    <w:rsid w:val="003F3DDC"/>
    <w:rsid w:val="003F4BC4"/>
    <w:rsid w:val="003F661E"/>
    <w:rsid w:val="003F759E"/>
    <w:rsid w:val="004034B9"/>
    <w:rsid w:val="00404023"/>
    <w:rsid w:val="00404745"/>
    <w:rsid w:val="00404AA5"/>
    <w:rsid w:val="00405717"/>
    <w:rsid w:val="00407B87"/>
    <w:rsid w:val="00407F05"/>
    <w:rsid w:val="00412589"/>
    <w:rsid w:val="00412798"/>
    <w:rsid w:val="004129B5"/>
    <w:rsid w:val="004132F3"/>
    <w:rsid w:val="004143EF"/>
    <w:rsid w:val="004157AD"/>
    <w:rsid w:val="004209E5"/>
    <w:rsid w:val="0042117C"/>
    <w:rsid w:val="0042242F"/>
    <w:rsid w:val="0042296B"/>
    <w:rsid w:val="004247EA"/>
    <w:rsid w:val="004273A5"/>
    <w:rsid w:val="004305D9"/>
    <w:rsid w:val="004309B6"/>
    <w:rsid w:val="00431BB6"/>
    <w:rsid w:val="00433B65"/>
    <w:rsid w:val="00436355"/>
    <w:rsid w:val="0043753A"/>
    <w:rsid w:val="004379A7"/>
    <w:rsid w:val="00442AE4"/>
    <w:rsid w:val="004433CE"/>
    <w:rsid w:val="004435C1"/>
    <w:rsid w:val="00444B6F"/>
    <w:rsid w:val="00446772"/>
    <w:rsid w:val="00447D8D"/>
    <w:rsid w:val="00450EB9"/>
    <w:rsid w:val="00450EFF"/>
    <w:rsid w:val="004519ED"/>
    <w:rsid w:val="00455519"/>
    <w:rsid w:val="00455E20"/>
    <w:rsid w:val="0045694C"/>
    <w:rsid w:val="00457084"/>
    <w:rsid w:val="004574DE"/>
    <w:rsid w:val="0046035E"/>
    <w:rsid w:val="00460645"/>
    <w:rsid w:val="00462000"/>
    <w:rsid w:val="00463497"/>
    <w:rsid w:val="004641B7"/>
    <w:rsid w:val="004647EA"/>
    <w:rsid w:val="004650C1"/>
    <w:rsid w:val="004654F2"/>
    <w:rsid w:val="00466881"/>
    <w:rsid w:val="0046707E"/>
    <w:rsid w:val="00474949"/>
    <w:rsid w:val="00474A57"/>
    <w:rsid w:val="00474B6A"/>
    <w:rsid w:val="00475905"/>
    <w:rsid w:val="004761DB"/>
    <w:rsid w:val="00477D03"/>
    <w:rsid w:val="00477E7D"/>
    <w:rsid w:val="004822FB"/>
    <w:rsid w:val="00482849"/>
    <w:rsid w:val="004828AB"/>
    <w:rsid w:val="0048388D"/>
    <w:rsid w:val="00483FA8"/>
    <w:rsid w:val="00486769"/>
    <w:rsid w:val="004873BE"/>
    <w:rsid w:val="0049050D"/>
    <w:rsid w:val="00492623"/>
    <w:rsid w:val="00492E95"/>
    <w:rsid w:val="00493603"/>
    <w:rsid w:val="004939D3"/>
    <w:rsid w:val="00496222"/>
    <w:rsid w:val="0049708E"/>
    <w:rsid w:val="004A3ACA"/>
    <w:rsid w:val="004A698F"/>
    <w:rsid w:val="004A6A65"/>
    <w:rsid w:val="004B063E"/>
    <w:rsid w:val="004B21B2"/>
    <w:rsid w:val="004B2B02"/>
    <w:rsid w:val="004B36F4"/>
    <w:rsid w:val="004B4C9A"/>
    <w:rsid w:val="004B6A86"/>
    <w:rsid w:val="004B6FCE"/>
    <w:rsid w:val="004C084F"/>
    <w:rsid w:val="004C138A"/>
    <w:rsid w:val="004C1914"/>
    <w:rsid w:val="004C26E5"/>
    <w:rsid w:val="004C34B1"/>
    <w:rsid w:val="004C5A50"/>
    <w:rsid w:val="004C5E26"/>
    <w:rsid w:val="004C6171"/>
    <w:rsid w:val="004C65DD"/>
    <w:rsid w:val="004D05EB"/>
    <w:rsid w:val="004D31E3"/>
    <w:rsid w:val="004D5135"/>
    <w:rsid w:val="004D5AD6"/>
    <w:rsid w:val="004D74A5"/>
    <w:rsid w:val="004D7A02"/>
    <w:rsid w:val="004E0B7C"/>
    <w:rsid w:val="004E0D56"/>
    <w:rsid w:val="004E1500"/>
    <w:rsid w:val="004E1B05"/>
    <w:rsid w:val="004E2729"/>
    <w:rsid w:val="004E2BAE"/>
    <w:rsid w:val="004E329D"/>
    <w:rsid w:val="004E3CA5"/>
    <w:rsid w:val="004E6330"/>
    <w:rsid w:val="004E7113"/>
    <w:rsid w:val="004E7603"/>
    <w:rsid w:val="004E7CDE"/>
    <w:rsid w:val="004E7F76"/>
    <w:rsid w:val="004F3D20"/>
    <w:rsid w:val="004F51B0"/>
    <w:rsid w:val="004F7304"/>
    <w:rsid w:val="004F7DB4"/>
    <w:rsid w:val="00500E7F"/>
    <w:rsid w:val="005018F9"/>
    <w:rsid w:val="0050341A"/>
    <w:rsid w:val="00503C69"/>
    <w:rsid w:val="00504669"/>
    <w:rsid w:val="005049DC"/>
    <w:rsid w:val="00505976"/>
    <w:rsid w:val="00505DF1"/>
    <w:rsid w:val="00505F33"/>
    <w:rsid w:val="00505FE0"/>
    <w:rsid w:val="0050741D"/>
    <w:rsid w:val="00507A92"/>
    <w:rsid w:val="00511811"/>
    <w:rsid w:val="00511AB0"/>
    <w:rsid w:val="0051211E"/>
    <w:rsid w:val="005130D9"/>
    <w:rsid w:val="00513AD5"/>
    <w:rsid w:val="005146C4"/>
    <w:rsid w:val="005148A7"/>
    <w:rsid w:val="0051634B"/>
    <w:rsid w:val="00516D38"/>
    <w:rsid w:val="00520610"/>
    <w:rsid w:val="005206EF"/>
    <w:rsid w:val="0052213C"/>
    <w:rsid w:val="00522D39"/>
    <w:rsid w:val="00523549"/>
    <w:rsid w:val="005250A0"/>
    <w:rsid w:val="0052523B"/>
    <w:rsid w:val="00527D73"/>
    <w:rsid w:val="00530420"/>
    <w:rsid w:val="005309B7"/>
    <w:rsid w:val="005319BD"/>
    <w:rsid w:val="00532F10"/>
    <w:rsid w:val="00536BC2"/>
    <w:rsid w:val="005370FC"/>
    <w:rsid w:val="00537927"/>
    <w:rsid w:val="00537EF3"/>
    <w:rsid w:val="005400A5"/>
    <w:rsid w:val="005403EC"/>
    <w:rsid w:val="00540568"/>
    <w:rsid w:val="00544D46"/>
    <w:rsid w:val="00546532"/>
    <w:rsid w:val="00546564"/>
    <w:rsid w:val="005471D6"/>
    <w:rsid w:val="00547F61"/>
    <w:rsid w:val="005504C4"/>
    <w:rsid w:val="00550524"/>
    <w:rsid w:val="00550671"/>
    <w:rsid w:val="00552508"/>
    <w:rsid w:val="00552A7A"/>
    <w:rsid w:val="00552CFE"/>
    <w:rsid w:val="00552F1B"/>
    <w:rsid w:val="00553CC4"/>
    <w:rsid w:val="005547AC"/>
    <w:rsid w:val="00555B0E"/>
    <w:rsid w:val="005565F6"/>
    <w:rsid w:val="00560644"/>
    <w:rsid w:val="00560E6B"/>
    <w:rsid w:val="0056176D"/>
    <w:rsid w:val="00562FD5"/>
    <w:rsid w:val="005631F9"/>
    <w:rsid w:val="0056365D"/>
    <w:rsid w:val="00564A4C"/>
    <w:rsid w:val="005659CE"/>
    <w:rsid w:val="00565CA8"/>
    <w:rsid w:val="00566B23"/>
    <w:rsid w:val="00567125"/>
    <w:rsid w:val="00567640"/>
    <w:rsid w:val="005705F5"/>
    <w:rsid w:val="00570F0D"/>
    <w:rsid w:val="00573CB0"/>
    <w:rsid w:val="005751DD"/>
    <w:rsid w:val="005753E8"/>
    <w:rsid w:val="00577F38"/>
    <w:rsid w:val="00580105"/>
    <w:rsid w:val="0058158B"/>
    <w:rsid w:val="0058297D"/>
    <w:rsid w:val="00582EAF"/>
    <w:rsid w:val="005831E1"/>
    <w:rsid w:val="005835F6"/>
    <w:rsid w:val="00583654"/>
    <w:rsid w:val="00584F6F"/>
    <w:rsid w:val="0058550D"/>
    <w:rsid w:val="00585C6D"/>
    <w:rsid w:val="00586999"/>
    <w:rsid w:val="005909B2"/>
    <w:rsid w:val="0059141B"/>
    <w:rsid w:val="00592CE5"/>
    <w:rsid w:val="005931C3"/>
    <w:rsid w:val="00593E47"/>
    <w:rsid w:val="00594677"/>
    <w:rsid w:val="00597A00"/>
    <w:rsid w:val="005A1D10"/>
    <w:rsid w:val="005A25D0"/>
    <w:rsid w:val="005A3318"/>
    <w:rsid w:val="005A3479"/>
    <w:rsid w:val="005A3625"/>
    <w:rsid w:val="005A4428"/>
    <w:rsid w:val="005A6B8C"/>
    <w:rsid w:val="005A6DC8"/>
    <w:rsid w:val="005A7740"/>
    <w:rsid w:val="005A7864"/>
    <w:rsid w:val="005B126E"/>
    <w:rsid w:val="005B4567"/>
    <w:rsid w:val="005B478A"/>
    <w:rsid w:val="005B5F47"/>
    <w:rsid w:val="005B6D2C"/>
    <w:rsid w:val="005B7B44"/>
    <w:rsid w:val="005C028B"/>
    <w:rsid w:val="005C1742"/>
    <w:rsid w:val="005C193E"/>
    <w:rsid w:val="005C4501"/>
    <w:rsid w:val="005C49AF"/>
    <w:rsid w:val="005C52B0"/>
    <w:rsid w:val="005C558E"/>
    <w:rsid w:val="005C5BD8"/>
    <w:rsid w:val="005C67C1"/>
    <w:rsid w:val="005C76B7"/>
    <w:rsid w:val="005D0AB5"/>
    <w:rsid w:val="005D2356"/>
    <w:rsid w:val="005D3890"/>
    <w:rsid w:val="005D3D8D"/>
    <w:rsid w:val="005D426F"/>
    <w:rsid w:val="005D4E90"/>
    <w:rsid w:val="005D70B6"/>
    <w:rsid w:val="005E3A4E"/>
    <w:rsid w:val="005E4011"/>
    <w:rsid w:val="005E4632"/>
    <w:rsid w:val="005E5312"/>
    <w:rsid w:val="005E53E5"/>
    <w:rsid w:val="005E5EFA"/>
    <w:rsid w:val="005E5FE7"/>
    <w:rsid w:val="005F05CB"/>
    <w:rsid w:val="005F27BC"/>
    <w:rsid w:val="005F3ABC"/>
    <w:rsid w:val="005F4516"/>
    <w:rsid w:val="005F4A27"/>
    <w:rsid w:val="005F4E31"/>
    <w:rsid w:val="005F51A7"/>
    <w:rsid w:val="005F5415"/>
    <w:rsid w:val="005F548A"/>
    <w:rsid w:val="005F6948"/>
    <w:rsid w:val="0060017D"/>
    <w:rsid w:val="00600650"/>
    <w:rsid w:val="00601E4B"/>
    <w:rsid w:val="00601F99"/>
    <w:rsid w:val="006038C0"/>
    <w:rsid w:val="00603E32"/>
    <w:rsid w:val="006041E5"/>
    <w:rsid w:val="00604384"/>
    <w:rsid w:val="006078E2"/>
    <w:rsid w:val="00607C4C"/>
    <w:rsid w:val="006114A0"/>
    <w:rsid w:val="006124F5"/>
    <w:rsid w:val="00612BBE"/>
    <w:rsid w:val="006147B0"/>
    <w:rsid w:val="006159FE"/>
    <w:rsid w:val="00616276"/>
    <w:rsid w:val="0061636D"/>
    <w:rsid w:val="00617BE7"/>
    <w:rsid w:val="00620B52"/>
    <w:rsid w:val="0062115A"/>
    <w:rsid w:val="00621656"/>
    <w:rsid w:val="006235A3"/>
    <w:rsid w:val="00625591"/>
    <w:rsid w:val="00627636"/>
    <w:rsid w:val="00630162"/>
    <w:rsid w:val="00630DD1"/>
    <w:rsid w:val="006327B8"/>
    <w:rsid w:val="00632870"/>
    <w:rsid w:val="00632DE5"/>
    <w:rsid w:val="00633D4F"/>
    <w:rsid w:val="00635018"/>
    <w:rsid w:val="00640D14"/>
    <w:rsid w:val="00640EEB"/>
    <w:rsid w:val="00641976"/>
    <w:rsid w:val="00641AE1"/>
    <w:rsid w:val="00642199"/>
    <w:rsid w:val="006427CD"/>
    <w:rsid w:val="00643A79"/>
    <w:rsid w:val="00643C70"/>
    <w:rsid w:val="00645D52"/>
    <w:rsid w:val="00645F88"/>
    <w:rsid w:val="00651217"/>
    <w:rsid w:val="00651814"/>
    <w:rsid w:val="00651AA0"/>
    <w:rsid w:val="0065222D"/>
    <w:rsid w:val="00652A6F"/>
    <w:rsid w:val="0065513D"/>
    <w:rsid w:val="00655582"/>
    <w:rsid w:val="00655D68"/>
    <w:rsid w:val="006563FB"/>
    <w:rsid w:val="00656DDD"/>
    <w:rsid w:val="00661132"/>
    <w:rsid w:val="00663A73"/>
    <w:rsid w:val="006661AA"/>
    <w:rsid w:val="00667254"/>
    <w:rsid w:val="00671D8F"/>
    <w:rsid w:val="00672954"/>
    <w:rsid w:val="006732A9"/>
    <w:rsid w:val="006732F9"/>
    <w:rsid w:val="00675F66"/>
    <w:rsid w:val="006763A3"/>
    <w:rsid w:val="0068037D"/>
    <w:rsid w:val="006805E3"/>
    <w:rsid w:val="00682963"/>
    <w:rsid w:val="006830F8"/>
    <w:rsid w:val="006832A2"/>
    <w:rsid w:val="0068439C"/>
    <w:rsid w:val="00684BD6"/>
    <w:rsid w:val="00684D38"/>
    <w:rsid w:val="00685467"/>
    <w:rsid w:val="00685CE8"/>
    <w:rsid w:val="0068633B"/>
    <w:rsid w:val="00686467"/>
    <w:rsid w:val="006871A5"/>
    <w:rsid w:val="00690881"/>
    <w:rsid w:val="006939DB"/>
    <w:rsid w:val="0069453B"/>
    <w:rsid w:val="00695F33"/>
    <w:rsid w:val="00696766"/>
    <w:rsid w:val="006A3B5A"/>
    <w:rsid w:val="006A3F4B"/>
    <w:rsid w:val="006A617F"/>
    <w:rsid w:val="006A67A0"/>
    <w:rsid w:val="006A75F3"/>
    <w:rsid w:val="006A7CEF"/>
    <w:rsid w:val="006B01ED"/>
    <w:rsid w:val="006B0DBE"/>
    <w:rsid w:val="006B0E1E"/>
    <w:rsid w:val="006B1F1A"/>
    <w:rsid w:val="006B39A0"/>
    <w:rsid w:val="006B7279"/>
    <w:rsid w:val="006C036E"/>
    <w:rsid w:val="006C0B17"/>
    <w:rsid w:val="006C0F50"/>
    <w:rsid w:val="006C2095"/>
    <w:rsid w:val="006C23AF"/>
    <w:rsid w:val="006C2DA1"/>
    <w:rsid w:val="006C32E6"/>
    <w:rsid w:val="006C53AD"/>
    <w:rsid w:val="006D142B"/>
    <w:rsid w:val="006D3E55"/>
    <w:rsid w:val="006D6320"/>
    <w:rsid w:val="006D6546"/>
    <w:rsid w:val="006D6D33"/>
    <w:rsid w:val="006E1287"/>
    <w:rsid w:val="006E43CA"/>
    <w:rsid w:val="006E46A9"/>
    <w:rsid w:val="006E46EE"/>
    <w:rsid w:val="006E4EE0"/>
    <w:rsid w:val="006E5432"/>
    <w:rsid w:val="006E7CB7"/>
    <w:rsid w:val="006F1A40"/>
    <w:rsid w:val="006F1F1F"/>
    <w:rsid w:val="006F1FD7"/>
    <w:rsid w:val="006F1FEB"/>
    <w:rsid w:val="006F2E6C"/>
    <w:rsid w:val="006F58FF"/>
    <w:rsid w:val="006F5DB6"/>
    <w:rsid w:val="00700406"/>
    <w:rsid w:val="00700494"/>
    <w:rsid w:val="00704433"/>
    <w:rsid w:val="00706D25"/>
    <w:rsid w:val="00706E3B"/>
    <w:rsid w:val="007101C8"/>
    <w:rsid w:val="00710CF8"/>
    <w:rsid w:val="007111D8"/>
    <w:rsid w:val="007117F2"/>
    <w:rsid w:val="00711EE3"/>
    <w:rsid w:val="007121DD"/>
    <w:rsid w:val="00714928"/>
    <w:rsid w:val="007155A5"/>
    <w:rsid w:val="00716991"/>
    <w:rsid w:val="00716B9E"/>
    <w:rsid w:val="00716D05"/>
    <w:rsid w:val="00721789"/>
    <w:rsid w:val="0072395C"/>
    <w:rsid w:val="00725435"/>
    <w:rsid w:val="00725810"/>
    <w:rsid w:val="007262A9"/>
    <w:rsid w:val="00726747"/>
    <w:rsid w:val="00730356"/>
    <w:rsid w:val="00730BF5"/>
    <w:rsid w:val="00731262"/>
    <w:rsid w:val="00732259"/>
    <w:rsid w:val="00732B99"/>
    <w:rsid w:val="00735C82"/>
    <w:rsid w:val="00735E54"/>
    <w:rsid w:val="00737A6A"/>
    <w:rsid w:val="007400A6"/>
    <w:rsid w:val="007410C3"/>
    <w:rsid w:val="007410EA"/>
    <w:rsid w:val="00741CB6"/>
    <w:rsid w:val="0074337D"/>
    <w:rsid w:val="00747A13"/>
    <w:rsid w:val="00750939"/>
    <w:rsid w:val="00751BF5"/>
    <w:rsid w:val="007521DB"/>
    <w:rsid w:val="00753132"/>
    <w:rsid w:val="00753950"/>
    <w:rsid w:val="007544C1"/>
    <w:rsid w:val="007546D6"/>
    <w:rsid w:val="00755327"/>
    <w:rsid w:val="00755D23"/>
    <w:rsid w:val="007571AA"/>
    <w:rsid w:val="00757773"/>
    <w:rsid w:val="00757D1B"/>
    <w:rsid w:val="00757FFE"/>
    <w:rsid w:val="00760736"/>
    <w:rsid w:val="00760DE8"/>
    <w:rsid w:val="00761E70"/>
    <w:rsid w:val="00762A93"/>
    <w:rsid w:val="007656D8"/>
    <w:rsid w:val="00765977"/>
    <w:rsid w:val="00766033"/>
    <w:rsid w:val="00766579"/>
    <w:rsid w:val="0076701F"/>
    <w:rsid w:val="00767336"/>
    <w:rsid w:val="007717A6"/>
    <w:rsid w:val="0077258C"/>
    <w:rsid w:val="00772998"/>
    <w:rsid w:val="00781200"/>
    <w:rsid w:val="0078122B"/>
    <w:rsid w:val="0078213B"/>
    <w:rsid w:val="0078275D"/>
    <w:rsid w:val="00783365"/>
    <w:rsid w:val="00784A8F"/>
    <w:rsid w:val="00784EED"/>
    <w:rsid w:val="00790472"/>
    <w:rsid w:val="00792534"/>
    <w:rsid w:val="00797246"/>
    <w:rsid w:val="00797920"/>
    <w:rsid w:val="007A013D"/>
    <w:rsid w:val="007A082F"/>
    <w:rsid w:val="007A2452"/>
    <w:rsid w:val="007A3A50"/>
    <w:rsid w:val="007A3D1E"/>
    <w:rsid w:val="007A4034"/>
    <w:rsid w:val="007A5D83"/>
    <w:rsid w:val="007A70F5"/>
    <w:rsid w:val="007B12CF"/>
    <w:rsid w:val="007B2AD2"/>
    <w:rsid w:val="007B451E"/>
    <w:rsid w:val="007B46DA"/>
    <w:rsid w:val="007B4997"/>
    <w:rsid w:val="007B618A"/>
    <w:rsid w:val="007B77E0"/>
    <w:rsid w:val="007C0F85"/>
    <w:rsid w:val="007C1263"/>
    <w:rsid w:val="007C2A11"/>
    <w:rsid w:val="007C48DB"/>
    <w:rsid w:val="007C60BA"/>
    <w:rsid w:val="007C6B1E"/>
    <w:rsid w:val="007D1D7D"/>
    <w:rsid w:val="007D229A"/>
    <w:rsid w:val="007D34B3"/>
    <w:rsid w:val="007D4B08"/>
    <w:rsid w:val="007D4F9C"/>
    <w:rsid w:val="007D512E"/>
    <w:rsid w:val="007E12F5"/>
    <w:rsid w:val="007E14EC"/>
    <w:rsid w:val="007E4726"/>
    <w:rsid w:val="007E5033"/>
    <w:rsid w:val="007E5580"/>
    <w:rsid w:val="007E7D29"/>
    <w:rsid w:val="007F027B"/>
    <w:rsid w:val="007F2715"/>
    <w:rsid w:val="007F320A"/>
    <w:rsid w:val="00801DAD"/>
    <w:rsid w:val="00802292"/>
    <w:rsid w:val="00802E79"/>
    <w:rsid w:val="00803DFC"/>
    <w:rsid w:val="00805FB9"/>
    <w:rsid w:val="00806307"/>
    <w:rsid w:val="0080646D"/>
    <w:rsid w:val="00810C4B"/>
    <w:rsid w:val="0081199E"/>
    <w:rsid w:val="00812C24"/>
    <w:rsid w:val="00816A84"/>
    <w:rsid w:val="00817FD4"/>
    <w:rsid w:val="008218B4"/>
    <w:rsid w:val="00821911"/>
    <w:rsid w:val="00822A2E"/>
    <w:rsid w:val="008231BD"/>
    <w:rsid w:val="00824AA0"/>
    <w:rsid w:val="008262E4"/>
    <w:rsid w:val="00827D4C"/>
    <w:rsid w:val="00830F96"/>
    <w:rsid w:val="008328E0"/>
    <w:rsid w:val="00834651"/>
    <w:rsid w:val="00835095"/>
    <w:rsid w:val="008355F6"/>
    <w:rsid w:val="00837C6B"/>
    <w:rsid w:val="00840755"/>
    <w:rsid w:val="008428C5"/>
    <w:rsid w:val="0084297F"/>
    <w:rsid w:val="008435AD"/>
    <w:rsid w:val="00843E5C"/>
    <w:rsid w:val="00844E75"/>
    <w:rsid w:val="00847D02"/>
    <w:rsid w:val="008503C6"/>
    <w:rsid w:val="0085188A"/>
    <w:rsid w:val="00851A6A"/>
    <w:rsid w:val="00851CD9"/>
    <w:rsid w:val="0085315D"/>
    <w:rsid w:val="008548EE"/>
    <w:rsid w:val="00854AB1"/>
    <w:rsid w:val="00855411"/>
    <w:rsid w:val="00856B69"/>
    <w:rsid w:val="00857A99"/>
    <w:rsid w:val="00860923"/>
    <w:rsid w:val="00862914"/>
    <w:rsid w:val="008647DD"/>
    <w:rsid w:val="008704ED"/>
    <w:rsid w:val="0087119C"/>
    <w:rsid w:val="00871F4D"/>
    <w:rsid w:val="00872BDA"/>
    <w:rsid w:val="008741E6"/>
    <w:rsid w:val="00875373"/>
    <w:rsid w:val="0087605C"/>
    <w:rsid w:val="0087638E"/>
    <w:rsid w:val="00876599"/>
    <w:rsid w:val="008804BE"/>
    <w:rsid w:val="0088167D"/>
    <w:rsid w:val="0088199D"/>
    <w:rsid w:val="00881B77"/>
    <w:rsid w:val="00884B8B"/>
    <w:rsid w:val="00887BE4"/>
    <w:rsid w:val="008911FC"/>
    <w:rsid w:val="00891C41"/>
    <w:rsid w:val="008926D3"/>
    <w:rsid w:val="008927CD"/>
    <w:rsid w:val="00893EE8"/>
    <w:rsid w:val="008948D2"/>
    <w:rsid w:val="008979AD"/>
    <w:rsid w:val="008A119D"/>
    <w:rsid w:val="008A11A8"/>
    <w:rsid w:val="008A1AEF"/>
    <w:rsid w:val="008A3C21"/>
    <w:rsid w:val="008A6434"/>
    <w:rsid w:val="008A6A28"/>
    <w:rsid w:val="008A7EB8"/>
    <w:rsid w:val="008B0DE6"/>
    <w:rsid w:val="008B108D"/>
    <w:rsid w:val="008B2D8D"/>
    <w:rsid w:val="008B2E41"/>
    <w:rsid w:val="008B2F0D"/>
    <w:rsid w:val="008B30BD"/>
    <w:rsid w:val="008B503D"/>
    <w:rsid w:val="008B6A10"/>
    <w:rsid w:val="008B6C0B"/>
    <w:rsid w:val="008B79DC"/>
    <w:rsid w:val="008C3329"/>
    <w:rsid w:val="008C4C70"/>
    <w:rsid w:val="008C5323"/>
    <w:rsid w:val="008C700B"/>
    <w:rsid w:val="008C7A11"/>
    <w:rsid w:val="008C7C9D"/>
    <w:rsid w:val="008D0026"/>
    <w:rsid w:val="008D0FD7"/>
    <w:rsid w:val="008D1653"/>
    <w:rsid w:val="008D1AE5"/>
    <w:rsid w:val="008D1C79"/>
    <w:rsid w:val="008D34E8"/>
    <w:rsid w:val="008D4692"/>
    <w:rsid w:val="008D53D1"/>
    <w:rsid w:val="008D60B5"/>
    <w:rsid w:val="008D6B51"/>
    <w:rsid w:val="008D7718"/>
    <w:rsid w:val="008D7F9D"/>
    <w:rsid w:val="008E0919"/>
    <w:rsid w:val="008E17ED"/>
    <w:rsid w:val="008E1964"/>
    <w:rsid w:val="008E2A9C"/>
    <w:rsid w:val="008E2AF3"/>
    <w:rsid w:val="008E325F"/>
    <w:rsid w:val="008E49C4"/>
    <w:rsid w:val="008E4F57"/>
    <w:rsid w:val="008E5340"/>
    <w:rsid w:val="008F0EE4"/>
    <w:rsid w:val="008F0F2E"/>
    <w:rsid w:val="008F2398"/>
    <w:rsid w:val="008F2A54"/>
    <w:rsid w:val="008F492A"/>
    <w:rsid w:val="008F5784"/>
    <w:rsid w:val="008F7EBC"/>
    <w:rsid w:val="009003D0"/>
    <w:rsid w:val="00902322"/>
    <w:rsid w:val="00903217"/>
    <w:rsid w:val="009038D6"/>
    <w:rsid w:val="00903AB5"/>
    <w:rsid w:val="00905908"/>
    <w:rsid w:val="0091120A"/>
    <w:rsid w:val="0091304A"/>
    <w:rsid w:val="00913AC0"/>
    <w:rsid w:val="00913F92"/>
    <w:rsid w:val="00914021"/>
    <w:rsid w:val="0091474F"/>
    <w:rsid w:val="00914E8E"/>
    <w:rsid w:val="00915B26"/>
    <w:rsid w:val="009170CF"/>
    <w:rsid w:val="00920654"/>
    <w:rsid w:val="009208E6"/>
    <w:rsid w:val="00921F9D"/>
    <w:rsid w:val="00922802"/>
    <w:rsid w:val="009233EA"/>
    <w:rsid w:val="00924AF5"/>
    <w:rsid w:val="00924B80"/>
    <w:rsid w:val="0092669E"/>
    <w:rsid w:val="0092756F"/>
    <w:rsid w:val="00927A49"/>
    <w:rsid w:val="00927B11"/>
    <w:rsid w:val="00927E59"/>
    <w:rsid w:val="00930811"/>
    <w:rsid w:val="009322CC"/>
    <w:rsid w:val="00933C25"/>
    <w:rsid w:val="009351C8"/>
    <w:rsid w:val="009368C0"/>
    <w:rsid w:val="00936B66"/>
    <w:rsid w:val="00940866"/>
    <w:rsid w:val="00941A6E"/>
    <w:rsid w:val="009420E6"/>
    <w:rsid w:val="00943D64"/>
    <w:rsid w:val="00950809"/>
    <w:rsid w:val="00950F8F"/>
    <w:rsid w:val="00952646"/>
    <w:rsid w:val="009534B1"/>
    <w:rsid w:val="00953927"/>
    <w:rsid w:val="00954211"/>
    <w:rsid w:val="0095426C"/>
    <w:rsid w:val="009547DA"/>
    <w:rsid w:val="00954E41"/>
    <w:rsid w:val="0096179E"/>
    <w:rsid w:val="009631E2"/>
    <w:rsid w:val="0096324E"/>
    <w:rsid w:val="00963DD0"/>
    <w:rsid w:val="009650BE"/>
    <w:rsid w:val="00966AFA"/>
    <w:rsid w:val="00966B60"/>
    <w:rsid w:val="00966DB8"/>
    <w:rsid w:val="009675EA"/>
    <w:rsid w:val="00970442"/>
    <w:rsid w:val="00973370"/>
    <w:rsid w:val="00973F41"/>
    <w:rsid w:val="00973F84"/>
    <w:rsid w:val="00974867"/>
    <w:rsid w:val="00980FB0"/>
    <w:rsid w:val="00984E08"/>
    <w:rsid w:val="00985E88"/>
    <w:rsid w:val="00987EB6"/>
    <w:rsid w:val="0099010E"/>
    <w:rsid w:val="00993E75"/>
    <w:rsid w:val="009948B8"/>
    <w:rsid w:val="0099499E"/>
    <w:rsid w:val="00995767"/>
    <w:rsid w:val="00995CD3"/>
    <w:rsid w:val="009A0CE5"/>
    <w:rsid w:val="009A13FC"/>
    <w:rsid w:val="009A1782"/>
    <w:rsid w:val="009A1C8A"/>
    <w:rsid w:val="009A2189"/>
    <w:rsid w:val="009A40D3"/>
    <w:rsid w:val="009A4218"/>
    <w:rsid w:val="009A64F5"/>
    <w:rsid w:val="009B0163"/>
    <w:rsid w:val="009B062E"/>
    <w:rsid w:val="009B08ED"/>
    <w:rsid w:val="009B1A53"/>
    <w:rsid w:val="009B3143"/>
    <w:rsid w:val="009B4003"/>
    <w:rsid w:val="009B4381"/>
    <w:rsid w:val="009B505C"/>
    <w:rsid w:val="009B5095"/>
    <w:rsid w:val="009B5148"/>
    <w:rsid w:val="009B64CF"/>
    <w:rsid w:val="009B6BBA"/>
    <w:rsid w:val="009B6DDC"/>
    <w:rsid w:val="009B7A53"/>
    <w:rsid w:val="009C0844"/>
    <w:rsid w:val="009C2C97"/>
    <w:rsid w:val="009C368D"/>
    <w:rsid w:val="009C4524"/>
    <w:rsid w:val="009C63BF"/>
    <w:rsid w:val="009C651B"/>
    <w:rsid w:val="009C681A"/>
    <w:rsid w:val="009C6E2E"/>
    <w:rsid w:val="009C73E9"/>
    <w:rsid w:val="009D019C"/>
    <w:rsid w:val="009D0A13"/>
    <w:rsid w:val="009D34BA"/>
    <w:rsid w:val="009D35D4"/>
    <w:rsid w:val="009D4275"/>
    <w:rsid w:val="009D42C5"/>
    <w:rsid w:val="009D5CCE"/>
    <w:rsid w:val="009D662C"/>
    <w:rsid w:val="009D6CDB"/>
    <w:rsid w:val="009D7756"/>
    <w:rsid w:val="009E0B10"/>
    <w:rsid w:val="009E0D52"/>
    <w:rsid w:val="009E398D"/>
    <w:rsid w:val="009E4465"/>
    <w:rsid w:val="009E6D59"/>
    <w:rsid w:val="009E6E6C"/>
    <w:rsid w:val="009E7798"/>
    <w:rsid w:val="009E7A51"/>
    <w:rsid w:val="009F0607"/>
    <w:rsid w:val="009F192B"/>
    <w:rsid w:val="009F1D78"/>
    <w:rsid w:val="009F3DA1"/>
    <w:rsid w:val="009F54C0"/>
    <w:rsid w:val="009F68F1"/>
    <w:rsid w:val="00A00D75"/>
    <w:rsid w:val="00A00F0F"/>
    <w:rsid w:val="00A01A36"/>
    <w:rsid w:val="00A01C2F"/>
    <w:rsid w:val="00A01E6F"/>
    <w:rsid w:val="00A023B0"/>
    <w:rsid w:val="00A034C2"/>
    <w:rsid w:val="00A043B2"/>
    <w:rsid w:val="00A051F8"/>
    <w:rsid w:val="00A0542D"/>
    <w:rsid w:val="00A06583"/>
    <w:rsid w:val="00A10C7C"/>
    <w:rsid w:val="00A11C92"/>
    <w:rsid w:val="00A12CFF"/>
    <w:rsid w:val="00A12F33"/>
    <w:rsid w:val="00A14BAF"/>
    <w:rsid w:val="00A17123"/>
    <w:rsid w:val="00A208EA"/>
    <w:rsid w:val="00A2269E"/>
    <w:rsid w:val="00A2273D"/>
    <w:rsid w:val="00A2293D"/>
    <w:rsid w:val="00A22BCB"/>
    <w:rsid w:val="00A230DF"/>
    <w:rsid w:val="00A231B1"/>
    <w:rsid w:val="00A23536"/>
    <w:rsid w:val="00A23EBA"/>
    <w:rsid w:val="00A23F10"/>
    <w:rsid w:val="00A24889"/>
    <w:rsid w:val="00A24C8A"/>
    <w:rsid w:val="00A251ED"/>
    <w:rsid w:val="00A3003F"/>
    <w:rsid w:val="00A30C99"/>
    <w:rsid w:val="00A31C7B"/>
    <w:rsid w:val="00A329D0"/>
    <w:rsid w:val="00A32EE9"/>
    <w:rsid w:val="00A346A3"/>
    <w:rsid w:val="00A3704A"/>
    <w:rsid w:val="00A370DC"/>
    <w:rsid w:val="00A37708"/>
    <w:rsid w:val="00A40D48"/>
    <w:rsid w:val="00A40E7B"/>
    <w:rsid w:val="00A4218D"/>
    <w:rsid w:val="00A42BEA"/>
    <w:rsid w:val="00A42D72"/>
    <w:rsid w:val="00A43CA6"/>
    <w:rsid w:val="00A44432"/>
    <w:rsid w:val="00A4449C"/>
    <w:rsid w:val="00A44C5B"/>
    <w:rsid w:val="00A45AD8"/>
    <w:rsid w:val="00A4690A"/>
    <w:rsid w:val="00A5028F"/>
    <w:rsid w:val="00A52BD8"/>
    <w:rsid w:val="00A52D72"/>
    <w:rsid w:val="00A53FBE"/>
    <w:rsid w:val="00A54BBD"/>
    <w:rsid w:val="00A5556A"/>
    <w:rsid w:val="00A56827"/>
    <w:rsid w:val="00A60C73"/>
    <w:rsid w:val="00A61A36"/>
    <w:rsid w:val="00A62C11"/>
    <w:rsid w:val="00A62F63"/>
    <w:rsid w:val="00A643FB"/>
    <w:rsid w:val="00A6558F"/>
    <w:rsid w:val="00A65DED"/>
    <w:rsid w:val="00A7014E"/>
    <w:rsid w:val="00A72419"/>
    <w:rsid w:val="00A73A1F"/>
    <w:rsid w:val="00A8224B"/>
    <w:rsid w:val="00A841C5"/>
    <w:rsid w:val="00A866D0"/>
    <w:rsid w:val="00A87616"/>
    <w:rsid w:val="00A87ECC"/>
    <w:rsid w:val="00A9091F"/>
    <w:rsid w:val="00A910D1"/>
    <w:rsid w:val="00A913C2"/>
    <w:rsid w:val="00A9183E"/>
    <w:rsid w:val="00A9279E"/>
    <w:rsid w:val="00A92BC4"/>
    <w:rsid w:val="00A9481B"/>
    <w:rsid w:val="00A971F0"/>
    <w:rsid w:val="00A97B07"/>
    <w:rsid w:val="00A97B0E"/>
    <w:rsid w:val="00AA1042"/>
    <w:rsid w:val="00AA249A"/>
    <w:rsid w:val="00AA4827"/>
    <w:rsid w:val="00AA514D"/>
    <w:rsid w:val="00AA7D0B"/>
    <w:rsid w:val="00AA7EF4"/>
    <w:rsid w:val="00AB165F"/>
    <w:rsid w:val="00AB1E7B"/>
    <w:rsid w:val="00AB3CB7"/>
    <w:rsid w:val="00AB5DE2"/>
    <w:rsid w:val="00AB7B29"/>
    <w:rsid w:val="00AC0EC3"/>
    <w:rsid w:val="00AC187F"/>
    <w:rsid w:val="00AC1B37"/>
    <w:rsid w:val="00AC46E7"/>
    <w:rsid w:val="00AC7073"/>
    <w:rsid w:val="00AD03FD"/>
    <w:rsid w:val="00AD06DA"/>
    <w:rsid w:val="00AD178F"/>
    <w:rsid w:val="00AD18EB"/>
    <w:rsid w:val="00AD21F1"/>
    <w:rsid w:val="00AD3168"/>
    <w:rsid w:val="00AD6C4A"/>
    <w:rsid w:val="00AE10EF"/>
    <w:rsid w:val="00AE2D31"/>
    <w:rsid w:val="00AE3FFC"/>
    <w:rsid w:val="00AE480F"/>
    <w:rsid w:val="00AE4BA0"/>
    <w:rsid w:val="00AE602C"/>
    <w:rsid w:val="00AE6A18"/>
    <w:rsid w:val="00AE7719"/>
    <w:rsid w:val="00AE7F88"/>
    <w:rsid w:val="00AF1BDA"/>
    <w:rsid w:val="00AF6F8F"/>
    <w:rsid w:val="00AF79D1"/>
    <w:rsid w:val="00B03977"/>
    <w:rsid w:val="00B04035"/>
    <w:rsid w:val="00B04D87"/>
    <w:rsid w:val="00B0698F"/>
    <w:rsid w:val="00B06E2B"/>
    <w:rsid w:val="00B07D20"/>
    <w:rsid w:val="00B07DE2"/>
    <w:rsid w:val="00B10283"/>
    <w:rsid w:val="00B1098D"/>
    <w:rsid w:val="00B116C1"/>
    <w:rsid w:val="00B126BD"/>
    <w:rsid w:val="00B12C96"/>
    <w:rsid w:val="00B141B0"/>
    <w:rsid w:val="00B1541B"/>
    <w:rsid w:val="00B16800"/>
    <w:rsid w:val="00B1798A"/>
    <w:rsid w:val="00B2082D"/>
    <w:rsid w:val="00B210F5"/>
    <w:rsid w:val="00B22465"/>
    <w:rsid w:val="00B2477A"/>
    <w:rsid w:val="00B2508A"/>
    <w:rsid w:val="00B2554A"/>
    <w:rsid w:val="00B26D06"/>
    <w:rsid w:val="00B27DFF"/>
    <w:rsid w:val="00B309FE"/>
    <w:rsid w:val="00B3181D"/>
    <w:rsid w:val="00B32006"/>
    <w:rsid w:val="00B32DEF"/>
    <w:rsid w:val="00B32ED3"/>
    <w:rsid w:val="00B34C34"/>
    <w:rsid w:val="00B34FB9"/>
    <w:rsid w:val="00B36C5A"/>
    <w:rsid w:val="00B420E1"/>
    <w:rsid w:val="00B421F2"/>
    <w:rsid w:val="00B42DCE"/>
    <w:rsid w:val="00B43302"/>
    <w:rsid w:val="00B45484"/>
    <w:rsid w:val="00B50332"/>
    <w:rsid w:val="00B50F16"/>
    <w:rsid w:val="00B51BA5"/>
    <w:rsid w:val="00B51D54"/>
    <w:rsid w:val="00B52BE0"/>
    <w:rsid w:val="00B53B1D"/>
    <w:rsid w:val="00B54904"/>
    <w:rsid w:val="00B56595"/>
    <w:rsid w:val="00B5740A"/>
    <w:rsid w:val="00B57CCE"/>
    <w:rsid w:val="00B6197B"/>
    <w:rsid w:val="00B62BC6"/>
    <w:rsid w:val="00B64337"/>
    <w:rsid w:val="00B70937"/>
    <w:rsid w:val="00B7265D"/>
    <w:rsid w:val="00B7448D"/>
    <w:rsid w:val="00B813F4"/>
    <w:rsid w:val="00B81733"/>
    <w:rsid w:val="00B8252F"/>
    <w:rsid w:val="00B85873"/>
    <w:rsid w:val="00B85A40"/>
    <w:rsid w:val="00B86BF7"/>
    <w:rsid w:val="00B878BA"/>
    <w:rsid w:val="00B90328"/>
    <w:rsid w:val="00B910BE"/>
    <w:rsid w:val="00B92006"/>
    <w:rsid w:val="00B92D65"/>
    <w:rsid w:val="00B933BB"/>
    <w:rsid w:val="00B935AE"/>
    <w:rsid w:val="00B938AE"/>
    <w:rsid w:val="00B96A18"/>
    <w:rsid w:val="00B97650"/>
    <w:rsid w:val="00B97CD1"/>
    <w:rsid w:val="00BA27BC"/>
    <w:rsid w:val="00BA4911"/>
    <w:rsid w:val="00BA566A"/>
    <w:rsid w:val="00BA5737"/>
    <w:rsid w:val="00BA6161"/>
    <w:rsid w:val="00BA6CF7"/>
    <w:rsid w:val="00BA7593"/>
    <w:rsid w:val="00BA7821"/>
    <w:rsid w:val="00BA79C4"/>
    <w:rsid w:val="00BB0E46"/>
    <w:rsid w:val="00BB1B7D"/>
    <w:rsid w:val="00BB2D0F"/>
    <w:rsid w:val="00BB4856"/>
    <w:rsid w:val="00BB48CD"/>
    <w:rsid w:val="00BB4BB0"/>
    <w:rsid w:val="00BB6F89"/>
    <w:rsid w:val="00BC252D"/>
    <w:rsid w:val="00BC266F"/>
    <w:rsid w:val="00BC363F"/>
    <w:rsid w:val="00BC3CDB"/>
    <w:rsid w:val="00BC60DF"/>
    <w:rsid w:val="00BC7E38"/>
    <w:rsid w:val="00BD07DC"/>
    <w:rsid w:val="00BD1B45"/>
    <w:rsid w:val="00BD26C1"/>
    <w:rsid w:val="00BD3B6E"/>
    <w:rsid w:val="00BD3EF5"/>
    <w:rsid w:val="00BD54A8"/>
    <w:rsid w:val="00BD5919"/>
    <w:rsid w:val="00BD63F8"/>
    <w:rsid w:val="00BD6764"/>
    <w:rsid w:val="00BD6916"/>
    <w:rsid w:val="00BD7C25"/>
    <w:rsid w:val="00BE022A"/>
    <w:rsid w:val="00BE04C1"/>
    <w:rsid w:val="00BE05D1"/>
    <w:rsid w:val="00BE1DAC"/>
    <w:rsid w:val="00BE2BC8"/>
    <w:rsid w:val="00BE3205"/>
    <w:rsid w:val="00BE401E"/>
    <w:rsid w:val="00BE452C"/>
    <w:rsid w:val="00BE4C27"/>
    <w:rsid w:val="00BE530F"/>
    <w:rsid w:val="00BE6547"/>
    <w:rsid w:val="00BE6F84"/>
    <w:rsid w:val="00BE7505"/>
    <w:rsid w:val="00BF152C"/>
    <w:rsid w:val="00BF1BC3"/>
    <w:rsid w:val="00BF2E84"/>
    <w:rsid w:val="00BF3B02"/>
    <w:rsid w:val="00BF544C"/>
    <w:rsid w:val="00BF7BCD"/>
    <w:rsid w:val="00BF7E35"/>
    <w:rsid w:val="00C035D4"/>
    <w:rsid w:val="00C03C47"/>
    <w:rsid w:val="00C04F62"/>
    <w:rsid w:val="00C0635B"/>
    <w:rsid w:val="00C07172"/>
    <w:rsid w:val="00C07591"/>
    <w:rsid w:val="00C115AF"/>
    <w:rsid w:val="00C129B3"/>
    <w:rsid w:val="00C12C7B"/>
    <w:rsid w:val="00C15DA9"/>
    <w:rsid w:val="00C15DAF"/>
    <w:rsid w:val="00C16186"/>
    <w:rsid w:val="00C173D3"/>
    <w:rsid w:val="00C20452"/>
    <w:rsid w:val="00C23EF0"/>
    <w:rsid w:val="00C2483A"/>
    <w:rsid w:val="00C25A81"/>
    <w:rsid w:val="00C25AEB"/>
    <w:rsid w:val="00C25D12"/>
    <w:rsid w:val="00C269AB"/>
    <w:rsid w:val="00C27211"/>
    <w:rsid w:val="00C27F7D"/>
    <w:rsid w:val="00C30837"/>
    <w:rsid w:val="00C3168D"/>
    <w:rsid w:val="00C34099"/>
    <w:rsid w:val="00C34916"/>
    <w:rsid w:val="00C3575B"/>
    <w:rsid w:val="00C3601F"/>
    <w:rsid w:val="00C36D79"/>
    <w:rsid w:val="00C40009"/>
    <w:rsid w:val="00C42AF9"/>
    <w:rsid w:val="00C42E78"/>
    <w:rsid w:val="00C46941"/>
    <w:rsid w:val="00C47B91"/>
    <w:rsid w:val="00C47F68"/>
    <w:rsid w:val="00C51A71"/>
    <w:rsid w:val="00C51C6A"/>
    <w:rsid w:val="00C524F8"/>
    <w:rsid w:val="00C52D3B"/>
    <w:rsid w:val="00C535B1"/>
    <w:rsid w:val="00C54876"/>
    <w:rsid w:val="00C5652B"/>
    <w:rsid w:val="00C573E0"/>
    <w:rsid w:val="00C61295"/>
    <w:rsid w:val="00C61B52"/>
    <w:rsid w:val="00C62F39"/>
    <w:rsid w:val="00C640A6"/>
    <w:rsid w:val="00C64BE1"/>
    <w:rsid w:val="00C64DB8"/>
    <w:rsid w:val="00C65989"/>
    <w:rsid w:val="00C663DD"/>
    <w:rsid w:val="00C66B32"/>
    <w:rsid w:val="00C67D27"/>
    <w:rsid w:val="00C70489"/>
    <w:rsid w:val="00C70F4D"/>
    <w:rsid w:val="00C711F3"/>
    <w:rsid w:val="00C721EB"/>
    <w:rsid w:val="00C725E2"/>
    <w:rsid w:val="00C74CB5"/>
    <w:rsid w:val="00C75248"/>
    <w:rsid w:val="00C75404"/>
    <w:rsid w:val="00C75F70"/>
    <w:rsid w:val="00C765F8"/>
    <w:rsid w:val="00C7714F"/>
    <w:rsid w:val="00C8196D"/>
    <w:rsid w:val="00C81A98"/>
    <w:rsid w:val="00C81BF6"/>
    <w:rsid w:val="00C83C4B"/>
    <w:rsid w:val="00C83E6B"/>
    <w:rsid w:val="00C86439"/>
    <w:rsid w:val="00C86548"/>
    <w:rsid w:val="00C86A56"/>
    <w:rsid w:val="00C8735D"/>
    <w:rsid w:val="00C90103"/>
    <w:rsid w:val="00C925FD"/>
    <w:rsid w:val="00C92ED3"/>
    <w:rsid w:val="00C93899"/>
    <w:rsid w:val="00C9443F"/>
    <w:rsid w:val="00C957AF"/>
    <w:rsid w:val="00CA0410"/>
    <w:rsid w:val="00CA09BB"/>
    <w:rsid w:val="00CA24BB"/>
    <w:rsid w:val="00CA3960"/>
    <w:rsid w:val="00CA42DD"/>
    <w:rsid w:val="00CA50E9"/>
    <w:rsid w:val="00CA521B"/>
    <w:rsid w:val="00CA5E5E"/>
    <w:rsid w:val="00CA697B"/>
    <w:rsid w:val="00CA6E7B"/>
    <w:rsid w:val="00CA79A2"/>
    <w:rsid w:val="00CA7CB4"/>
    <w:rsid w:val="00CB0D64"/>
    <w:rsid w:val="00CB135A"/>
    <w:rsid w:val="00CB31EB"/>
    <w:rsid w:val="00CB36C9"/>
    <w:rsid w:val="00CB484C"/>
    <w:rsid w:val="00CB5432"/>
    <w:rsid w:val="00CB64FD"/>
    <w:rsid w:val="00CB66B4"/>
    <w:rsid w:val="00CB6A6E"/>
    <w:rsid w:val="00CB6B74"/>
    <w:rsid w:val="00CB7400"/>
    <w:rsid w:val="00CB7600"/>
    <w:rsid w:val="00CB7A76"/>
    <w:rsid w:val="00CC06E8"/>
    <w:rsid w:val="00CC1854"/>
    <w:rsid w:val="00CC30BD"/>
    <w:rsid w:val="00CC3D77"/>
    <w:rsid w:val="00CC3F0F"/>
    <w:rsid w:val="00CC44BC"/>
    <w:rsid w:val="00CC4DE6"/>
    <w:rsid w:val="00CC6535"/>
    <w:rsid w:val="00CC67C4"/>
    <w:rsid w:val="00CC7BD5"/>
    <w:rsid w:val="00CD0415"/>
    <w:rsid w:val="00CD1050"/>
    <w:rsid w:val="00CD19C2"/>
    <w:rsid w:val="00CD1A83"/>
    <w:rsid w:val="00CD609C"/>
    <w:rsid w:val="00CD6EE5"/>
    <w:rsid w:val="00CD715A"/>
    <w:rsid w:val="00CD78D4"/>
    <w:rsid w:val="00CE0B21"/>
    <w:rsid w:val="00CE117C"/>
    <w:rsid w:val="00CE1FBD"/>
    <w:rsid w:val="00CE65C5"/>
    <w:rsid w:val="00CE694A"/>
    <w:rsid w:val="00CE724F"/>
    <w:rsid w:val="00CE7EA2"/>
    <w:rsid w:val="00CE7FC4"/>
    <w:rsid w:val="00CE7FCF"/>
    <w:rsid w:val="00CF140D"/>
    <w:rsid w:val="00CF1949"/>
    <w:rsid w:val="00CF2E41"/>
    <w:rsid w:val="00CF31A9"/>
    <w:rsid w:val="00CF366C"/>
    <w:rsid w:val="00CF5CA0"/>
    <w:rsid w:val="00CF7634"/>
    <w:rsid w:val="00D0022A"/>
    <w:rsid w:val="00D01520"/>
    <w:rsid w:val="00D01A3E"/>
    <w:rsid w:val="00D02158"/>
    <w:rsid w:val="00D03569"/>
    <w:rsid w:val="00D04068"/>
    <w:rsid w:val="00D04B77"/>
    <w:rsid w:val="00D04B85"/>
    <w:rsid w:val="00D04CC2"/>
    <w:rsid w:val="00D05323"/>
    <w:rsid w:val="00D05AB2"/>
    <w:rsid w:val="00D05FFA"/>
    <w:rsid w:val="00D07164"/>
    <w:rsid w:val="00D13190"/>
    <w:rsid w:val="00D13897"/>
    <w:rsid w:val="00D15748"/>
    <w:rsid w:val="00D16433"/>
    <w:rsid w:val="00D166B7"/>
    <w:rsid w:val="00D16D0F"/>
    <w:rsid w:val="00D17F20"/>
    <w:rsid w:val="00D2055B"/>
    <w:rsid w:val="00D231A7"/>
    <w:rsid w:val="00D23A58"/>
    <w:rsid w:val="00D2547B"/>
    <w:rsid w:val="00D2700B"/>
    <w:rsid w:val="00D2734C"/>
    <w:rsid w:val="00D32194"/>
    <w:rsid w:val="00D33FD5"/>
    <w:rsid w:val="00D34C7F"/>
    <w:rsid w:val="00D34CF2"/>
    <w:rsid w:val="00D35613"/>
    <w:rsid w:val="00D3661C"/>
    <w:rsid w:val="00D36AF6"/>
    <w:rsid w:val="00D3796F"/>
    <w:rsid w:val="00D40AF0"/>
    <w:rsid w:val="00D427F3"/>
    <w:rsid w:val="00D43918"/>
    <w:rsid w:val="00D43A3D"/>
    <w:rsid w:val="00D44391"/>
    <w:rsid w:val="00D44E4B"/>
    <w:rsid w:val="00D45094"/>
    <w:rsid w:val="00D45EE7"/>
    <w:rsid w:val="00D46BDD"/>
    <w:rsid w:val="00D478CA"/>
    <w:rsid w:val="00D47DCE"/>
    <w:rsid w:val="00D506D5"/>
    <w:rsid w:val="00D54148"/>
    <w:rsid w:val="00D54520"/>
    <w:rsid w:val="00D56AB9"/>
    <w:rsid w:val="00D60151"/>
    <w:rsid w:val="00D6056A"/>
    <w:rsid w:val="00D621D3"/>
    <w:rsid w:val="00D6301C"/>
    <w:rsid w:val="00D67F80"/>
    <w:rsid w:val="00D7026A"/>
    <w:rsid w:val="00D7027A"/>
    <w:rsid w:val="00D733C9"/>
    <w:rsid w:val="00D772F6"/>
    <w:rsid w:val="00D80400"/>
    <w:rsid w:val="00D82B12"/>
    <w:rsid w:val="00D832BC"/>
    <w:rsid w:val="00D833B1"/>
    <w:rsid w:val="00D84501"/>
    <w:rsid w:val="00D85926"/>
    <w:rsid w:val="00D86BA2"/>
    <w:rsid w:val="00D875FF"/>
    <w:rsid w:val="00D90A38"/>
    <w:rsid w:val="00D90C47"/>
    <w:rsid w:val="00D91394"/>
    <w:rsid w:val="00D940A6"/>
    <w:rsid w:val="00D94481"/>
    <w:rsid w:val="00D94F7F"/>
    <w:rsid w:val="00D96845"/>
    <w:rsid w:val="00D9744F"/>
    <w:rsid w:val="00DA2E35"/>
    <w:rsid w:val="00DA5501"/>
    <w:rsid w:val="00DA55F1"/>
    <w:rsid w:val="00DA6508"/>
    <w:rsid w:val="00DA6FA3"/>
    <w:rsid w:val="00DB08A4"/>
    <w:rsid w:val="00DB4C14"/>
    <w:rsid w:val="00DB4D8B"/>
    <w:rsid w:val="00DC0B58"/>
    <w:rsid w:val="00DC12A8"/>
    <w:rsid w:val="00DC3C87"/>
    <w:rsid w:val="00DC5B0F"/>
    <w:rsid w:val="00DD04CF"/>
    <w:rsid w:val="00DD07F6"/>
    <w:rsid w:val="00DD0972"/>
    <w:rsid w:val="00DD0A22"/>
    <w:rsid w:val="00DD182A"/>
    <w:rsid w:val="00DD1942"/>
    <w:rsid w:val="00DD2698"/>
    <w:rsid w:val="00DD2D81"/>
    <w:rsid w:val="00DD3399"/>
    <w:rsid w:val="00DD3945"/>
    <w:rsid w:val="00DD4E45"/>
    <w:rsid w:val="00DD4E8B"/>
    <w:rsid w:val="00DD54D9"/>
    <w:rsid w:val="00DD5D6B"/>
    <w:rsid w:val="00DD7B38"/>
    <w:rsid w:val="00DE0513"/>
    <w:rsid w:val="00DE1A0A"/>
    <w:rsid w:val="00DE2553"/>
    <w:rsid w:val="00DE2862"/>
    <w:rsid w:val="00DE6261"/>
    <w:rsid w:val="00DE707F"/>
    <w:rsid w:val="00DF0045"/>
    <w:rsid w:val="00DF1A1A"/>
    <w:rsid w:val="00DF1B42"/>
    <w:rsid w:val="00DF2900"/>
    <w:rsid w:val="00DF2CB2"/>
    <w:rsid w:val="00DF3391"/>
    <w:rsid w:val="00DF3751"/>
    <w:rsid w:val="00DF4415"/>
    <w:rsid w:val="00DF4FAC"/>
    <w:rsid w:val="00DF7069"/>
    <w:rsid w:val="00E01A8A"/>
    <w:rsid w:val="00E0296B"/>
    <w:rsid w:val="00E0301F"/>
    <w:rsid w:val="00E030AF"/>
    <w:rsid w:val="00E105DC"/>
    <w:rsid w:val="00E1072D"/>
    <w:rsid w:val="00E10B71"/>
    <w:rsid w:val="00E1229D"/>
    <w:rsid w:val="00E1249F"/>
    <w:rsid w:val="00E128AA"/>
    <w:rsid w:val="00E13BDC"/>
    <w:rsid w:val="00E1656D"/>
    <w:rsid w:val="00E16A0E"/>
    <w:rsid w:val="00E17168"/>
    <w:rsid w:val="00E201A6"/>
    <w:rsid w:val="00E205F9"/>
    <w:rsid w:val="00E209C7"/>
    <w:rsid w:val="00E20C88"/>
    <w:rsid w:val="00E2230C"/>
    <w:rsid w:val="00E24D96"/>
    <w:rsid w:val="00E25DDD"/>
    <w:rsid w:val="00E2647E"/>
    <w:rsid w:val="00E26D05"/>
    <w:rsid w:val="00E270C4"/>
    <w:rsid w:val="00E32E38"/>
    <w:rsid w:val="00E32F77"/>
    <w:rsid w:val="00E3574B"/>
    <w:rsid w:val="00E3576A"/>
    <w:rsid w:val="00E4002A"/>
    <w:rsid w:val="00E40326"/>
    <w:rsid w:val="00E4072E"/>
    <w:rsid w:val="00E40B08"/>
    <w:rsid w:val="00E41D16"/>
    <w:rsid w:val="00E42289"/>
    <w:rsid w:val="00E43894"/>
    <w:rsid w:val="00E4417F"/>
    <w:rsid w:val="00E46C06"/>
    <w:rsid w:val="00E46D41"/>
    <w:rsid w:val="00E502EA"/>
    <w:rsid w:val="00E50B5F"/>
    <w:rsid w:val="00E51115"/>
    <w:rsid w:val="00E5160B"/>
    <w:rsid w:val="00E53459"/>
    <w:rsid w:val="00E569CC"/>
    <w:rsid w:val="00E56A9A"/>
    <w:rsid w:val="00E56E03"/>
    <w:rsid w:val="00E57C31"/>
    <w:rsid w:val="00E60926"/>
    <w:rsid w:val="00E61858"/>
    <w:rsid w:val="00E61F8C"/>
    <w:rsid w:val="00E63470"/>
    <w:rsid w:val="00E640D2"/>
    <w:rsid w:val="00E65762"/>
    <w:rsid w:val="00E65A83"/>
    <w:rsid w:val="00E663FD"/>
    <w:rsid w:val="00E67382"/>
    <w:rsid w:val="00E715B0"/>
    <w:rsid w:val="00E71C5A"/>
    <w:rsid w:val="00E72072"/>
    <w:rsid w:val="00E74B0A"/>
    <w:rsid w:val="00E77116"/>
    <w:rsid w:val="00E77E8F"/>
    <w:rsid w:val="00E80299"/>
    <w:rsid w:val="00E806A9"/>
    <w:rsid w:val="00E80790"/>
    <w:rsid w:val="00E81A35"/>
    <w:rsid w:val="00E822E3"/>
    <w:rsid w:val="00E8298C"/>
    <w:rsid w:val="00E85729"/>
    <w:rsid w:val="00E85CB7"/>
    <w:rsid w:val="00E86B72"/>
    <w:rsid w:val="00E86D48"/>
    <w:rsid w:val="00E86F98"/>
    <w:rsid w:val="00E870F2"/>
    <w:rsid w:val="00E9034A"/>
    <w:rsid w:val="00E90C40"/>
    <w:rsid w:val="00E90E53"/>
    <w:rsid w:val="00E94074"/>
    <w:rsid w:val="00E9557A"/>
    <w:rsid w:val="00E96784"/>
    <w:rsid w:val="00E9682A"/>
    <w:rsid w:val="00EA1CCD"/>
    <w:rsid w:val="00EA3F9A"/>
    <w:rsid w:val="00EA4691"/>
    <w:rsid w:val="00EA52D8"/>
    <w:rsid w:val="00EA5985"/>
    <w:rsid w:val="00EA599B"/>
    <w:rsid w:val="00EA7FD8"/>
    <w:rsid w:val="00EB05B6"/>
    <w:rsid w:val="00EB19D3"/>
    <w:rsid w:val="00EB2785"/>
    <w:rsid w:val="00EB518F"/>
    <w:rsid w:val="00EC0A11"/>
    <w:rsid w:val="00EC27AF"/>
    <w:rsid w:val="00EC3363"/>
    <w:rsid w:val="00EC3C88"/>
    <w:rsid w:val="00EC3EE3"/>
    <w:rsid w:val="00EC4BAC"/>
    <w:rsid w:val="00EC5967"/>
    <w:rsid w:val="00EC70E6"/>
    <w:rsid w:val="00ED09E1"/>
    <w:rsid w:val="00ED1793"/>
    <w:rsid w:val="00ED2196"/>
    <w:rsid w:val="00ED2F30"/>
    <w:rsid w:val="00ED3756"/>
    <w:rsid w:val="00ED481F"/>
    <w:rsid w:val="00ED4B74"/>
    <w:rsid w:val="00ED5111"/>
    <w:rsid w:val="00ED551A"/>
    <w:rsid w:val="00ED6244"/>
    <w:rsid w:val="00ED6372"/>
    <w:rsid w:val="00ED77B4"/>
    <w:rsid w:val="00EE02E1"/>
    <w:rsid w:val="00EE0C6A"/>
    <w:rsid w:val="00EE14E9"/>
    <w:rsid w:val="00EE1D06"/>
    <w:rsid w:val="00EE24E6"/>
    <w:rsid w:val="00EE2A87"/>
    <w:rsid w:val="00EE45BA"/>
    <w:rsid w:val="00EE571B"/>
    <w:rsid w:val="00EE6500"/>
    <w:rsid w:val="00EE6F16"/>
    <w:rsid w:val="00EF0724"/>
    <w:rsid w:val="00EF1B05"/>
    <w:rsid w:val="00EF2D26"/>
    <w:rsid w:val="00EF46A2"/>
    <w:rsid w:val="00EF4F9A"/>
    <w:rsid w:val="00EF5776"/>
    <w:rsid w:val="00EF5CEA"/>
    <w:rsid w:val="00EF5EAF"/>
    <w:rsid w:val="00EF628E"/>
    <w:rsid w:val="00EF7671"/>
    <w:rsid w:val="00EF773B"/>
    <w:rsid w:val="00EF7AFD"/>
    <w:rsid w:val="00F01FBB"/>
    <w:rsid w:val="00F02741"/>
    <w:rsid w:val="00F02783"/>
    <w:rsid w:val="00F0310C"/>
    <w:rsid w:val="00F03E42"/>
    <w:rsid w:val="00F04310"/>
    <w:rsid w:val="00F05074"/>
    <w:rsid w:val="00F102F7"/>
    <w:rsid w:val="00F11D8C"/>
    <w:rsid w:val="00F12B3F"/>
    <w:rsid w:val="00F12E91"/>
    <w:rsid w:val="00F13AD6"/>
    <w:rsid w:val="00F145E7"/>
    <w:rsid w:val="00F14631"/>
    <w:rsid w:val="00F14B3C"/>
    <w:rsid w:val="00F1639E"/>
    <w:rsid w:val="00F20059"/>
    <w:rsid w:val="00F239AB"/>
    <w:rsid w:val="00F241FB"/>
    <w:rsid w:val="00F24900"/>
    <w:rsid w:val="00F25C6C"/>
    <w:rsid w:val="00F26022"/>
    <w:rsid w:val="00F2635B"/>
    <w:rsid w:val="00F27FCC"/>
    <w:rsid w:val="00F303B5"/>
    <w:rsid w:val="00F30A96"/>
    <w:rsid w:val="00F31F6A"/>
    <w:rsid w:val="00F326CE"/>
    <w:rsid w:val="00F34410"/>
    <w:rsid w:val="00F344FB"/>
    <w:rsid w:val="00F35C97"/>
    <w:rsid w:val="00F37AFF"/>
    <w:rsid w:val="00F37E86"/>
    <w:rsid w:val="00F403D6"/>
    <w:rsid w:val="00F40D8D"/>
    <w:rsid w:val="00F41617"/>
    <w:rsid w:val="00F46DE7"/>
    <w:rsid w:val="00F50945"/>
    <w:rsid w:val="00F50ABC"/>
    <w:rsid w:val="00F51A38"/>
    <w:rsid w:val="00F51B7C"/>
    <w:rsid w:val="00F51E3A"/>
    <w:rsid w:val="00F55207"/>
    <w:rsid w:val="00F561D7"/>
    <w:rsid w:val="00F56D67"/>
    <w:rsid w:val="00F5721C"/>
    <w:rsid w:val="00F57405"/>
    <w:rsid w:val="00F57EFE"/>
    <w:rsid w:val="00F6152B"/>
    <w:rsid w:val="00F632F0"/>
    <w:rsid w:val="00F636DE"/>
    <w:rsid w:val="00F656C0"/>
    <w:rsid w:val="00F677C3"/>
    <w:rsid w:val="00F6781D"/>
    <w:rsid w:val="00F70341"/>
    <w:rsid w:val="00F7043D"/>
    <w:rsid w:val="00F726F5"/>
    <w:rsid w:val="00F72747"/>
    <w:rsid w:val="00F72D38"/>
    <w:rsid w:val="00F74A72"/>
    <w:rsid w:val="00F74F97"/>
    <w:rsid w:val="00F75865"/>
    <w:rsid w:val="00F75874"/>
    <w:rsid w:val="00F829B0"/>
    <w:rsid w:val="00F82D65"/>
    <w:rsid w:val="00F8720B"/>
    <w:rsid w:val="00F9101C"/>
    <w:rsid w:val="00F937DE"/>
    <w:rsid w:val="00F942FC"/>
    <w:rsid w:val="00F949D4"/>
    <w:rsid w:val="00F94B49"/>
    <w:rsid w:val="00F94C1D"/>
    <w:rsid w:val="00F957E5"/>
    <w:rsid w:val="00F95BF5"/>
    <w:rsid w:val="00F963D0"/>
    <w:rsid w:val="00F96496"/>
    <w:rsid w:val="00F967CA"/>
    <w:rsid w:val="00F97ACA"/>
    <w:rsid w:val="00FA1807"/>
    <w:rsid w:val="00FA2EA5"/>
    <w:rsid w:val="00FA5374"/>
    <w:rsid w:val="00FA591A"/>
    <w:rsid w:val="00FA67BD"/>
    <w:rsid w:val="00FA74C2"/>
    <w:rsid w:val="00FB06A7"/>
    <w:rsid w:val="00FB2F1A"/>
    <w:rsid w:val="00FB3522"/>
    <w:rsid w:val="00FB450A"/>
    <w:rsid w:val="00FB52DA"/>
    <w:rsid w:val="00FB584B"/>
    <w:rsid w:val="00FB68F0"/>
    <w:rsid w:val="00FB7B20"/>
    <w:rsid w:val="00FC0AEE"/>
    <w:rsid w:val="00FC0D75"/>
    <w:rsid w:val="00FC1077"/>
    <w:rsid w:val="00FC197C"/>
    <w:rsid w:val="00FC267B"/>
    <w:rsid w:val="00FC2A74"/>
    <w:rsid w:val="00FC2BAD"/>
    <w:rsid w:val="00FC2D8C"/>
    <w:rsid w:val="00FC4722"/>
    <w:rsid w:val="00FC748A"/>
    <w:rsid w:val="00FC7CC6"/>
    <w:rsid w:val="00FD0A0B"/>
    <w:rsid w:val="00FD1B08"/>
    <w:rsid w:val="00FD1D50"/>
    <w:rsid w:val="00FD6536"/>
    <w:rsid w:val="00FD6916"/>
    <w:rsid w:val="00FD72BB"/>
    <w:rsid w:val="00FE003C"/>
    <w:rsid w:val="00FE0A2C"/>
    <w:rsid w:val="00FE473B"/>
    <w:rsid w:val="00FE5CBC"/>
    <w:rsid w:val="00FE7817"/>
    <w:rsid w:val="00FF1778"/>
    <w:rsid w:val="00FF20D7"/>
    <w:rsid w:val="00FF2ADC"/>
    <w:rsid w:val="00FF3C70"/>
    <w:rsid w:val="00FF455E"/>
    <w:rsid w:val="00FF456E"/>
    <w:rsid w:val="00FF5744"/>
    <w:rsid w:val="00FF6F8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ersonName"/>
  <w:smartTagType w:namespaceuri="urn:schemas-microsoft-com:office:smarttags" w:name="State"/>
  <w:shapeDefaults>
    <o:shapedefaults v:ext="edit" spidmax="1026"/>
    <o:shapelayout v:ext="edit">
      <o:idmap v:ext="edit" data="1"/>
    </o:shapelayout>
  </w:shapeDefaults>
  <w:decimalSymbol w:val=","/>
  <w:listSeparator w:val=";"/>
  <w15:docId w15:val="{B8C749EB-6C5A-4562-B725-97B7513AF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35D4"/>
    <w:rPr>
      <w:sz w:val="24"/>
      <w:szCs w:val="24"/>
    </w:rPr>
  </w:style>
  <w:style w:type="paragraph" w:styleId="Ttulo3">
    <w:name w:val="heading 3"/>
    <w:basedOn w:val="Default"/>
    <w:next w:val="Default"/>
    <w:link w:val="Ttulo3Car"/>
    <w:uiPriority w:val="99"/>
    <w:qFormat/>
    <w:rsid w:val="007C0F85"/>
    <w:pPr>
      <w:spacing w:before="100" w:after="100"/>
      <w:outlineLvl w:val="2"/>
    </w:pPr>
    <w:rPr>
      <w:rFonts w:ascii="Calibri" w:eastAsia="MS Gothi" w:hAnsi="Calibri"/>
      <w:b/>
      <w:bCs/>
      <w:color w:val="auto"/>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9"/>
    <w:semiHidden/>
    <w:locked/>
    <w:rsid w:val="00511811"/>
    <w:rPr>
      <w:rFonts w:ascii="Calibri" w:eastAsia="MS Gothi" w:hAnsi="Calibri" w:cs="Times New Roman"/>
      <w:b/>
      <w:sz w:val="26"/>
    </w:rPr>
  </w:style>
  <w:style w:type="paragraph" w:customStyle="1" w:styleId="Default">
    <w:name w:val="Default"/>
    <w:uiPriority w:val="99"/>
    <w:rsid w:val="0022481C"/>
    <w:pPr>
      <w:autoSpaceDE w:val="0"/>
      <w:autoSpaceDN w:val="0"/>
      <w:adjustRightInd w:val="0"/>
    </w:pPr>
    <w:rPr>
      <w:color w:val="000000"/>
      <w:sz w:val="24"/>
      <w:szCs w:val="24"/>
    </w:rPr>
  </w:style>
  <w:style w:type="paragraph" w:customStyle="1" w:styleId="ptdocpara">
    <w:name w:val="ptdocpara"/>
    <w:basedOn w:val="Default"/>
    <w:next w:val="Default"/>
    <w:uiPriority w:val="99"/>
    <w:rsid w:val="0022481C"/>
    <w:pPr>
      <w:spacing w:before="100" w:after="100"/>
    </w:pPr>
    <w:rPr>
      <w:color w:val="auto"/>
    </w:rPr>
  </w:style>
  <w:style w:type="character" w:styleId="Hipervnculo">
    <w:name w:val="Hyperlink"/>
    <w:basedOn w:val="Fuentedeprrafopredeter"/>
    <w:uiPriority w:val="99"/>
    <w:rsid w:val="0022481C"/>
    <w:rPr>
      <w:rFonts w:cs="Times New Roman"/>
      <w:color w:val="000000"/>
    </w:rPr>
  </w:style>
  <w:style w:type="paragraph" w:styleId="Piedepgina">
    <w:name w:val="footer"/>
    <w:basedOn w:val="Normal"/>
    <w:link w:val="PiedepginaCar"/>
    <w:uiPriority w:val="99"/>
    <w:rsid w:val="007E5033"/>
    <w:pPr>
      <w:tabs>
        <w:tab w:val="center" w:pos="4252"/>
        <w:tab w:val="right" w:pos="8504"/>
      </w:tabs>
    </w:pPr>
  </w:style>
  <w:style w:type="character" w:customStyle="1" w:styleId="PiedepginaCar">
    <w:name w:val="Pie de página Car"/>
    <w:basedOn w:val="Fuentedeprrafopredeter"/>
    <w:link w:val="Piedepgina"/>
    <w:uiPriority w:val="99"/>
    <w:semiHidden/>
    <w:locked/>
    <w:rsid w:val="00511811"/>
    <w:rPr>
      <w:rFonts w:cs="Times New Roman"/>
      <w:sz w:val="24"/>
    </w:rPr>
  </w:style>
  <w:style w:type="character" w:styleId="Nmerodepgina">
    <w:name w:val="page number"/>
    <w:basedOn w:val="Fuentedeprrafopredeter"/>
    <w:uiPriority w:val="99"/>
    <w:rsid w:val="007E5033"/>
    <w:rPr>
      <w:rFonts w:cs="Times New Roman"/>
    </w:rPr>
  </w:style>
  <w:style w:type="paragraph" w:styleId="Encabezado">
    <w:name w:val="header"/>
    <w:basedOn w:val="Normal"/>
    <w:link w:val="EncabezadoCar"/>
    <w:uiPriority w:val="99"/>
    <w:rsid w:val="007E5033"/>
    <w:pPr>
      <w:tabs>
        <w:tab w:val="center" w:pos="4252"/>
        <w:tab w:val="right" w:pos="8504"/>
      </w:tabs>
    </w:pPr>
  </w:style>
  <w:style w:type="character" w:customStyle="1" w:styleId="EncabezadoCar">
    <w:name w:val="Encabezado Car"/>
    <w:basedOn w:val="Fuentedeprrafopredeter"/>
    <w:link w:val="Encabezado"/>
    <w:uiPriority w:val="99"/>
    <w:semiHidden/>
    <w:locked/>
    <w:rsid w:val="00511811"/>
    <w:rPr>
      <w:rFonts w:cs="Times New Roman"/>
      <w:sz w:val="24"/>
    </w:rPr>
  </w:style>
  <w:style w:type="table" w:styleId="Tablaconcuadrcula">
    <w:name w:val="Table Grid"/>
    <w:basedOn w:val="Tablanormal"/>
    <w:uiPriority w:val="99"/>
    <w:rsid w:val="0066113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olume">
    <w:name w:val="volume"/>
    <w:uiPriority w:val="99"/>
    <w:rsid w:val="00E01A8A"/>
  </w:style>
  <w:style w:type="character" w:customStyle="1" w:styleId="issue">
    <w:name w:val="issue"/>
    <w:uiPriority w:val="99"/>
    <w:rsid w:val="00E01A8A"/>
  </w:style>
  <w:style w:type="character" w:customStyle="1" w:styleId="pages">
    <w:name w:val="pages"/>
    <w:uiPriority w:val="99"/>
    <w:rsid w:val="00E01A8A"/>
  </w:style>
  <w:style w:type="paragraph" w:customStyle="1" w:styleId="ivabonnententitle">
    <w:name w:val="iv_abonnenten_title"/>
    <w:basedOn w:val="Normal"/>
    <w:uiPriority w:val="99"/>
    <w:rsid w:val="00D427F3"/>
    <w:pPr>
      <w:spacing w:before="100" w:beforeAutospacing="1" w:after="100" w:afterAutospacing="1"/>
    </w:pPr>
  </w:style>
  <w:style w:type="paragraph" w:customStyle="1" w:styleId="ivabonnentenautor">
    <w:name w:val="iv_abonnenten_autor"/>
    <w:basedOn w:val="Normal"/>
    <w:uiPriority w:val="99"/>
    <w:rsid w:val="00D427F3"/>
    <w:pPr>
      <w:spacing w:before="100" w:beforeAutospacing="1" w:after="100" w:afterAutospacing="1"/>
    </w:pPr>
  </w:style>
  <w:style w:type="paragraph" w:customStyle="1" w:styleId="ivabonnentenmeta">
    <w:name w:val="iv_abonnenten_meta"/>
    <w:basedOn w:val="Normal"/>
    <w:uiPriority w:val="99"/>
    <w:rsid w:val="00D427F3"/>
    <w:pPr>
      <w:spacing w:before="100" w:beforeAutospacing="1" w:after="100" w:afterAutospacing="1"/>
    </w:pPr>
  </w:style>
  <w:style w:type="paragraph" w:styleId="Textodeglobo">
    <w:name w:val="Balloon Text"/>
    <w:basedOn w:val="Normal"/>
    <w:link w:val="TextodegloboCar"/>
    <w:uiPriority w:val="99"/>
    <w:semiHidden/>
    <w:rsid w:val="00151A33"/>
    <w:rPr>
      <w:sz w:val="2"/>
      <w:szCs w:val="20"/>
    </w:rPr>
  </w:style>
  <w:style w:type="character" w:customStyle="1" w:styleId="TextodegloboCar">
    <w:name w:val="Texto de globo Car"/>
    <w:basedOn w:val="Fuentedeprrafopredeter"/>
    <w:link w:val="Textodeglobo"/>
    <w:uiPriority w:val="99"/>
    <w:semiHidden/>
    <w:locked/>
    <w:rsid w:val="00511811"/>
    <w:rPr>
      <w:rFonts w:cs="Times New Roman"/>
      <w:sz w:val="2"/>
    </w:rPr>
  </w:style>
  <w:style w:type="character" w:styleId="Refdecomentario">
    <w:name w:val="annotation reference"/>
    <w:basedOn w:val="Fuentedeprrafopredeter"/>
    <w:uiPriority w:val="99"/>
    <w:semiHidden/>
    <w:rsid w:val="00125BAE"/>
    <w:rPr>
      <w:rFonts w:cs="Times New Roman"/>
      <w:sz w:val="16"/>
    </w:rPr>
  </w:style>
  <w:style w:type="paragraph" w:styleId="Textocomentario">
    <w:name w:val="annotation text"/>
    <w:basedOn w:val="Normal"/>
    <w:link w:val="TextocomentarioCar"/>
    <w:uiPriority w:val="99"/>
    <w:semiHidden/>
    <w:rsid w:val="00125BAE"/>
    <w:rPr>
      <w:sz w:val="20"/>
      <w:szCs w:val="20"/>
    </w:rPr>
  </w:style>
  <w:style w:type="character" w:customStyle="1" w:styleId="TextocomentarioCar">
    <w:name w:val="Texto comentario Car"/>
    <w:basedOn w:val="Fuentedeprrafopredeter"/>
    <w:link w:val="Textocomentario"/>
    <w:uiPriority w:val="99"/>
    <w:semiHidden/>
    <w:locked/>
    <w:rsid w:val="00511811"/>
    <w:rPr>
      <w:rFonts w:cs="Times New Roman"/>
    </w:rPr>
  </w:style>
  <w:style w:type="paragraph" w:styleId="Asuntodelcomentario">
    <w:name w:val="annotation subject"/>
    <w:basedOn w:val="Textocomentario"/>
    <w:next w:val="Textocomentario"/>
    <w:link w:val="AsuntodelcomentarioCar"/>
    <w:uiPriority w:val="99"/>
    <w:semiHidden/>
    <w:rsid w:val="00125BAE"/>
    <w:rPr>
      <w:b/>
      <w:bCs/>
    </w:rPr>
  </w:style>
  <w:style w:type="character" w:customStyle="1" w:styleId="AsuntodelcomentarioCar">
    <w:name w:val="Asunto del comentario Car"/>
    <w:basedOn w:val="TextocomentarioCar"/>
    <w:link w:val="Asuntodelcomentario"/>
    <w:uiPriority w:val="99"/>
    <w:semiHidden/>
    <w:locked/>
    <w:rsid w:val="00511811"/>
    <w:rPr>
      <w:rFonts w:cs="Times New Roman"/>
      <w:b/>
    </w:rPr>
  </w:style>
  <w:style w:type="character" w:customStyle="1" w:styleId="bold1">
    <w:name w:val="bold1"/>
    <w:uiPriority w:val="99"/>
    <w:rsid w:val="00B5740A"/>
    <w:rPr>
      <w:rFonts w:ascii="Arial" w:hAnsi="Arial"/>
      <w:b/>
      <w:color w:val="040404"/>
      <w:sz w:val="24"/>
    </w:rPr>
  </w:style>
  <w:style w:type="paragraph" w:customStyle="1" w:styleId="title1">
    <w:name w:val="title1"/>
    <w:basedOn w:val="Normal"/>
    <w:uiPriority w:val="99"/>
    <w:rsid w:val="006A67A0"/>
    <w:pPr>
      <w:spacing w:before="100" w:beforeAutospacing="1"/>
      <w:ind w:left="825"/>
    </w:pPr>
    <w:rPr>
      <w:sz w:val="22"/>
      <w:szCs w:val="22"/>
    </w:rPr>
  </w:style>
  <w:style w:type="paragraph" w:customStyle="1" w:styleId="authors1">
    <w:name w:val="authors1"/>
    <w:basedOn w:val="Normal"/>
    <w:uiPriority w:val="99"/>
    <w:rsid w:val="006A67A0"/>
    <w:pPr>
      <w:spacing w:before="72" w:line="240" w:lineRule="atLeast"/>
      <w:ind w:left="825"/>
    </w:pPr>
    <w:rPr>
      <w:sz w:val="22"/>
      <w:szCs w:val="22"/>
    </w:rPr>
  </w:style>
  <w:style w:type="paragraph" w:customStyle="1" w:styleId="source1">
    <w:name w:val="source1"/>
    <w:basedOn w:val="Normal"/>
    <w:uiPriority w:val="99"/>
    <w:rsid w:val="006A67A0"/>
    <w:pPr>
      <w:spacing w:before="120" w:line="240" w:lineRule="atLeast"/>
      <w:ind w:left="825"/>
    </w:pPr>
    <w:rPr>
      <w:sz w:val="18"/>
      <w:szCs w:val="18"/>
    </w:rPr>
  </w:style>
  <w:style w:type="character" w:customStyle="1" w:styleId="journalname">
    <w:name w:val="journalname"/>
    <w:uiPriority w:val="99"/>
    <w:rsid w:val="006A67A0"/>
  </w:style>
  <w:style w:type="paragraph" w:styleId="Textosinformato">
    <w:name w:val="Plain Text"/>
    <w:basedOn w:val="Normal"/>
    <w:link w:val="TextosinformatoCar"/>
    <w:uiPriority w:val="99"/>
    <w:rsid w:val="00BA4911"/>
    <w:rPr>
      <w:rFonts w:ascii="Consolas" w:hAnsi="Consolas"/>
      <w:sz w:val="21"/>
      <w:szCs w:val="20"/>
      <w:lang w:eastAsia="en-US"/>
    </w:rPr>
  </w:style>
  <w:style w:type="character" w:customStyle="1" w:styleId="TextosinformatoCar">
    <w:name w:val="Texto sin formato Car"/>
    <w:basedOn w:val="Fuentedeprrafopredeter"/>
    <w:link w:val="Textosinformato"/>
    <w:uiPriority w:val="99"/>
    <w:locked/>
    <w:rsid w:val="00BA4911"/>
    <w:rPr>
      <w:rFonts w:ascii="Consolas" w:hAnsi="Consolas" w:cs="Times New Roman"/>
      <w:sz w:val="21"/>
      <w:lang w:eastAsia="en-US"/>
    </w:rPr>
  </w:style>
  <w:style w:type="paragraph" w:styleId="HTMLconformatoprevio">
    <w:name w:val="HTML Preformatted"/>
    <w:basedOn w:val="Normal"/>
    <w:link w:val="HTMLconformatoprevioCar"/>
    <w:uiPriority w:val="99"/>
    <w:rsid w:val="007827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onformatoprevioCar">
    <w:name w:val="HTML con formato previo Car"/>
    <w:basedOn w:val="Fuentedeprrafopredeter"/>
    <w:link w:val="HTMLconformatoprevio"/>
    <w:uiPriority w:val="99"/>
    <w:semiHidden/>
    <w:locked/>
    <w:rsid w:val="00511811"/>
    <w:rPr>
      <w:rFonts w:ascii="Courier New" w:hAnsi="Courier New" w:cs="Times New Roman"/>
    </w:rPr>
  </w:style>
  <w:style w:type="character" w:styleId="Hipervnculovisitado">
    <w:name w:val="FollowedHyperlink"/>
    <w:basedOn w:val="Fuentedeprrafopredeter"/>
    <w:uiPriority w:val="99"/>
    <w:semiHidden/>
    <w:rsid w:val="00B43302"/>
    <w:rPr>
      <w:rFonts w:cs="Times New Roman"/>
      <w:color w:val="800080"/>
      <w:u w:val="single"/>
    </w:rPr>
  </w:style>
  <w:style w:type="character" w:customStyle="1" w:styleId="hps">
    <w:name w:val="hps"/>
    <w:uiPriority w:val="99"/>
    <w:rsid w:val="001A5513"/>
  </w:style>
  <w:style w:type="character" w:styleId="Textoennegrita">
    <w:name w:val="Strong"/>
    <w:basedOn w:val="Fuentedeprrafopredeter"/>
    <w:uiPriority w:val="99"/>
    <w:qFormat/>
    <w:rsid w:val="005A1D10"/>
    <w:rPr>
      <w:rFonts w:cs="Times New Roman"/>
      <w:b/>
    </w:rPr>
  </w:style>
  <w:style w:type="character" w:styleId="nfasis">
    <w:name w:val="Emphasis"/>
    <w:basedOn w:val="Fuentedeprrafopredeter"/>
    <w:uiPriority w:val="99"/>
    <w:qFormat/>
    <w:rsid w:val="005A1D10"/>
    <w:rPr>
      <w:rFonts w:cs="Times New Roman"/>
      <w:i/>
    </w:rPr>
  </w:style>
  <w:style w:type="paragraph" w:styleId="NormalWeb">
    <w:name w:val="Normal (Web)"/>
    <w:basedOn w:val="Normal"/>
    <w:uiPriority w:val="99"/>
    <w:rsid w:val="00C25AEB"/>
    <w:pPr>
      <w:spacing w:before="100" w:beforeAutospacing="1" w:after="100" w:afterAutospacing="1"/>
    </w:pPr>
    <w:rPr>
      <w:rFonts w:eastAsia="MS Minngs"/>
      <w:lang w:eastAsia="ja-JP"/>
    </w:rPr>
  </w:style>
  <w:style w:type="character" w:customStyle="1" w:styleId="bold">
    <w:name w:val="bold"/>
    <w:uiPriority w:val="99"/>
    <w:rsid w:val="00C25A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160093">
      <w:marLeft w:val="0"/>
      <w:marRight w:val="0"/>
      <w:marTop w:val="0"/>
      <w:marBottom w:val="0"/>
      <w:divBdr>
        <w:top w:val="none" w:sz="0" w:space="0" w:color="auto"/>
        <w:left w:val="none" w:sz="0" w:space="0" w:color="auto"/>
        <w:bottom w:val="none" w:sz="0" w:space="0" w:color="auto"/>
        <w:right w:val="none" w:sz="0" w:space="0" w:color="auto"/>
      </w:divBdr>
      <w:divsChild>
        <w:div w:id="462160180">
          <w:marLeft w:val="-3040"/>
          <w:marRight w:val="120"/>
          <w:marTop w:val="0"/>
          <w:marBottom w:val="0"/>
          <w:divBdr>
            <w:top w:val="none" w:sz="0" w:space="0" w:color="auto"/>
            <w:left w:val="none" w:sz="0" w:space="0" w:color="auto"/>
            <w:bottom w:val="none" w:sz="0" w:space="0" w:color="auto"/>
            <w:right w:val="none" w:sz="0" w:space="0" w:color="auto"/>
          </w:divBdr>
          <w:divsChild>
            <w:div w:id="462160230">
              <w:marLeft w:val="3040"/>
              <w:marRight w:val="0"/>
              <w:marTop w:val="0"/>
              <w:marBottom w:val="0"/>
              <w:divBdr>
                <w:top w:val="none" w:sz="0" w:space="0" w:color="auto"/>
                <w:left w:val="none" w:sz="0" w:space="0" w:color="auto"/>
                <w:bottom w:val="none" w:sz="0" w:space="0" w:color="auto"/>
                <w:right w:val="none" w:sz="0" w:space="0" w:color="auto"/>
              </w:divBdr>
              <w:divsChild>
                <w:div w:id="462160252">
                  <w:marLeft w:val="120"/>
                  <w:marRight w:val="0"/>
                  <w:marTop w:val="72"/>
                  <w:marBottom w:val="0"/>
                  <w:divBdr>
                    <w:top w:val="none" w:sz="0" w:space="0" w:color="auto"/>
                    <w:left w:val="none" w:sz="0" w:space="0" w:color="auto"/>
                    <w:bottom w:val="none" w:sz="0" w:space="0" w:color="auto"/>
                    <w:right w:val="none" w:sz="0" w:space="0" w:color="auto"/>
                  </w:divBdr>
                  <w:divsChild>
                    <w:div w:id="462160190">
                      <w:marLeft w:val="0"/>
                      <w:marRight w:val="0"/>
                      <w:marTop w:val="0"/>
                      <w:marBottom w:val="0"/>
                      <w:divBdr>
                        <w:top w:val="none" w:sz="0" w:space="0" w:color="auto"/>
                        <w:left w:val="none" w:sz="0" w:space="0" w:color="auto"/>
                        <w:bottom w:val="none" w:sz="0" w:space="0" w:color="auto"/>
                        <w:right w:val="none" w:sz="0" w:space="0" w:color="auto"/>
                      </w:divBdr>
                      <w:divsChild>
                        <w:div w:id="462160143">
                          <w:marLeft w:val="0"/>
                          <w:marRight w:val="0"/>
                          <w:marTop w:val="0"/>
                          <w:marBottom w:val="0"/>
                          <w:divBdr>
                            <w:top w:val="none" w:sz="0" w:space="0" w:color="auto"/>
                            <w:left w:val="none" w:sz="0" w:space="0" w:color="auto"/>
                            <w:bottom w:val="none" w:sz="0" w:space="0" w:color="auto"/>
                            <w:right w:val="none" w:sz="0" w:space="0" w:color="auto"/>
                          </w:divBdr>
                          <w:divsChild>
                            <w:div w:id="46216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097">
      <w:marLeft w:val="0"/>
      <w:marRight w:val="0"/>
      <w:marTop w:val="0"/>
      <w:marBottom w:val="0"/>
      <w:divBdr>
        <w:top w:val="none" w:sz="0" w:space="0" w:color="auto"/>
        <w:left w:val="none" w:sz="0" w:space="0" w:color="auto"/>
        <w:bottom w:val="none" w:sz="0" w:space="0" w:color="auto"/>
        <w:right w:val="none" w:sz="0" w:space="0" w:color="auto"/>
      </w:divBdr>
    </w:div>
    <w:div w:id="462160101">
      <w:marLeft w:val="0"/>
      <w:marRight w:val="0"/>
      <w:marTop w:val="0"/>
      <w:marBottom w:val="0"/>
      <w:divBdr>
        <w:top w:val="none" w:sz="0" w:space="0" w:color="auto"/>
        <w:left w:val="none" w:sz="0" w:space="0" w:color="auto"/>
        <w:bottom w:val="none" w:sz="0" w:space="0" w:color="auto"/>
        <w:right w:val="none" w:sz="0" w:space="0" w:color="auto"/>
      </w:divBdr>
      <w:divsChild>
        <w:div w:id="462160120">
          <w:marLeft w:val="0"/>
          <w:marRight w:val="0"/>
          <w:marTop w:val="0"/>
          <w:marBottom w:val="0"/>
          <w:divBdr>
            <w:top w:val="none" w:sz="0" w:space="0" w:color="auto"/>
            <w:left w:val="none" w:sz="0" w:space="0" w:color="auto"/>
            <w:bottom w:val="none" w:sz="0" w:space="0" w:color="auto"/>
            <w:right w:val="none" w:sz="0" w:space="0" w:color="auto"/>
          </w:divBdr>
          <w:divsChild>
            <w:div w:id="462160172">
              <w:marLeft w:val="0"/>
              <w:marRight w:val="0"/>
              <w:marTop w:val="0"/>
              <w:marBottom w:val="0"/>
              <w:divBdr>
                <w:top w:val="none" w:sz="0" w:space="0" w:color="auto"/>
                <w:left w:val="none" w:sz="0" w:space="0" w:color="auto"/>
                <w:bottom w:val="none" w:sz="0" w:space="0" w:color="auto"/>
                <w:right w:val="none" w:sz="0" w:space="0" w:color="auto"/>
              </w:divBdr>
              <w:divsChild>
                <w:div w:id="462160145">
                  <w:marLeft w:val="0"/>
                  <w:marRight w:val="0"/>
                  <w:marTop w:val="0"/>
                  <w:marBottom w:val="0"/>
                  <w:divBdr>
                    <w:top w:val="none" w:sz="0" w:space="0" w:color="auto"/>
                    <w:left w:val="none" w:sz="0" w:space="0" w:color="auto"/>
                    <w:bottom w:val="none" w:sz="0" w:space="0" w:color="auto"/>
                    <w:right w:val="none" w:sz="0" w:space="0" w:color="auto"/>
                  </w:divBdr>
                  <w:divsChild>
                    <w:div w:id="462160211">
                      <w:marLeft w:val="0"/>
                      <w:marRight w:val="0"/>
                      <w:marTop w:val="0"/>
                      <w:marBottom w:val="0"/>
                      <w:divBdr>
                        <w:top w:val="none" w:sz="0" w:space="0" w:color="auto"/>
                        <w:left w:val="none" w:sz="0" w:space="0" w:color="auto"/>
                        <w:bottom w:val="none" w:sz="0" w:space="0" w:color="auto"/>
                        <w:right w:val="none" w:sz="0" w:space="0" w:color="auto"/>
                      </w:divBdr>
                      <w:divsChild>
                        <w:div w:id="462160218">
                          <w:marLeft w:val="0"/>
                          <w:marRight w:val="0"/>
                          <w:marTop w:val="0"/>
                          <w:marBottom w:val="0"/>
                          <w:divBdr>
                            <w:top w:val="none" w:sz="0" w:space="0" w:color="auto"/>
                            <w:left w:val="none" w:sz="0" w:space="0" w:color="auto"/>
                            <w:bottom w:val="none" w:sz="0" w:space="0" w:color="auto"/>
                            <w:right w:val="none" w:sz="0" w:space="0" w:color="auto"/>
                          </w:divBdr>
                        </w:div>
                        <w:div w:id="46216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103">
      <w:marLeft w:val="0"/>
      <w:marRight w:val="0"/>
      <w:marTop w:val="0"/>
      <w:marBottom w:val="0"/>
      <w:divBdr>
        <w:top w:val="none" w:sz="0" w:space="0" w:color="auto"/>
        <w:left w:val="none" w:sz="0" w:space="0" w:color="auto"/>
        <w:bottom w:val="none" w:sz="0" w:space="0" w:color="auto"/>
        <w:right w:val="none" w:sz="0" w:space="0" w:color="auto"/>
      </w:divBdr>
    </w:div>
    <w:div w:id="462160105">
      <w:marLeft w:val="0"/>
      <w:marRight w:val="0"/>
      <w:marTop w:val="0"/>
      <w:marBottom w:val="0"/>
      <w:divBdr>
        <w:top w:val="none" w:sz="0" w:space="0" w:color="auto"/>
        <w:left w:val="none" w:sz="0" w:space="0" w:color="auto"/>
        <w:bottom w:val="none" w:sz="0" w:space="0" w:color="auto"/>
        <w:right w:val="none" w:sz="0" w:space="0" w:color="auto"/>
      </w:divBdr>
    </w:div>
    <w:div w:id="462160107">
      <w:marLeft w:val="0"/>
      <w:marRight w:val="0"/>
      <w:marTop w:val="0"/>
      <w:marBottom w:val="0"/>
      <w:divBdr>
        <w:top w:val="none" w:sz="0" w:space="0" w:color="auto"/>
        <w:left w:val="none" w:sz="0" w:space="0" w:color="auto"/>
        <w:bottom w:val="none" w:sz="0" w:space="0" w:color="auto"/>
        <w:right w:val="none" w:sz="0" w:space="0" w:color="auto"/>
      </w:divBdr>
    </w:div>
    <w:div w:id="462160108">
      <w:marLeft w:val="0"/>
      <w:marRight w:val="0"/>
      <w:marTop w:val="0"/>
      <w:marBottom w:val="0"/>
      <w:divBdr>
        <w:top w:val="none" w:sz="0" w:space="0" w:color="auto"/>
        <w:left w:val="none" w:sz="0" w:space="0" w:color="auto"/>
        <w:bottom w:val="none" w:sz="0" w:space="0" w:color="auto"/>
        <w:right w:val="none" w:sz="0" w:space="0" w:color="auto"/>
      </w:divBdr>
      <w:divsChild>
        <w:div w:id="462160169">
          <w:marLeft w:val="-3040"/>
          <w:marRight w:val="120"/>
          <w:marTop w:val="0"/>
          <w:marBottom w:val="0"/>
          <w:divBdr>
            <w:top w:val="none" w:sz="0" w:space="0" w:color="auto"/>
            <w:left w:val="none" w:sz="0" w:space="0" w:color="auto"/>
            <w:bottom w:val="none" w:sz="0" w:space="0" w:color="auto"/>
            <w:right w:val="none" w:sz="0" w:space="0" w:color="auto"/>
          </w:divBdr>
          <w:divsChild>
            <w:div w:id="462160149">
              <w:marLeft w:val="3040"/>
              <w:marRight w:val="0"/>
              <w:marTop w:val="0"/>
              <w:marBottom w:val="0"/>
              <w:divBdr>
                <w:top w:val="none" w:sz="0" w:space="0" w:color="auto"/>
                <w:left w:val="none" w:sz="0" w:space="0" w:color="auto"/>
                <w:bottom w:val="none" w:sz="0" w:space="0" w:color="auto"/>
                <w:right w:val="none" w:sz="0" w:space="0" w:color="auto"/>
              </w:divBdr>
              <w:divsChild>
                <w:div w:id="462160235">
                  <w:marLeft w:val="120"/>
                  <w:marRight w:val="0"/>
                  <w:marTop w:val="72"/>
                  <w:marBottom w:val="0"/>
                  <w:divBdr>
                    <w:top w:val="none" w:sz="0" w:space="0" w:color="auto"/>
                    <w:left w:val="none" w:sz="0" w:space="0" w:color="auto"/>
                    <w:bottom w:val="none" w:sz="0" w:space="0" w:color="auto"/>
                    <w:right w:val="none" w:sz="0" w:space="0" w:color="auto"/>
                  </w:divBdr>
                  <w:divsChild>
                    <w:div w:id="462160247">
                      <w:marLeft w:val="0"/>
                      <w:marRight w:val="0"/>
                      <w:marTop w:val="0"/>
                      <w:marBottom w:val="0"/>
                      <w:divBdr>
                        <w:top w:val="none" w:sz="0" w:space="0" w:color="auto"/>
                        <w:left w:val="none" w:sz="0" w:space="0" w:color="auto"/>
                        <w:bottom w:val="none" w:sz="0" w:space="0" w:color="auto"/>
                        <w:right w:val="none" w:sz="0" w:space="0" w:color="auto"/>
                      </w:divBdr>
                      <w:divsChild>
                        <w:div w:id="462160148">
                          <w:marLeft w:val="0"/>
                          <w:marRight w:val="0"/>
                          <w:marTop w:val="0"/>
                          <w:marBottom w:val="0"/>
                          <w:divBdr>
                            <w:top w:val="none" w:sz="0" w:space="0" w:color="auto"/>
                            <w:left w:val="none" w:sz="0" w:space="0" w:color="auto"/>
                            <w:bottom w:val="none" w:sz="0" w:space="0" w:color="auto"/>
                            <w:right w:val="none" w:sz="0" w:space="0" w:color="auto"/>
                          </w:divBdr>
                          <w:divsChild>
                            <w:div w:id="462160126">
                              <w:marLeft w:val="0"/>
                              <w:marRight w:val="0"/>
                              <w:marTop w:val="0"/>
                              <w:marBottom w:val="0"/>
                              <w:divBdr>
                                <w:top w:val="none" w:sz="0" w:space="0" w:color="auto"/>
                                <w:left w:val="none" w:sz="0" w:space="0" w:color="auto"/>
                                <w:bottom w:val="none" w:sz="0" w:space="0" w:color="auto"/>
                                <w:right w:val="none" w:sz="0" w:space="0" w:color="auto"/>
                              </w:divBdr>
                            </w:div>
                            <w:div w:id="46216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109">
      <w:marLeft w:val="0"/>
      <w:marRight w:val="0"/>
      <w:marTop w:val="0"/>
      <w:marBottom w:val="0"/>
      <w:divBdr>
        <w:top w:val="none" w:sz="0" w:space="0" w:color="auto"/>
        <w:left w:val="none" w:sz="0" w:space="0" w:color="auto"/>
        <w:bottom w:val="none" w:sz="0" w:space="0" w:color="auto"/>
        <w:right w:val="none" w:sz="0" w:space="0" w:color="auto"/>
      </w:divBdr>
      <w:divsChild>
        <w:div w:id="462160150">
          <w:marLeft w:val="-3040"/>
          <w:marRight w:val="120"/>
          <w:marTop w:val="0"/>
          <w:marBottom w:val="0"/>
          <w:divBdr>
            <w:top w:val="none" w:sz="0" w:space="0" w:color="auto"/>
            <w:left w:val="none" w:sz="0" w:space="0" w:color="auto"/>
            <w:bottom w:val="none" w:sz="0" w:space="0" w:color="auto"/>
            <w:right w:val="none" w:sz="0" w:space="0" w:color="auto"/>
          </w:divBdr>
          <w:divsChild>
            <w:div w:id="462160223">
              <w:marLeft w:val="3040"/>
              <w:marRight w:val="0"/>
              <w:marTop w:val="0"/>
              <w:marBottom w:val="0"/>
              <w:divBdr>
                <w:top w:val="none" w:sz="0" w:space="0" w:color="auto"/>
                <w:left w:val="none" w:sz="0" w:space="0" w:color="auto"/>
                <w:bottom w:val="none" w:sz="0" w:space="0" w:color="auto"/>
                <w:right w:val="none" w:sz="0" w:space="0" w:color="auto"/>
              </w:divBdr>
              <w:divsChild>
                <w:div w:id="462160179">
                  <w:marLeft w:val="120"/>
                  <w:marRight w:val="0"/>
                  <w:marTop w:val="72"/>
                  <w:marBottom w:val="0"/>
                  <w:divBdr>
                    <w:top w:val="none" w:sz="0" w:space="0" w:color="auto"/>
                    <w:left w:val="none" w:sz="0" w:space="0" w:color="auto"/>
                    <w:bottom w:val="none" w:sz="0" w:space="0" w:color="auto"/>
                    <w:right w:val="none" w:sz="0" w:space="0" w:color="auto"/>
                  </w:divBdr>
                  <w:divsChild>
                    <w:div w:id="462160204">
                      <w:marLeft w:val="0"/>
                      <w:marRight w:val="0"/>
                      <w:marTop w:val="0"/>
                      <w:marBottom w:val="0"/>
                      <w:divBdr>
                        <w:top w:val="none" w:sz="0" w:space="0" w:color="auto"/>
                        <w:left w:val="none" w:sz="0" w:space="0" w:color="auto"/>
                        <w:bottom w:val="none" w:sz="0" w:space="0" w:color="auto"/>
                        <w:right w:val="none" w:sz="0" w:space="0" w:color="auto"/>
                      </w:divBdr>
                      <w:divsChild>
                        <w:div w:id="462160187">
                          <w:marLeft w:val="0"/>
                          <w:marRight w:val="0"/>
                          <w:marTop w:val="0"/>
                          <w:marBottom w:val="0"/>
                          <w:divBdr>
                            <w:top w:val="none" w:sz="0" w:space="0" w:color="auto"/>
                            <w:left w:val="none" w:sz="0" w:space="0" w:color="auto"/>
                            <w:bottom w:val="none" w:sz="0" w:space="0" w:color="auto"/>
                            <w:right w:val="none" w:sz="0" w:space="0" w:color="auto"/>
                          </w:divBdr>
                          <w:divsChild>
                            <w:div w:id="46216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111">
      <w:marLeft w:val="0"/>
      <w:marRight w:val="0"/>
      <w:marTop w:val="0"/>
      <w:marBottom w:val="0"/>
      <w:divBdr>
        <w:top w:val="none" w:sz="0" w:space="0" w:color="auto"/>
        <w:left w:val="none" w:sz="0" w:space="0" w:color="auto"/>
        <w:bottom w:val="none" w:sz="0" w:space="0" w:color="auto"/>
        <w:right w:val="none" w:sz="0" w:space="0" w:color="auto"/>
      </w:divBdr>
    </w:div>
    <w:div w:id="462160114">
      <w:marLeft w:val="0"/>
      <w:marRight w:val="0"/>
      <w:marTop w:val="0"/>
      <w:marBottom w:val="0"/>
      <w:divBdr>
        <w:top w:val="none" w:sz="0" w:space="0" w:color="auto"/>
        <w:left w:val="none" w:sz="0" w:space="0" w:color="auto"/>
        <w:bottom w:val="none" w:sz="0" w:space="0" w:color="auto"/>
        <w:right w:val="none" w:sz="0" w:space="0" w:color="auto"/>
      </w:divBdr>
    </w:div>
    <w:div w:id="462160122">
      <w:marLeft w:val="0"/>
      <w:marRight w:val="0"/>
      <w:marTop w:val="0"/>
      <w:marBottom w:val="0"/>
      <w:divBdr>
        <w:top w:val="none" w:sz="0" w:space="0" w:color="auto"/>
        <w:left w:val="none" w:sz="0" w:space="0" w:color="auto"/>
        <w:bottom w:val="none" w:sz="0" w:space="0" w:color="auto"/>
        <w:right w:val="none" w:sz="0" w:space="0" w:color="auto"/>
      </w:divBdr>
      <w:divsChild>
        <w:div w:id="462160129">
          <w:marLeft w:val="0"/>
          <w:marRight w:val="0"/>
          <w:marTop w:val="0"/>
          <w:marBottom w:val="0"/>
          <w:divBdr>
            <w:top w:val="none" w:sz="0" w:space="0" w:color="auto"/>
            <w:left w:val="none" w:sz="0" w:space="0" w:color="auto"/>
            <w:bottom w:val="none" w:sz="0" w:space="0" w:color="auto"/>
            <w:right w:val="none" w:sz="0" w:space="0" w:color="auto"/>
          </w:divBdr>
          <w:divsChild>
            <w:div w:id="462160163">
              <w:marLeft w:val="0"/>
              <w:marRight w:val="0"/>
              <w:marTop w:val="0"/>
              <w:marBottom w:val="0"/>
              <w:divBdr>
                <w:top w:val="none" w:sz="0" w:space="0" w:color="auto"/>
                <w:left w:val="none" w:sz="0" w:space="0" w:color="auto"/>
                <w:bottom w:val="none" w:sz="0" w:space="0" w:color="auto"/>
                <w:right w:val="none" w:sz="0" w:space="0" w:color="auto"/>
              </w:divBdr>
              <w:divsChild>
                <w:div w:id="462160140">
                  <w:marLeft w:val="0"/>
                  <w:marRight w:val="0"/>
                  <w:marTop w:val="0"/>
                  <w:marBottom w:val="0"/>
                  <w:divBdr>
                    <w:top w:val="none" w:sz="0" w:space="0" w:color="auto"/>
                    <w:left w:val="none" w:sz="0" w:space="0" w:color="auto"/>
                    <w:bottom w:val="none" w:sz="0" w:space="0" w:color="auto"/>
                    <w:right w:val="none" w:sz="0" w:space="0" w:color="auto"/>
                  </w:divBdr>
                  <w:divsChild>
                    <w:div w:id="462160096">
                      <w:marLeft w:val="0"/>
                      <w:marRight w:val="0"/>
                      <w:marTop w:val="0"/>
                      <w:marBottom w:val="0"/>
                      <w:divBdr>
                        <w:top w:val="none" w:sz="0" w:space="0" w:color="auto"/>
                        <w:left w:val="none" w:sz="0" w:space="0" w:color="auto"/>
                        <w:bottom w:val="none" w:sz="0" w:space="0" w:color="auto"/>
                        <w:right w:val="none" w:sz="0" w:space="0" w:color="auto"/>
                      </w:divBdr>
                      <w:divsChild>
                        <w:div w:id="462160225">
                          <w:marLeft w:val="0"/>
                          <w:marRight w:val="0"/>
                          <w:marTop w:val="0"/>
                          <w:marBottom w:val="0"/>
                          <w:divBdr>
                            <w:top w:val="none" w:sz="0" w:space="0" w:color="auto"/>
                            <w:left w:val="none" w:sz="0" w:space="0" w:color="auto"/>
                            <w:bottom w:val="none" w:sz="0" w:space="0" w:color="auto"/>
                            <w:right w:val="none" w:sz="0" w:space="0" w:color="auto"/>
                          </w:divBdr>
                        </w:div>
                        <w:div w:id="46216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123">
      <w:marLeft w:val="0"/>
      <w:marRight w:val="0"/>
      <w:marTop w:val="0"/>
      <w:marBottom w:val="0"/>
      <w:divBdr>
        <w:top w:val="none" w:sz="0" w:space="0" w:color="auto"/>
        <w:left w:val="none" w:sz="0" w:space="0" w:color="auto"/>
        <w:bottom w:val="none" w:sz="0" w:space="0" w:color="auto"/>
        <w:right w:val="none" w:sz="0" w:space="0" w:color="auto"/>
      </w:divBdr>
      <w:divsChild>
        <w:div w:id="462160203">
          <w:marLeft w:val="120"/>
          <w:marRight w:val="120"/>
          <w:marTop w:val="0"/>
          <w:marBottom w:val="0"/>
          <w:divBdr>
            <w:top w:val="none" w:sz="0" w:space="0" w:color="auto"/>
            <w:left w:val="none" w:sz="0" w:space="0" w:color="auto"/>
            <w:bottom w:val="none" w:sz="0" w:space="0" w:color="auto"/>
            <w:right w:val="none" w:sz="0" w:space="0" w:color="auto"/>
          </w:divBdr>
          <w:divsChild>
            <w:div w:id="462160254">
              <w:marLeft w:val="0"/>
              <w:marRight w:val="0"/>
              <w:marTop w:val="0"/>
              <w:marBottom w:val="0"/>
              <w:divBdr>
                <w:top w:val="none" w:sz="0" w:space="0" w:color="auto"/>
                <w:left w:val="none" w:sz="0" w:space="0" w:color="auto"/>
                <w:bottom w:val="none" w:sz="0" w:space="0" w:color="auto"/>
                <w:right w:val="none" w:sz="0" w:space="0" w:color="auto"/>
              </w:divBdr>
              <w:divsChild>
                <w:div w:id="462160174">
                  <w:marLeft w:val="0"/>
                  <w:marRight w:val="0"/>
                  <w:marTop w:val="72"/>
                  <w:marBottom w:val="0"/>
                  <w:divBdr>
                    <w:top w:val="none" w:sz="0" w:space="0" w:color="auto"/>
                    <w:left w:val="none" w:sz="0" w:space="0" w:color="auto"/>
                    <w:bottom w:val="none" w:sz="0" w:space="0" w:color="auto"/>
                    <w:right w:val="none" w:sz="0" w:space="0" w:color="auto"/>
                  </w:divBdr>
                  <w:divsChild>
                    <w:div w:id="462160224">
                      <w:marLeft w:val="0"/>
                      <w:marRight w:val="0"/>
                      <w:marTop w:val="0"/>
                      <w:marBottom w:val="0"/>
                      <w:divBdr>
                        <w:top w:val="none" w:sz="0" w:space="0" w:color="auto"/>
                        <w:left w:val="none" w:sz="0" w:space="0" w:color="auto"/>
                        <w:bottom w:val="none" w:sz="0" w:space="0" w:color="auto"/>
                        <w:right w:val="none" w:sz="0" w:space="0" w:color="auto"/>
                      </w:divBdr>
                      <w:divsChild>
                        <w:div w:id="462160135">
                          <w:marLeft w:val="120"/>
                          <w:marRight w:val="0"/>
                          <w:marTop w:val="0"/>
                          <w:marBottom w:val="0"/>
                          <w:divBdr>
                            <w:top w:val="none" w:sz="0" w:space="0" w:color="auto"/>
                            <w:left w:val="none" w:sz="0" w:space="0" w:color="auto"/>
                            <w:bottom w:val="none" w:sz="0" w:space="0" w:color="auto"/>
                            <w:right w:val="none" w:sz="0" w:space="0" w:color="auto"/>
                          </w:divBdr>
                          <w:divsChild>
                            <w:div w:id="462160132">
                              <w:marLeft w:val="0"/>
                              <w:marRight w:val="0"/>
                              <w:marTop w:val="0"/>
                              <w:marBottom w:val="0"/>
                              <w:divBdr>
                                <w:top w:val="none" w:sz="0" w:space="0" w:color="auto"/>
                                <w:left w:val="none" w:sz="0" w:space="0" w:color="auto"/>
                                <w:bottom w:val="none" w:sz="0" w:space="0" w:color="auto"/>
                                <w:right w:val="none" w:sz="0" w:space="0" w:color="auto"/>
                              </w:divBdr>
                              <w:divsChild>
                                <w:div w:id="462160212">
                                  <w:marLeft w:val="-12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2160128">
      <w:marLeft w:val="0"/>
      <w:marRight w:val="0"/>
      <w:marTop w:val="0"/>
      <w:marBottom w:val="0"/>
      <w:divBdr>
        <w:top w:val="none" w:sz="0" w:space="0" w:color="auto"/>
        <w:left w:val="none" w:sz="0" w:space="0" w:color="auto"/>
        <w:bottom w:val="none" w:sz="0" w:space="0" w:color="auto"/>
        <w:right w:val="none" w:sz="0" w:space="0" w:color="auto"/>
      </w:divBdr>
    </w:div>
    <w:div w:id="462160130">
      <w:marLeft w:val="0"/>
      <w:marRight w:val="0"/>
      <w:marTop w:val="0"/>
      <w:marBottom w:val="0"/>
      <w:divBdr>
        <w:top w:val="none" w:sz="0" w:space="0" w:color="auto"/>
        <w:left w:val="none" w:sz="0" w:space="0" w:color="auto"/>
        <w:bottom w:val="none" w:sz="0" w:space="0" w:color="auto"/>
        <w:right w:val="none" w:sz="0" w:space="0" w:color="auto"/>
      </w:divBdr>
      <w:divsChild>
        <w:div w:id="462160178">
          <w:marLeft w:val="-3040"/>
          <w:marRight w:val="120"/>
          <w:marTop w:val="0"/>
          <w:marBottom w:val="0"/>
          <w:divBdr>
            <w:top w:val="none" w:sz="0" w:space="0" w:color="auto"/>
            <w:left w:val="none" w:sz="0" w:space="0" w:color="auto"/>
            <w:bottom w:val="none" w:sz="0" w:space="0" w:color="auto"/>
            <w:right w:val="none" w:sz="0" w:space="0" w:color="auto"/>
          </w:divBdr>
          <w:divsChild>
            <w:div w:id="462160099">
              <w:marLeft w:val="3040"/>
              <w:marRight w:val="0"/>
              <w:marTop w:val="0"/>
              <w:marBottom w:val="0"/>
              <w:divBdr>
                <w:top w:val="none" w:sz="0" w:space="0" w:color="auto"/>
                <w:left w:val="none" w:sz="0" w:space="0" w:color="auto"/>
                <w:bottom w:val="none" w:sz="0" w:space="0" w:color="auto"/>
                <w:right w:val="none" w:sz="0" w:space="0" w:color="auto"/>
              </w:divBdr>
              <w:divsChild>
                <w:div w:id="462160243">
                  <w:marLeft w:val="120"/>
                  <w:marRight w:val="0"/>
                  <w:marTop w:val="72"/>
                  <w:marBottom w:val="0"/>
                  <w:divBdr>
                    <w:top w:val="none" w:sz="0" w:space="0" w:color="auto"/>
                    <w:left w:val="none" w:sz="0" w:space="0" w:color="auto"/>
                    <w:bottom w:val="none" w:sz="0" w:space="0" w:color="auto"/>
                    <w:right w:val="none" w:sz="0" w:space="0" w:color="auto"/>
                  </w:divBdr>
                  <w:divsChild>
                    <w:div w:id="462160094">
                      <w:marLeft w:val="0"/>
                      <w:marRight w:val="0"/>
                      <w:marTop w:val="0"/>
                      <w:marBottom w:val="0"/>
                      <w:divBdr>
                        <w:top w:val="none" w:sz="0" w:space="0" w:color="auto"/>
                        <w:left w:val="none" w:sz="0" w:space="0" w:color="auto"/>
                        <w:bottom w:val="none" w:sz="0" w:space="0" w:color="auto"/>
                        <w:right w:val="none" w:sz="0" w:space="0" w:color="auto"/>
                      </w:divBdr>
                      <w:divsChild>
                        <w:div w:id="462160127">
                          <w:marLeft w:val="0"/>
                          <w:marRight w:val="0"/>
                          <w:marTop w:val="0"/>
                          <w:marBottom w:val="0"/>
                          <w:divBdr>
                            <w:top w:val="none" w:sz="0" w:space="0" w:color="auto"/>
                            <w:left w:val="none" w:sz="0" w:space="0" w:color="auto"/>
                            <w:bottom w:val="none" w:sz="0" w:space="0" w:color="auto"/>
                            <w:right w:val="none" w:sz="0" w:space="0" w:color="auto"/>
                          </w:divBdr>
                          <w:divsChild>
                            <w:div w:id="46216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134">
      <w:marLeft w:val="0"/>
      <w:marRight w:val="0"/>
      <w:marTop w:val="0"/>
      <w:marBottom w:val="0"/>
      <w:divBdr>
        <w:top w:val="none" w:sz="0" w:space="0" w:color="auto"/>
        <w:left w:val="none" w:sz="0" w:space="0" w:color="auto"/>
        <w:bottom w:val="none" w:sz="0" w:space="0" w:color="auto"/>
        <w:right w:val="none" w:sz="0" w:space="0" w:color="auto"/>
      </w:divBdr>
    </w:div>
    <w:div w:id="462160151">
      <w:marLeft w:val="0"/>
      <w:marRight w:val="0"/>
      <w:marTop w:val="0"/>
      <w:marBottom w:val="0"/>
      <w:divBdr>
        <w:top w:val="none" w:sz="0" w:space="0" w:color="auto"/>
        <w:left w:val="none" w:sz="0" w:space="0" w:color="auto"/>
        <w:bottom w:val="none" w:sz="0" w:space="0" w:color="auto"/>
        <w:right w:val="none" w:sz="0" w:space="0" w:color="auto"/>
      </w:divBdr>
    </w:div>
    <w:div w:id="462160154">
      <w:marLeft w:val="0"/>
      <w:marRight w:val="0"/>
      <w:marTop w:val="0"/>
      <w:marBottom w:val="0"/>
      <w:divBdr>
        <w:top w:val="none" w:sz="0" w:space="0" w:color="auto"/>
        <w:left w:val="none" w:sz="0" w:space="0" w:color="auto"/>
        <w:bottom w:val="none" w:sz="0" w:space="0" w:color="auto"/>
        <w:right w:val="none" w:sz="0" w:space="0" w:color="auto"/>
      </w:divBdr>
    </w:div>
    <w:div w:id="462160158">
      <w:marLeft w:val="0"/>
      <w:marRight w:val="0"/>
      <w:marTop w:val="0"/>
      <w:marBottom w:val="0"/>
      <w:divBdr>
        <w:top w:val="none" w:sz="0" w:space="0" w:color="auto"/>
        <w:left w:val="none" w:sz="0" w:space="0" w:color="auto"/>
        <w:bottom w:val="none" w:sz="0" w:space="0" w:color="auto"/>
        <w:right w:val="none" w:sz="0" w:space="0" w:color="auto"/>
      </w:divBdr>
      <w:divsChild>
        <w:div w:id="462160201">
          <w:marLeft w:val="0"/>
          <w:marRight w:val="0"/>
          <w:marTop w:val="0"/>
          <w:marBottom w:val="0"/>
          <w:divBdr>
            <w:top w:val="none" w:sz="0" w:space="0" w:color="auto"/>
            <w:left w:val="none" w:sz="0" w:space="0" w:color="auto"/>
            <w:bottom w:val="none" w:sz="0" w:space="0" w:color="auto"/>
            <w:right w:val="none" w:sz="0" w:space="0" w:color="auto"/>
          </w:divBdr>
          <w:divsChild>
            <w:div w:id="462160139">
              <w:marLeft w:val="0"/>
              <w:marRight w:val="0"/>
              <w:marTop w:val="0"/>
              <w:marBottom w:val="0"/>
              <w:divBdr>
                <w:top w:val="none" w:sz="0" w:space="0" w:color="auto"/>
                <w:left w:val="none" w:sz="0" w:space="0" w:color="auto"/>
                <w:bottom w:val="none" w:sz="0" w:space="0" w:color="auto"/>
                <w:right w:val="none" w:sz="0" w:space="0" w:color="auto"/>
              </w:divBdr>
              <w:divsChild>
                <w:div w:id="462160131">
                  <w:marLeft w:val="0"/>
                  <w:marRight w:val="0"/>
                  <w:marTop w:val="0"/>
                  <w:marBottom w:val="0"/>
                  <w:divBdr>
                    <w:top w:val="none" w:sz="0" w:space="0" w:color="auto"/>
                    <w:left w:val="none" w:sz="0" w:space="0" w:color="auto"/>
                    <w:bottom w:val="none" w:sz="0" w:space="0" w:color="auto"/>
                    <w:right w:val="none" w:sz="0" w:space="0" w:color="auto"/>
                  </w:divBdr>
                  <w:divsChild>
                    <w:div w:id="462160100">
                      <w:marLeft w:val="0"/>
                      <w:marRight w:val="0"/>
                      <w:marTop w:val="0"/>
                      <w:marBottom w:val="0"/>
                      <w:divBdr>
                        <w:top w:val="none" w:sz="0" w:space="0" w:color="auto"/>
                        <w:left w:val="none" w:sz="0" w:space="0" w:color="auto"/>
                        <w:bottom w:val="none" w:sz="0" w:space="0" w:color="auto"/>
                        <w:right w:val="none" w:sz="0" w:space="0" w:color="auto"/>
                      </w:divBdr>
                      <w:divsChild>
                        <w:div w:id="46216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159">
      <w:marLeft w:val="0"/>
      <w:marRight w:val="0"/>
      <w:marTop w:val="0"/>
      <w:marBottom w:val="0"/>
      <w:divBdr>
        <w:top w:val="none" w:sz="0" w:space="0" w:color="auto"/>
        <w:left w:val="none" w:sz="0" w:space="0" w:color="auto"/>
        <w:bottom w:val="none" w:sz="0" w:space="0" w:color="auto"/>
        <w:right w:val="none" w:sz="0" w:space="0" w:color="auto"/>
      </w:divBdr>
    </w:div>
    <w:div w:id="462160160">
      <w:marLeft w:val="0"/>
      <w:marRight w:val="0"/>
      <w:marTop w:val="0"/>
      <w:marBottom w:val="0"/>
      <w:divBdr>
        <w:top w:val="none" w:sz="0" w:space="0" w:color="auto"/>
        <w:left w:val="none" w:sz="0" w:space="0" w:color="auto"/>
        <w:bottom w:val="none" w:sz="0" w:space="0" w:color="auto"/>
        <w:right w:val="none" w:sz="0" w:space="0" w:color="auto"/>
      </w:divBdr>
      <w:divsChild>
        <w:div w:id="462160186">
          <w:marLeft w:val="0"/>
          <w:marRight w:val="0"/>
          <w:marTop w:val="0"/>
          <w:marBottom w:val="0"/>
          <w:divBdr>
            <w:top w:val="none" w:sz="0" w:space="0" w:color="auto"/>
            <w:left w:val="none" w:sz="0" w:space="0" w:color="auto"/>
            <w:bottom w:val="none" w:sz="0" w:space="0" w:color="auto"/>
            <w:right w:val="none" w:sz="0" w:space="0" w:color="auto"/>
          </w:divBdr>
          <w:divsChild>
            <w:div w:id="462160194">
              <w:marLeft w:val="0"/>
              <w:marRight w:val="0"/>
              <w:marTop w:val="0"/>
              <w:marBottom w:val="0"/>
              <w:divBdr>
                <w:top w:val="none" w:sz="0" w:space="0" w:color="auto"/>
                <w:left w:val="none" w:sz="0" w:space="0" w:color="auto"/>
                <w:bottom w:val="none" w:sz="0" w:space="0" w:color="auto"/>
                <w:right w:val="none" w:sz="0" w:space="0" w:color="auto"/>
              </w:divBdr>
              <w:divsChild>
                <w:div w:id="462160161">
                  <w:marLeft w:val="0"/>
                  <w:marRight w:val="0"/>
                  <w:marTop w:val="0"/>
                  <w:marBottom w:val="0"/>
                  <w:divBdr>
                    <w:top w:val="none" w:sz="0" w:space="0" w:color="auto"/>
                    <w:left w:val="none" w:sz="0" w:space="0" w:color="auto"/>
                    <w:bottom w:val="none" w:sz="0" w:space="0" w:color="auto"/>
                    <w:right w:val="none" w:sz="0" w:space="0" w:color="auto"/>
                  </w:divBdr>
                  <w:divsChild>
                    <w:div w:id="462160110">
                      <w:marLeft w:val="0"/>
                      <w:marRight w:val="0"/>
                      <w:marTop w:val="0"/>
                      <w:marBottom w:val="0"/>
                      <w:divBdr>
                        <w:top w:val="none" w:sz="0" w:space="0" w:color="auto"/>
                        <w:left w:val="none" w:sz="0" w:space="0" w:color="auto"/>
                        <w:bottom w:val="none" w:sz="0" w:space="0" w:color="auto"/>
                        <w:right w:val="none" w:sz="0" w:space="0" w:color="auto"/>
                      </w:divBdr>
                      <w:divsChild>
                        <w:div w:id="462160197">
                          <w:marLeft w:val="0"/>
                          <w:marRight w:val="0"/>
                          <w:marTop w:val="0"/>
                          <w:marBottom w:val="0"/>
                          <w:divBdr>
                            <w:top w:val="none" w:sz="0" w:space="0" w:color="auto"/>
                            <w:left w:val="none" w:sz="0" w:space="0" w:color="auto"/>
                            <w:bottom w:val="none" w:sz="0" w:space="0" w:color="auto"/>
                            <w:right w:val="none" w:sz="0" w:space="0" w:color="auto"/>
                          </w:divBdr>
                        </w:div>
                        <w:div w:id="46216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162">
      <w:marLeft w:val="0"/>
      <w:marRight w:val="0"/>
      <w:marTop w:val="0"/>
      <w:marBottom w:val="0"/>
      <w:divBdr>
        <w:top w:val="none" w:sz="0" w:space="0" w:color="auto"/>
        <w:left w:val="none" w:sz="0" w:space="0" w:color="auto"/>
        <w:bottom w:val="none" w:sz="0" w:space="0" w:color="auto"/>
        <w:right w:val="none" w:sz="0" w:space="0" w:color="auto"/>
      </w:divBdr>
    </w:div>
    <w:div w:id="462160168">
      <w:marLeft w:val="0"/>
      <w:marRight w:val="0"/>
      <w:marTop w:val="0"/>
      <w:marBottom w:val="0"/>
      <w:divBdr>
        <w:top w:val="none" w:sz="0" w:space="0" w:color="auto"/>
        <w:left w:val="none" w:sz="0" w:space="0" w:color="auto"/>
        <w:bottom w:val="none" w:sz="0" w:space="0" w:color="auto"/>
        <w:right w:val="none" w:sz="0" w:space="0" w:color="auto"/>
      </w:divBdr>
      <w:divsChild>
        <w:div w:id="462160196">
          <w:marLeft w:val="0"/>
          <w:marRight w:val="0"/>
          <w:marTop w:val="0"/>
          <w:marBottom w:val="0"/>
          <w:divBdr>
            <w:top w:val="none" w:sz="0" w:space="0" w:color="auto"/>
            <w:left w:val="none" w:sz="0" w:space="0" w:color="auto"/>
            <w:bottom w:val="none" w:sz="0" w:space="0" w:color="auto"/>
            <w:right w:val="none" w:sz="0" w:space="0" w:color="auto"/>
          </w:divBdr>
        </w:div>
      </w:divsChild>
    </w:div>
    <w:div w:id="462160170">
      <w:marLeft w:val="0"/>
      <w:marRight w:val="0"/>
      <w:marTop w:val="0"/>
      <w:marBottom w:val="0"/>
      <w:divBdr>
        <w:top w:val="none" w:sz="0" w:space="0" w:color="auto"/>
        <w:left w:val="none" w:sz="0" w:space="0" w:color="auto"/>
        <w:bottom w:val="none" w:sz="0" w:space="0" w:color="auto"/>
        <w:right w:val="none" w:sz="0" w:space="0" w:color="auto"/>
      </w:divBdr>
    </w:div>
    <w:div w:id="462160171">
      <w:marLeft w:val="0"/>
      <w:marRight w:val="0"/>
      <w:marTop w:val="0"/>
      <w:marBottom w:val="0"/>
      <w:divBdr>
        <w:top w:val="none" w:sz="0" w:space="0" w:color="auto"/>
        <w:left w:val="none" w:sz="0" w:space="0" w:color="auto"/>
        <w:bottom w:val="none" w:sz="0" w:space="0" w:color="auto"/>
        <w:right w:val="none" w:sz="0" w:space="0" w:color="auto"/>
      </w:divBdr>
    </w:div>
    <w:div w:id="462160173">
      <w:marLeft w:val="0"/>
      <w:marRight w:val="0"/>
      <w:marTop w:val="0"/>
      <w:marBottom w:val="0"/>
      <w:divBdr>
        <w:top w:val="none" w:sz="0" w:space="0" w:color="auto"/>
        <w:left w:val="none" w:sz="0" w:space="0" w:color="auto"/>
        <w:bottom w:val="none" w:sz="0" w:space="0" w:color="auto"/>
        <w:right w:val="none" w:sz="0" w:space="0" w:color="auto"/>
      </w:divBdr>
    </w:div>
    <w:div w:id="462160176">
      <w:marLeft w:val="0"/>
      <w:marRight w:val="0"/>
      <w:marTop w:val="0"/>
      <w:marBottom w:val="0"/>
      <w:divBdr>
        <w:top w:val="none" w:sz="0" w:space="0" w:color="auto"/>
        <w:left w:val="none" w:sz="0" w:space="0" w:color="auto"/>
        <w:bottom w:val="none" w:sz="0" w:space="0" w:color="auto"/>
        <w:right w:val="none" w:sz="0" w:space="0" w:color="auto"/>
      </w:divBdr>
      <w:divsChild>
        <w:div w:id="462160198">
          <w:marLeft w:val="0"/>
          <w:marRight w:val="0"/>
          <w:marTop w:val="0"/>
          <w:marBottom w:val="0"/>
          <w:divBdr>
            <w:top w:val="none" w:sz="0" w:space="0" w:color="auto"/>
            <w:left w:val="none" w:sz="0" w:space="0" w:color="auto"/>
            <w:bottom w:val="none" w:sz="0" w:space="0" w:color="auto"/>
            <w:right w:val="none" w:sz="0" w:space="0" w:color="auto"/>
          </w:divBdr>
          <w:divsChild>
            <w:div w:id="462160199">
              <w:marLeft w:val="0"/>
              <w:marRight w:val="0"/>
              <w:marTop w:val="0"/>
              <w:marBottom w:val="0"/>
              <w:divBdr>
                <w:top w:val="none" w:sz="0" w:space="0" w:color="auto"/>
                <w:left w:val="none" w:sz="0" w:space="0" w:color="auto"/>
                <w:bottom w:val="none" w:sz="0" w:space="0" w:color="auto"/>
                <w:right w:val="none" w:sz="0" w:space="0" w:color="auto"/>
              </w:divBdr>
              <w:divsChild>
                <w:div w:id="462160147">
                  <w:marLeft w:val="0"/>
                  <w:marRight w:val="0"/>
                  <w:marTop w:val="0"/>
                  <w:marBottom w:val="0"/>
                  <w:divBdr>
                    <w:top w:val="none" w:sz="0" w:space="0" w:color="auto"/>
                    <w:left w:val="none" w:sz="0" w:space="0" w:color="auto"/>
                    <w:bottom w:val="none" w:sz="0" w:space="0" w:color="auto"/>
                    <w:right w:val="none" w:sz="0" w:space="0" w:color="auto"/>
                  </w:divBdr>
                  <w:divsChild>
                    <w:div w:id="462160104">
                      <w:marLeft w:val="0"/>
                      <w:marRight w:val="0"/>
                      <w:marTop w:val="0"/>
                      <w:marBottom w:val="0"/>
                      <w:divBdr>
                        <w:top w:val="none" w:sz="0" w:space="0" w:color="auto"/>
                        <w:left w:val="none" w:sz="0" w:space="0" w:color="auto"/>
                        <w:bottom w:val="none" w:sz="0" w:space="0" w:color="auto"/>
                        <w:right w:val="none" w:sz="0" w:space="0" w:color="auto"/>
                      </w:divBdr>
                      <w:divsChild>
                        <w:div w:id="462160215">
                          <w:marLeft w:val="0"/>
                          <w:marRight w:val="0"/>
                          <w:marTop w:val="0"/>
                          <w:marBottom w:val="0"/>
                          <w:divBdr>
                            <w:top w:val="none" w:sz="0" w:space="0" w:color="auto"/>
                            <w:left w:val="none" w:sz="0" w:space="0" w:color="auto"/>
                            <w:bottom w:val="none" w:sz="0" w:space="0" w:color="auto"/>
                            <w:right w:val="none" w:sz="0" w:space="0" w:color="auto"/>
                          </w:divBdr>
                          <w:divsChild>
                            <w:div w:id="462160137">
                              <w:marLeft w:val="0"/>
                              <w:marRight w:val="0"/>
                              <w:marTop w:val="0"/>
                              <w:marBottom w:val="0"/>
                              <w:divBdr>
                                <w:top w:val="none" w:sz="0" w:space="0" w:color="auto"/>
                                <w:left w:val="none" w:sz="0" w:space="0" w:color="auto"/>
                                <w:bottom w:val="none" w:sz="0" w:space="0" w:color="auto"/>
                                <w:right w:val="none" w:sz="0" w:space="0" w:color="auto"/>
                              </w:divBdr>
                            </w:div>
                            <w:div w:id="462160242">
                              <w:marLeft w:val="0"/>
                              <w:marRight w:val="0"/>
                              <w:marTop w:val="0"/>
                              <w:marBottom w:val="0"/>
                              <w:divBdr>
                                <w:top w:val="none" w:sz="0" w:space="0" w:color="auto"/>
                                <w:left w:val="none" w:sz="0" w:space="0" w:color="auto"/>
                                <w:bottom w:val="none" w:sz="0" w:space="0" w:color="auto"/>
                                <w:right w:val="none" w:sz="0" w:space="0" w:color="auto"/>
                              </w:divBdr>
                              <w:divsChild>
                                <w:div w:id="462160117">
                                  <w:marLeft w:val="0"/>
                                  <w:marRight w:val="0"/>
                                  <w:marTop w:val="0"/>
                                  <w:marBottom w:val="0"/>
                                  <w:divBdr>
                                    <w:top w:val="none" w:sz="0" w:space="0" w:color="auto"/>
                                    <w:left w:val="none" w:sz="0" w:space="0" w:color="auto"/>
                                    <w:bottom w:val="none" w:sz="0" w:space="0" w:color="auto"/>
                                    <w:right w:val="none" w:sz="0" w:space="0" w:color="auto"/>
                                  </w:divBdr>
                                  <w:divsChild>
                                    <w:div w:id="462160189">
                                      <w:marLeft w:val="0"/>
                                      <w:marRight w:val="0"/>
                                      <w:marTop w:val="0"/>
                                      <w:marBottom w:val="0"/>
                                      <w:divBdr>
                                        <w:top w:val="none" w:sz="0" w:space="0" w:color="auto"/>
                                        <w:left w:val="none" w:sz="0" w:space="0" w:color="auto"/>
                                        <w:bottom w:val="none" w:sz="0" w:space="0" w:color="auto"/>
                                        <w:right w:val="none" w:sz="0" w:space="0" w:color="auto"/>
                                      </w:divBdr>
                                    </w:div>
                                    <w:div w:id="46216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2160177">
      <w:marLeft w:val="0"/>
      <w:marRight w:val="0"/>
      <w:marTop w:val="0"/>
      <w:marBottom w:val="0"/>
      <w:divBdr>
        <w:top w:val="none" w:sz="0" w:space="0" w:color="auto"/>
        <w:left w:val="none" w:sz="0" w:space="0" w:color="auto"/>
        <w:bottom w:val="none" w:sz="0" w:space="0" w:color="auto"/>
        <w:right w:val="none" w:sz="0" w:space="0" w:color="auto"/>
      </w:divBdr>
      <w:divsChild>
        <w:div w:id="462160193">
          <w:marLeft w:val="-3040"/>
          <w:marRight w:val="120"/>
          <w:marTop w:val="0"/>
          <w:marBottom w:val="0"/>
          <w:divBdr>
            <w:top w:val="none" w:sz="0" w:space="0" w:color="auto"/>
            <w:left w:val="none" w:sz="0" w:space="0" w:color="auto"/>
            <w:bottom w:val="none" w:sz="0" w:space="0" w:color="auto"/>
            <w:right w:val="none" w:sz="0" w:space="0" w:color="auto"/>
          </w:divBdr>
          <w:divsChild>
            <w:div w:id="462160116">
              <w:marLeft w:val="3040"/>
              <w:marRight w:val="0"/>
              <w:marTop w:val="0"/>
              <w:marBottom w:val="0"/>
              <w:divBdr>
                <w:top w:val="none" w:sz="0" w:space="0" w:color="auto"/>
                <w:left w:val="none" w:sz="0" w:space="0" w:color="auto"/>
                <w:bottom w:val="none" w:sz="0" w:space="0" w:color="auto"/>
                <w:right w:val="none" w:sz="0" w:space="0" w:color="auto"/>
              </w:divBdr>
              <w:divsChild>
                <w:div w:id="462160209">
                  <w:marLeft w:val="120"/>
                  <w:marRight w:val="0"/>
                  <w:marTop w:val="72"/>
                  <w:marBottom w:val="0"/>
                  <w:divBdr>
                    <w:top w:val="none" w:sz="0" w:space="0" w:color="auto"/>
                    <w:left w:val="none" w:sz="0" w:space="0" w:color="auto"/>
                    <w:bottom w:val="none" w:sz="0" w:space="0" w:color="auto"/>
                    <w:right w:val="none" w:sz="0" w:space="0" w:color="auto"/>
                  </w:divBdr>
                  <w:divsChild>
                    <w:div w:id="462160217">
                      <w:marLeft w:val="0"/>
                      <w:marRight w:val="0"/>
                      <w:marTop w:val="0"/>
                      <w:marBottom w:val="0"/>
                      <w:divBdr>
                        <w:top w:val="none" w:sz="0" w:space="0" w:color="auto"/>
                        <w:left w:val="none" w:sz="0" w:space="0" w:color="auto"/>
                        <w:bottom w:val="none" w:sz="0" w:space="0" w:color="auto"/>
                        <w:right w:val="none" w:sz="0" w:space="0" w:color="auto"/>
                      </w:divBdr>
                      <w:divsChild>
                        <w:div w:id="462160167">
                          <w:marLeft w:val="0"/>
                          <w:marRight w:val="0"/>
                          <w:marTop w:val="0"/>
                          <w:marBottom w:val="0"/>
                          <w:divBdr>
                            <w:top w:val="none" w:sz="0" w:space="0" w:color="auto"/>
                            <w:left w:val="none" w:sz="0" w:space="0" w:color="auto"/>
                            <w:bottom w:val="none" w:sz="0" w:space="0" w:color="auto"/>
                            <w:right w:val="none" w:sz="0" w:space="0" w:color="auto"/>
                          </w:divBdr>
                          <w:divsChild>
                            <w:div w:id="46216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184">
      <w:marLeft w:val="0"/>
      <w:marRight w:val="0"/>
      <w:marTop w:val="0"/>
      <w:marBottom w:val="0"/>
      <w:divBdr>
        <w:top w:val="none" w:sz="0" w:space="0" w:color="auto"/>
        <w:left w:val="none" w:sz="0" w:space="0" w:color="auto"/>
        <w:bottom w:val="none" w:sz="0" w:space="0" w:color="auto"/>
        <w:right w:val="none" w:sz="0" w:space="0" w:color="auto"/>
      </w:divBdr>
      <w:divsChild>
        <w:div w:id="462160226">
          <w:marLeft w:val="0"/>
          <w:marRight w:val="0"/>
          <w:marTop w:val="0"/>
          <w:marBottom w:val="0"/>
          <w:divBdr>
            <w:top w:val="none" w:sz="0" w:space="0" w:color="auto"/>
            <w:left w:val="none" w:sz="0" w:space="0" w:color="auto"/>
            <w:bottom w:val="none" w:sz="0" w:space="0" w:color="auto"/>
            <w:right w:val="none" w:sz="0" w:space="0" w:color="auto"/>
          </w:divBdr>
          <w:divsChild>
            <w:div w:id="462160125">
              <w:marLeft w:val="0"/>
              <w:marRight w:val="0"/>
              <w:marTop w:val="0"/>
              <w:marBottom w:val="0"/>
              <w:divBdr>
                <w:top w:val="none" w:sz="0" w:space="0" w:color="auto"/>
                <w:left w:val="none" w:sz="0" w:space="0" w:color="auto"/>
                <w:bottom w:val="none" w:sz="0" w:space="0" w:color="auto"/>
                <w:right w:val="none" w:sz="0" w:space="0" w:color="auto"/>
              </w:divBdr>
              <w:divsChild>
                <w:div w:id="462160119">
                  <w:marLeft w:val="0"/>
                  <w:marRight w:val="0"/>
                  <w:marTop w:val="0"/>
                  <w:marBottom w:val="0"/>
                  <w:divBdr>
                    <w:top w:val="none" w:sz="0" w:space="0" w:color="auto"/>
                    <w:left w:val="none" w:sz="0" w:space="0" w:color="auto"/>
                    <w:bottom w:val="none" w:sz="0" w:space="0" w:color="auto"/>
                    <w:right w:val="none" w:sz="0" w:space="0" w:color="auto"/>
                  </w:divBdr>
                  <w:divsChild>
                    <w:div w:id="462160227">
                      <w:marLeft w:val="0"/>
                      <w:marRight w:val="0"/>
                      <w:marTop w:val="0"/>
                      <w:marBottom w:val="0"/>
                      <w:divBdr>
                        <w:top w:val="none" w:sz="0" w:space="0" w:color="auto"/>
                        <w:left w:val="none" w:sz="0" w:space="0" w:color="auto"/>
                        <w:bottom w:val="none" w:sz="0" w:space="0" w:color="auto"/>
                        <w:right w:val="none" w:sz="0" w:space="0" w:color="auto"/>
                      </w:divBdr>
                      <w:divsChild>
                        <w:div w:id="462160175">
                          <w:marLeft w:val="0"/>
                          <w:marRight w:val="0"/>
                          <w:marTop w:val="0"/>
                          <w:marBottom w:val="0"/>
                          <w:divBdr>
                            <w:top w:val="none" w:sz="0" w:space="0" w:color="auto"/>
                            <w:left w:val="none" w:sz="0" w:space="0" w:color="auto"/>
                            <w:bottom w:val="none" w:sz="0" w:space="0" w:color="auto"/>
                            <w:right w:val="none" w:sz="0" w:space="0" w:color="auto"/>
                          </w:divBdr>
                        </w:div>
                        <w:div w:id="46216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200">
      <w:marLeft w:val="0"/>
      <w:marRight w:val="0"/>
      <w:marTop w:val="0"/>
      <w:marBottom w:val="0"/>
      <w:divBdr>
        <w:top w:val="none" w:sz="0" w:space="0" w:color="auto"/>
        <w:left w:val="none" w:sz="0" w:space="0" w:color="auto"/>
        <w:bottom w:val="none" w:sz="0" w:space="0" w:color="auto"/>
        <w:right w:val="none" w:sz="0" w:space="0" w:color="auto"/>
      </w:divBdr>
    </w:div>
    <w:div w:id="462160208">
      <w:marLeft w:val="0"/>
      <w:marRight w:val="0"/>
      <w:marTop w:val="0"/>
      <w:marBottom w:val="0"/>
      <w:divBdr>
        <w:top w:val="none" w:sz="0" w:space="0" w:color="auto"/>
        <w:left w:val="none" w:sz="0" w:space="0" w:color="auto"/>
        <w:bottom w:val="none" w:sz="0" w:space="0" w:color="auto"/>
        <w:right w:val="none" w:sz="0" w:space="0" w:color="auto"/>
      </w:divBdr>
    </w:div>
    <w:div w:id="462160219">
      <w:marLeft w:val="0"/>
      <w:marRight w:val="0"/>
      <w:marTop w:val="0"/>
      <w:marBottom w:val="0"/>
      <w:divBdr>
        <w:top w:val="none" w:sz="0" w:space="0" w:color="auto"/>
        <w:left w:val="none" w:sz="0" w:space="0" w:color="auto"/>
        <w:bottom w:val="none" w:sz="0" w:space="0" w:color="auto"/>
        <w:right w:val="none" w:sz="0" w:space="0" w:color="auto"/>
      </w:divBdr>
      <w:divsChild>
        <w:div w:id="462160233">
          <w:marLeft w:val="0"/>
          <w:marRight w:val="0"/>
          <w:marTop w:val="0"/>
          <w:marBottom w:val="0"/>
          <w:divBdr>
            <w:top w:val="none" w:sz="0" w:space="0" w:color="auto"/>
            <w:left w:val="none" w:sz="0" w:space="0" w:color="auto"/>
            <w:bottom w:val="none" w:sz="0" w:space="0" w:color="auto"/>
            <w:right w:val="none" w:sz="0" w:space="0" w:color="auto"/>
          </w:divBdr>
          <w:divsChild>
            <w:div w:id="462160165">
              <w:marLeft w:val="0"/>
              <w:marRight w:val="0"/>
              <w:marTop w:val="0"/>
              <w:marBottom w:val="0"/>
              <w:divBdr>
                <w:top w:val="none" w:sz="0" w:space="0" w:color="auto"/>
                <w:left w:val="none" w:sz="0" w:space="0" w:color="auto"/>
                <w:bottom w:val="none" w:sz="0" w:space="0" w:color="auto"/>
                <w:right w:val="none" w:sz="0" w:space="0" w:color="auto"/>
              </w:divBdr>
              <w:divsChild>
                <w:div w:id="462160207">
                  <w:marLeft w:val="0"/>
                  <w:marRight w:val="0"/>
                  <w:marTop w:val="0"/>
                  <w:marBottom w:val="0"/>
                  <w:divBdr>
                    <w:top w:val="none" w:sz="0" w:space="0" w:color="auto"/>
                    <w:left w:val="none" w:sz="0" w:space="0" w:color="auto"/>
                    <w:bottom w:val="none" w:sz="0" w:space="0" w:color="auto"/>
                    <w:right w:val="none" w:sz="0" w:space="0" w:color="auto"/>
                  </w:divBdr>
                  <w:divsChild>
                    <w:div w:id="462160228">
                      <w:marLeft w:val="0"/>
                      <w:marRight w:val="0"/>
                      <w:marTop w:val="0"/>
                      <w:marBottom w:val="0"/>
                      <w:divBdr>
                        <w:top w:val="none" w:sz="0" w:space="0" w:color="auto"/>
                        <w:left w:val="none" w:sz="0" w:space="0" w:color="auto"/>
                        <w:bottom w:val="none" w:sz="0" w:space="0" w:color="auto"/>
                        <w:right w:val="none" w:sz="0" w:space="0" w:color="auto"/>
                      </w:divBdr>
                      <w:divsChild>
                        <w:div w:id="462160221">
                          <w:marLeft w:val="0"/>
                          <w:marRight w:val="0"/>
                          <w:marTop w:val="0"/>
                          <w:marBottom w:val="0"/>
                          <w:divBdr>
                            <w:top w:val="none" w:sz="0" w:space="0" w:color="auto"/>
                            <w:left w:val="none" w:sz="0" w:space="0" w:color="auto"/>
                            <w:bottom w:val="none" w:sz="0" w:space="0" w:color="auto"/>
                            <w:right w:val="none" w:sz="0" w:space="0" w:color="auto"/>
                          </w:divBdr>
                        </w:div>
                        <w:div w:id="46216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220">
      <w:marLeft w:val="0"/>
      <w:marRight w:val="0"/>
      <w:marTop w:val="0"/>
      <w:marBottom w:val="0"/>
      <w:divBdr>
        <w:top w:val="none" w:sz="0" w:space="0" w:color="auto"/>
        <w:left w:val="none" w:sz="0" w:space="0" w:color="auto"/>
        <w:bottom w:val="none" w:sz="0" w:space="0" w:color="auto"/>
        <w:right w:val="none" w:sz="0" w:space="0" w:color="auto"/>
      </w:divBdr>
      <w:divsChild>
        <w:div w:id="462160113">
          <w:marLeft w:val="-3040"/>
          <w:marRight w:val="120"/>
          <w:marTop w:val="0"/>
          <w:marBottom w:val="0"/>
          <w:divBdr>
            <w:top w:val="none" w:sz="0" w:space="0" w:color="auto"/>
            <w:left w:val="none" w:sz="0" w:space="0" w:color="auto"/>
            <w:bottom w:val="none" w:sz="0" w:space="0" w:color="auto"/>
            <w:right w:val="none" w:sz="0" w:space="0" w:color="auto"/>
          </w:divBdr>
          <w:divsChild>
            <w:div w:id="462160216">
              <w:marLeft w:val="3040"/>
              <w:marRight w:val="0"/>
              <w:marTop w:val="0"/>
              <w:marBottom w:val="0"/>
              <w:divBdr>
                <w:top w:val="none" w:sz="0" w:space="0" w:color="auto"/>
                <w:left w:val="none" w:sz="0" w:space="0" w:color="auto"/>
                <w:bottom w:val="none" w:sz="0" w:space="0" w:color="auto"/>
                <w:right w:val="none" w:sz="0" w:space="0" w:color="auto"/>
              </w:divBdr>
              <w:divsChild>
                <w:div w:id="462160157">
                  <w:marLeft w:val="120"/>
                  <w:marRight w:val="0"/>
                  <w:marTop w:val="72"/>
                  <w:marBottom w:val="0"/>
                  <w:divBdr>
                    <w:top w:val="none" w:sz="0" w:space="0" w:color="auto"/>
                    <w:left w:val="none" w:sz="0" w:space="0" w:color="auto"/>
                    <w:bottom w:val="none" w:sz="0" w:space="0" w:color="auto"/>
                    <w:right w:val="none" w:sz="0" w:space="0" w:color="auto"/>
                  </w:divBdr>
                  <w:divsChild>
                    <w:div w:id="462160152">
                      <w:marLeft w:val="0"/>
                      <w:marRight w:val="0"/>
                      <w:marTop w:val="0"/>
                      <w:marBottom w:val="0"/>
                      <w:divBdr>
                        <w:top w:val="none" w:sz="0" w:space="0" w:color="auto"/>
                        <w:left w:val="none" w:sz="0" w:space="0" w:color="auto"/>
                        <w:bottom w:val="none" w:sz="0" w:space="0" w:color="auto"/>
                        <w:right w:val="none" w:sz="0" w:space="0" w:color="auto"/>
                      </w:divBdr>
                      <w:divsChild>
                        <w:div w:id="462160206">
                          <w:marLeft w:val="0"/>
                          <w:marRight w:val="0"/>
                          <w:marTop w:val="0"/>
                          <w:marBottom w:val="0"/>
                          <w:divBdr>
                            <w:top w:val="none" w:sz="0" w:space="0" w:color="auto"/>
                            <w:left w:val="none" w:sz="0" w:space="0" w:color="auto"/>
                            <w:bottom w:val="none" w:sz="0" w:space="0" w:color="auto"/>
                            <w:right w:val="none" w:sz="0" w:space="0" w:color="auto"/>
                          </w:divBdr>
                          <w:divsChild>
                            <w:div w:id="46216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222">
      <w:marLeft w:val="0"/>
      <w:marRight w:val="0"/>
      <w:marTop w:val="0"/>
      <w:marBottom w:val="0"/>
      <w:divBdr>
        <w:top w:val="none" w:sz="0" w:space="0" w:color="auto"/>
        <w:left w:val="none" w:sz="0" w:space="0" w:color="auto"/>
        <w:bottom w:val="none" w:sz="0" w:space="0" w:color="auto"/>
        <w:right w:val="none" w:sz="0" w:space="0" w:color="auto"/>
      </w:divBdr>
      <w:divsChild>
        <w:div w:id="462160121">
          <w:marLeft w:val="0"/>
          <w:marRight w:val="0"/>
          <w:marTop w:val="0"/>
          <w:marBottom w:val="0"/>
          <w:divBdr>
            <w:top w:val="none" w:sz="0" w:space="0" w:color="auto"/>
            <w:left w:val="none" w:sz="0" w:space="0" w:color="auto"/>
            <w:bottom w:val="none" w:sz="0" w:space="0" w:color="auto"/>
            <w:right w:val="none" w:sz="0" w:space="0" w:color="auto"/>
          </w:divBdr>
          <w:divsChild>
            <w:div w:id="462160124">
              <w:marLeft w:val="0"/>
              <w:marRight w:val="0"/>
              <w:marTop w:val="0"/>
              <w:marBottom w:val="0"/>
              <w:divBdr>
                <w:top w:val="none" w:sz="0" w:space="0" w:color="auto"/>
                <w:left w:val="none" w:sz="0" w:space="0" w:color="auto"/>
                <w:bottom w:val="none" w:sz="0" w:space="0" w:color="auto"/>
                <w:right w:val="none" w:sz="0" w:space="0" w:color="auto"/>
              </w:divBdr>
              <w:divsChild>
                <w:div w:id="462160205">
                  <w:marLeft w:val="0"/>
                  <w:marRight w:val="0"/>
                  <w:marTop w:val="0"/>
                  <w:marBottom w:val="0"/>
                  <w:divBdr>
                    <w:top w:val="none" w:sz="0" w:space="0" w:color="auto"/>
                    <w:left w:val="none" w:sz="0" w:space="0" w:color="auto"/>
                    <w:bottom w:val="none" w:sz="0" w:space="0" w:color="auto"/>
                    <w:right w:val="none" w:sz="0" w:space="0" w:color="auto"/>
                  </w:divBdr>
                  <w:divsChild>
                    <w:div w:id="462160136">
                      <w:marLeft w:val="0"/>
                      <w:marRight w:val="0"/>
                      <w:marTop w:val="0"/>
                      <w:marBottom w:val="0"/>
                      <w:divBdr>
                        <w:top w:val="none" w:sz="0" w:space="0" w:color="auto"/>
                        <w:left w:val="none" w:sz="0" w:space="0" w:color="auto"/>
                        <w:bottom w:val="none" w:sz="0" w:space="0" w:color="auto"/>
                        <w:right w:val="none" w:sz="0" w:space="0" w:color="auto"/>
                      </w:divBdr>
                      <w:divsChild>
                        <w:div w:id="462160095">
                          <w:marLeft w:val="0"/>
                          <w:marRight w:val="0"/>
                          <w:marTop w:val="0"/>
                          <w:marBottom w:val="0"/>
                          <w:divBdr>
                            <w:top w:val="none" w:sz="0" w:space="0" w:color="auto"/>
                            <w:left w:val="none" w:sz="0" w:space="0" w:color="auto"/>
                            <w:bottom w:val="none" w:sz="0" w:space="0" w:color="auto"/>
                            <w:right w:val="none" w:sz="0" w:space="0" w:color="auto"/>
                          </w:divBdr>
                        </w:div>
                        <w:div w:id="46216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231">
      <w:marLeft w:val="0"/>
      <w:marRight w:val="0"/>
      <w:marTop w:val="0"/>
      <w:marBottom w:val="0"/>
      <w:divBdr>
        <w:top w:val="none" w:sz="0" w:space="0" w:color="auto"/>
        <w:left w:val="none" w:sz="0" w:space="0" w:color="auto"/>
        <w:bottom w:val="none" w:sz="0" w:space="0" w:color="auto"/>
        <w:right w:val="none" w:sz="0" w:space="0" w:color="auto"/>
      </w:divBdr>
      <w:divsChild>
        <w:div w:id="462160213">
          <w:marLeft w:val="0"/>
          <w:marRight w:val="0"/>
          <w:marTop w:val="0"/>
          <w:marBottom w:val="0"/>
          <w:divBdr>
            <w:top w:val="none" w:sz="0" w:space="0" w:color="auto"/>
            <w:left w:val="none" w:sz="0" w:space="0" w:color="auto"/>
            <w:bottom w:val="none" w:sz="0" w:space="0" w:color="auto"/>
            <w:right w:val="none" w:sz="0" w:space="0" w:color="auto"/>
          </w:divBdr>
          <w:divsChild>
            <w:div w:id="462160138">
              <w:marLeft w:val="0"/>
              <w:marRight w:val="0"/>
              <w:marTop w:val="0"/>
              <w:marBottom w:val="0"/>
              <w:divBdr>
                <w:top w:val="none" w:sz="0" w:space="0" w:color="auto"/>
                <w:left w:val="none" w:sz="0" w:space="0" w:color="auto"/>
                <w:bottom w:val="none" w:sz="0" w:space="0" w:color="auto"/>
                <w:right w:val="none" w:sz="0" w:space="0" w:color="auto"/>
              </w:divBdr>
              <w:divsChild>
                <w:div w:id="462160181">
                  <w:marLeft w:val="0"/>
                  <w:marRight w:val="0"/>
                  <w:marTop w:val="0"/>
                  <w:marBottom w:val="0"/>
                  <w:divBdr>
                    <w:top w:val="none" w:sz="0" w:space="0" w:color="auto"/>
                    <w:left w:val="none" w:sz="0" w:space="0" w:color="auto"/>
                    <w:bottom w:val="none" w:sz="0" w:space="0" w:color="auto"/>
                    <w:right w:val="none" w:sz="0" w:space="0" w:color="auto"/>
                  </w:divBdr>
                  <w:divsChild>
                    <w:div w:id="462160214">
                      <w:marLeft w:val="0"/>
                      <w:marRight w:val="0"/>
                      <w:marTop w:val="0"/>
                      <w:marBottom w:val="0"/>
                      <w:divBdr>
                        <w:top w:val="none" w:sz="0" w:space="0" w:color="auto"/>
                        <w:left w:val="none" w:sz="0" w:space="0" w:color="auto"/>
                        <w:bottom w:val="none" w:sz="0" w:space="0" w:color="auto"/>
                        <w:right w:val="none" w:sz="0" w:space="0" w:color="auto"/>
                      </w:divBdr>
                      <w:divsChild>
                        <w:div w:id="462160118">
                          <w:marLeft w:val="0"/>
                          <w:marRight w:val="0"/>
                          <w:marTop w:val="0"/>
                          <w:marBottom w:val="0"/>
                          <w:divBdr>
                            <w:top w:val="none" w:sz="0" w:space="0" w:color="auto"/>
                            <w:left w:val="none" w:sz="0" w:space="0" w:color="auto"/>
                            <w:bottom w:val="none" w:sz="0" w:space="0" w:color="auto"/>
                            <w:right w:val="none" w:sz="0" w:space="0" w:color="auto"/>
                          </w:divBdr>
                        </w:div>
                        <w:div w:id="46216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236">
      <w:marLeft w:val="0"/>
      <w:marRight w:val="0"/>
      <w:marTop w:val="0"/>
      <w:marBottom w:val="0"/>
      <w:divBdr>
        <w:top w:val="none" w:sz="0" w:space="0" w:color="auto"/>
        <w:left w:val="none" w:sz="0" w:space="0" w:color="auto"/>
        <w:bottom w:val="none" w:sz="0" w:space="0" w:color="auto"/>
        <w:right w:val="none" w:sz="0" w:space="0" w:color="auto"/>
      </w:divBdr>
    </w:div>
    <w:div w:id="462160238">
      <w:marLeft w:val="0"/>
      <w:marRight w:val="0"/>
      <w:marTop w:val="0"/>
      <w:marBottom w:val="0"/>
      <w:divBdr>
        <w:top w:val="none" w:sz="0" w:space="0" w:color="auto"/>
        <w:left w:val="none" w:sz="0" w:space="0" w:color="auto"/>
        <w:bottom w:val="none" w:sz="0" w:space="0" w:color="auto"/>
        <w:right w:val="none" w:sz="0" w:space="0" w:color="auto"/>
      </w:divBdr>
      <w:divsChild>
        <w:div w:id="462160248">
          <w:marLeft w:val="0"/>
          <w:marRight w:val="0"/>
          <w:marTop w:val="0"/>
          <w:marBottom w:val="0"/>
          <w:divBdr>
            <w:top w:val="none" w:sz="0" w:space="0" w:color="auto"/>
            <w:left w:val="none" w:sz="0" w:space="0" w:color="auto"/>
            <w:bottom w:val="none" w:sz="0" w:space="0" w:color="auto"/>
            <w:right w:val="none" w:sz="0" w:space="0" w:color="auto"/>
          </w:divBdr>
          <w:divsChild>
            <w:div w:id="462160164">
              <w:marLeft w:val="0"/>
              <w:marRight w:val="0"/>
              <w:marTop w:val="0"/>
              <w:marBottom w:val="0"/>
              <w:divBdr>
                <w:top w:val="none" w:sz="0" w:space="0" w:color="auto"/>
                <w:left w:val="none" w:sz="0" w:space="0" w:color="auto"/>
                <w:bottom w:val="none" w:sz="0" w:space="0" w:color="auto"/>
                <w:right w:val="none" w:sz="0" w:space="0" w:color="auto"/>
              </w:divBdr>
              <w:divsChild>
                <w:div w:id="462160144">
                  <w:marLeft w:val="0"/>
                  <w:marRight w:val="0"/>
                  <w:marTop w:val="0"/>
                  <w:marBottom w:val="0"/>
                  <w:divBdr>
                    <w:top w:val="none" w:sz="0" w:space="0" w:color="auto"/>
                    <w:left w:val="none" w:sz="0" w:space="0" w:color="auto"/>
                    <w:bottom w:val="none" w:sz="0" w:space="0" w:color="auto"/>
                    <w:right w:val="none" w:sz="0" w:space="0" w:color="auto"/>
                  </w:divBdr>
                  <w:divsChild>
                    <w:div w:id="462160191">
                      <w:marLeft w:val="0"/>
                      <w:marRight w:val="0"/>
                      <w:marTop w:val="0"/>
                      <w:marBottom w:val="0"/>
                      <w:divBdr>
                        <w:top w:val="none" w:sz="0" w:space="0" w:color="auto"/>
                        <w:left w:val="none" w:sz="0" w:space="0" w:color="auto"/>
                        <w:bottom w:val="none" w:sz="0" w:space="0" w:color="auto"/>
                        <w:right w:val="none" w:sz="0" w:space="0" w:color="auto"/>
                      </w:divBdr>
                      <w:divsChild>
                        <w:div w:id="462160102">
                          <w:marLeft w:val="0"/>
                          <w:marRight w:val="0"/>
                          <w:marTop w:val="0"/>
                          <w:marBottom w:val="0"/>
                          <w:divBdr>
                            <w:top w:val="none" w:sz="0" w:space="0" w:color="auto"/>
                            <w:left w:val="none" w:sz="0" w:space="0" w:color="auto"/>
                            <w:bottom w:val="none" w:sz="0" w:space="0" w:color="auto"/>
                            <w:right w:val="none" w:sz="0" w:space="0" w:color="auto"/>
                          </w:divBdr>
                          <w:divsChild>
                            <w:div w:id="462160192">
                              <w:marLeft w:val="0"/>
                              <w:marRight w:val="0"/>
                              <w:marTop w:val="0"/>
                              <w:marBottom w:val="0"/>
                              <w:divBdr>
                                <w:top w:val="none" w:sz="0" w:space="0" w:color="auto"/>
                                <w:left w:val="none" w:sz="0" w:space="0" w:color="auto"/>
                                <w:bottom w:val="none" w:sz="0" w:space="0" w:color="auto"/>
                                <w:right w:val="none" w:sz="0" w:space="0" w:color="auto"/>
                              </w:divBdr>
                              <w:divsChild>
                                <w:div w:id="462160182">
                                  <w:marLeft w:val="0"/>
                                  <w:marRight w:val="0"/>
                                  <w:marTop w:val="0"/>
                                  <w:marBottom w:val="0"/>
                                  <w:divBdr>
                                    <w:top w:val="none" w:sz="0" w:space="0" w:color="auto"/>
                                    <w:left w:val="none" w:sz="0" w:space="0" w:color="auto"/>
                                    <w:bottom w:val="none" w:sz="0" w:space="0" w:color="auto"/>
                                    <w:right w:val="none" w:sz="0" w:space="0" w:color="auto"/>
                                  </w:divBdr>
                                  <w:divsChild>
                                    <w:div w:id="462160115">
                                      <w:marLeft w:val="0"/>
                                      <w:marRight w:val="0"/>
                                      <w:marTop w:val="0"/>
                                      <w:marBottom w:val="0"/>
                                      <w:divBdr>
                                        <w:top w:val="none" w:sz="0" w:space="0" w:color="auto"/>
                                        <w:left w:val="none" w:sz="0" w:space="0" w:color="auto"/>
                                        <w:bottom w:val="none" w:sz="0" w:space="0" w:color="auto"/>
                                        <w:right w:val="none" w:sz="0" w:space="0" w:color="auto"/>
                                      </w:divBdr>
                                    </w:div>
                                    <w:div w:id="46216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16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240">
      <w:marLeft w:val="0"/>
      <w:marRight w:val="0"/>
      <w:marTop w:val="0"/>
      <w:marBottom w:val="0"/>
      <w:divBdr>
        <w:top w:val="none" w:sz="0" w:space="0" w:color="auto"/>
        <w:left w:val="none" w:sz="0" w:space="0" w:color="auto"/>
        <w:bottom w:val="none" w:sz="0" w:space="0" w:color="auto"/>
        <w:right w:val="none" w:sz="0" w:space="0" w:color="auto"/>
      </w:divBdr>
      <w:divsChild>
        <w:div w:id="462160153">
          <w:marLeft w:val="0"/>
          <w:marRight w:val="0"/>
          <w:marTop w:val="0"/>
          <w:marBottom w:val="0"/>
          <w:divBdr>
            <w:top w:val="none" w:sz="0" w:space="0" w:color="auto"/>
            <w:left w:val="none" w:sz="0" w:space="0" w:color="auto"/>
            <w:bottom w:val="none" w:sz="0" w:space="0" w:color="auto"/>
            <w:right w:val="none" w:sz="0" w:space="0" w:color="auto"/>
          </w:divBdr>
          <w:divsChild>
            <w:div w:id="462160253">
              <w:marLeft w:val="0"/>
              <w:marRight w:val="0"/>
              <w:marTop w:val="0"/>
              <w:marBottom w:val="0"/>
              <w:divBdr>
                <w:top w:val="none" w:sz="0" w:space="0" w:color="auto"/>
                <w:left w:val="none" w:sz="0" w:space="0" w:color="auto"/>
                <w:bottom w:val="none" w:sz="0" w:space="0" w:color="auto"/>
                <w:right w:val="none" w:sz="0" w:space="0" w:color="auto"/>
              </w:divBdr>
              <w:divsChild>
                <w:div w:id="462160141">
                  <w:marLeft w:val="0"/>
                  <w:marRight w:val="0"/>
                  <w:marTop w:val="0"/>
                  <w:marBottom w:val="0"/>
                  <w:divBdr>
                    <w:top w:val="none" w:sz="0" w:space="0" w:color="auto"/>
                    <w:left w:val="none" w:sz="0" w:space="0" w:color="auto"/>
                    <w:bottom w:val="none" w:sz="0" w:space="0" w:color="auto"/>
                    <w:right w:val="none" w:sz="0" w:space="0" w:color="auto"/>
                  </w:divBdr>
                  <w:divsChild>
                    <w:div w:id="462160112">
                      <w:marLeft w:val="0"/>
                      <w:marRight w:val="0"/>
                      <w:marTop w:val="0"/>
                      <w:marBottom w:val="0"/>
                      <w:divBdr>
                        <w:top w:val="none" w:sz="0" w:space="0" w:color="auto"/>
                        <w:left w:val="none" w:sz="0" w:space="0" w:color="auto"/>
                        <w:bottom w:val="none" w:sz="0" w:space="0" w:color="auto"/>
                        <w:right w:val="none" w:sz="0" w:space="0" w:color="auto"/>
                      </w:divBdr>
                      <w:divsChild>
                        <w:div w:id="462160146">
                          <w:marLeft w:val="0"/>
                          <w:marRight w:val="0"/>
                          <w:marTop w:val="0"/>
                          <w:marBottom w:val="0"/>
                          <w:divBdr>
                            <w:top w:val="none" w:sz="0" w:space="0" w:color="auto"/>
                            <w:left w:val="none" w:sz="0" w:space="0" w:color="auto"/>
                            <w:bottom w:val="none" w:sz="0" w:space="0" w:color="auto"/>
                            <w:right w:val="none" w:sz="0" w:space="0" w:color="auto"/>
                          </w:divBdr>
                        </w:div>
                        <w:div w:id="46216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0250">
      <w:marLeft w:val="0"/>
      <w:marRight w:val="0"/>
      <w:marTop w:val="0"/>
      <w:marBottom w:val="0"/>
      <w:divBdr>
        <w:top w:val="none" w:sz="0" w:space="0" w:color="auto"/>
        <w:left w:val="none" w:sz="0" w:space="0" w:color="auto"/>
        <w:bottom w:val="none" w:sz="0" w:space="0" w:color="auto"/>
        <w:right w:val="none" w:sz="0" w:space="0" w:color="auto"/>
      </w:divBdr>
      <w:divsChild>
        <w:div w:id="462160239">
          <w:marLeft w:val="-3040"/>
          <w:marRight w:val="120"/>
          <w:marTop w:val="0"/>
          <w:marBottom w:val="0"/>
          <w:divBdr>
            <w:top w:val="none" w:sz="0" w:space="0" w:color="auto"/>
            <w:left w:val="none" w:sz="0" w:space="0" w:color="auto"/>
            <w:bottom w:val="none" w:sz="0" w:space="0" w:color="auto"/>
            <w:right w:val="none" w:sz="0" w:space="0" w:color="auto"/>
          </w:divBdr>
          <w:divsChild>
            <w:div w:id="462160156">
              <w:marLeft w:val="3040"/>
              <w:marRight w:val="0"/>
              <w:marTop w:val="0"/>
              <w:marBottom w:val="0"/>
              <w:divBdr>
                <w:top w:val="none" w:sz="0" w:space="0" w:color="auto"/>
                <w:left w:val="none" w:sz="0" w:space="0" w:color="auto"/>
                <w:bottom w:val="none" w:sz="0" w:space="0" w:color="auto"/>
                <w:right w:val="none" w:sz="0" w:space="0" w:color="auto"/>
              </w:divBdr>
              <w:divsChild>
                <w:div w:id="462160166">
                  <w:marLeft w:val="120"/>
                  <w:marRight w:val="0"/>
                  <w:marTop w:val="72"/>
                  <w:marBottom w:val="0"/>
                  <w:divBdr>
                    <w:top w:val="none" w:sz="0" w:space="0" w:color="auto"/>
                    <w:left w:val="none" w:sz="0" w:space="0" w:color="auto"/>
                    <w:bottom w:val="none" w:sz="0" w:space="0" w:color="auto"/>
                    <w:right w:val="none" w:sz="0" w:space="0" w:color="auto"/>
                  </w:divBdr>
                  <w:divsChild>
                    <w:div w:id="462160185">
                      <w:marLeft w:val="0"/>
                      <w:marRight w:val="0"/>
                      <w:marTop w:val="0"/>
                      <w:marBottom w:val="0"/>
                      <w:divBdr>
                        <w:top w:val="none" w:sz="0" w:space="0" w:color="auto"/>
                        <w:left w:val="none" w:sz="0" w:space="0" w:color="auto"/>
                        <w:bottom w:val="none" w:sz="0" w:space="0" w:color="auto"/>
                        <w:right w:val="none" w:sz="0" w:space="0" w:color="auto"/>
                      </w:divBdr>
                      <w:divsChild>
                        <w:div w:id="462160098">
                          <w:marLeft w:val="0"/>
                          <w:marRight w:val="0"/>
                          <w:marTop w:val="0"/>
                          <w:marBottom w:val="0"/>
                          <w:divBdr>
                            <w:top w:val="none" w:sz="0" w:space="0" w:color="auto"/>
                            <w:left w:val="none" w:sz="0" w:space="0" w:color="auto"/>
                            <w:bottom w:val="none" w:sz="0" w:space="0" w:color="auto"/>
                            <w:right w:val="none" w:sz="0" w:space="0" w:color="auto"/>
                          </w:divBdr>
                          <w:divsChild>
                            <w:div w:id="46216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160255">
      <w:marLeft w:val="0"/>
      <w:marRight w:val="0"/>
      <w:marTop w:val="0"/>
      <w:marBottom w:val="0"/>
      <w:divBdr>
        <w:top w:val="none" w:sz="0" w:space="0" w:color="auto"/>
        <w:left w:val="none" w:sz="0" w:space="0" w:color="auto"/>
        <w:bottom w:val="none" w:sz="0" w:space="0" w:color="auto"/>
        <w:right w:val="none" w:sz="0" w:space="0" w:color="auto"/>
      </w:divBdr>
    </w:div>
    <w:div w:id="462160256">
      <w:marLeft w:val="0"/>
      <w:marRight w:val="0"/>
      <w:marTop w:val="0"/>
      <w:marBottom w:val="0"/>
      <w:divBdr>
        <w:top w:val="none" w:sz="0" w:space="0" w:color="auto"/>
        <w:left w:val="none" w:sz="0" w:space="0" w:color="auto"/>
        <w:bottom w:val="none" w:sz="0" w:space="0" w:color="auto"/>
        <w:right w:val="none" w:sz="0" w:space="0" w:color="auto"/>
      </w:divBdr>
    </w:div>
    <w:div w:id="462160257">
      <w:marLeft w:val="0"/>
      <w:marRight w:val="0"/>
      <w:marTop w:val="0"/>
      <w:marBottom w:val="0"/>
      <w:divBdr>
        <w:top w:val="none" w:sz="0" w:space="0" w:color="auto"/>
        <w:left w:val="none" w:sz="0" w:space="0" w:color="auto"/>
        <w:bottom w:val="none" w:sz="0" w:space="0" w:color="auto"/>
        <w:right w:val="none" w:sz="0" w:space="0" w:color="auto"/>
      </w:divBdr>
    </w:div>
    <w:div w:id="4621602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pmavidal@yahoo.es" TargetMode="External"/><Relationship Id="rId13" Type="http://schemas.openxmlformats.org/officeDocument/2006/relationships/hyperlink" Target="mailto:isacg973@yahoo.es" TargetMode="External"/><Relationship Id="rId18" Type="http://schemas.openxmlformats.org/officeDocument/2006/relationships/hyperlink" Target="http://www.ncbi.nlm.nih.gov/pubmed/8032526" TargetMode="External"/><Relationship Id="rId26" Type="http://schemas.openxmlformats.org/officeDocument/2006/relationships/hyperlink" Target="http://www.ncbi.nlm.nih.gov/sites/entrez?Db=pubmed&amp;Cmd=Search&amp;Term=%22Vlachoyiannopoulos%20PG%22%5BAuthor%5D&amp;itool=EntrezSystem2.PEntrez.Pubmed.Pubmed_ResultsPanel.Pubmed_RVAbstract" TargetMode="External"/><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ncbi.nlm.nih.gov/sites/entrez?Db=pubmed&amp;Cmd=Search&amp;Term=%22Gr%C3%BCnfeld%20JP%22%5BAuthor%5D&amp;itool=EntrezSystem2.PEntrez.Pubmed.Pubmed_ResultsPanel.Pubmed_RVAbstract" TargetMode="External"/><Relationship Id="rId34" Type="http://schemas.openxmlformats.org/officeDocument/2006/relationships/hyperlink" Target="http://www.ncbi.nlm.nih.gov/sites/entrez?Db=pubmed&amp;Cmd=Search&amp;Term=%22Balow%20JE%22%5BAuthor%5D&amp;itool=EntrezSystem2.PEntrez.Pubmed.Pubmed_ResultsPanel.Pubmed_RVAbstract" TargetMode="External"/><Relationship Id="rId7" Type="http://schemas.openxmlformats.org/officeDocument/2006/relationships/hyperlink" Target="mailto:oscar-toldos@hotmail.com" TargetMode="External"/><Relationship Id="rId12" Type="http://schemas.openxmlformats.org/officeDocument/2006/relationships/hyperlink" Target="mailto:estitxu.loza@gmail.com" TargetMode="External"/><Relationship Id="rId17" Type="http://schemas.openxmlformats.org/officeDocument/2006/relationships/hyperlink" Target="http://www.ncbi.nlm.nih.gov/pubmed/9648072" TargetMode="External"/><Relationship Id="rId25" Type="http://schemas.openxmlformats.org/officeDocument/2006/relationships/hyperlink" Target="http://www.ncbi.nlm.nih.gov/sites/entrez?Db=pubmed&amp;Cmd=Search&amp;Term=%22Nakopoulou%20L%22%5BAuthor%5D&amp;itool=EntrezSystem2.PEntrez.Pubmed.Pubmed_ResultsPanel.Pubmed_RVAbstract" TargetMode="External"/><Relationship Id="rId33" Type="http://schemas.openxmlformats.org/officeDocument/2006/relationships/hyperlink" Target="http://www.ncbi.nlm.nih.gov/sites/entrez?Db=pubmed&amp;Cmd=Search&amp;Term=%22Klippel%20JH%22%5BAuthor%5D&amp;itool=EntrezSystem2.PEntrez.Pubmed.Pubmed_ResultsPanel.Pubmed_RVAbstract"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jlpablos@h12o.es" TargetMode="External"/><Relationship Id="rId20" Type="http://schemas.openxmlformats.org/officeDocument/2006/relationships/hyperlink" Target="http://www.ncbi.nlm.nih.gov/sites/entrez?Db=pubmed&amp;Cmd=Search&amp;Term=%22Drouet%20L%22%5BAuthor%5D&amp;itool=EntrezSystem2.PEntrez.Pubmed.Pubmed_ResultsPanel.Pubmed_RVAbstract" TargetMode="External"/><Relationship Id="rId29" Type="http://schemas.openxmlformats.org/officeDocument/2006/relationships/hyperlink" Target="http://www.ncbi.nlm.nih.gov/sites/entrez?Db=pubmed&amp;Cmd=Search&amp;Term=%22Cohen%20AS%22%5BAuthor%5D&amp;itool=EntrezSystem2.PEntrez.Pubmed.Pubmed_ResultsPanel.Pubmed_RVAbstract"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fnebro@gmail.com" TargetMode="External"/><Relationship Id="rId24" Type="http://schemas.openxmlformats.org/officeDocument/2006/relationships/hyperlink" Target="http://www.ncbi.nlm.nih.gov/sites/entrez?Db=pubmed&amp;Cmd=Search&amp;Term=%22Sotsiou%20F%22%5BAuthor%5D&amp;itool=EntrezSystem2.PEntrez.Pubmed.Pubmed_ResultsPanel.Pubmed_RVAbstract" TargetMode="External"/><Relationship Id="rId32" Type="http://schemas.openxmlformats.org/officeDocument/2006/relationships/hyperlink" Target="http://rsb.info.nih.gov/ij" TargetMode="External"/><Relationship Id="rId37" Type="http://schemas.openxmlformats.org/officeDocument/2006/relationships/hyperlink" Target="http://www.ncbi.nlm.nih.gov/sites/entrez?Db=pubmed&amp;Cmd=Search&amp;Term=%22Kao%20AH%22%5BAuthor%5D&amp;itool=EntrezSystem2.PEntrez.Pubmed.Pubmed_ResultsPanel.Pubmed_RVAbstract"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mailto:jlpablos@h12o.es" TargetMode="External"/><Relationship Id="rId23" Type="http://schemas.openxmlformats.org/officeDocument/2006/relationships/hyperlink" Target="javascript:AL_get(this,%20'jour',%20'Medicine%20(Baltimore).');" TargetMode="External"/><Relationship Id="rId28" Type="http://schemas.openxmlformats.org/officeDocument/2006/relationships/hyperlink" Target="javascript:AL_get(this,%20'jour',%20'Arthritis%20Rheum.');" TargetMode="External"/><Relationship Id="rId36" Type="http://schemas.openxmlformats.org/officeDocument/2006/relationships/hyperlink" Target="http://www.ncbi.nlm.nih.gov/sites/entrez?Db=pubmed&amp;Cmd=Search&amp;Term=%22Manzi%20S%22%5BAuthor%5D&amp;itool=EntrezSystem2.PEntrez.Pubmed.Pubmed_ResultsPanel.Pubmed_RVAbstract" TargetMode="External"/><Relationship Id="rId10" Type="http://schemas.openxmlformats.org/officeDocument/2006/relationships/hyperlink" Target="mailto:b.s.martin@hotmail.com" TargetMode="External"/><Relationship Id="rId19" Type="http://schemas.openxmlformats.org/officeDocument/2006/relationships/hyperlink" Target="http://www.ncbi.nlm.nih.gov/sites/entrez?Db=pubmed&amp;Cmd=Search&amp;Term=%22Droz%20D%22%5BAuthor%5D&amp;itool=EntrezSystem2.PEntrez.Pubmed.Pubmed_ResultsPanel.Pubmed_RVAbstract" TargetMode="External"/><Relationship Id="rId31" Type="http://schemas.openxmlformats.org/officeDocument/2006/relationships/hyperlink" Target="javascript:AL_get(this,%20'jour',%20'Arthritis%20Rheum.');" TargetMode="External"/><Relationship Id="rId4" Type="http://schemas.openxmlformats.org/officeDocument/2006/relationships/webSettings" Target="webSettings.xml"/><Relationship Id="rId9" Type="http://schemas.openxmlformats.org/officeDocument/2006/relationships/hyperlink" Target="mailto:maricarmenoc@hotmail.com" TargetMode="External"/><Relationship Id="rId14" Type="http://schemas.openxmlformats.org/officeDocument/2006/relationships/hyperlink" Target="mailto:mylefra@hotmail.com" TargetMode="External"/><Relationship Id="rId22" Type="http://schemas.openxmlformats.org/officeDocument/2006/relationships/hyperlink" Target="http://www.ncbi.nlm.nih.gov/sites/entrez?Db=pubmed&amp;Cmd=Search&amp;Term=%22Lesavre%20P%22%5BAuthor%5D&amp;itool=EntrezSystem2.PEntrez.Pubmed.Pubmed_ResultsPanel.Pubmed_RVAbstract" TargetMode="External"/><Relationship Id="rId27" Type="http://schemas.openxmlformats.org/officeDocument/2006/relationships/hyperlink" Target="http://www.ncbi.nlm.nih.gov/sites/entrez?Db=pubmed&amp;Cmd=Search&amp;Term=%22Moutsopoulos%20HM%22%5BAuthor%5D&amp;itool=EntrezSystem2.PEntrez.Pubmed.Pubmed_ResultsPanel.Pubmed_RVAbstract" TargetMode="External"/><Relationship Id="rId30" Type="http://schemas.openxmlformats.org/officeDocument/2006/relationships/hyperlink" Target="http://www.ncbi.nlm.nih.gov/sites/entrez?Db=pubmed&amp;Cmd=Search&amp;Term=%22Fries%20JF%22%5BAuthor%5D&amp;itool=EntrezSystem2.PEntrez.Pubmed.Pubmed_ResultsPanel.Pubmed_RVAbstract" TargetMode="External"/><Relationship Id="rId35" Type="http://schemas.openxmlformats.org/officeDocument/2006/relationships/hyperlink" Target="javascript:AL_get(this,%20'jour',%20'N%20Engl%20J%20M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6542</Words>
  <Characters>35981</Characters>
  <Application>Microsoft Office Word</Application>
  <DocSecurity>0</DocSecurity>
  <Lines>299</Lines>
  <Paragraphs>84</Paragraphs>
  <ScaleCrop>false</ScaleCrop>
  <HeadingPairs>
    <vt:vector size="2" baseType="variant">
      <vt:variant>
        <vt:lpstr>Título</vt:lpstr>
      </vt:variant>
      <vt:variant>
        <vt:i4>1</vt:i4>
      </vt:variant>
    </vt:vector>
  </HeadingPairs>
  <TitlesOfParts>
    <vt:vector size="1" baseType="lpstr">
      <vt:lpstr>The kidney is a major target organ in patients with antiphospholipid syndrome (APS)</vt:lpstr>
    </vt:vector>
  </TitlesOfParts>
  <Company>x</Company>
  <LinksUpToDate>false</LinksUpToDate>
  <CharactersWithSpaces>42439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kidney is a major target organ in patients with antiphospholipid syndrome (APS)</dc:title>
  <dc:subject/>
  <dc:creator>MG</dc:creator>
  <cp:keywords/>
  <dc:description/>
  <cp:lastModifiedBy>Galindo Izquierdo.María</cp:lastModifiedBy>
  <cp:revision>2</cp:revision>
  <cp:lastPrinted>2012-05-28T09:40:00Z</cp:lastPrinted>
  <dcterms:created xsi:type="dcterms:W3CDTF">2025-01-14T07:08:00Z</dcterms:created>
  <dcterms:modified xsi:type="dcterms:W3CDTF">2025-01-14T07:08:00Z</dcterms:modified>
</cp:coreProperties>
</file>